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270510</wp:posOffset>
            </wp:positionV>
            <wp:extent cx="73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1" w:lineRule="exact"/>
        <w:rPr>
          <w:sz w:val="24"/>
          <w:szCs w:val="24"/>
          <w:color w:val="auto"/>
        </w:rPr>
      </w:pPr>
    </w:p>
    <w:p>
      <w:pPr>
        <w:ind w:left="340" w:right="2340" w:hanging="332"/>
        <w:spacing w:after="0" w:line="499"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transition period from __________ to 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281940</wp:posOffset>
            </wp:positionV>
            <wp:extent cx="73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CASS INFORMATION SYSTEMS, INC.</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Missouri</w:t>
            </w:r>
          </w:p>
        </w:tc>
        <w:tc>
          <w:tcPr>
            <w:tcW w:w="1920" w:type="dxa"/>
            <w:vAlign w:val="bottom"/>
          </w:tcPr>
          <w:p>
            <w:pPr>
              <w:spacing w:after="0"/>
              <w:rPr>
                <w:sz w:val="19"/>
                <w:szCs w:val="19"/>
                <w:color w:val="auto"/>
              </w:rPr>
            </w:pPr>
          </w:p>
        </w:tc>
        <w:tc>
          <w:tcPr>
            <w:tcW w:w="4780" w:type="dxa"/>
            <w:vAlign w:val="bottom"/>
            <w:gridSpan w:val="2"/>
          </w:tcPr>
          <w:p>
            <w:pPr>
              <w:jc w:val="right"/>
              <w:ind w:right="2290"/>
              <w:spacing w:after="0"/>
              <w:rPr>
                <w:sz w:val="20"/>
                <w:szCs w:val="20"/>
                <w:color w:val="auto"/>
              </w:rPr>
            </w:pPr>
            <w:r>
              <w:rPr>
                <w:rFonts w:ascii="Arial" w:cs="Arial" w:eastAsia="Arial" w:hAnsi="Arial"/>
                <w:sz w:val="18"/>
                <w:szCs w:val="18"/>
                <w:b w:val="1"/>
                <w:bCs w:val="1"/>
                <w:color w:val="auto"/>
              </w:rPr>
              <w:t>43-1265338</w:t>
            </w:r>
          </w:p>
        </w:tc>
      </w:tr>
      <w:tr>
        <w:trPr>
          <w:trHeight w:val="215"/>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(State or other jurisdiction of incorporation or</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jc w:val="center"/>
              <w:ind w:right="970"/>
              <w:spacing w:after="0"/>
              <w:rPr>
                <w:sz w:val="20"/>
                <w:szCs w:val="20"/>
                <w:color w:val="auto"/>
              </w:rPr>
            </w:pPr>
            <w:r>
              <w:rPr>
                <w:rFonts w:ascii="Arial" w:cs="Arial" w:eastAsia="Arial" w:hAnsi="Arial"/>
                <w:sz w:val="18"/>
                <w:szCs w:val="18"/>
                <w:color w:val="auto"/>
                <w:w w:val="94"/>
              </w:rPr>
              <w:t>(I.R.S. Employer Identification No.)</w:t>
            </w:r>
          </w:p>
        </w:tc>
      </w:tr>
      <w:tr>
        <w:trPr>
          <w:trHeight w:val="211"/>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organization)</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5"/>
        </w:trPr>
        <w:tc>
          <w:tcPr>
            <w:tcW w:w="45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12444 Powerscourt Drive, Suite 550</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9"/>
        </w:trPr>
        <w:tc>
          <w:tcPr>
            <w:tcW w:w="45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St. Louis, Missouri</w:t>
            </w:r>
          </w:p>
        </w:tc>
        <w:tc>
          <w:tcPr>
            <w:tcW w:w="1920" w:type="dxa"/>
            <w:vAlign w:val="bottom"/>
          </w:tcPr>
          <w:p>
            <w:pPr>
              <w:spacing w:after="0"/>
              <w:rPr>
                <w:sz w:val="19"/>
                <w:szCs w:val="19"/>
                <w:color w:val="auto"/>
              </w:rPr>
            </w:pPr>
          </w:p>
        </w:tc>
        <w:tc>
          <w:tcPr>
            <w:tcW w:w="478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63131</w:t>
            </w:r>
          </w:p>
        </w:tc>
      </w:tr>
      <w:tr>
        <w:trPr>
          <w:trHeight w:val="230"/>
        </w:trPr>
        <w:tc>
          <w:tcPr>
            <w:tcW w:w="454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jc w:val="center"/>
              <w:ind w:right="970"/>
              <w:spacing w:after="0"/>
              <w:rPr>
                <w:sz w:val="20"/>
                <w:szCs w:val="20"/>
                <w:color w:val="auto"/>
              </w:rPr>
            </w:pPr>
            <w:r>
              <w:rPr>
                <w:rFonts w:ascii="Arial" w:cs="Arial" w:eastAsia="Arial" w:hAnsi="Arial"/>
                <w:sz w:val="18"/>
                <w:szCs w:val="18"/>
                <w:color w:val="auto"/>
                <w:w w:val="91"/>
              </w:rPr>
              <w:t>(Zip Code)</w:t>
            </w:r>
          </w:p>
        </w:tc>
      </w:tr>
      <w:tr>
        <w:trPr>
          <w:trHeight w:val="309"/>
        </w:trPr>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jc w:val="right"/>
              <w:ind w:right="190"/>
              <w:spacing w:after="0"/>
              <w:rPr>
                <w:sz w:val="20"/>
                <w:szCs w:val="20"/>
                <w:color w:val="auto"/>
              </w:rPr>
            </w:pPr>
            <w:r>
              <w:rPr>
                <w:rFonts w:ascii="Arial" w:cs="Arial" w:eastAsia="Arial" w:hAnsi="Arial"/>
                <w:sz w:val="18"/>
                <w:szCs w:val="18"/>
                <w:b w:val="1"/>
                <w:bCs w:val="1"/>
                <w:color w:val="auto"/>
              </w:rPr>
              <w:t>(314) 506-5500</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49"/>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454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Title of each class</w:t>
            </w:r>
          </w:p>
        </w:tc>
        <w:tc>
          <w:tcPr>
            <w:tcW w:w="1920" w:type="dxa"/>
            <w:vAlign w:val="bottom"/>
          </w:tcPr>
          <w:p>
            <w:pPr>
              <w:jc w:val="center"/>
              <w:ind w:right="470"/>
              <w:spacing w:after="0"/>
              <w:rPr>
                <w:sz w:val="20"/>
                <w:szCs w:val="20"/>
                <w:color w:val="auto"/>
              </w:rPr>
            </w:pPr>
            <w:r>
              <w:rPr>
                <w:rFonts w:ascii="Arial" w:cs="Arial" w:eastAsia="Arial" w:hAnsi="Arial"/>
                <w:sz w:val="18"/>
                <w:szCs w:val="18"/>
                <w:color w:val="auto"/>
                <w:w w:val="90"/>
              </w:rPr>
              <w:t>Trading symbols</w:t>
            </w: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$.50</w:t>
            </w: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3"/>
              </w:rPr>
              <w:t>CASS</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255905</wp:posOffset>
            </wp:positionV>
            <wp:extent cx="735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34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jc w:val="both"/>
        <w:ind w:firstLine="21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a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08"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940" w:space="720"/>
            <w:col w:w="7580"/>
          </w:cols>
          <w:pgMar w:left="320" w:top="229" w:right="339" w:bottom="1440" w:gutter="0" w:footer="0" w:header="0"/>
          <w:type w:val="continuous"/>
        </w:sectPr>
      </w:pPr>
    </w:p>
    <w:p>
      <w:pPr>
        <w:spacing w:after="0" w:line="47"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3">
            <w:col w:w="2940" w:space="720"/>
            <w:col w:w="2680" w:space="720"/>
            <w:col w:w="4180"/>
          </w:cols>
          <w:pgMar w:left="320" w:top="229" w:right="339" w:bottom="1440" w:gutter="0" w:footer="0" w:header="0"/>
          <w:type w:val="continuous"/>
        </w:sectPr>
      </w:pPr>
    </w:p>
    <w:p>
      <w:pPr>
        <w:ind w:firstLine="215"/>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1" w:lineRule="exact"/>
        <w:rPr>
          <w:sz w:val="24"/>
          <w:szCs w:val="24"/>
          <w:color w:val="auto"/>
        </w:rPr>
      </w:pPr>
    </w:p>
    <w:p>
      <w:pPr>
        <w:ind w:left="5100"/>
        <w:spacing w:after="0" w:line="207" w:lineRule="exact"/>
        <w:tabs>
          <w:tab w:leader="none" w:pos="5920" w:val="left"/>
          <w:tab w:leader="none" w:pos="824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49" w:lineRule="exact"/>
        <w:rPr>
          <w:sz w:val="24"/>
          <w:szCs w:val="24"/>
          <w:color w:val="auto"/>
        </w:rPr>
      </w:pPr>
    </w:p>
    <w:p>
      <w:pPr>
        <w:ind w:firstLine="215"/>
        <w:spacing w:after="0" w:line="276" w:lineRule="auto"/>
        <w:rPr>
          <w:sz w:val="20"/>
          <w:szCs w:val="20"/>
          <w:color w:val="auto"/>
        </w:rPr>
      </w:pPr>
      <w:r>
        <w:rPr>
          <w:rFonts w:ascii="Arial" w:cs="Arial" w:eastAsia="Arial" w:hAnsi="Arial"/>
          <w:sz w:val="18"/>
          <w:szCs w:val="18"/>
          <w:color w:val="auto"/>
        </w:rPr>
        <w:t>The number of shares outstanding of the registrant's only class of common stock as of July 23, 2021: Common stock, par value $.50 per share – 14,306,354 shares outstanding.</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281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8194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3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9"/>
        </w:trPr>
        <w:tc>
          <w:tcPr>
            <w:tcW w:w="280" w:type="dxa"/>
            <w:vAlign w:val="bottom"/>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75"/>
        </w:trPr>
        <w:tc>
          <w:tcPr>
            <w:tcW w:w="280" w:type="dxa"/>
            <w:vAlign w:val="bottom"/>
            <w:shd w:val="clear" w:color="auto" w:fill="B2B2B2"/>
          </w:tcPr>
          <w:p>
            <w:pPr>
              <w:spacing w:after="0"/>
              <w:rPr>
                <w:sz w:val="15"/>
                <w:szCs w:val="15"/>
                <w:color w:val="auto"/>
              </w:rPr>
            </w:pPr>
          </w:p>
        </w:tc>
        <w:tc>
          <w:tcPr>
            <w:tcW w:w="500" w:type="dxa"/>
            <w:vAlign w:val="bottom"/>
            <w:shd w:val="clear" w:color="auto" w:fill="B2B2B2"/>
          </w:tcPr>
          <w:p>
            <w:pPr>
              <w:spacing w:after="0"/>
              <w:rPr>
                <w:sz w:val="15"/>
                <w:szCs w:val="15"/>
                <w:color w:val="auto"/>
              </w:rPr>
            </w:pPr>
          </w:p>
        </w:tc>
        <w:tc>
          <w:tcPr>
            <w:tcW w:w="300" w:type="dxa"/>
            <w:vAlign w:val="bottom"/>
            <w:tcBorders>
              <w:right w:val="single" w:sz="8" w:color="B2B2B2"/>
            </w:tcBorders>
            <w:shd w:val="clear" w:color="auto" w:fill="B2B2B2"/>
          </w:tcPr>
          <w:p>
            <w:pPr>
              <w:spacing w:after="0"/>
              <w:rPr>
                <w:sz w:val="15"/>
                <w:szCs w:val="15"/>
                <w:color w:val="auto"/>
              </w:rPr>
            </w:pPr>
          </w:p>
        </w:tc>
        <w:tc>
          <w:tcPr>
            <w:tcW w:w="9360" w:type="dxa"/>
            <w:vAlign w:val="bottom"/>
            <w:gridSpan w:val="17"/>
            <w:shd w:val="clear" w:color="auto" w:fill="B2B2B2"/>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4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r>
      <w:tr>
        <w:trPr>
          <w:trHeight w:val="20"/>
        </w:trPr>
        <w:tc>
          <w:tcPr>
            <w:tcW w:w="280" w:type="dxa"/>
            <w:vAlign w:val="bottom"/>
            <w:shd w:val="clear" w:color="auto" w:fill="B2B2B2"/>
          </w:tcPr>
          <w:p>
            <w:pPr>
              <w:spacing w:after="0" w:line="20" w:lineRule="exact"/>
              <w:rPr>
                <w:sz w:val="1"/>
                <w:szCs w:val="1"/>
                <w:color w:val="auto"/>
              </w:rPr>
            </w:pPr>
          </w:p>
        </w:tc>
        <w:tc>
          <w:tcPr>
            <w:tcW w:w="500" w:type="dxa"/>
            <w:vAlign w:val="bottom"/>
            <w:shd w:val="clear" w:color="auto" w:fill="B2B2B2"/>
          </w:tcPr>
          <w:p>
            <w:pPr>
              <w:spacing w:after="0" w:line="20" w:lineRule="exact"/>
              <w:rPr>
                <w:sz w:val="1"/>
                <w:szCs w:val="1"/>
                <w:color w:val="auto"/>
              </w:rPr>
            </w:pPr>
          </w:p>
        </w:tc>
        <w:tc>
          <w:tcPr>
            <w:tcW w:w="300" w:type="dxa"/>
            <w:vAlign w:val="bottom"/>
            <w:tcBorders>
              <w:right w:val="single" w:sz="8" w:color="B2B2B2"/>
            </w:tcBorders>
            <w:shd w:val="clear" w:color="auto" w:fill="B2B2B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0" w:type="dxa"/>
            <w:vAlign w:val="bottom"/>
            <w:gridSpan w:val="2"/>
            <w:shd w:val="clear" w:color="auto" w:fill="B2B2B2"/>
          </w:tcPr>
          <w:p>
            <w:pPr>
              <w:spacing w:after="0" w:line="20" w:lineRule="exact"/>
              <w:rPr>
                <w:sz w:val="1"/>
                <w:szCs w:val="1"/>
                <w:color w:val="auto"/>
              </w:rPr>
            </w:pPr>
          </w:p>
        </w:tc>
        <w:tc>
          <w:tcPr>
            <w:tcW w:w="260" w:type="dxa"/>
            <w:vAlign w:val="bottom"/>
            <w:shd w:val="clear" w:color="auto" w:fill="B2B2B2"/>
          </w:tcPr>
          <w:p>
            <w:pPr>
              <w:spacing w:after="0" w:line="20" w:lineRule="exact"/>
              <w:rPr>
                <w:sz w:val="1"/>
                <w:szCs w:val="1"/>
                <w:color w:val="auto"/>
              </w:rPr>
            </w:pPr>
          </w:p>
        </w:tc>
        <w:tc>
          <w:tcPr>
            <w:tcW w:w="20" w:type="dxa"/>
            <w:vAlign w:val="bottom"/>
            <w:shd w:val="clear" w:color="auto" w:fill="B2B2B2"/>
          </w:tcPr>
          <w:p>
            <w:pPr>
              <w:spacing w:after="0" w:line="20" w:lineRule="exact"/>
              <w:rPr>
                <w:sz w:val="1"/>
                <w:szCs w:val="1"/>
                <w:color w:val="auto"/>
              </w:rPr>
            </w:pPr>
          </w:p>
        </w:tc>
        <w:tc>
          <w:tcPr>
            <w:tcW w:w="280" w:type="dxa"/>
            <w:vAlign w:val="bottom"/>
            <w:shd w:val="clear" w:color="auto" w:fill="B2B2B2"/>
          </w:tcPr>
          <w:p>
            <w:pPr>
              <w:spacing w:after="0" w:line="20" w:lineRule="exact"/>
              <w:rPr>
                <w:sz w:val="1"/>
                <w:szCs w:val="1"/>
                <w:color w:val="auto"/>
              </w:rPr>
            </w:pPr>
          </w:p>
        </w:tc>
        <w:tc>
          <w:tcPr>
            <w:tcW w:w="680" w:type="dxa"/>
            <w:vAlign w:val="bottom"/>
            <w:shd w:val="clear" w:color="auto" w:fill="B2B2B2"/>
          </w:tcPr>
          <w:p>
            <w:pPr>
              <w:spacing w:after="0" w:line="20" w:lineRule="exact"/>
              <w:rPr>
                <w:sz w:val="1"/>
                <w:szCs w:val="1"/>
                <w:color w:val="auto"/>
              </w:rPr>
            </w:pPr>
          </w:p>
        </w:tc>
        <w:tc>
          <w:tcPr>
            <w:tcW w:w="200" w:type="dxa"/>
            <w:vAlign w:val="bottom"/>
            <w:shd w:val="clear" w:color="auto" w:fill="B2B2B2"/>
          </w:tcPr>
          <w:p>
            <w:pPr>
              <w:spacing w:after="0" w:line="20" w:lineRule="exact"/>
              <w:rPr>
                <w:sz w:val="1"/>
                <w:szCs w:val="1"/>
                <w:color w:val="auto"/>
              </w:rPr>
            </w:pPr>
          </w:p>
        </w:tc>
        <w:tc>
          <w:tcPr>
            <w:tcW w:w="160" w:type="dxa"/>
            <w:vAlign w:val="bottom"/>
            <w:shd w:val="clear" w:color="auto" w:fill="B2B2B2"/>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160" w:type="dxa"/>
            <w:vAlign w:val="bottom"/>
            <w:shd w:val="clear" w:color="auto" w:fill="B2B2B2"/>
          </w:tcPr>
          <w:p>
            <w:pPr>
              <w:spacing w:after="0" w:line="20" w:lineRule="exact"/>
              <w:rPr>
                <w:sz w:val="1"/>
                <w:szCs w:val="1"/>
                <w:color w:val="auto"/>
              </w:rPr>
            </w:pPr>
          </w:p>
        </w:tc>
        <w:tc>
          <w:tcPr>
            <w:tcW w:w="740" w:type="dxa"/>
            <w:vAlign w:val="bottom"/>
            <w:shd w:val="clear" w:color="auto" w:fill="B2B2B2"/>
          </w:tcPr>
          <w:p>
            <w:pPr>
              <w:spacing w:after="0" w:line="20" w:lineRule="exact"/>
              <w:rPr>
                <w:sz w:val="1"/>
                <w:szCs w:val="1"/>
                <w:color w:val="auto"/>
              </w:rPr>
            </w:pPr>
          </w:p>
        </w:tc>
        <w:tc>
          <w:tcPr>
            <w:tcW w:w="1180" w:type="dxa"/>
            <w:vAlign w:val="bottom"/>
            <w:shd w:val="clear" w:color="auto" w:fill="B2B2B2"/>
          </w:tcPr>
          <w:p>
            <w:pPr>
              <w:spacing w:after="0" w:line="20" w:lineRule="exact"/>
              <w:rPr>
                <w:sz w:val="1"/>
                <w:szCs w:val="1"/>
                <w:color w:val="auto"/>
              </w:rPr>
            </w:pPr>
          </w:p>
        </w:tc>
        <w:tc>
          <w:tcPr>
            <w:tcW w:w="278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40" w:type="dxa"/>
            <w:vAlign w:val="bottom"/>
            <w:shd w:val="clear" w:color="auto" w:fill="B2B2B2"/>
          </w:tcPr>
          <w:p>
            <w:pPr>
              <w:spacing w:after="0" w:line="20" w:lineRule="exact"/>
              <w:rPr>
                <w:sz w:val="1"/>
                <w:szCs w:val="1"/>
                <w:color w:val="auto"/>
              </w:rPr>
            </w:pPr>
          </w:p>
        </w:tc>
        <w:tc>
          <w:tcPr>
            <w:tcW w:w="100" w:type="dxa"/>
            <w:vAlign w:val="bottom"/>
            <w:shd w:val="clear" w:color="auto" w:fill="B2B2B2"/>
          </w:tcPr>
          <w:p>
            <w:pPr>
              <w:spacing w:after="0" w:line="20" w:lineRule="exact"/>
              <w:rPr>
                <w:sz w:val="1"/>
                <w:szCs w:val="1"/>
                <w:color w:val="auto"/>
              </w:rPr>
            </w:pPr>
          </w:p>
        </w:tc>
        <w:tc>
          <w:tcPr>
            <w:tcW w:w="40" w:type="dxa"/>
            <w:vAlign w:val="bottom"/>
            <w:shd w:val="clear" w:color="auto" w:fill="B2B2B2"/>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r>
      <w:tr>
        <w:trPr>
          <w:trHeight w:val="195"/>
        </w:trPr>
        <w:tc>
          <w:tcPr>
            <w:tcW w:w="28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tcBorders>
              <w:right w:val="single" w:sz="8" w:color="B2B2B2"/>
            </w:tcBorders>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080" w:type="dxa"/>
            <w:vAlign w:val="bottom"/>
            <w:gridSpan w:val="16"/>
            <w:shd w:val="clear" w:color="auto" w:fill="B2B2B2"/>
          </w:tcPr>
          <w:p>
            <w:pPr>
              <w:spacing w:after="0" w:line="195" w:lineRule="exact"/>
              <w:rPr>
                <w:rFonts w:ascii="Arial" w:cs="Arial" w:eastAsia="Arial" w:hAnsi="Arial"/>
                <w:sz w:val="18"/>
                <w:szCs w:val="18"/>
                <w:color w:val="0000EE"/>
              </w:rPr>
            </w:pPr>
            <w:hyperlink w:anchor="page3">
              <w:r>
                <w:rPr>
                  <w:rFonts w:ascii="Arial" w:cs="Arial" w:eastAsia="Arial" w:hAnsi="Arial"/>
                  <w:sz w:val="18"/>
                  <w:szCs w:val="18"/>
                  <w:color w:val="0000EE"/>
                </w:rPr>
                <w:t>June 30, 2021 (unaudited) and December 31, 2020</w:t>
              </w:r>
            </w:hyperlink>
          </w:p>
        </w:tc>
        <w:tc>
          <w:tcPr>
            <w:tcW w:w="660" w:type="dxa"/>
            <w:vAlign w:val="bottom"/>
            <w:gridSpan w:val="4"/>
            <w:shd w:val="clear" w:color="auto" w:fill="B2B2B2"/>
          </w:tcPr>
          <w:p>
            <w:pPr>
              <w:jc w:val="center"/>
              <w:ind w:left="390"/>
              <w:spacing w:after="0" w:line="195"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140" w:type="dxa"/>
            <w:vAlign w:val="bottom"/>
            <w:shd w:val="clear" w:color="auto" w:fill="B2B2B2"/>
          </w:tcPr>
          <w:p>
            <w:pPr>
              <w:spacing w:after="0"/>
              <w:rPr>
                <w:sz w:val="17"/>
                <w:szCs w:val="17"/>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B2B2B2"/>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26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680" w:type="dxa"/>
            <w:vAlign w:val="bottom"/>
            <w:tcBorders>
              <w:top w:val="single" w:sz="8" w:color="0000EE"/>
            </w:tcBorders>
            <w:shd w:val="clear" w:color="auto" w:fill="B2B2B2"/>
          </w:tcPr>
          <w:p>
            <w:pPr>
              <w:spacing w:after="0"/>
              <w:rPr>
                <w:sz w:val="21"/>
                <w:szCs w:val="21"/>
                <w:color w:val="auto"/>
              </w:rPr>
            </w:pPr>
          </w:p>
        </w:tc>
        <w:tc>
          <w:tcPr>
            <w:tcW w:w="20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120" w:type="dxa"/>
            <w:vAlign w:val="bottom"/>
            <w:tcBorders>
              <w:top w:val="single" w:sz="8" w:color="B2B2B2"/>
            </w:tcBorders>
            <w:shd w:val="clear" w:color="auto" w:fill="B2B2B2"/>
          </w:tcPr>
          <w:p>
            <w:pPr>
              <w:spacing w:after="0"/>
              <w:rPr>
                <w:sz w:val="21"/>
                <w:szCs w:val="21"/>
                <w:color w:val="auto"/>
              </w:rPr>
            </w:pPr>
          </w:p>
        </w:tc>
        <w:tc>
          <w:tcPr>
            <w:tcW w:w="160" w:type="dxa"/>
            <w:vAlign w:val="bottom"/>
            <w:tcBorders>
              <w:top w:val="single" w:sz="8" w:color="B2B2B2"/>
            </w:tcBorders>
            <w:shd w:val="clear" w:color="auto" w:fill="B2B2B2"/>
          </w:tcPr>
          <w:p>
            <w:pPr>
              <w:spacing w:after="0"/>
              <w:rPr>
                <w:sz w:val="21"/>
                <w:szCs w:val="21"/>
                <w:color w:val="auto"/>
              </w:rPr>
            </w:pPr>
          </w:p>
        </w:tc>
        <w:tc>
          <w:tcPr>
            <w:tcW w:w="740" w:type="dxa"/>
            <w:vAlign w:val="bottom"/>
            <w:tcBorders>
              <w:top w:val="single" w:sz="8" w:color="B2B2B2"/>
            </w:tcBorders>
            <w:shd w:val="clear" w:color="auto" w:fill="B2B2B2"/>
          </w:tcPr>
          <w:p>
            <w:pPr>
              <w:spacing w:after="0"/>
              <w:rPr>
                <w:sz w:val="21"/>
                <w:szCs w:val="21"/>
                <w:color w:val="auto"/>
              </w:rPr>
            </w:pPr>
          </w:p>
        </w:tc>
        <w:tc>
          <w:tcPr>
            <w:tcW w:w="1180" w:type="dxa"/>
            <w:vAlign w:val="bottom"/>
            <w:tcBorders>
              <w:top w:val="single" w:sz="8" w:color="B2B2B2"/>
            </w:tcBorders>
            <w:shd w:val="clear" w:color="auto" w:fill="B2B2B2"/>
          </w:tcPr>
          <w:p>
            <w:pPr>
              <w:spacing w:after="0"/>
              <w:rPr>
                <w:sz w:val="21"/>
                <w:szCs w:val="21"/>
                <w:color w:val="auto"/>
              </w:rPr>
            </w:pPr>
          </w:p>
        </w:tc>
        <w:tc>
          <w:tcPr>
            <w:tcW w:w="27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80" w:type="dxa"/>
            <w:vAlign w:val="bottom"/>
            <w:gridSpan w:val="16"/>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30, 2021 and 2020 (unaudited)</w:t>
              </w:r>
            </w:hyperlink>
          </w:p>
        </w:tc>
        <w:tc>
          <w:tcPr>
            <w:tcW w:w="660" w:type="dxa"/>
            <w:vAlign w:val="bottom"/>
            <w:gridSpan w:val="4"/>
          </w:tcPr>
          <w:p>
            <w:pPr>
              <w:jc w:val="center"/>
              <w:ind w:left="390"/>
              <w:spacing w:after="0" w:line="195"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40" w:type="dxa"/>
            <w:vAlign w:val="bottom"/>
          </w:tcPr>
          <w:p>
            <w:pPr>
              <w:spacing w:after="0"/>
              <w:rPr>
                <w:sz w:val="17"/>
                <w:szCs w:val="17"/>
                <w:color w:val="auto"/>
              </w:rPr>
            </w:pPr>
          </w:p>
        </w:tc>
      </w:tr>
      <w:tr>
        <w:trPr>
          <w:trHeight w:val="249"/>
        </w:trPr>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740" w:type="dxa"/>
            <w:vAlign w:val="bottom"/>
            <w:tcBorders>
              <w:top w:val="single" w:sz="8" w:color="0000EE"/>
            </w:tcBorders>
          </w:tcPr>
          <w:p>
            <w:pPr>
              <w:spacing w:after="0"/>
              <w:rPr>
                <w:sz w:val="21"/>
                <w:szCs w:val="21"/>
                <w:color w:val="auto"/>
              </w:rPr>
            </w:pPr>
          </w:p>
        </w:tc>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75"/>
        </w:trPr>
        <w:tc>
          <w:tcPr>
            <w:tcW w:w="280" w:type="dxa"/>
            <w:vAlign w:val="bottom"/>
            <w:tcBorders>
              <w:bottom w:val="single" w:sz="8" w:color="B2B2B2"/>
            </w:tcBorders>
            <w:shd w:val="clear" w:color="auto" w:fill="B2B2B2"/>
          </w:tcPr>
          <w:p>
            <w:pPr>
              <w:spacing w:after="0"/>
              <w:rPr>
                <w:sz w:val="15"/>
                <w:szCs w:val="15"/>
                <w:color w:val="auto"/>
              </w:rPr>
            </w:pPr>
          </w:p>
        </w:tc>
        <w:tc>
          <w:tcPr>
            <w:tcW w:w="500" w:type="dxa"/>
            <w:vAlign w:val="bottom"/>
            <w:tcBorders>
              <w:bottom w:val="single" w:sz="8" w:color="B2B2B2"/>
            </w:tcBorders>
            <w:shd w:val="clear" w:color="auto" w:fill="B2B2B2"/>
          </w:tcPr>
          <w:p>
            <w:pPr>
              <w:spacing w:after="0"/>
              <w:rPr>
                <w:sz w:val="15"/>
                <w:szCs w:val="15"/>
                <w:color w:val="auto"/>
              </w:rPr>
            </w:pPr>
          </w:p>
        </w:tc>
        <w:tc>
          <w:tcPr>
            <w:tcW w:w="300" w:type="dxa"/>
            <w:vAlign w:val="bottom"/>
            <w:tcBorders>
              <w:bottom w:val="single" w:sz="8" w:color="B2B2B2"/>
              <w:right w:val="single" w:sz="8" w:color="B2B2B2"/>
            </w:tcBorders>
            <w:shd w:val="clear" w:color="auto" w:fill="B2B2B2"/>
          </w:tcPr>
          <w:p>
            <w:pPr>
              <w:spacing w:after="0"/>
              <w:rPr>
                <w:sz w:val="15"/>
                <w:szCs w:val="15"/>
                <w:color w:val="auto"/>
              </w:rPr>
            </w:pPr>
          </w:p>
        </w:tc>
        <w:tc>
          <w:tcPr>
            <w:tcW w:w="3740" w:type="dxa"/>
            <w:vAlign w:val="bottom"/>
            <w:tcBorders>
              <w:bottom w:val="single" w:sz="8" w:color="0000EE"/>
            </w:tcBorders>
            <w:gridSpan w:val="10"/>
            <w:shd w:val="clear" w:color="auto" w:fill="B2B2B2"/>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w:t>
              </w:r>
            </w:hyperlink>
          </w:p>
        </w:tc>
        <w:tc>
          <w:tcPr>
            <w:tcW w:w="5620" w:type="dxa"/>
            <w:vAlign w:val="bottom"/>
            <w:tcBorders>
              <w:bottom w:val="single" w:sz="8" w:color="B2B2B2"/>
            </w:tcBorders>
            <w:gridSpan w:val="7"/>
            <w:shd w:val="clear" w:color="auto" w:fill="B2B2B2"/>
          </w:tcPr>
          <w:p>
            <w:pPr>
              <w:spacing w:after="0"/>
              <w:rPr>
                <w:sz w:val="15"/>
                <w:szCs w:val="15"/>
                <w:color w:val="auto"/>
              </w:rPr>
            </w:pPr>
          </w:p>
        </w:tc>
        <w:tc>
          <w:tcPr>
            <w:tcW w:w="480" w:type="dxa"/>
            <w:vAlign w:val="bottom"/>
            <w:tcBorders>
              <w:bottom w:val="single" w:sz="8" w:color="B2B2B2"/>
            </w:tcBorders>
            <w:shd w:val="clear" w:color="auto" w:fill="B2B2B2"/>
          </w:tcPr>
          <w:p>
            <w:pPr>
              <w:spacing w:after="0"/>
              <w:rPr>
                <w:sz w:val="15"/>
                <w:szCs w:val="15"/>
                <w:color w:val="auto"/>
              </w:rPr>
            </w:pPr>
          </w:p>
        </w:tc>
        <w:tc>
          <w:tcPr>
            <w:tcW w:w="40" w:type="dxa"/>
            <w:vAlign w:val="bottom"/>
            <w:tcBorders>
              <w:bottom w:val="single" w:sz="8" w:color="B2B2B2"/>
            </w:tcBorders>
            <w:shd w:val="clear" w:color="auto" w:fill="B2B2B2"/>
          </w:tcPr>
          <w:p>
            <w:pPr>
              <w:spacing w:after="0"/>
              <w:rPr>
                <w:sz w:val="15"/>
                <w:szCs w:val="15"/>
                <w:color w:val="auto"/>
              </w:rPr>
            </w:pPr>
          </w:p>
        </w:tc>
        <w:tc>
          <w:tcPr>
            <w:tcW w:w="100" w:type="dxa"/>
            <w:vAlign w:val="bottom"/>
            <w:tcBorders>
              <w:bottom w:val="single" w:sz="8" w:color="B2B2B2"/>
            </w:tcBorders>
            <w:shd w:val="clear" w:color="auto" w:fill="B2B2B2"/>
          </w:tcPr>
          <w:p>
            <w:pPr>
              <w:spacing w:after="0"/>
              <w:rPr>
                <w:sz w:val="15"/>
                <w:szCs w:val="15"/>
                <w:color w:val="auto"/>
              </w:rPr>
            </w:pPr>
          </w:p>
        </w:tc>
        <w:tc>
          <w:tcPr>
            <w:tcW w:w="40" w:type="dxa"/>
            <w:vAlign w:val="bottom"/>
            <w:tcBorders>
              <w:bottom w:val="single" w:sz="8" w:color="B2B2B2"/>
            </w:tcBorders>
            <w:shd w:val="clear" w:color="auto" w:fill="B2B2B2"/>
          </w:tcPr>
          <w:p>
            <w:pPr>
              <w:spacing w:after="0"/>
              <w:rPr>
                <w:sz w:val="15"/>
                <w:szCs w:val="15"/>
                <w:color w:val="auto"/>
              </w:rPr>
            </w:pPr>
          </w:p>
        </w:tc>
        <w:tc>
          <w:tcPr>
            <w:tcW w:w="140" w:type="dxa"/>
            <w:vAlign w:val="bottom"/>
            <w:tcBorders>
              <w:bottom w:val="single" w:sz="8" w:color="B2B2B2"/>
            </w:tcBorders>
            <w:shd w:val="clear" w:color="auto" w:fill="B2B2B2"/>
          </w:tcPr>
          <w:p>
            <w:pPr>
              <w:spacing w:after="0"/>
              <w:rPr>
                <w:sz w:val="15"/>
                <w:szCs w:val="15"/>
                <w:color w:val="auto"/>
              </w:rPr>
            </w:pPr>
          </w:p>
        </w:tc>
      </w:tr>
      <w:tr>
        <w:trPr>
          <w:trHeight w:val="195"/>
        </w:trPr>
        <w:tc>
          <w:tcPr>
            <w:tcW w:w="28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tcBorders>
              <w:right w:val="single" w:sz="8" w:color="B2B2B2"/>
            </w:tcBorders>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080" w:type="dxa"/>
            <w:vAlign w:val="bottom"/>
            <w:gridSpan w:val="16"/>
            <w:shd w:val="clear" w:color="auto" w:fill="B2B2B2"/>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Three and six months ended June 30, 2021 and 2020 (unaudited)</w:t>
              </w:r>
            </w:hyperlink>
          </w:p>
        </w:tc>
        <w:tc>
          <w:tcPr>
            <w:tcW w:w="660" w:type="dxa"/>
            <w:vAlign w:val="bottom"/>
            <w:gridSpan w:val="4"/>
            <w:shd w:val="clear" w:color="auto" w:fill="B2B2B2"/>
          </w:tcPr>
          <w:p>
            <w:pPr>
              <w:jc w:val="center"/>
              <w:ind w:left="390"/>
              <w:spacing w:after="0" w:line="195"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40" w:type="dxa"/>
            <w:vAlign w:val="bottom"/>
            <w:shd w:val="clear" w:color="auto" w:fill="B2B2B2"/>
          </w:tcPr>
          <w:p>
            <w:pPr>
              <w:spacing w:after="0"/>
              <w:rPr>
                <w:sz w:val="17"/>
                <w:szCs w:val="17"/>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B2B2B2"/>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26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680" w:type="dxa"/>
            <w:vAlign w:val="bottom"/>
            <w:tcBorders>
              <w:top w:val="single" w:sz="8" w:color="0000EE"/>
            </w:tcBorders>
            <w:shd w:val="clear" w:color="auto" w:fill="B2B2B2"/>
          </w:tcPr>
          <w:p>
            <w:pPr>
              <w:spacing w:after="0"/>
              <w:rPr>
                <w:sz w:val="21"/>
                <w:szCs w:val="21"/>
                <w:color w:val="auto"/>
              </w:rPr>
            </w:pPr>
          </w:p>
        </w:tc>
        <w:tc>
          <w:tcPr>
            <w:tcW w:w="20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12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740" w:type="dxa"/>
            <w:vAlign w:val="bottom"/>
            <w:tcBorders>
              <w:top w:val="single" w:sz="8" w:color="0000EE"/>
            </w:tcBorders>
            <w:shd w:val="clear" w:color="auto" w:fill="B2B2B2"/>
          </w:tcPr>
          <w:p>
            <w:pPr>
              <w:spacing w:after="0"/>
              <w:rPr>
                <w:sz w:val="21"/>
                <w:szCs w:val="21"/>
                <w:color w:val="auto"/>
              </w:rPr>
            </w:pPr>
          </w:p>
        </w:tc>
        <w:tc>
          <w:tcPr>
            <w:tcW w:w="1180" w:type="dxa"/>
            <w:vAlign w:val="bottom"/>
            <w:tcBorders>
              <w:top w:val="single" w:sz="8" w:color="B2B2B2"/>
            </w:tcBorders>
            <w:shd w:val="clear" w:color="auto" w:fill="B2B2B2"/>
          </w:tcPr>
          <w:p>
            <w:pPr>
              <w:spacing w:after="0"/>
              <w:rPr>
                <w:sz w:val="21"/>
                <w:szCs w:val="21"/>
                <w:color w:val="auto"/>
              </w:rPr>
            </w:pPr>
          </w:p>
        </w:tc>
        <w:tc>
          <w:tcPr>
            <w:tcW w:w="27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80" w:type="dxa"/>
            <w:vAlign w:val="bottom"/>
            <w:gridSpan w:val="16"/>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June 30, 2021 and 2020 (unaudited)</w:t>
              </w:r>
            </w:hyperlink>
          </w:p>
        </w:tc>
        <w:tc>
          <w:tcPr>
            <w:tcW w:w="660" w:type="dxa"/>
            <w:vAlign w:val="bottom"/>
            <w:gridSpan w:val="4"/>
          </w:tcPr>
          <w:p>
            <w:pPr>
              <w:jc w:val="center"/>
              <w:ind w:left="390"/>
              <w:spacing w:after="0" w:line="195"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40" w:type="dxa"/>
            <w:vAlign w:val="bottom"/>
          </w:tcPr>
          <w:p>
            <w:pPr>
              <w:spacing w:after="0"/>
              <w:rPr>
                <w:sz w:val="17"/>
                <w:szCs w:val="17"/>
                <w:color w:val="auto"/>
              </w:rPr>
            </w:pPr>
          </w:p>
        </w:tc>
      </w:tr>
      <w:tr>
        <w:trPr>
          <w:trHeight w:val="249"/>
        </w:trPr>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75"/>
        </w:trPr>
        <w:tc>
          <w:tcPr>
            <w:tcW w:w="280" w:type="dxa"/>
            <w:vAlign w:val="bottom"/>
            <w:shd w:val="clear" w:color="auto" w:fill="B2B2B2"/>
          </w:tcPr>
          <w:p>
            <w:pPr>
              <w:spacing w:after="0"/>
              <w:rPr>
                <w:sz w:val="15"/>
                <w:szCs w:val="15"/>
                <w:color w:val="auto"/>
              </w:rPr>
            </w:pPr>
          </w:p>
        </w:tc>
        <w:tc>
          <w:tcPr>
            <w:tcW w:w="500" w:type="dxa"/>
            <w:vAlign w:val="bottom"/>
            <w:shd w:val="clear" w:color="auto" w:fill="B2B2B2"/>
          </w:tcPr>
          <w:p>
            <w:pPr>
              <w:spacing w:after="0"/>
              <w:rPr>
                <w:sz w:val="15"/>
                <w:szCs w:val="15"/>
                <w:color w:val="auto"/>
              </w:rPr>
            </w:pPr>
          </w:p>
        </w:tc>
        <w:tc>
          <w:tcPr>
            <w:tcW w:w="300" w:type="dxa"/>
            <w:vAlign w:val="bottom"/>
            <w:tcBorders>
              <w:right w:val="single" w:sz="8" w:color="B2B2B2"/>
            </w:tcBorders>
            <w:shd w:val="clear" w:color="auto" w:fill="B2B2B2"/>
          </w:tcPr>
          <w:p>
            <w:pPr>
              <w:spacing w:after="0"/>
              <w:rPr>
                <w:sz w:val="15"/>
                <w:szCs w:val="15"/>
                <w:color w:val="auto"/>
              </w:rPr>
            </w:pPr>
          </w:p>
        </w:tc>
        <w:tc>
          <w:tcPr>
            <w:tcW w:w="9360" w:type="dxa"/>
            <w:vAlign w:val="bottom"/>
            <w:gridSpan w:val="17"/>
            <w:shd w:val="clear" w:color="auto" w:fill="B2B2B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w:t>
              </w:r>
            </w:hyperlink>
          </w:p>
        </w:tc>
        <w:tc>
          <w:tcPr>
            <w:tcW w:w="48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4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r>
      <w:tr>
        <w:trPr>
          <w:trHeight w:val="20"/>
        </w:trPr>
        <w:tc>
          <w:tcPr>
            <w:tcW w:w="280" w:type="dxa"/>
            <w:vAlign w:val="bottom"/>
            <w:shd w:val="clear" w:color="auto" w:fill="B2B2B2"/>
          </w:tcPr>
          <w:p>
            <w:pPr>
              <w:spacing w:after="0" w:line="20" w:lineRule="exact"/>
              <w:rPr>
                <w:sz w:val="1"/>
                <w:szCs w:val="1"/>
                <w:color w:val="auto"/>
              </w:rPr>
            </w:pPr>
          </w:p>
        </w:tc>
        <w:tc>
          <w:tcPr>
            <w:tcW w:w="500" w:type="dxa"/>
            <w:vAlign w:val="bottom"/>
            <w:shd w:val="clear" w:color="auto" w:fill="B2B2B2"/>
          </w:tcPr>
          <w:p>
            <w:pPr>
              <w:spacing w:after="0" w:line="20" w:lineRule="exact"/>
              <w:rPr>
                <w:sz w:val="1"/>
                <w:szCs w:val="1"/>
                <w:color w:val="auto"/>
              </w:rPr>
            </w:pPr>
          </w:p>
        </w:tc>
        <w:tc>
          <w:tcPr>
            <w:tcW w:w="300" w:type="dxa"/>
            <w:vAlign w:val="bottom"/>
            <w:tcBorders>
              <w:right w:val="single" w:sz="8" w:color="B2B2B2"/>
            </w:tcBorders>
            <w:shd w:val="clear" w:color="auto" w:fill="B2B2B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B2B2B2"/>
          </w:tcPr>
          <w:p>
            <w:pPr>
              <w:spacing w:after="0" w:line="20" w:lineRule="exact"/>
              <w:rPr>
                <w:sz w:val="1"/>
                <w:szCs w:val="1"/>
                <w:color w:val="auto"/>
              </w:rPr>
            </w:pPr>
          </w:p>
        </w:tc>
        <w:tc>
          <w:tcPr>
            <w:tcW w:w="2080" w:type="dxa"/>
            <w:vAlign w:val="bottom"/>
            <w:gridSpan w:val="3"/>
            <w:shd w:val="clear" w:color="auto" w:fill="B2B2B2"/>
          </w:tcPr>
          <w:p>
            <w:pPr>
              <w:spacing w:after="0" w:line="20" w:lineRule="exact"/>
              <w:rPr>
                <w:sz w:val="1"/>
                <w:szCs w:val="1"/>
                <w:color w:val="auto"/>
              </w:rPr>
            </w:pPr>
          </w:p>
        </w:tc>
        <w:tc>
          <w:tcPr>
            <w:tcW w:w="278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480" w:type="dxa"/>
            <w:vAlign w:val="bottom"/>
            <w:shd w:val="clear" w:color="auto" w:fill="B2B2B2"/>
          </w:tcPr>
          <w:p>
            <w:pPr>
              <w:spacing w:after="0" w:line="20" w:lineRule="exact"/>
              <w:rPr>
                <w:sz w:val="1"/>
                <w:szCs w:val="1"/>
                <w:color w:val="auto"/>
              </w:rPr>
            </w:pPr>
          </w:p>
        </w:tc>
        <w:tc>
          <w:tcPr>
            <w:tcW w:w="180" w:type="dxa"/>
            <w:vAlign w:val="bottom"/>
            <w:gridSpan w:val="3"/>
            <w:shd w:val="clear" w:color="auto" w:fill="B2B2B2"/>
          </w:tcPr>
          <w:p>
            <w:pPr>
              <w:spacing w:after="0" w:line="20" w:lineRule="exact"/>
              <w:rPr>
                <w:sz w:val="1"/>
                <w:szCs w:val="1"/>
                <w:color w:val="auto"/>
              </w:rPr>
            </w:pPr>
          </w:p>
        </w:tc>
        <w:tc>
          <w:tcPr>
            <w:tcW w:w="140" w:type="dxa"/>
            <w:vAlign w:val="bottom"/>
            <w:shd w:val="clear" w:color="auto" w:fill="B2B2B2"/>
          </w:tcPr>
          <w:p>
            <w:pPr>
              <w:spacing w:after="0" w:line="20" w:lineRule="exact"/>
              <w:rPr>
                <w:sz w:val="1"/>
                <w:szCs w:val="1"/>
                <w:color w:val="auto"/>
              </w:rPr>
            </w:pPr>
          </w:p>
        </w:tc>
      </w:tr>
      <w:tr>
        <w:trPr>
          <w:trHeight w:val="195"/>
        </w:trPr>
        <w:tc>
          <w:tcPr>
            <w:tcW w:w="280" w:type="dxa"/>
            <w:vAlign w:val="bottom"/>
            <w:shd w:val="clear" w:color="auto" w:fill="B2B2B2"/>
          </w:tcPr>
          <w:p>
            <w:pPr>
              <w:spacing w:after="0"/>
              <w:rPr>
                <w:sz w:val="17"/>
                <w:szCs w:val="17"/>
                <w:color w:val="auto"/>
              </w:rPr>
            </w:pPr>
          </w:p>
        </w:tc>
        <w:tc>
          <w:tcPr>
            <w:tcW w:w="500" w:type="dxa"/>
            <w:vAlign w:val="bottom"/>
            <w:shd w:val="clear" w:color="auto" w:fill="B2B2B2"/>
          </w:tcPr>
          <w:p>
            <w:pPr>
              <w:spacing w:after="0"/>
              <w:rPr>
                <w:sz w:val="17"/>
                <w:szCs w:val="17"/>
                <w:color w:val="auto"/>
              </w:rPr>
            </w:pPr>
          </w:p>
        </w:tc>
        <w:tc>
          <w:tcPr>
            <w:tcW w:w="300" w:type="dxa"/>
            <w:vAlign w:val="bottom"/>
            <w:tcBorders>
              <w:right w:val="single" w:sz="8" w:color="B2B2B2"/>
            </w:tcBorders>
            <w:shd w:val="clear" w:color="auto" w:fill="B2B2B2"/>
          </w:tcPr>
          <w:p>
            <w:pPr>
              <w:spacing w:after="0"/>
              <w:rPr>
                <w:sz w:val="17"/>
                <w:szCs w:val="17"/>
                <w:color w:val="auto"/>
              </w:rPr>
            </w:pPr>
          </w:p>
        </w:tc>
        <w:tc>
          <w:tcPr>
            <w:tcW w:w="280" w:type="dxa"/>
            <w:vAlign w:val="bottom"/>
            <w:shd w:val="clear" w:color="auto" w:fill="B2B2B2"/>
          </w:tcPr>
          <w:p>
            <w:pPr>
              <w:spacing w:after="0"/>
              <w:rPr>
                <w:sz w:val="17"/>
                <w:szCs w:val="17"/>
                <w:color w:val="auto"/>
              </w:rPr>
            </w:pPr>
          </w:p>
        </w:tc>
        <w:tc>
          <w:tcPr>
            <w:tcW w:w="9080" w:type="dxa"/>
            <w:vAlign w:val="bottom"/>
            <w:gridSpan w:val="16"/>
            <w:shd w:val="clear" w:color="auto" w:fill="B2B2B2"/>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Three and six months ended June 30, 2021 and 2020 (unaudited)</w:t>
              </w:r>
            </w:hyperlink>
          </w:p>
        </w:tc>
        <w:tc>
          <w:tcPr>
            <w:tcW w:w="660" w:type="dxa"/>
            <w:vAlign w:val="bottom"/>
            <w:gridSpan w:val="4"/>
            <w:shd w:val="clear" w:color="auto" w:fill="B2B2B2"/>
          </w:tcPr>
          <w:p>
            <w:pPr>
              <w:jc w:val="center"/>
              <w:ind w:left="390"/>
              <w:spacing w:after="0" w:line="195"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40" w:type="dxa"/>
            <w:vAlign w:val="bottom"/>
            <w:shd w:val="clear" w:color="auto" w:fill="B2B2B2"/>
          </w:tcPr>
          <w:p>
            <w:pPr>
              <w:spacing w:after="0"/>
              <w:rPr>
                <w:sz w:val="17"/>
                <w:szCs w:val="17"/>
                <w:color w:val="auto"/>
              </w:rPr>
            </w:pPr>
          </w:p>
        </w:tc>
      </w:tr>
      <w:tr>
        <w:trPr>
          <w:trHeight w:val="249"/>
        </w:trPr>
        <w:tc>
          <w:tcPr>
            <w:tcW w:w="280" w:type="dxa"/>
            <w:vAlign w:val="bottom"/>
            <w:tcBorders>
              <w:top w:val="single" w:sz="8" w:color="B2B2B2"/>
            </w:tcBorders>
            <w:shd w:val="clear" w:color="auto" w:fill="B2B2B2"/>
          </w:tcPr>
          <w:p>
            <w:pPr>
              <w:spacing w:after="0"/>
              <w:rPr>
                <w:sz w:val="21"/>
                <w:szCs w:val="21"/>
                <w:color w:val="auto"/>
              </w:rPr>
            </w:pPr>
          </w:p>
        </w:tc>
        <w:tc>
          <w:tcPr>
            <w:tcW w:w="500" w:type="dxa"/>
            <w:vAlign w:val="bottom"/>
            <w:tcBorders>
              <w:top w:val="single" w:sz="8" w:color="B2B2B2"/>
            </w:tcBorders>
            <w:shd w:val="clear" w:color="auto" w:fill="B2B2B2"/>
          </w:tcPr>
          <w:p>
            <w:pPr>
              <w:spacing w:after="0"/>
              <w:rPr>
                <w:sz w:val="21"/>
                <w:szCs w:val="21"/>
                <w:color w:val="auto"/>
              </w:rPr>
            </w:pPr>
          </w:p>
        </w:tc>
        <w:tc>
          <w:tcPr>
            <w:tcW w:w="300" w:type="dxa"/>
            <w:vAlign w:val="bottom"/>
            <w:tcBorders>
              <w:top w:val="single" w:sz="8" w:color="B2B2B2"/>
              <w:right w:val="single" w:sz="8" w:color="B2B2B2"/>
            </w:tcBorders>
            <w:shd w:val="clear" w:color="auto" w:fill="B2B2B2"/>
          </w:tcPr>
          <w:p>
            <w:pPr>
              <w:spacing w:after="0"/>
              <w:rPr>
                <w:sz w:val="21"/>
                <w:szCs w:val="21"/>
                <w:color w:val="auto"/>
              </w:rPr>
            </w:pPr>
          </w:p>
        </w:tc>
        <w:tc>
          <w:tcPr>
            <w:tcW w:w="280" w:type="dxa"/>
            <w:vAlign w:val="bottom"/>
            <w:tcBorders>
              <w:top w:val="single" w:sz="8" w:color="B2B2B2"/>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1780" w:type="dxa"/>
            <w:vAlign w:val="bottom"/>
            <w:tcBorders>
              <w:top w:val="single" w:sz="8" w:color="0000EE"/>
            </w:tcBorders>
            <w:shd w:val="clear" w:color="auto" w:fill="B2B2B2"/>
          </w:tcPr>
          <w:p>
            <w:pPr>
              <w:spacing w:after="0"/>
              <w:rPr>
                <w:sz w:val="21"/>
                <w:szCs w:val="21"/>
                <w:color w:val="auto"/>
              </w:rPr>
            </w:pPr>
          </w:p>
        </w:tc>
        <w:tc>
          <w:tcPr>
            <w:tcW w:w="6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260" w:type="dxa"/>
            <w:vAlign w:val="bottom"/>
            <w:tcBorders>
              <w:top w:val="single" w:sz="8" w:color="0000EE"/>
            </w:tcBorders>
            <w:shd w:val="clear" w:color="auto" w:fill="B2B2B2"/>
          </w:tcPr>
          <w:p>
            <w:pPr>
              <w:spacing w:after="0"/>
              <w:rPr>
                <w:sz w:val="21"/>
                <w:szCs w:val="21"/>
                <w:color w:val="auto"/>
              </w:rPr>
            </w:pPr>
          </w:p>
        </w:tc>
        <w:tc>
          <w:tcPr>
            <w:tcW w:w="20" w:type="dxa"/>
            <w:vAlign w:val="bottom"/>
            <w:tcBorders>
              <w:top w:val="single" w:sz="8" w:color="0000EE"/>
            </w:tcBorders>
            <w:shd w:val="clear" w:color="auto" w:fill="B2B2B2"/>
          </w:tcPr>
          <w:p>
            <w:pPr>
              <w:spacing w:after="0"/>
              <w:rPr>
                <w:sz w:val="21"/>
                <w:szCs w:val="21"/>
                <w:color w:val="auto"/>
              </w:rPr>
            </w:pPr>
          </w:p>
        </w:tc>
        <w:tc>
          <w:tcPr>
            <w:tcW w:w="280" w:type="dxa"/>
            <w:vAlign w:val="bottom"/>
            <w:tcBorders>
              <w:top w:val="single" w:sz="8" w:color="0000EE"/>
            </w:tcBorders>
            <w:shd w:val="clear" w:color="auto" w:fill="B2B2B2"/>
          </w:tcPr>
          <w:p>
            <w:pPr>
              <w:spacing w:after="0"/>
              <w:rPr>
                <w:sz w:val="21"/>
                <w:szCs w:val="21"/>
                <w:color w:val="auto"/>
              </w:rPr>
            </w:pPr>
          </w:p>
        </w:tc>
        <w:tc>
          <w:tcPr>
            <w:tcW w:w="680" w:type="dxa"/>
            <w:vAlign w:val="bottom"/>
            <w:tcBorders>
              <w:top w:val="single" w:sz="8" w:color="0000EE"/>
            </w:tcBorders>
            <w:shd w:val="clear" w:color="auto" w:fill="B2B2B2"/>
          </w:tcPr>
          <w:p>
            <w:pPr>
              <w:spacing w:after="0"/>
              <w:rPr>
                <w:sz w:val="21"/>
                <w:szCs w:val="21"/>
                <w:color w:val="auto"/>
              </w:rPr>
            </w:pPr>
          </w:p>
        </w:tc>
        <w:tc>
          <w:tcPr>
            <w:tcW w:w="20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120" w:type="dxa"/>
            <w:vAlign w:val="bottom"/>
            <w:tcBorders>
              <w:top w:val="single" w:sz="8" w:color="0000EE"/>
            </w:tcBorders>
            <w:shd w:val="clear" w:color="auto" w:fill="B2B2B2"/>
          </w:tcPr>
          <w:p>
            <w:pPr>
              <w:spacing w:after="0"/>
              <w:rPr>
                <w:sz w:val="21"/>
                <w:szCs w:val="21"/>
                <w:color w:val="auto"/>
              </w:rPr>
            </w:pPr>
          </w:p>
        </w:tc>
        <w:tc>
          <w:tcPr>
            <w:tcW w:w="160" w:type="dxa"/>
            <w:vAlign w:val="bottom"/>
            <w:tcBorders>
              <w:top w:val="single" w:sz="8" w:color="0000EE"/>
            </w:tcBorders>
            <w:shd w:val="clear" w:color="auto" w:fill="B2B2B2"/>
          </w:tcPr>
          <w:p>
            <w:pPr>
              <w:spacing w:after="0"/>
              <w:rPr>
                <w:sz w:val="21"/>
                <w:szCs w:val="21"/>
                <w:color w:val="auto"/>
              </w:rPr>
            </w:pPr>
          </w:p>
        </w:tc>
        <w:tc>
          <w:tcPr>
            <w:tcW w:w="740" w:type="dxa"/>
            <w:vAlign w:val="bottom"/>
            <w:tcBorders>
              <w:top w:val="single" w:sz="8" w:color="0000EE"/>
            </w:tcBorders>
            <w:shd w:val="clear" w:color="auto" w:fill="B2B2B2"/>
          </w:tcPr>
          <w:p>
            <w:pPr>
              <w:spacing w:after="0"/>
              <w:rPr>
                <w:sz w:val="21"/>
                <w:szCs w:val="21"/>
                <w:color w:val="auto"/>
              </w:rPr>
            </w:pPr>
          </w:p>
        </w:tc>
        <w:tc>
          <w:tcPr>
            <w:tcW w:w="1180" w:type="dxa"/>
            <w:vAlign w:val="bottom"/>
            <w:tcBorders>
              <w:top w:val="single" w:sz="8" w:color="B2B2B2"/>
            </w:tcBorders>
            <w:shd w:val="clear" w:color="auto" w:fill="B2B2B2"/>
          </w:tcPr>
          <w:p>
            <w:pPr>
              <w:spacing w:after="0"/>
              <w:rPr>
                <w:sz w:val="21"/>
                <w:szCs w:val="21"/>
                <w:color w:val="auto"/>
              </w:rPr>
            </w:pPr>
          </w:p>
        </w:tc>
        <w:tc>
          <w:tcPr>
            <w:tcW w:w="27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80" w:type="dxa"/>
            <w:vAlign w:val="bottom"/>
            <w:tcBorders>
              <w:top w:val="single" w:sz="8" w:color="B2B2B2"/>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00" w:type="dxa"/>
            <w:vAlign w:val="bottom"/>
            <w:tcBorders>
              <w:top w:val="single" w:sz="8" w:color="0000EE"/>
            </w:tcBorders>
            <w:shd w:val="clear" w:color="auto" w:fill="B2B2B2"/>
          </w:tcPr>
          <w:p>
            <w:pPr>
              <w:spacing w:after="0"/>
              <w:rPr>
                <w:sz w:val="21"/>
                <w:szCs w:val="21"/>
                <w:color w:val="auto"/>
              </w:rPr>
            </w:pPr>
          </w:p>
        </w:tc>
        <w:tc>
          <w:tcPr>
            <w:tcW w:w="40" w:type="dxa"/>
            <w:vAlign w:val="bottom"/>
            <w:tcBorders>
              <w:top w:val="single" w:sz="8" w:color="B2B2B2"/>
            </w:tcBorders>
            <w:shd w:val="clear" w:color="auto" w:fill="B2B2B2"/>
          </w:tcPr>
          <w:p>
            <w:pPr>
              <w:spacing w:after="0"/>
              <w:rPr>
                <w:sz w:val="21"/>
                <w:szCs w:val="21"/>
                <w:color w:val="auto"/>
              </w:rPr>
            </w:pPr>
          </w:p>
        </w:tc>
        <w:tc>
          <w:tcPr>
            <w:tcW w:w="140" w:type="dxa"/>
            <w:vAlign w:val="bottom"/>
            <w:tcBorders>
              <w:top w:val="single" w:sz="8" w:color="B2B2B2"/>
            </w:tcBorders>
            <w:shd w:val="clear" w:color="auto" w:fill="B2B2B2"/>
          </w:tcPr>
          <w:p>
            <w:pPr>
              <w:spacing w:after="0"/>
              <w:rPr>
                <w:sz w:val="21"/>
                <w:szCs w:val="21"/>
                <w:color w:val="auto"/>
              </w:rPr>
            </w:pP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60" w:type="dxa"/>
            <w:vAlign w:val="bottom"/>
            <w:gridSpan w:val="1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40" w:type="dxa"/>
            <w:vAlign w:val="bottom"/>
          </w:tcPr>
          <w:p>
            <w:pPr>
              <w:spacing w:after="0"/>
              <w:rPr>
                <w:sz w:val="15"/>
                <w:szCs w:val="15"/>
                <w:color w:val="auto"/>
              </w:rPr>
            </w:pPr>
          </w:p>
        </w:tc>
      </w:tr>
      <w:tr>
        <w:trPr>
          <w:trHeight w:val="249"/>
        </w:trPr>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7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75"/>
        </w:trPr>
        <w:tc>
          <w:tcPr>
            <w:tcW w:w="280" w:type="dxa"/>
            <w:vAlign w:val="bottom"/>
            <w:shd w:val="clear" w:color="auto" w:fill="B2B2B2"/>
          </w:tcPr>
          <w:p>
            <w:pPr>
              <w:spacing w:after="0"/>
              <w:rPr>
                <w:sz w:val="15"/>
                <w:szCs w:val="15"/>
                <w:color w:val="auto"/>
              </w:rPr>
            </w:pPr>
          </w:p>
        </w:tc>
        <w:tc>
          <w:tcPr>
            <w:tcW w:w="800" w:type="dxa"/>
            <w:vAlign w:val="bottom"/>
            <w:tcBorders>
              <w:right w:val="single" w:sz="8" w:color="B2B2B2"/>
            </w:tcBorders>
            <w:gridSpan w:val="2"/>
            <w:shd w:val="clear" w:color="auto" w:fill="B2B2B2"/>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360" w:type="dxa"/>
            <w:vAlign w:val="bottom"/>
            <w:gridSpan w:val="17"/>
            <w:shd w:val="clear" w:color="auto" w:fill="B2B2B2"/>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5"/>
            <w:shd w:val="clear" w:color="auto" w:fill="B2B2B2"/>
          </w:tcPr>
          <w:p>
            <w:pPr>
              <w:jc w:val="center"/>
              <w:ind w:left="25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r>
      <w:tr>
        <w:trPr>
          <w:trHeight w:val="263"/>
        </w:trPr>
        <w:tc>
          <w:tcPr>
            <w:tcW w:w="280" w:type="dxa"/>
            <w:vAlign w:val="bottom"/>
            <w:tcBorders>
              <w:top w:val="single" w:sz="8" w:color="B2B2B2"/>
            </w:tcBorders>
            <w:shd w:val="clear" w:color="auto" w:fill="B2B2B2"/>
          </w:tcPr>
          <w:p>
            <w:pPr>
              <w:spacing w:after="0"/>
              <w:rPr>
                <w:sz w:val="22"/>
                <w:szCs w:val="22"/>
                <w:color w:val="auto"/>
              </w:rPr>
            </w:pPr>
          </w:p>
        </w:tc>
        <w:tc>
          <w:tcPr>
            <w:tcW w:w="500" w:type="dxa"/>
            <w:vAlign w:val="bottom"/>
            <w:tcBorders>
              <w:top w:val="single" w:sz="8" w:color="0000EE"/>
            </w:tcBorders>
            <w:shd w:val="clear" w:color="auto" w:fill="B2B2B2"/>
          </w:tcPr>
          <w:p>
            <w:pPr>
              <w:spacing w:after="0"/>
              <w:rPr>
                <w:sz w:val="22"/>
                <w:szCs w:val="22"/>
                <w:color w:val="auto"/>
              </w:rPr>
            </w:pPr>
          </w:p>
        </w:tc>
        <w:tc>
          <w:tcPr>
            <w:tcW w:w="300" w:type="dxa"/>
            <w:vAlign w:val="bottom"/>
            <w:tcBorders>
              <w:top w:val="single" w:sz="8" w:color="B2B2B2"/>
              <w:right w:val="single" w:sz="8" w:color="B2B2B2"/>
            </w:tcBorders>
            <w:shd w:val="clear" w:color="auto" w:fill="B2B2B2"/>
          </w:tcPr>
          <w:p>
            <w:pPr>
              <w:spacing w:after="0"/>
              <w:rPr>
                <w:sz w:val="22"/>
                <w:szCs w:val="22"/>
                <w:color w:val="auto"/>
              </w:rPr>
            </w:pPr>
          </w:p>
        </w:tc>
        <w:tc>
          <w:tcPr>
            <w:tcW w:w="280" w:type="dxa"/>
            <w:vAlign w:val="bottom"/>
            <w:tcBorders>
              <w:top w:val="single" w:sz="8" w:color="0000EE"/>
            </w:tcBorders>
            <w:shd w:val="clear" w:color="auto" w:fill="B2B2B2"/>
          </w:tcPr>
          <w:p>
            <w:pPr>
              <w:spacing w:after="0"/>
              <w:rPr>
                <w:sz w:val="22"/>
                <w:szCs w:val="22"/>
                <w:color w:val="auto"/>
              </w:rPr>
            </w:pPr>
          </w:p>
        </w:tc>
        <w:tc>
          <w:tcPr>
            <w:tcW w:w="20" w:type="dxa"/>
            <w:vAlign w:val="bottom"/>
            <w:tcBorders>
              <w:top w:val="single" w:sz="8" w:color="0000EE"/>
            </w:tcBorders>
            <w:shd w:val="clear" w:color="auto" w:fill="B2B2B2"/>
          </w:tcPr>
          <w:p>
            <w:pPr>
              <w:spacing w:after="0"/>
              <w:rPr>
                <w:sz w:val="22"/>
                <w:szCs w:val="22"/>
                <w:color w:val="auto"/>
              </w:rPr>
            </w:pPr>
          </w:p>
        </w:tc>
        <w:tc>
          <w:tcPr>
            <w:tcW w:w="1780" w:type="dxa"/>
            <w:vAlign w:val="bottom"/>
            <w:tcBorders>
              <w:top w:val="single" w:sz="8" w:color="0000EE"/>
            </w:tcBorders>
            <w:shd w:val="clear" w:color="auto" w:fill="B2B2B2"/>
          </w:tcPr>
          <w:p>
            <w:pPr>
              <w:spacing w:after="0"/>
              <w:rPr>
                <w:sz w:val="22"/>
                <w:szCs w:val="22"/>
                <w:color w:val="auto"/>
              </w:rPr>
            </w:pPr>
          </w:p>
        </w:tc>
        <w:tc>
          <w:tcPr>
            <w:tcW w:w="60" w:type="dxa"/>
            <w:vAlign w:val="bottom"/>
            <w:tcBorders>
              <w:top w:val="single" w:sz="8" w:color="0000EE"/>
            </w:tcBorders>
            <w:shd w:val="clear" w:color="auto" w:fill="B2B2B2"/>
          </w:tcPr>
          <w:p>
            <w:pPr>
              <w:spacing w:after="0"/>
              <w:rPr>
                <w:sz w:val="22"/>
                <w:szCs w:val="22"/>
                <w:color w:val="auto"/>
              </w:rPr>
            </w:pPr>
          </w:p>
        </w:tc>
        <w:tc>
          <w:tcPr>
            <w:tcW w:w="160" w:type="dxa"/>
            <w:vAlign w:val="bottom"/>
            <w:tcBorders>
              <w:top w:val="single" w:sz="8" w:color="0000EE"/>
            </w:tcBorders>
            <w:shd w:val="clear" w:color="auto" w:fill="B2B2B2"/>
          </w:tcPr>
          <w:p>
            <w:pPr>
              <w:spacing w:after="0"/>
              <w:rPr>
                <w:sz w:val="22"/>
                <w:szCs w:val="22"/>
                <w:color w:val="auto"/>
              </w:rPr>
            </w:pPr>
          </w:p>
        </w:tc>
        <w:tc>
          <w:tcPr>
            <w:tcW w:w="260" w:type="dxa"/>
            <w:vAlign w:val="bottom"/>
            <w:tcBorders>
              <w:top w:val="single" w:sz="8" w:color="0000EE"/>
            </w:tcBorders>
            <w:shd w:val="clear" w:color="auto" w:fill="B2B2B2"/>
          </w:tcPr>
          <w:p>
            <w:pPr>
              <w:spacing w:after="0"/>
              <w:rPr>
                <w:sz w:val="22"/>
                <w:szCs w:val="22"/>
                <w:color w:val="auto"/>
              </w:rPr>
            </w:pPr>
          </w:p>
        </w:tc>
        <w:tc>
          <w:tcPr>
            <w:tcW w:w="20" w:type="dxa"/>
            <w:vAlign w:val="bottom"/>
            <w:tcBorders>
              <w:top w:val="single" w:sz="8" w:color="0000EE"/>
            </w:tcBorders>
            <w:shd w:val="clear" w:color="auto" w:fill="B2B2B2"/>
          </w:tcPr>
          <w:p>
            <w:pPr>
              <w:spacing w:after="0"/>
              <w:rPr>
                <w:sz w:val="22"/>
                <w:szCs w:val="22"/>
                <w:color w:val="auto"/>
              </w:rPr>
            </w:pPr>
          </w:p>
        </w:tc>
        <w:tc>
          <w:tcPr>
            <w:tcW w:w="280" w:type="dxa"/>
            <w:vAlign w:val="bottom"/>
            <w:tcBorders>
              <w:top w:val="single" w:sz="8" w:color="0000EE"/>
            </w:tcBorders>
            <w:shd w:val="clear" w:color="auto" w:fill="B2B2B2"/>
          </w:tcPr>
          <w:p>
            <w:pPr>
              <w:spacing w:after="0"/>
              <w:rPr>
                <w:sz w:val="22"/>
                <w:szCs w:val="22"/>
                <w:color w:val="auto"/>
              </w:rPr>
            </w:pPr>
          </w:p>
        </w:tc>
        <w:tc>
          <w:tcPr>
            <w:tcW w:w="680" w:type="dxa"/>
            <w:vAlign w:val="bottom"/>
            <w:tcBorders>
              <w:top w:val="single" w:sz="8" w:color="0000EE"/>
            </w:tcBorders>
            <w:shd w:val="clear" w:color="auto" w:fill="B2B2B2"/>
          </w:tcPr>
          <w:p>
            <w:pPr>
              <w:spacing w:after="0"/>
              <w:rPr>
                <w:sz w:val="22"/>
                <w:szCs w:val="22"/>
                <w:color w:val="auto"/>
              </w:rPr>
            </w:pPr>
          </w:p>
        </w:tc>
        <w:tc>
          <w:tcPr>
            <w:tcW w:w="200" w:type="dxa"/>
            <w:vAlign w:val="bottom"/>
            <w:tcBorders>
              <w:top w:val="single" w:sz="8" w:color="0000EE"/>
            </w:tcBorders>
            <w:shd w:val="clear" w:color="auto" w:fill="B2B2B2"/>
          </w:tcPr>
          <w:p>
            <w:pPr>
              <w:spacing w:after="0"/>
              <w:rPr>
                <w:sz w:val="22"/>
                <w:szCs w:val="22"/>
                <w:color w:val="auto"/>
              </w:rPr>
            </w:pPr>
          </w:p>
        </w:tc>
        <w:tc>
          <w:tcPr>
            <w:tcW w:w="160" w:type="dxa"/>
            <w:vAlign w:val="bottom"/>
            <w:tcBorders>
              <w:top w:val="single" w:sz="8" w:color="0000EE"/>
            </w:tcBorders>
            <w:shd w:val="clear" w:color="auto" w:fill="B2B2B2"/>
          </w:tcPr>
          <w:p>
            <w:pPr>
              <w:spacing w:after="0"/>
              <w:rPr>
                <w:sz w:val="22"/>
                <w:szCs w:val="22"/>
                <w:color w:val="auto"/>
              </w:rPr>
            </w:pPr>
          </w:p>
        </w:tc>
        <w:tc>
          <w:tcPr>
            <w:tcW w:w="120" w:type="dxa"/>
            <w:vAlign w:val="bottom"/>
            <w:tcBorders>
              <w:top w:val="single" w:sz="8" w:color="0000EE"/>
            </w:tcBorders>
            <w:shd w:val="clear" w:color="auto" w:fill="B2B2B2"/>
          </w:tcPr>
          <w:p>
            <w:pPr>
              <w:spacing w:after="0"/>
              <w:rPr>
                <w:sz w:val="22"/>
                <w:szCs w:val="22"/>
                <w:color w:val="auto"/>
              </w:rPr>
            </w:pPr>
          </w:p>
        </w:tc>
        <w:tc>
          <w:tcPr>
            <w:tcW w:w="160" w:type="dxa"/>
            <w:vAlign w:val="bottom"/>
            <w:tcBorders>
              <w:top w:val="single" w:sz="8" w:color="0000EE"/>
            </w:tcBorders>
            <w:shd w:val="clear" w:color="auto" w:fill="B2B2B2"/>
          </w:tcPr>
          <w:p>
            <w:pPr>
              <w:spacing w:after="0"/>
              <w:rPr>
                <w:sz w:val="22"/>
                <w:szCs w:val="22"/>
                <w:color w:val="auto"/>
              </w:rPr>
            </w:pPr>
          </w:p>
        </w:tc>
        <w:tc>
          <w:tcPr>
            <w:tcW w:w="740" w:type="dxa"/>
            <w:vAlign w:val="bottom"/>
            <w:tcBorders>
              <w:top w:val="single" w:sz="8" w:color="0000EE"/>
            </w:tcBorders>
            <w:shd w:val="clear" w:color="auto" w:fill="B2B2B2"/>
          </w:tcPr>
          <w:p>
            <w:pPr>
              <w:spacing w:after="0"/>
              <w:rPr>
                <w:sz w:val="22"/>
                <w:szCs w:val="22"/>
                <w:color w:val="auto"/>
              </w:rPr>
            </w:pPr>
          </w:p>
        </w:tc>
        <w:tc>
          <w:tcPr>
            <w:tcW w:w="1180" w:type="dxa"/>
            <w:vAlign w:val="bottom"/>
            <w:tcBorders>
              <w:top w:val="single" w:sz="8" w:color="0000EE"/>
            </w:tcBorders>
            <w:shd w:val="clear" w:color="auto" w:fill="B2B2B2"/>
          </w:tcPr>
          <w:p>
            <w:pPr>
              <w:spacing w:after="0"/>
              <w:rPr>
                <w:sz w:val="22"/>
                <w:szCs w:val="22"/>
                <w:color w:val="auto"/>
              </w:rPr>
            </w:pPr>
          </w:p>
        </w:tc>
        <w:tc>
          <w:tcPr>
            <w:tcW w:w="2780" w:type="dxa"/>
            <w:vAlign w:val="bottom"/>
            <w:tcBorders>
              <w:top w:val="single" w:sz="8" w:color="0000EE"/>
            </w:tcBorders>
            <w:shd w:val="clear" w:color="auto" w:fill="B2B2B2"/>
          </w:tcPr>
          <w:p>
            <w:pPr>
              <w:spacing w:after="0"/>
              <w:rPr>
                <w:sz w:val="22"/>
                <w:szCs w:val="22"/>
                <w:color w:val="auto"/>
              </w:rPr>
            </w:pPr>
          </w:p>
        </w:tc>
        <w:tc>
          <w:tcPr>
            <w:tcW w:w="480" w:type="dxa"/>
            <w:vAlign w:val="bottom"/>
            <w:tcBorders>
              <w:top w:val="single" w:sz="8" w:color="B2B2B2"/>
            </w:tcBorders>
            <w:shd w:val="clear" w:color="auto" w:fill="B2B2B2"/>
          </w:tcPr>
          <w:p>
            <w:pPr>
              <w:spacing w:after="0"/>
              <w:rPr>
                <w:sz w:val="22"/>
                <w:szCs w:val="22"/>
                <w:color w:val="auto"/>
              </w:rPr>
            </w:pPr>
          </w:p>
        </w:tc>
        <w:tc>
          <w:tcPr>
            <w:tcW w:w="480" w:type="dxa"/>
            <w:vAlign w:val="bottom"/>
            <w:tcBorders>
              <w:top w:val="single" w:sz="8" w:color="B2B2B2"/>
            </w:tcBorders>
            <w:shd w:val="clear" w:color="auto" w:fill="B2B2B2"/>
          </w:tcPr>
          <w:p>
            <w:pPr>
              <w:spacing w:after="0"/>
              <w:rPr>
                <w:sz w:val="22"/>
                <w:szCs w:val="22"/>
                <w:color w:val="auto"/>
              </w:rPr>
            </w:pPr>
          </w:p>
        </w:tc>
        <w:tc>
          <w:tcPr>
            <w:tcW w:w="40" w:type="dxa"/>
            <w:vAlign w:val="bottom"/>
            <w:tcBorders>
              <w:top w:val="single" w:sz="8" w:color="0000EE"/>
            </w:tcBorders>
            <w:shd w:val="clear" w:color="auto" w:fill="B2B2B2"/>
          </w:tcPr>
          <w:p>
            <w:pPr>
              <w:spacing w:after="0"/>
              <w:rPr>
                <w:sz w:val="22"/>
                <w:szCs w:val="22"/>
                <w:color w:val="auto"/>
              </w:rPr>
            </w:pPr>
          </w:p>
        </w:tc>
        <w:tc>
          <w:tcPr>
            <w:tcW w:w="100" w:type="dxa"/>
            <w:vAlign w:val="bottom"/>
            <w:tcBorders>
              <w:top w:val="single" w:sz="8" w:color="0000EE"/>
            </w:tcBorders>
            <w:shd w:val="clear" w:color="auto" w:fill="B2B2B2"/>
          </w:tcPr>
          <w:p>
            <w:pPr>
              <w:spacing w:after="0"/>
              <w:rPr>
                <w:sz w:val="22"/>
                <w:szCs w:val="22"/>
                <w:color w:val="auto"/>
              </w:rPr>
            </w:pPr>
          </w:p>
        </w:tc>
        <w:tc>
          <w:tcPr>
            <w:tcW w:w="40" w:type="dxa"/>
            <w:vAlign w:val="bottom"/>
            <w:tcBorders>
              <w:top w:val="single" w:sz="8" w:color="0000EE"/>
            </w:tcBorders>
            <w:shd w:val="clear" w:color="auto" w:fill="B2B2B2"/>
          </w:tcPr>
          <w:p>
            <w:pPr>
              <w:spacing w:after="0"/>
              <w:rPr>
                <w:sz w:val="22"/>
                <w:szCs w:val="22"/>
                <w:color w:val="auto"/>
              </w:rPr>
            </w:pPr>
          </w:p>
        </w:tc>
        <w:tc>
          <w:tcPr>
            <w:tcW w:w="140" w:type="dxa"/>
            <w:vAlign w:val="bottom"/>
            <w:tcBorders>
              <w:top w:val="single" w:sz="8" w:color="B2B2B2"/>
            </w:tcBorders>
            <w:shd w:val="clear" w:color="auto" w:fill="B2B2B2"/>
          </w:tcPr>
          <w:p>
            <w:pPr>
              <w:spacing w:after="0"/>
              <w:rPr>
                <w:sz w:val="22"/>
                <w:szCs w:val="22"/>
                <w:color w:val="auto"/>
              </w:rPr>
            </w:pPr>
          </w:p>
        </w:tc>
      </w:tr>
      <w:tr>
        <w:trPr>
          <w:trHeight w:val="175"/>
        </w:trPr>
        <w:tc>
          <w:tcPr>
            <w:tcW w:w="280" w:type="dxa"/>
            <w:vAlign w:val="bottom"/>
          </w:tcPr>
          <w:p>
            <w:pPr>
              <w:spacing w:after="0"/>
              <w:rPr>
                <w:sz w:val="15"/>
                <w:szCs w:val="15"/>
                <w:color w:val="auto"/>
              </w:rPr>
            </w:pPr>
          </w:p>
        </w:tc>
        <w:tc>
          <w:tcPr>
            <w:tcW w:w="800" w:type="dxa"/>
            <w:vAlign w:val="bottom"/>
            <w:gridSpan w:val="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360" w:type="dxa"/>
            <w:vAlign w:val="bottom"/>
            <w:gridSpan w:val="1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center"/>
              <w:ind w:left="25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63"/>
        </w:trPr>
        <w:tc>
          <w:tcPr>
            <w:tcW w:w="280" w:type="dxa"/>
            <w:vAlign w:val="bottom"/>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7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68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740" w:type="dxa"/>
            <w:vAlign w:val="bottom"/>
            <w:tcBorders>
              <w:top w:val="single" w:sz="8" w:color="0000EE"/>
            </w:tcBorders>
          </w:tcPr>
          <w:p>
            <w:pPr>
              <w:spacing w:after="0"/>
              <w:rPr>
                <w:sz w:val="22"/>
                <w:szCs w:val="22"/>
                <w:color w:val="auto"/>
              </w:rPr>
            </w:pPr>
          </w:p>
        </w:tc>
        <w:tc>
          <w:tcPr>
            <w:tcW w:w="1180" w:type="dxa"/>
            <w:vAlign w:val="bottom"/>
            <w:tcBorders>
              <w:top w:val="single" w:sz="8" w:color="0000EE"/>
            </w:tcBorders>
          </w:tcPr>
          <w:p>
            <w:pPr>
              <w:spacing w:after="0"/>
              <w:rPr>
                <w:sz w:val="22"/>
                <w:szCs w:val="22"/>
                <w:color w:val="auto"/>
              </w:rPr>
            </w:pPr>
          </w:p>
        </w:tc>
        <w:tc>
          <w:tcPr>
            <w:tcW w:w="2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r>
      <w:tr>
        <w:trPr>
          <w:trHeight w:val="175"/>
        </w:trPr>
        <w:tc>
          <w:tcPr>
            <w:tcW w:w="280" w:type="dxa"/>
            <w:vAlign w:val="bottom"/>
            <w:shd w:val="clear" w:color="auto" w:fill="B2B2B2"/>
          </w:tcPr>
          <w:p>
            <w:pPr>
              <w:spacing w:after="0"/>
              <w:rPr>
                <w:sz w:val="15"/>
                <w:szCs w:val="15"/>
                <w:color w:val="auto"/>
              </w:rPr>
            </w:pPr>
          </w:p>
        </w:tc>
        <w:tc>
          <w:tcPr>
            <w:tcW w:w="800" w:type="dxa"/>
            <w:vAlign w:val="bottom"/>
            <w:tcBorders>
              <w:right w:val="single" w:sz="8" w:color="B2B2B2"/>
            </w:tcBorders>
            <w:gridSpan w:val="2"/>
            <w:shd w:val="clear" w:color="auto" w:fill="B2B2B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360" w:type="dxa"/>
            <w:vAlign w:val="bottom"/>
            <w:gridSpan w:val="17"/>
            <w:shd w:val="clear" w:color="auto" w:fill="B2B2B2"/>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800" w:type="dxa"/>
            <w:vAlign w:val="bottom"/>
            <w:gridSpan w:val="5"/>
            <w:shd w:val="clear" w:color="auto" w:fill="B2B2B2"/>
          </w:tcPr>
          <w:p>
            <w:pPr>
              <w:jc w:val="center"/>
              <w:ind w:left="25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63"/>
        </w:trPr>
        <w:tc>
          <w:tcPr>
            <w:tcW w:w="280" w:type="dxa"/>
            <w:vAlign w:val="bottom"/>
            <w:tcBorders>
              <w:top w:val="single" w:sz="8" w:color="B2B2B2"/>
            </w:tcBorders>
            <w:shd w:val="clear" w:color="auto" w:fill="B2B2B2"/>
          </w:tcPr>
          <w:p>
            <w:pPr>
              <w:spacing w:after="0"/>
              <w:rPr>
                <w:sz w:val="22"/>
                <w:szCs w:val="22"/>
                <w:color w:val="auto"/>
              </w:rPr>
            </w:pPr>
          </w:p>
        </w:tc>
        <w:tc>
          <w:tcPr>
            <w:tcW w:w="500" w:type="dxa"/>
            <w:vAlign w:val="bottom"/>
            <w:tcBorders>
              <w:top w:val="single" w:sz="8" w:color="0000EE"/>
            </w:tcBorders>
            <w:shd w:val="clear" w:color="auto" w:fill="B2B2B2"/>
          </w:tcPr>
          <w:p>
            <w:pPr>
              <w:spacing w:after="0"/>
              <w:rPr>
                <w:sz w:val="22"/>
                <w:szCs w:val="22"/>
                <w:color w:val="auto"/>
              </w:rPr>
            </w:pPr>
          </w:p>
        </w:tc>
        <w:tc>
          <w:tcPr>
            <w:tcW w:w="300" w:type="dxa"/>
            <w:vAlign w:val="bottom"/>
            <w:tcBorders>
              <w:top w:val="single" w:sz="8" w:color="B2B2B2"/>
              <w:right w:val="single" w:sz="8" w:color="B2B2B2"/>
            </w:tcBorders>
            <w:shd w:val="clear" w:color="auto" w:fill="B2B2B2"/>
          </w:tcPr>
          <w:p>
            <w:pPr>
              <w:spacing w:after="0"/>
              <w:rPr>
                <w:sz w:val="22"/>
                <w:szCs w:val="22"/>
                <w:color w:val="auto"/>
              </w:rPr>
            </w:pPr>
          </w:p>
        </w:tc>
        <w:tc>
          <w:tcPr>
            <w:tcW w:w="280" w:type="dxa"/>
            <w:vAlign w:val="bottom"/>
            <w:tcBorders>
              <w:top w:val="single" w:sz="8" w:color="0000EE"/>
            </w:tcBorders>
            <w:shd w:val="clear" w:color="auto" w:fill="B2B2B2"/>
          </w:tcPr>
          <w:p>
            <w:pPr>
              <w:spacing w:after="0"/>
              <w:rPr>
                <w:sz w:val="22"/>
                <w:szCs w:val="22"/>
                <w:color w:val="auto"/>
              </w:rPr>
            </w:pPr>
          </w:p>
        </w:tc>
        <w:tc>
          <w:tcPr>
            <w:tcW w:w="20" w:type="dxa"/>
            <w:vAlign w:val="bottom"/>
            <w:tcBorders>
              <w:top w:val="single" w:sz="8" w:color="0000EE"/>
            </w:tcBorders>
            <w:shd w:val="clear" w:color="auto" w:fill="B2B2B2"/>
          </w:tcPr>
          <w:p>
            <w:pPr>
              <w:spacing w:after="0"/>
              <w:rPr>
                <w:sz w:val="22"/>
                <w:szCs w:val="22"/>
                <w:color w:val="auto"/>
              </w:rPr>
            </w:pPr>
          </w:p>
        </w:tc>
        <w:tc>
          <w:tcPr>
            <w:tcW w:w="1780" w:type="dxa"/>
            <w:vAlign w:val="bottom"/>
            <w:tcBorders>
              <w:top w:val="single" w:sz="8" w:color="0000EE"/>
            </w:tcBorders>
            <w:shd w:val="clear" w:color="auto" w:fill="B2B2B2"/>
          </w:tcPr>
          <w:p>
            <w:pPr>
              <w:spacing w:after="0"/>
              <w:rPr>
                <w:sz w:val="22"/>
                <w:szCs w:val="22"/>
                <w:color w:val="auto"/>
              </w:rPr>
            </w:pPr>
          </w:p>
        </w:tc>
        <w:tc>
          <w:tcPr>
            <w:tcW w:w="60" w:type="dxa"/>
            <w:vAlign w:val="bottom"/>
            <w:tcBorders>
              <w:top w:val="single" w:sz="8" w:color="0000EE"/>
            </w:tcBorders>
            <w:shd w:val="clear" w:color="auto" w:fill="B2B2B2"/>
          </w:tcPr>
          <w:p>
            <w:pPr>
              <w:spacing w:after="0"/>
              <w:rPr>
                <w:sz w:val="22"/>
                <w:szCs w:val="22"/>
                <w:color w:val="auto"/>
              </w:rPr>
            </w:pPr>
          </w:p>
        </w:tc>
        <w:tc>
          <w:tcPr>
            <w:tcW w:w="160" w:type="dxa"/>
            <w:vAlign w:val="bottom"/>
            <w:tcBorders>
              <w:top w:val="single" w:sz="8" w:color="0000EE"/>
            </w:tcBorders>
            <w:shd w:val="clear" w:color="auto" w:fill="B2B2B2"/>
          </w:tcPr>
          <w:p>
            <w:pPr>
              <w:spacing w:after="0"/>
              <w:rPr>
                <w:sz w:val="22"/>
                <w:szCs w:val="22"/>
                <w:color w:val="auto"/>
              </w:rPr>
            </w:pPr>
          </w:p>
        </w:tc>
        <w:tc>
          <w:tcPr>
            <w:tcW w:w="260" w:type="dxa"/>
            <w:vAlign w:val="bottom"/>
            <w:tcBorders>
              <w:top w:val="single" w:sz="8" w:color="0000EE"/>
            </w:tcBorders>
            <w:shd w:val="clear" w:color="auto" w:fill="B2B2B2"/>
          </w:tcPr>
          <w:p>
            <w:pPr>
              <w:spacing w:after="0"/>
              <w:rPr>
                <w:sz w:val="22"/>
                <w:szCs w:val="22"/>
                <w:color w:val="auto"/>
              </w:rPr>
            </w:pPr>
          </w:p>
        </w:tc>
        <w:tc>
          <w:tcPr>
            <w:tcW w:w="20" w:type="dxa"/>
            <w:vAlign w:val="bottom"/>
            <w:tcBorders>
              <w:top w:val="single" w:sz="8" w:color="0000EE"/>
            </w:tcBorders>
            <w:shd w:val="clear" w:color="auto" w:fill="B2B2B2"/>
          </w:tcPr>
          <w:p>
            <w:pPr>
              <w:spacing w:after="0"/>
              <w:rPr>
                <w:sz w:val="22"/>
                <w:szCs w:val="22"/>
                <w:color w:val="auto"/>
              </w:rPr>
            </w:pPr>
          </w:p>
        </w:tc>
        <w:tc>
          <w:tcPr>
            <w:tcW w:w="280" w:type="dxa"/>
            <w:vAlign w:val="bottom"/>
            <w:tcBorders>
              <w:top w:val="single" w:sz="8" w:color="B2B2B2"/>
            </w:tcBorders>
            <w:shd w:val="clear" w:color="auto" w:fill="B2B2B2"/>
          </w:tcPr>
          <w:p>
            <w:pPr>
              <w:spacing w:after="0"/>
              <w:rPr>
                <w:sz w:val="22"/>
                <w:szCs w:val="22"/>
                <w:color w:val="auto"/>
              </w:rPr>
            </w:pPr>
          </w:p>
        </w:tc>
        <w:tc>
          <w:tcPr>
            <w:tcW w:w="680" w:type="dxa"/>
            <w:vAlign w:val="bottom"/>
            <w:tcBorders>
              <w:top w:val="single" w:sz="8" w:color="B2B2B2"/>
            </w:tcBorders>
            <w:shd w:val="clear" w:color="auto" w:fill="B2B2B2"/>
          </w:tcPr>
          <w:p>
            <w:pPr>
              <w:spacing w:after="0"/>
              <w:rPr>
                <w:sz w:val="22"/>
                <w:szCs w:val="22"/>
                <w:color w:val="auto"/>
              </w:rPr>
            </w:pPr>
          </w:p>
        </w:tc>
        <w:tc>
          <w:tcPr>
            <w:tcW w:w="200" w:type="dxa"/>
            <w:vAlign w:val="bottom"/>
            <w:tcBorders>
              <w:top w:val="single" w:sz="8" w:color="B2B2B2"/>
            </w:tcBorders>
            <w:shd w:val="clear" w:color="auto" w:fill="B2B2B2"/>
          </w:tcPr>
          <w:p>
            <w:pPr>
              <w:spacing w:after="0"/>
              <w:rPr>
                <w:sz w:val="22"/>
                <w:szCs w:val="22"/>
                <w:color w:val="auto"/>
              </w:rPr>
            </w:pPr>
          </w:p>
        </w:tc>
        <w:tc>
          <w:tcPr>
            <w:tcW w:w="160" w:type="dxa"/>
            <w:vAlign w:val="bottom"/>
            <w:tcBorders>
              <w:top w:val="single" w:sz="8" w:color="B2B2B2"/>
            </w:tcBorders>
            <w:shd w:val="clear" w:color="auto" w:fill="B2B2B2"/>
          </w:tcPr>
          <w:p>
            <w:pPr>
              <w:spacing w:after="0"/>
              <w:rPr>
                <w:sz w:val="22"/>
                <w:szCs w:val="22"/>
                <w:color w:val="auto"/>
              </w:rPr>
            </w:pPr>
          </w:p>
        </w:tc>
        <w:tc>
          <w:tcPr>
            <w:tcW w:w="120" w:type="dxa"/>
            <w:vAlign w:val="bottom"/>
            <w:tcBorders>
              <w:top w:val="single" w:sz="8" w:color="B2B2B2"/>
            </w:tcBorders>
            <w:shd w:val="clear" w:color="auto" w:fill="B2B2B2"/>
          </w:tcPr>
          <w:p>
            <w:pPr>
              <w:spacing w:after="0"/>
              <w:rPr>
                <w:sz w:val="22"/>
                <w:szCs w:val="22"/>
                <w:color w:val="auto"/>
              </w:rPr>
            </w:pPr>
          </w:p>
        </w:tc>
        <w:tc>
          <w:tcPr>
            <w:tcW w:w="160" w:type="dxa"/>
            <w:vAlign w:val="bottom"/>
            <w:tcBorders>
              <w:top w:val="single" w:sz="8" w:color="B2B2B2"/>
            </w:tcBorders>
            <w:shd w:val="clear" w:color="auto" w:fill="B2B2B2"/>
          </w:tcPr>
          <w:p>
            <w:pPr>
              <w:spacing w:after="0"/>
              <w:rPr>
                <w:sz w:val="22"/>
                <w:szCs w:val="22"/>
                <w:color w:val="auto"/>
              </w:rPr>
            </w:pPr>
          </w:p>
        </w:tc>
        <w:tc>
          <w:tcPr>
            <w:tcW w:w="740" w:type="dxa"/>
            <w:vAlign w:val="bottom"/>
            <w:tcBorders>
              <w:top w:val="single" w:sz="8" w:color="B2B2B2"/>
            </w:tcBorders>
            <w:shd w:val="clear" w:color="auto" w:fill="B2B2B2"/>
          </w:tcPr>
          <w:p>
            <w:pPr>
              <w:spacing w:after="0"/>
              <w:rPr>
                <w:sz w:val="22"/>
                <w:szCs w:val="22"/>
                <w:color w:val="auto"/>
              </w:rPr>
            </w:pPr>
          </w:p>
        </w:tc>
        <w:tc>
          <w:tcPr>
            <w:tcW w:w="1180" w:type="dxa"/>
            <w:vAlign w:val="bottom"/>
            <w:tcBorders>
              <w:top w:val="single" w:sz="8" w:color="B2B2B2"/>
            </w:tcBorders>
            <w:shd w:val="clear" w:color="auto" w:fill="B2B2B2"/>
          </w:tcPr>
          <w:p>
            <w:pPr>
              <w:spacing w:after="0"/>
              <w:rPr>
                <w:sz w:val="22"/>
                <w:szCs w:val="22"/>
                <w:color w:val="auto"/>
              </w:rPr>
            </w:pPr>
          </w:p>
        </w:tc>
        <w:tc>
          <w:tcPr>
            <w:tcW w:w="2780" w:type="dxa"/>
            <w:vAlign w:val="bottom"/>
            <w:tcBorders>
              <w:top w:val="single" w:sz="8" w:color="B2B2B2"/>
            </w:tcBorders>
            <w:shd w:val="clear" w:color="auto" w:fill="B2B2B2"/>
          </w:tcPr>
          <w:p>
            <w:pPr>
              <w:spacing w:after="0"/>
              <w:rPr>
                <w:sz w:val="22"/>
                <w:szCs w:val="22"/>
                <w:color w:val="auto"/>
              </w:rPr>
            </w:pPr>
          </w:p>
        </w:tc>
        <w:tc>
          <w:tcPr>
            <w:tcW w:w="480" w:type="dxa"/>
            <w:vAlign w:val="bottom"/>
            <w:tcBorders>
              <w:top w:val="single" w:sz="8" w:color="B2B2B2"/>
            </w:tcBorders>
            <w:shd w:val="clear" w:color="auto" w:fill="B2B2B2"/>
          </w:tcPr>
          <w:p>
            <w:pPr>
              <w:spacing w:after="0"/>
              <w:rPr>
                <w:sz w:val="22"/>
                <w:szCs w:val="22"/>
                <w:color w:val="auto"/>
              </w:rPr>
            </w:pPr>
          </w:p>
        </w:tc>
        <w:tc>
          <w:tcPr>
            <w:tcW w:w="480" w:type="dxa"/>
            <w:vAlign w:val="bottom"/>
            <w:tcBorders>
              <w:top w:val="single" w:sz="8" w:color="B2B2B2"/>
            </w:tcBorders>
            <w:shd w:val="clear" w:color="auto" w:fill="B2B2B2"/>
          </w:tcPr>
          <w:p>
            <w:pPr>
              <w:spacing w:after="0"/>
              <w:rPr>
                <w:sz w:val="22"/>
                <w:szCs w:val="22"/>
                <w:color w:val="auto"/>
              </w:rPr>
            </w:pPr>
          </w:p>
        </w:tc>
        <w:tc>
          <w:tcPr>
            <w:tcW w:w="40" w:type="dxa"/>
            <w:vAlign w:val="bottom"/>
            <w:tcBorders>
              <w:top w:val="single" w:sz="8" w:color="0000EE"/>
            </w:tcBorders>
            <w:shd w:val="clear" w:color="auto" w:fill="B2B2B2"/>
          </w:tcPr>
          <w:p>
            <w:pPr>
              <w:spacing w:after="0"/>
              <w:rPr>
                <w:sz w:val="22"/>
                <w:szCs w:val="22"/>
                <w:color w:val="auto"/>
              </w:rPr>
            </w:pPr>
          </w:p>
        </w:tc>
        <w:tc>
          <w:tcPr>
            <w:tcW w:w="100" w:type="dxa"/>
            <w:vAlign w:val="bottom"/>
            <w:tcBorders>
              <w:top w:val="single" w:sz="8" w:color="0000EE"/>
            </w:tcBorders>
            <w:shd w:val="clear" w:color="auto" w:fill="B2B2B2"/>
          </w:tcPr>
          <w:p>
            <w:pPr>
              <w:spacing w:after="0"/>
              <w:rPr>
                <w:sz w:val="22"/>
                <w:szCs w:val="22"/>
                <w:color w:val="auto"/>
              </w:rPr>
            </w:pPr>
          </w:p>
        </w:tc>
        <w:tc>
          <w:tcPr>
            <w:tcW w:w="40" w:type="dxa"/>
            <w:vAlign w:val="bottom"/>
            <w:tcBorders>
              <w:top w:val="single" w:sz="8" w:color="0000EE"/>
            </w:tcBorders>
            <w:shd w:val="clear" w:color="auto" w:fill="B2B2B2"/>
          </w:tcPr>
          <w:p>
            <w:pPr>
              <w:spacing w:after="0"/>
              <w:rPr>
                <w:sz w:val="22"/>
                <w:szCs w:val="22"/>
                <w:color w:val="auto"/>
              </w:rPr>
            </w:pPr>
          </w:p>
        </w:tc>
        <w:tc>
          <w:tcPr>
            <w:tcW w:w="140" w:type="dxa"/>
            <w:vAlign w:val="bottom"/>
            <w:tcBorders>
              <w:top w:val="single" w:sz="8" w:color="B2B2B2"/>
            </w:tcBorders>
            <w:shd w:val="clear" w:color="auto" w:fill="B2B2B2"/>
          </w:tcPr>
          <w:p>
            <w:pPr>
              <w:spacing w:after="0"/>
              <w:rPr>
                <w:sz w:val="22"/>
                <w:szCs w:val="22"/>
                <w:color w:val="auto"/>
              </w:rPr>
            </w:pPr>
          </w:p>
        </w:tc>
      </w:tr>
      <w:tr>
        <w:trPr>
          <w:trHeight w:val="175"/>
        </w:trPr>
        <w:tc>
          <w:tcPr>
            <w:tcW w:w="10440" w:type="dxa"/>
            <w:vAlign w:val="bottom"/>
            <w:gridSpan w:val="20"/>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 – Items 1. – 6.</w:t>
              </w:r>
            </w:hyperlink>
          </w:p>
        </w:tc>
        <w:tc>
          <w:tcPr>
            <w:tcW w:w="800" w:type="dxa"/>
            <w:vAlign w:val="bottom"/>
            <w:gridSpan w:val="5"/>
          </w:tcPr>
          <w:p>
            <w:pPr>
              <w:jc w:val="center"/>
              <w:ind w:left="25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280" w:type="dxa"/>
            <w:vAlign w:val="bottom"/>
            <w:shd w:val="clear" w:color="auto" w:fill="B2B2B2"/>
          </w:tcPr>
          <w:p>
            <w:pPr>
              <w:spacing w:after="0"/>
              <w:rPr>
                <w:sz w:val="15"/>
                <w:szCs w:val="15"/>
                <w:color w:val="auto"/>
              </w:rPr>
            </w:pPr>
          </w:p>
        </w:tc>
        <w:tc>
          <w:tcPr>
            <w:tcW w:w="10160" w:type="dxa"/>
            <w:vAlign w:val="bottom"/>
            <w:gridSpan w:val="19"/>
            <w:shd w:val="clear" w:color="auto" w:fill="B2B2B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800" w:type="dxa"/>
            <w:vAlign w:val="bottom"/>
            <w:gridSpan w:val="5"/>
            <w:shd w:val="clear" w:color="auto" w:fill="B2B2B2"/>
          </w:tcPr>
          <w:p>
            <w:pPr>
              <w:jc w:val="center"/>
              <w:ind w:left="250"/>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r>
      <w:tr>
        <w:trPr>
          <w:trHeight w:val="263"/>
        </w:trPr>
        <w:tc>
          <w:tcPr>
            <w:tcW w:w="280" w:type="dxa"/>
            <w:vAlign w:val="bottom"/>
            <w:tcBorders>
              <w:top w:val="single" w:sz="8" w:color="B2B2B2"/>
            </w:tcBorders>
            <w:shd w:val="clear" w:color="auto" w:fill="B2B2B2"/>
          </w:tcPr>
          <w:p>
            <w:pPr>
              <w:spacing w:after="0"/>
              <w:rPr>
                <w:sz w:val="22"/>
                <w:szCs w:val="22"/>
                <w:color w:val="auto"/>
              </w:rPr>
            </w:pPr>
          </w:p>
        </w:tc>
        <w:tc>
          <w:tcPr>
            <w:tcW w:w="500" w:type="dxa"/>
            <w:vAlign w:val="bottom"/>
            <w:tcBorders>
              <w:top w:val="single" w:sz="8" w:color="0000EE"/>
            </w:tcBorders>
            <w:shd w:val="clear" w:color="auto" w:fill="B2B2B2"/>
          </w:tcPr>
          <w:p>
            <w:pPr>
              <w:spacing w:after="0"/>
              <w:rPr>
                <w:sz w:val="22"/>
                <w:szCs w:val="22"/>
                <w:color w:val="auto"/>
              </w:rPr>
            </w:pPr>
          </w:p>
        </w:tc>
        <w:tc>
          <w:tcPr>
            <w:tcW w:w="300" w:type="dxa"/>
            <w:vAlign w:val="bottom"/>
            <w:tcBorders>
              <w:top w:val="single" w:sz="8" w:color="0000EE"/>
              <w:right w:val="single" w:sz="8" w:color="B2B2B2"/>
            </w:tcBorders>
            <w:shd w:val="clear" w:color="auto" w:fill="B2B2B2"/>
          </w:tcPr>
          <w:p>
            <w:pPr>
              <w:spacing w:after="0"/>
              <w:rPr>
                <w:sz w:val="22"/>
                <w:szCs w:val="22"/>
                <w:color w:val="auto"/>
              </w:rPr>
            </w:pPr>
          </w:p>
        </w:tc>
        <w:tc>
          <w:tcPr>
            <w:tcW w:w="280" w:type="dxa"/>
            <w:vAlign w:val="bottom"/>
            <w:tcBorders>
              <w:top w:val="single" w:sz="8" w:color="0000EE"/>
            </w:tcBorders>
            <w:shd w:val="clear" w:color="auto" w:fill="B2B2B2"/>
          </w:tcPr>
          <w:p>
            <w:pPr>
              <w:spacing w:after="0"/>
              <w:rPr>
                <w:sz w:val="22"/>
                <w:szCs w:val="22"/>
                <w:color w:val="auto"/>
              </w:rPr>
            </w:pPr>
          </w:p>
        </w:tc>
        <w:tc>
          <w:tcPr>
            <w:tcW w:w="20" w:type="dxa"/>
            <w:vAlign w:val="bottom"/>
            <w:tcBorders>
              <w:top w:val="single" w:sz="8" w:color="0000EE"/>
            </w:tcBorders>
            <w:shd w:val="clear" w:color="auto" w:fill="B2B2B2"/>
          </w:tcPr>
          <w:p>
            <w:pPr>
              <w:spacing w:after="0"/>
              <w:rPr>
                <w:sz w:val="22"/>
                <w:szCs w:val="22"/>
                <w:color w:val="auto"/>
              </w:rPr>
            </w:pPr>
          </w:p>
        </w:tc>
        <w:tc>
          <w:tcPr>
            <w:tcW w:w="1780" w:type="dxa"/>
            <w:vAlign w:val="bottom"/>
            <w:tcBorders>
              <w:top w:val="single" w:sz="8" w:color="B2B2B2"/>
            </w:tcBorders>
            <w:shd w:val="clear" w:color="auto" w:fill="B2B2B2"/>
          </w:tcPr>
          <w:p>
            <w:pPr>
              <w:spacing w:after="0"/>
              <w:rPr>
                <w:sz w:val="22"/>
                <w:szCs w:val="22"/>
                <w:color w:val="auto"/>
              </w:rPr>
            </w:pPr>
          </w:p>
        </w:tc>
        <w:tc>
          <w:tcPr>
            <w:tcW w:w="60" w:type="dxa"/>
            <w:vAlign w:val="bottom"/>
            <w:tcBorders>
              <w:top w:val="single" w:sz="8" w:color="B2B2B2"/>
            </w:tcBorders>
            <w:shd w:val="clear" w:color="auto" w:fill="B2B2B2"/>
          </w:tcPr>
          <w:p>
            <w:pPr>
              <w:spacing w:after="0"/>
              <w:rPr>
                <w:sz w:val="22"/>
                <w:szCs w:val="22"/>
                <w:color w:val="auto"/>
              </w:rPr>
            </w:pPr>
          </w:p>
        </w:tc>
        <w:tc>
          <w:tcPr>
            <w:tcW w:w="160" w:type="dxa"/>
            <w:vAlign w:val="bottom"/>
            <w:tcBorders>
              <w:top w:val="single" w:sz="8" w:color="B2B2B2"/>
            </w:tcBorders>
            <w:shd w:val="clear" w:color="auto" w:fill="B2B2B2"/>
          </w:tcPr>
          <w:p>
            <w:pPr>
              <w:spacing w:after="0"/>
              <w:rPr>
                <w:sz w:val="22"/>
                <w:szCs w:val="22"/>
                <w:color w:val="auto"/>
              </w:rPr>
            </w:pPr>
          </w:p>
        </w:tc>
        <w:tc>
          <w:tcPr>
            <w:tcW w:w="260" w:type="dxa"/>
            <w:vAlign w:val="bottom"/>
            <w:tcBorders>
              <w:top w:val="single" w:sz="8" w:color="B2B2B2"/>
            </w:tcBorders>
            <w:shd w:val="clear" w:color="auto" w:fill="B2B2B2"/>
          </w:tcPr>
          <w:p>
            <w:pPr>
              <w:spacing w:after="0"/>
              <w:rPr>
                <w:sz w:val="22"/>
                <w:szCs w:val="22"/>
                <w:color w:val="auto"/>
              </w:rPr>
            </w:pPr>
          </w:p>
        </w:tc>
        <w:tc>
          <w:tcPr>
            <w:tcW w:w="20" w:type="dxa"/>
            <w:vAlign w:val="bottom"/>
            <w:tcBorders>
              <w:top w:val="single" w:sz="8" w:color="B2B2B2"/>
            </w:tcBorders>
            <w:shd w:val="clear" w:color="auto" w:fill="B2B2B2"/>
          </w:tcPr>
          <w:p>
            <w:pPr>
              <w:spacing w:after="0"/>
              <w:rPr>
                <w:sz w:val="22"/>
                <w:szCs w:val="22"/>
                <w:color w:val="auto"/>
              </w:rPr>
            </w:pPr>
          </w:p>
        </w:tc>
        <w:tc>
          <w:tcPr>
            <w:tcW w:w="280" w:type="dxa"/>
            <w:vAlign w:val="bottom"/>
            <w:tcBorders>
              <w:top w:val="single" w:sz="8" w:color="B2B2B2"/>
            </w:tcBorders>
            <w:shd w:val="clear" w:color="auto" w:fill="B2B2B2"/>
          </w:tcPr>
          <w:p>
            <w:pPr>
              <w:spacing w:after="0"/>
              <w:rPr>
                <w:sz w:val="22"/>
                <w:szCs w:val="22"/>
                <w:color w:val="auto"/>
              </w:rPr>
            </w:pPr>
          </w:p>
        </w:tc>
        <w:tc>
          <w:tcPr>
            <w:tcW w:w="680" w:type="dxa"/>
            <w:vAlign w:val="bottom"/>
            <w:tcBorders>
              <w:top w:val="single" w:sz="8" w:color="B2B2B2"/>
            </w:tcBorders>
            <w:shd w:val="clear" w:color="auto" w:fill="B2B2B2"/>
          </w:tcPr>
          <w:p>
            <w:pPr>
              <w:spacing w:after="0"/>
              <w:rPr>
                <w:sz w:val="22"/>
                <w:szCs w:val="22"/>
                <w:color w:val="auto"/>
              </w:rPr>
            </w:pPr>
          </w:p>
        </w:tc>
        <w:tc>
          <w:tcPr>
            <w:tcW w:w="200" w:type="dxa"/>
            <w:vAlign w:val="bottom"/>
            <w:tcBorders>
              <w:top w:val="single" w:sz="8" w:color="B2B2B2"/>
            </w:tcBorders>
            <w:shd w:val="clear" w:color="auto" w:fill="B2B2B2"/>
          </w:tcPr>
          <w:p>
            <w:pPr>
              <w:spacing w:after="0"/>
              <w:rPr>
                <w:sz w:val="22"/>
                <w:szCs w:val="22"/>
                <w:color w:val="auto"/>
              </w:rPr>
            </w:pPr>
          </w:p>
        </w:tc>
        <w:tc>
          <w:tcPr>
            <w:tcW w:w="160" w:type="dxa"/>
            <w:vAlign w:val="bottom"/>
            <w:tcBorders>
              <w:top w:val="single" w:sz="8" w:color="B2B2B2"/>
            </w:tcBorders>
            <w:shd w:val="clear" w:color="auto" w:fill="B2B2B2"/>
          </w:tcPr>
          <w:p>
            <w:pPr>
              <w:spacing w:after="0"/>
              <w:rPr>
                <w:sz w:val="22"/>
                <w:szCs w:val="22"/>
                <w:color w:val="auto"/>
              </w:rPr>
            </w:pPr>
          </w:p>
        </w:tc>
        <w:tc>
          <w:tcPr>
            <w:tcW w:w="120" w:type="dxa"/>
            <w:vAlign w:val="bottom"/>
            <w:tcBorders>
              <w:top w:val="single" w:sz="8" w:color="B2B2B2"/>
            </w:tcBorders>
            <w:shd w:val="clear" w:color="auto" w:fill="B2B2B2"/>
          </w:tcPr>
          <w:p>
            <w:pPr>
              <w:spacing w:after="0"/>
              <w:rPr>
                <w:sz w:val="22"/>
                <w:szCs w:val="22"/>
                <w:color w:val="auto"/>
              </w:rPr>
            </w:pPr>
          </w:p>
        </w:tc>
        <w:tc>
          <w:tcPr>
            <w:tcW w:w="160" w:type="dxa"/>
            <w:vAlign w:val="bottom"/>
            <w:tcBorders>
              <w:top w:val="single" w:sz="8" w:color="B2B2B2"/>
            </w:tcBorders>
            <w:shd w:val="clear" w:color="auto" w:fill="B2B2B2"/>
          </w:tcPr>
          <w:p>
            <w:pPr>
              <w:spacing w:after="0"/>
              <w:rPr>
                <w:sz w:val="22"/>
                <w:szCs w:val="22"/>
                <w:color w:val="auto"/>
              </w:rPr>
            </w:pPr>
          </w:p>
        </w:tc>
        <w:tc>
          <w:tcPr>
            <w:tcW w:w="740" w:type="dxa"/>
            <w:vAlign w:val="bottom"/>
            <w:tcBorders>
              <w:top w:val="single" w:sz="8" w:color="B2B2B2"/>
            </w:tcBorders>
            <w:shd w:val="clear" w:color="auto" w:fill="B2B2B2"/>
          </w:tcPr>
          <w:p>
            <w:pPr>
              <w:spacing w:after="0"/>
              <w:rPr>
                <w:sz w:val="22"/>
                <w:szCs w:val="22"/>
                <w:color w:val="auto"/>
              </w:rPr>
            </w:pPr>
          </w:p>
        </w:tc>
        <w:tc>
          <w:tcPr>
            <w:tcW w:w="1180" w:type="dxa"/>
            <w:vAlign w:val="bottom"/>
            <w:tcBorders>
              <w:top w:val="single" w:sz="8" w:color="B2B2B2"/>
            </w:tcBorders>
            <w:shd w:val="clear" w:color="auto" w:fill="B2B2B2"/>
          </w:tcPr>
          <w:p>
            <w:pPr>
              <w:spacing w:after="0"/>
              <w:rPr>
                <w:sz w:val="22"/>
                <w:szCs w:val="22"/>
                <w:color w:val="auto"/>
              </w:rPr>
            </w:pPr>
          </w:p>
        </w:tc>
        <w:tc>
          <w:tcPr>
            <w:tcW w:w="2780" w:type="dxa"/>
            <w:vAlign w:val="bottom"/>
            <w:tcBorders>
              <w:top w:val="single" w:sz="8" w:color="B2B2B2"/>
            </w:tcBorders>
            <w:shd w:val="clear" w:color="auto" w:fill="B2B2B2"/>
          </w:tcPr>
          <w:p>
            <w:pPr>
              <w:spacing w:after="0"/>
              <w:rPr>
                <w:sz w:val="22"/>
                <w:szCs w:val="22"/>
                <w:color w:val="auto"/>
              </w:rPr>
            </w:pPr>
          </w:p>
        </w:tc>
        <w:tc>
          <w:tcPr>
            <w:tcW w:w="480" w:type="dxa"/>
            <w:vAlign w:val="bottom"/>
            <w:tcBorders>
              <w:top w:val="single" w:sz="8" w:color="B2B2B2"/>
            </w:tcBorders>
            <w:shd w:val="clear" w:color="auto" w:fill="B2B2B2"/>
          </w:tcPr>
          <w:p>
            <w:pPr>
              <w:spacing w:after="0"/>
              <w:rPr>
                <w:sz w:val="22"/>
                <w:szCs w:val="22"/>
                <w:color w:val="auto"/>
              </w:rPr>
            </w:pPr>
          </w:p>
        </w:tc>
        <w:tc>
          <w:tcPr>
            <w:tcW w:w="480" w:type="dxa"/>
            <w:vAlign w:val="bottom"/>
            <w:tcBorders>
              <w:top w:val="single" w:sz="8" w:color="B2B2B2"/>
            </w:tcBorders>
            <w:shd w:val="clear" w:color="auto" w:fill="B2B2B2"/>
          </w:tcPr>
          <w:p>
            <w:pPr>
              <w:spacing w:after="0"/>
              <w:rPr>
                <w:sz w:val="22"/>
                <w:szCs w:val="22"/>
                <w:color w:val="auto"/>
              </w:rPr>
            </w:pPr>
          </w:p>
        </w:tc>
        <w:tc>
          <w:tcPr>
            <w:tcW w:w="40" w:type="dxa"/>
            <w:vAlign w:val="bottom"/>
            <w:tcBorders>
              <w:top w:val="single" w:sz="8" w:color="0000EE"/>
            </w:tcBorders>
            <w:shd w:val="clear" w:color="auto" w:fill="B2B2B2"/>
          </w:tcPr>
          <w:p>
            <w:pPr>
              <w:spacing w:after="0"/>
              <w:rPr>
                <w:sz w:val="22"/>
                <w:szCs w:val="22"/>
                <w:color w:val="auto"/>
              </w:rPr>
            </w:pPr>
          </w:p>
        </w:tc>
        <w:tc>
          <w:tcPr>
            <w:tcW w:w="100" w:type="dxa"/>
            <w:vAlign w:val="bottom"/>
            <w:tcBorders>
              <w:top w:val="single" w:sz="8" w:color="0000EE"/>
            </w:tcBorders>
            <w:shd w:val="clear" w:color="auto" w:fill="B2B2B2"/>
          </w:tcPr>
          <w:p>
            <w:pPr>
              <w:spacing w:after="0"/>
              <w:rPr>
                <w:sz w:val="22"/>
                <w:szCs w:val="22"/>
                <w:color w:val="auto"/>
              </w:rPr>
            </w:pPr>
          </w:p>
        </w:tc>
        <w:tc>
          <w:tcPr>
            <w:tcW w:w="40" w:type="dxa"/>
            <w:vAlign w:val="bottom"/>
            <w:tcBorders>
              <w:top w:val="single" w:sz="8" w:color="0000EE"/>
            </w:tcBorders>
            <w:shd w:val="clear" w:color="auto" w:fill="B2B2B2"/>
          </w:tcPr>
          <w:p>
            <w:pPr>
              <w:spacing w:after="0"/>
              <w:rPr>
                <w:sz w:val="22"/>
                <w:szCs w:val="22"/>
                <w:color w:val="auto"/>
              </w:rPr>
            </w:pPr>
          </w:p>
        </w:tc>
        <w:tc>
          <w:tcPr>
            <w:tcW w:w="140" w:type="dxa"/>
            <w:vAlign w:val="bottom"/>
            <w:tcBorders>
              <w:top w:val="single" w:sz="8" w:color="B2B2B2"/>
            </w:tcBorders>
            <w:shd w:val="clear" w:color="auto" w:fill="B2B2B2"/>
          </w:tcPr>
          <w:p>
            <w:pPr>
              <w:spacing w:after="0"/>
              <w:rPr>
                <w:sz w:val="22"/>
                <w:szCs w:val="22"/>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2020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8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B2B2B2"/>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36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14,545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8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424,263</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393,810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Federal funds sold and other short-term investments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182,773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Cash and cash equivalents</w:t>
            </w:r>
          </w:p>
        </w:tc>
        <w:tc>
          <w:tcPr>
            <w:tcW w:w="20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58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621,581</w:t>
            </w:r>
          </w:p>
        </w:tc>
        <w:tc>
          <w:tcPr>
            <w:tcW w:w="180" w:type="dxa"/>
            <w:vAlign w:val="bottom"/>
            <w:shd w:val="clear" w:color="auto" w:fill="B2B2B2"/>
          </w:tcPr>
          <w:p>
            <w:pPr>
              <w:spacing w:after="0"/>
              <w:rPr>
                <w:sz w:val="18"/>
                <w:szCs w:val="18"/>
                <w:color w:val="auto"/>
              </w:rPr>
            </w:pPr>
          </w:p>
        </w:tc>
        <w:tc>
          <w:tcPr>
            <w:tcW w:w="13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670,528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shd w:val="clear" w:color="auto" w:fill="B2B2B2"/>
          </w:tcPr>
          <w:p>
            <w:pPr>
              <w:spacing w:after="0" w:line="20" w:lineRule="exact"/>
              <w:rPr>
                <w:sz w:val="1"/>
                <w:szCs w:val="1"/>
                <w:color w:val="auto"/>
              </w:rPr>
            </w:pPr>
          </w:p>
        </w:tc>
        <w:tc>
          <w:tcPr>
            <w:tcW w:w="2000" w:type="dxa"/>
            <w:vAlign w:val="bottom"/>
            <w:shd w:val="clear" w:color="auto" w:fill="B2B2B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B2B2B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Securities available-for-sale, at fair value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507,047</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357,726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Less: Allowance for credit losses</w:t>
      </w:r>
    </w:p>
    <w:p>
      <w:pPr>
        <w:spacing w:after="0" w:line="3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Loans, net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Payments in excess of funding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Investment in bank-owned life insurance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871,020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891,676</w:t>
            </w:r>
          </w:p>
        </w:tc>
      </w:tr>
      <w:tr>
        <w:trPr>
          <w:trHeight w:val="230"/>
        </w:trPr>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859,849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879,732</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184,262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194,563</w:t>
            </w: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17,741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18,057</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17,758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18,058</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14,262</w:t>
            </w:r>
          </w:p>
        </w:tc>
      </w:tr>
      <w:tr>
        <w:trPr>
          <w:trHeight w:val="215"/>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2,993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3,423</w:t>
            </w: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46,840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46,886</w:t>
            </w:r>
          </w:p>
        </w:tc>
      </w:tr>
      <w:tr>
        <w:trPr>
          <w:trHeight w:val="209"/>
        </w:trPr>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2,272,333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2,203,235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-1419225</wp:posOffset>
            </wp:positionV>
            <wp:extent cx="7132955" cy="13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-1136650</wp:posOffset>
            </wp:positionV>
            <wp:extent cx="713295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-854710</wp:posOffset>
            </wp:positionV>
            <wp:extent cx="7132955"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-581025</wp:posOffset>
            </wp:positionV>
            <wp:extent cx="7132955" cy="136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-307340</wp:posOffset>
            </wp:positionV>
            <wp:extent cx="713295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360"/>
          </w:cols>
          <w:pgMar w:left="320" w:top="296"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422,374</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493,504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ind w:left="18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593,569</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557,352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B2B2B2"/>
            </w:tcBorders>
            <w:gridSpan w:val="3"/>
          </w:tcPr>
          <w:p>
            <w:pPr>
              <w:ind w:left="36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B2B2B2"/>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1,015,943</w:t>
            </w:r>
          </w:p>
        </w:tc>
        <w:tc>
          <w:tcPr>
            <w:tcW w:w="220" w:type="dxa"/>
            <w:vAlign w:val="bottom"/>
            <w:tcBorders>
              <w:top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Accounts and drafts payable</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939,570</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56,053</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shd w:val="clear" w:color="auto" w:fill="B2B2B2"/>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2,011,566</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1,942,075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B2B2B2"/>
            </w:tcBorders>
            <w:shd w:val="clear" w:color="auto" w:fill="B2B2B2"/>
          </w:tcPr>
          <w:p>
            <w:pPr>
              <w:spacing w:after="0"/>
              <w:rPr>
                <w:sz w:val="18"/>
                <w:szCs w:val="18"/>
                <w:color w:val="auto"/>
              </w:rPr>
            </w:pPr>
          </w:p>
        </w:tc>
        <w:tc>
          <w:tcPr>
            <w:tcW w:w="800" w:type="dxa"/>
            <w:vAlign w:val="bottom"/>
            <w:tcBorders>
              <w:top w:val="single" w:sz="8" w:color="B2B2B2"/>
            </w:tcBorders>
            <w:shd w:val="clear" w:color="auto" w:fill="B2B2B2"/>
          </w:tcPr>
          <w:p>
            <w:pPr>
              <w:spacing w:after="0"/>
              <w:rPr>
                <w:sz w:val="18"/>
                <w:szCs w:val="18"/>
                <w:color w:val="auto"/>
              </w:rPr>
            </w:pPr>
          </w:p>
        </w:tc>
        <w:tc>
          <w:tcPr>
            <w:tcW w:w="6080" w:type="dxa"/>
            <w:vAlign w:val="bottom"/>
            <w:tcBorders>
              <w:top w:val="single" w:sz="8" w:color="B2B2B2"/>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480" w:type="dxa"/>
            <w:vAlign w:val="bottom"/>
            <w:tcBorders>
              <w:top w:val="single" w:sz="8" w:color="auto"/>
            </w:tcBorders>
            <w:shd w:val="clear" w:color="auto" w:fill="B2B2B2"/>
          </w:tcPr>
          <w:p>
            <w:pPr>
              <w:spacing w:after="0"/>
              <w:rPr>
                <w:sz w:val="18"/>
                <w:szCs w:val="18"/>
                <w:color w:val="auto"/>
              </w:rPr>
            </w:pPr>
          </w:p>
        </w:tc>
        <w:tc>
          <w:tcPr>
            <w:tcW w:w="1100" w:type="dxa"/>
            <w:vAlign w:val="bottom"/>
            <w:tcBorders>
              <w:top w:val="single" w:sz="8" w:color="auto"/>
            </w:tcBorders>
            <w:shd w:val="clear" w:color="auto" w:fill="B2B2B2"/>
          </w:tcPr>
          <w:p>
            <w:pPr>
              <w:spacing w:after="0"/>
              <w:rPr>
                <w:sz w:val="18"/>
                <w:szCs w:val="18"/>
                <w:color w:val="auto"/>
              </w:rPr>
            </w:pPr>
          </w:p>
        </w:tc>
        <w:tc>
          <w:tcPr>
            <w:tcW w:w="220" w:type="dxa"/>
            <w:vAlign w:val="bottom"/>
            <w:tcBorders>
              <w:top w:val="single" w:sz="8" w:color="B2B2B2"/>
            </w:tcBorders>
            <w:shd w:val="clear" w:color="auto" w:fill="B2B2B2"/>
          </w:tcPr>
          <w:p>
            <w:pPr>
              <w:spacing w:after="0"/>
              <w:rPr>
                <w:sz w:val="18"/>
                <w:szCs w:val="18"/>
                <w:color w:val="auto"/>
              </w:rPr>
            </w:pPr>
          </w:p>
        </w:tc>
        <w:tc>
          <w:tcPr>
            <w:tcW w:w="460" w:type="dxa"/>
            <w:vAlign w:val="bottom"/>
            <w:tcBorders>
              <w:top w:val="single" w:sz="8" w:color="auto"/>
            </w:tcBorders>
            <w:shd w:val="clear" w:color="auto" w:fill="B2B2B2"/>
          </w:tcPr>
          <w:p>
            <w:pPr>
              <w:spacing w:after="0"/>
              <w:rPr>
                <w:sz w:val="18"/>
                <w:szCs w:val="18"/>
                <w:color w:val="auto"/>
              </w:rPr>
            </w:pPr>
          </w:p>
        </w:tc>
        <w:tc>
          <w:tcPr>
            <w:tcW w:w="110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gridSpan w:val="3"/>
          </w:tcPr>
          <w:p>
            <w:pPr>
              <w:spacing w:after="0" w:line="176"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60" w:type="dxa"/>
            <w:vAlign w:val="bottom"/>
            <w:gridSpan w:val="3"/>
          </w:tcPr>
          <w:p>
            <w:pPr>
              <w:spacing w:after="0" w:line="201" w:lineRule="exact"/>
              <w:rPr>
                <w:sz w:val="20"/>
                <w:szCs w:val="20"/>
                <w:color w:val="auto"/>
              </w:rPr>
            </w:pPr>
            <w:r>
              <w:rPr>
                <w:rFonts w:ascii="Arial" w:cs="Arial" w:eastAsia="Arial" w:hAnsi="Arial"/>
                <w:sz w:val="18"/>
                <w:szCs w:val="18"/>
                <w:color w:val="auto"/>
                <w:w w:val="91"/>
              </w:rPr>
              <w:t>Common stock, par value $.50 per share; 40,000,000 shares authorized and 15,505,772 shares issued at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June 30, 2021 and December 31, 2020</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7,753</w:t>
            </w: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15"/>
        </w:trPr>
        <w:tc>
          <w:tcPr>
            <w:tcW w:w="7660" w:type="dxa"/>
            <w:vAlign w:val="bottom"/>
            <w:gridSpan w:val="3"/>
            <w:shd w:val="clear" w:color="auto" w:fill="B2B2B2"/>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203,098</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105,398</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60" w:type="dxa"/>
            <w:vAlign w:val="bottom"/>
            <w:gridSpan w:val="3"/>
            <w:shd w:val="clear" w:color="auto" w:fill="B2B2B2"/>
          </w:tcPr>
          <w:p>
            <w:pPr>
              <w:spacing w:after="0" w:line="201" w:lineRule="exact"/>
              <w:rPr>
                <w:sz w:val="20"/>
                <w:szCs w:val="20"/>
                <w:color w:val="auto"/>
              </w:rPr>
            </w:pPr>
            <w:r>
              <w:rPr>
                <w:rFonts w:ascii="Arial" w:cs="Arial" w:eastAsia="Arial" w:hAnsi="Arial"/>
                <w:sz w:val="18"/>
                <w:szCs w:val="18"/>
                <w:color w:val="auto"/>
                <w:w w:val="88"/>
              </w:rPr>
              <w:t>Common shares in treasury, at cost (1,183,885 shares at June 30, 2021 and 1,113,103 shares at December</w:t>
            </w:r>
          </w:p>
        </w:tc>
        <w:tc>
          <w:tcPr>
            <w:tcW w:w="220" w:type="dxa"/>
            <w:vAlign w:val="bottom"/>
            <w:shd w:val="clear" w:color="auto" w:fill="B2B2B2"/>
          </w:tcPr>
          <w:p>
            <w:pPr>
              <w:spacing w:after="0"/>
              <w:rPr>
                <w:sz w:val="17"/>
                <w:szCs w:val="17"/>
                <w:color w:val="auto"/>
              </w:rPr>
            </w:pPr>
          </w:p>
        </w:tc>
        <w:tc>
          <w:tcPr>
            <w:tcW w:w="48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220" w:type="dxa"/>
            <w:vAlign w:val="bottom"/>
            <w:shd w:val="clear" w:color="auto" w:fill="B2B2B2"/>
          </w:tcPr>
          <w:p>
            <w:pPr>
              <w:spacing w:after="0"/>
              <w:rPr>
                <w:sz w:val="17"/>
                <w:szCs w:val="17"/>
                <w:color w:val="auto"/>
              </w:rPr>
            </w:pPr>
          </w:p>
        </w:tc>
        <w:tc>
          <w:tcPr>
            <w:tcW w:w="460" w:type="dxa"/>
            <w:vAlign w:val="bottom"/>
            <w:shd w:val="clear" w:color="auto" w:fill="B2B2B2"/>
          </w:tcPr>
          <w:p>
            <w:pPr>
              <w:spacing w:after="0"/>
              <w:rPr>
                <w:sz w:val="17"/>
                <w:szCs w:val="17"/>
                <w:color w:val="auto"/>
              </w:rPr>
            </w:pPr>
          </w:p>
        </w:tc>
        <w:tc>
          <w:tcPr>
            <w:tcW w:w="110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31, 2020)</w:t>
            </w:r>
          </w:p>
        </w:tc>
        <w:tc>
          <w:tcPr>
            <w:tcW w:w="6080" w:type="dxa"/>
            <w:vAlign w:val="bottom"/>
            <w:shd w:val="clear" w:color="auto" w:fill="B2B2B2"/>
          </w:tcPr>
          <w:p>
            <w:pPr>
              <w:spacing w:after="0"/>
              <w:rPr>
                <w:sz w:val="19"/>
                <w:szCs w:val="19"/>
                <w:color w:val="auto"/>
              </w:rPr>
            </w:pPr>
          </w:p>
        </w:tc>
        <w:tc>
          <w:tcPr>
            <w:tcW w:w="220" w:type="dxa"/>
            <w:vAlign w:val="bottom"/>
            <w:shd w:val="clear" w:color="auto" w:fill="B2B2B2"/>
          </w:tcPr>
          <w:p>
            <w:pPr>
              <w:spacing w:after="0"/>
              <w:rPr>
                <w:sz w:val="19"/>
                <w:szCs w:val="19"/>
                <w:color w:val="auto"/>
              </w:rPr>
            </w:pPr>
          </w:p>
        </w:tc>
        <w:tc>
          <w:tcPr>
            <w:tcW w:w="480" w:type="dxa"/>
            <w:vAlign w:val="bottom"/>
            <w:shd w:val="clear" w:color="auto" w:fill="B2B2B2"/>
          </w:tcPr>
          <w:p>
            <w:pPr>
              <w:spacing w:after="0"/>
              <w:rPr>
                <w:sz w:val="19"/>
                <w:szCs w:val="19"/>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(53,437)</w:t>
            </w:r>
          </w:p>
        </w:tc>
        <w:tc>
          <w:tcPr>
            <w:tcW w:w="460" w:type="dxa"/>
            <w:vAlign w:val="bottom"/>
            <w:shd w:val="clear" w:color="auto" w:fill="B2B2B2"/>
          </w:tcPr>
          <w:p>
            <w:pPr>
              <w:spacing w:after="0"/>
              <w:rPr>
                <w:sz w:val="19"/>
                <w:szCs w:val="19"/>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3"/>
            <w:shd w:val="clear" w:color="auto" w:fill="B2B2B2"/>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13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260,767</w:t>
            </w:r>
          </w:p>
        </w:tc>
        <w:tc>
          <w:tcPr>
            <w:tcW w:w="460" w:type="dxa"/>
            <w:vAlign w:val="bottom"/>
            <w:shd w:val="clear" w:color="auto" w:fill="B2B2B2"/>
          </w:tcPr>
          <w:p>
            <w:pPr>
              <w:spacing w:after="0"/>
              <w:rPr>
                <w:sz w:val="18"/>
                <w:szCs w:val="18"/>
                <w:color w:val="auto"/>
              </w:rPr>
            </w:pP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261,160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B2B2B2"/>
            </w:tcBorders>
            <w:gridSpan w:val="3"/>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B2B2B2"/>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2,272,333</w:t>
            </w:r>
          </w:p>
        </w:tc>
        <w:tc>
          <w:tcPr>
            <w:tcW w:w="220" w:type="dxa"/>
            <w:vAlign w:val="bottom"/>
            <w:tcBorders>
              <w:top w:val="single" w:sz="8" w:color="B2B2B2"/>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7220" w:type="dxa"/>
            <w:vAlign w:val="bottom"/>
            <w:gridSpan w:val="7"/>
          </w:tcPr>
          <w:p>
            <w:pPr>
              <w:jc w:val="center"/>
              <w:ind w:left="121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6320" w:type="dxa"/>
            <w:vAlign w:val="bottom"/>
            <w:gridSpan w:val="6"/>
          </w:tcPr>
          <w:p>
            <w:pPr>
              <w:jc w:val="center"/>
              <w:ind w:left="2130"/>
              <w:spacing w:after="0"/>
              <w:rPr>
                <w:sz w:val="20"/>
                <w:szCs w:val="20"/>
                <w:color w:val="auto"/>
              </w:rPr>
            </w:pPr>
            <w:r>
              <w:rPr>
                <w:rFonts w:ascii="Arial" w:cs="Arial" w:eastAsia="Arial" w:hAnsi="Arial"/>
                <w:sz w:val="18"/>
                <w:szCs w:val="18"/>
                <w:b w:val="1"/>
                <w:bCs w:val="1"/>
                <w:color w:val="auto"/>
                <w:w w:val="99"/>
              </w:rPr>
              <w:t>CONSOLIDATED STATEMENTS OF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60" w:type="dxa"/>
            <w:vAlign w:val="bottom"/>
            <w:gridSpan w:val="2"/>
          </w:tcPr>
          <w:p>
            <w:pPr>
              <w:jc w:val="right"/>
              <w:ind w:right="107"/>
              <w:spacing w:after="0"/>
              <w:rPr>
                <w:sz w:val="20"/>
                <w:szCs w:val="20"/>
                <w:color w:val="auto"/>
              </w:rPr>
            </w:pPr>
            <w:r>
              <w:rPr>
                <w:rFonts w:ascii="Arial" w:cs="Arial" w:eastAsia="Arial" w:hAnsi="Arial"/>
                <w:sz w:val="18"/>
                <w:szCs w:val="18"/>
                <w:color w:val="auto"/>
                <w:w w:val="91"/>
              </w:rPr>
              <w:t>(Unaudited)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5980" w:type="dxa"/>
            <w:vAlign w:val="bottom"/>
            <w:gridSpan w:val="5"/>
          </w:tcPr>
          <w:p>
            <w:pPr>
              <w:jc w:val="center"/>
              <w:ind w:left="2450"/>
              <w:spacing w:after="0"/>
              <w:rPr>
                <w:sz w:val="20"/>
                <w:szCs w:val="20"/>
                <w:color w:val="auto"/>
              </w:rPr>
            </w:pPr>
            <w:r>
              <w:rPr>
                <w:rFonts w:ascii="Arial" w:cs="Arial" w:eastAsia="Arial" w:hAnsi="Arial"/>
                <w:sz w:val="18"/>
                <w:szCs w:val="18"/>
                <w:color w:val="auto"/>
                <w:w w:val="89"/>
              </w:rPr>
              <w:t>(Dollars in Thousands except Per Share Data)</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Fee Revenue and Other Income: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10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26,348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22,661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51,564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Bank service fees</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530</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(Losses) gains on sales of securities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B2B2B2"/>
          </w:tcPr>
          <w:p>
            <w:pPr>
              <w:spacing w:after="0" w:line="20" w:lineRule="exact"/>
              <w:rPr>
                <w:sz w:val="1"/>
                <w:szCs w:val="1"/>
                <w:color w:val="auto"/>
              </w:rPr>
            </w:pPr>
          </w:p>
        </w:tc>
        <w:tc>
          <w:tcPr>
            <w:tcW w:w="3820" w:type="dxa"/>
            <w:vAlign w:val="bottom"/>
            <w:shd w:val="clear" w:color="auto" w:fill="B2B2B2"/>
          </w:tcPr>
          <w:p>
            <w:pPr>
              <w:spacing w:after="0" w:line="20" w:lineRule="exact"/>
              <w:rPr>
                <w:sz w:val="1"/>
                <w:szCs w:val="1"/>
                <w:color w:val="auto"/>
              </w:rPr>
            </w:pPr>
          </w:p>
        </w:tc>
        <w:tc>
          <w:tcPr>
            <w:tcW w:w="800" w:type="dxa"/>
            <w:vAlign w:val="bottom"/>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Total fee revenue and other income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26,987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Interest Income: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8,696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and dividends on securities:</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Taxable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Exempt from federal income taxes</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1,832</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Total interest income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11,108</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11,642</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21,784</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23,980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Borders>
              <w:top w:val="single" w:sz="8" w:color="B2B2B2"/>
            </w:tcBorders>
            <w:shd w:val="clear" w:color="auto" w:fill="B2B2B2"/>
          </w:tcPr>
          <w:p>
            <w:pPr>
              <w:spacing w:after="0"/>
              <w:rPr>
                <w:sz w:val="18"/>
                <w:szCs w:val="18"/>
                <w:color w:val="auto"/>
              </w:rPr>
            </w:pPr>
          </w:p>
        </w:tc>
        <w:tc>
          <w:tcPr>
            <w:tcW w:w="3820" w:type="dxa"/>
            <w:vAlign w:val="bottom"/>
            <w:tcBorders>
              <w:top w:val="single" w:sz="8" w:color="B2B2B2"/>
            </w:tcBorders>
            <w:shd w:val="clear" w:color="auto" w:fill="B2B2B2"/>
          </w:tcPr>
          <w:p>
            <w:pPr>
              <w:spacing w:after="0"/>
              <w:rPr>
                <w:sz w:val="18"/>
                <w:szCs w:val="18"/>
                <w:color w:val="auto"/>
              </w:rPr>
            </w:pPr>
          </w:p>
        </w:tc>
        <w:tc>
          <w:tcPr>
            <w:tcW w:w="800" w:type="dxa"/>
            <w:vAlign w:val="bottom"/>
            <w:tcBorders>
              <w:top w:val="single" w:sz="8" w:color="B2B2B2"/>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98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tcBorders>
            <w:shd w:val="clear" w:color="auto" w:fill="B2B2B2"/>
          </w:tcPr>
          <w:p>
            <w:pPr>
              <w:spacing w:after="0"/>
              <w:rPr>
                <w:sz w:val="18"/>
                <w:szCs w:val="18"/>
                <w:color w:val="auto"/>
              </w:rPr>
            </w:pPr>
          </w:p>
        </w:tc>
        <w:tc>
          <w:tcPr>
            <w:tcW w:w="340" w:type="dxa"/>
            <w:vAlign w:val="bottom"/>
            <w:tcBorders>
              <w:top w:val="single" w:sz="8" w:color="auto"/>
            </w:tcBorders>
            <w:shd w:val="clear" w:color="auto" w:fill="B2B2B2"/>
          </w:tcPr>
          <w:p>
            <w:pPr>
              <w:spacing w:after="0"/>
              <w:rPr>
                <w:sz w:val="18"/>
                <w:szCs w:val="18"/>
                <w:color w:val="auto"/>
              </w:rPr>
            </w:pPr>
          </w:p>
        </w:tc>
        <w:tc>
          <w:tcPr>
            <w:tcW w:w="90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B2B2B2"/>
              <w:left w:val="single" w:sz="8" w:color="B2B2B2"/>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960" w:type="dxa"/>
            <w:vAlign w:val="bottom"/>
            <w:tcBorders>
              <w:top w:val="single" w:sz="8" w:color="auto"/>
            </w:tcBorders>
            <w:shd w:val="clear" w:color="auto" w:fill="B2B2B2"/>
          </w:tcPr>
          <w:p>
            <w:pPr>
              <w:spacing w:after="0"/>
              <w:rPr>
                <w:sz w:val="18"/>
                <w:szCs w:val="18"/>
                <w:color w:val="auto"/>
              </w:rPr>
            </w:pPr>
          </w:p>
        </w:tc>
        <w:tc>
          <w:tcPr>
            <w:tcW w:w="120" w:type="dxa"/>
            <w:vAlign w:val="bottom"/>
            <w:tcBorders>
              <w:top w:val="single" w:sz="8" w:color="B2B2B2"/>
              <w:left w:val="single" w:sz="8" w:color="B2B2B2"/>
            </w:tcBorders>
            <w:shd w:val="clear" w:color="auto" w:fill="B2B2B2"/>
          </w:tcPr>
          <w:p>
            <w:pPr>
              <w:spacing w:after="0"/>
              <w:rPr>
                <w:sz w:val="18"/>
                <w:szCs w:val="18"/>
                <w:color w:val="auto"/>
              </w:rPr>
            </w:pPr>
          </w:p>
        </w:tc>
        <w:tc>
          <w:tcPr>
            <w:tcW w:w="340" w:type="dxa"/>
            <w:vAlign w:val="bottom"/>
            <w:tcBorders>
              <w:top w:val="single" w:sz="8" w:color="auto"/>
            </w:tcBorders>
            <w:shd w:val="clear" w:color="auto" w:fill="B2B2B2"/>
          </w:tcPr>
          <w:p>
            <w:pPr>
              <w:spacing w:after="0"/>
              <w:rPr>
                <w:sz w:val="18"/>
                <w:szCs w:val="18"/>
                <w:color w:val="auto"/>
              </w:rPr>
            </w:pPr>
          </w:p>
        </w:tc>
        <w:tc>
          <w:tcPr>
            <w:tcW w:w="88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Interest on deposits</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Interest on short-term borrowings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Total interest expense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B2B2B2"/>
          </w:tcPr>
          <w:p>
            <w:pPr>
              <w:spacing w:after="0" w:line="20" w:lineRule="exact"/>
              <w:rPr>
                <w:sz w:val="1"/>
                <w:szCs w:val="1"/>
                <w:color w:val="auto"/>
              </w:rPr>
            </w:pPr>
          </w:p>
        </w:tc>
        <w:tc>
          <w:tcPr>
            <w:tcW w:w="3820" w:type="dxa"/>
            <w:vAlign w:val="bottom"/>
            <w:shd w:val="clear" w:color="auto" w:fill="B2B2B2"/>
          </w:tcPr>
          <w:p>
            <w:pPr>
              <w:spacing w:after="0" w:line="20" w:lineRule="exact"/>
              <w:rPr>
                <w:sz w:val="1"/>
                <w:szCs w:val="1"/>
                <w:color w:val="auto"/>
              </w:rPr>
            </w:pPr>
          </w:p>
        </w:tc>
        <w:tc>
          <w:tcPr>
            <w:tcW w:w="800" w:type="dxa"/>
            <w:vAlign w:val="bottom"/>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Net interest income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10,811</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(Release of) provision for credit losses / loan losses</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(610)</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B2B2B2"/>
          </w:tcPr>
          <w:p>
            <w:pPr>
              <w:spacing w:after="0" w:line="20" w:lineRule="exact"/>
              <w:rPr>
                <w:sz w:val="1"/>
                <w:szCs w:val="1"/>
                <w:color w:val="auto"/>
              </w:rPr>
            </w:pPr>
          </w:p>
        </w:tc>
        <w:tc>
          <w:tcPr>
            <w:tcW w:w="3820" w:type="dxa"/>
            <w:vAlign w:val="bottom"/>
            <w:shd w:val="clear" w:color="auto" w:fill="B2B2B2"/>
          </w:tcPr>
          <w:p>
            <w:pPr>
              <w:spacing w:after="0" w:line="20" w:lineRule="exact"/>
              <w:rPr>
                <w:sz w:val="1"/>
                <w:szCs w:val="1"/>
                <w:color w:val="auto"/>
              </w:rPr>
            </w:pPr>
          </w:p>
        </w:tc>
        <w:tc>
          <w:tcPr>
            <w:tcW w:w="800" w:type="dxa"/>
            <w:vAlign w:val="bottom"/>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tcPr>
          <w:p>
            <w:pPr>
              <w:ind w:left="540"/>
              <w:spacing w:after="0"/>
              <w:rPr>
                <w:sz w:val="20"/>
                <w:szCs w:val="20"/>
                <w:color w:val="auto"/>
              </w:rPr>
            </w:pPr>
            <w:r>
              <w:rPr>
                <w:rFonts w:ascii="Arial" w:cs="Arial" w:eastAsia="Arial" w:hAnsi="Arial"/>
                <w:sz w:val="18"/>
                <w:szCs w:val="18"/>
                <w:color w:val="auto"/>
                <w:w w:val="90"/>
              </w:rPr>
              <w:t>Net interest income after provision for credit losses / loan losses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11,421</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Total net revenue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38,408</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33,935</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75,528</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72,078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60" w:type="dxa"/>
            <w:vAlign w:val="bottom"/>
            <w:shd w:val="clear" w:color="auto" w:fill="B2B2B2"/>
          </w:tcPr>
          <w:p>
            <w:pPr>
              <w:spacing w:after="0"/>
              <w:rPr>
                <w:sz w:val="18"/>
                <w:szCs w:val="18"/>
                <w:color w:val="auto"/>
              </w:rPr>
            </w:pPr>
          </w:p>
        </w:tc>
        <w:tc>
          <w:tcPr>
            <w:tcW w:w="382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Personnel</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22,880</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20,891</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45,406</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959</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Equipment</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1,653</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Other operating expense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4,097</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7,259</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B2B2B2"/>
          </w:tcPr>
          <w:p>
            <w:pPr>
              <w:spacing w:after="0" w:line="20" w:lineRule="exact"/>
              <w:rPr>
                <w:sz w:val="1"/>
                <w:szCs w:val="1"/>
                <w:color w:val="auto"/>
              </w:rPr>
            </w:pPr>
          </w:p>
        </w:tc>
        <w:tc>
          <w:tcPr>
            <w:tcW w:w="3820" w:type="dxa"/>
            <w:vAlign w:val="bottom"/>
            <w:shd w:val="clear" w:color="auto" w:fill="B2B2B2"/>
          </w:tcPr>
          <w:p>
            <w:pPr>
              <w:spacing w:after="0" w:line="20" w:lineRule="exact"/>
              <w:rPr>
                <w:sz w:val="1"/>
                <w:szCs w:val="1"/>
                <w:color w:val="auto"/>
              </w:rPr>
            </w:pPr>
          </w:p>
        </w:tc>
        <w:tc>
          <w:tcPr>
            <w:tcW w:w="800" w:type="dxa"/>
            <w:vAlign w:val="bottom"/>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B2B2B2"/>
            </w:tcBorders>
            <w:shd w:val="clear" w:color="auto" w:fill="B2B2B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left w:val="single" w:sz="8" w:color="B2B2B2"/>
            </w:tcBorders>
            <w:shd w:val="clear" w:color="auto" w:fill="B2B2B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29,803</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Income before income tax expense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8,605</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6,578</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17,200</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1,579</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B2B2B2"/>
          </w:tcPr>
          <w:p>
            <w:pPr>
              <w:spacing w:after="0"/>
              <w:rPr>
                <w:sz w:val="21"/>
                <w:szCs w:val="21"/>
                <w:color w:val="auto"/>
              </w:rPr>
            </w:pPr>
          </w:p>
        </w:tc>
        <w:tc>
          <w:tcPr>
            <w:tcW w:w="260" w:type="dxa"/>
            <w:vAlign w:val="bottom"/>
            <w:shd w:val="clear" w:color="auto" w:fill="B2B2B2"/>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7,026</w:t>
            </w:r>
          </w:p>
        </w:tc>
        <w:tc>
          <w:tcPr>
            <w:tcW w:w="34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5,439</w:t>
            </w:r>
          </w:p>
        </w:tc>
        <w:tc>
          <w:tcPr>
            <w:tcW w:w="360" w:type="dxa"/>
            <w:vAlign w:val="bottom"/>
            <w:tcBorders>
              <w:left w:val="single" w:sz="8" w:color="B2B2B2"/>
            </w:tcBorders>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14,097</w:t>
            </w:r>
          </w:p>
        </w:tc>
        <w:tc>
          <w:tcPr>
            <w:tcW w:w="460" w:type="dxa"/>
            <w:vAlign w:val="bottom"/>
            <w:tcBorders>
              <w:left w:val="single" w:sz="8" w:color="B2B2B2"/>
            </w:tcBorders>
            <w:gridSpan w:val="2"/>
            <w:shd w:val="clear" w:color="auto" w:fill="B2B2B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12,984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60" w:type="dxa"/>
            <w:vAlign w:val="bottom"/>
            <w:tcBorders>
              <w:top w:val="single" w:sz="8" w:color="B2B2B2"/>
            </w:tcBorders>
            <w:shd w:val="clear" w:color="auto" w:fill="B2B2B2"/>
          </w:tcPr>
          <w:p>
            <w:pPr>
              <w:spacing w:after="0"/>
              <w:rPr>
                <w:sz w:val="17"/>
                <w:szCs w:val="17"/>
                <w:color w:val="auto"/>
              </w:rPr>
            </w:pPr>
          </w:p>
        </w:tc>
        <w:tc>
          <w:tcPr>
            <w:tcW w:w="3820" w:type="dxa"/>
            <w:vAlign w:val="bottom"/>
            <w:tcBorders>
              <w:top w:val="single" w:sz="8" w:color="B2B2B2"/>
            </w:tcBorders>
            <w:shd w:val="clear" w:color="auto" w:fill="B2B2B2"/>
          </w:tcPr>
          <w:p>
            <w:pPr>
              <w:spacing w:after="0"/>
              <w:rPr>
                <w:sz w:val="17"/>
                <w:szCs w:val="17"/>
                <w:color w:val="auto"/>
              </w:rPr>
            </w:pPr>
          </w:p>
        </w:tc>
        <w:tc>
          <w:tcPr>
            <w:tcW w:w="800" w:type="dxa"/>
            <w:vAlign w:val="bottom"/>
            <w:tcBorders>
              <w:top w:val="single" w:sz="8" w:color="B2B2B2"/>
            </w:tcBorders>
            <w:shd w:val="clear" w:color="auto" w:fill="B2B2B2"/>
          </w:tcPr>
          <w:p>
            <w:pPr>
              <w:spacing w:after="0"/>
              <w:rPr>
                <w:sz w:val="17"/>
                <w:szCs w:val="17"/>
                <w:color w:val="auto"/>
              </w:rPr>
            </w:pPr>
          </w:p>
        </w:tc>
        <w:tc>
          <w:tcPr>
            <w:tcW w:w="260" w:type="dxa"/>
            <w:vAlign w:val="bottom"/>
            <w:tcBorders>
              <w:top w:val="single" w:sz="8" w:color="auto"/>
            </w:tcBorders>
            <w:shd w:val="clear" w:color="auto" w:fill="B2B2B2"/>
          </w:tcPr>
          <w:p>
            <w:pPr>
              <w:spacing w:after="0"/>
              <w:rPr>
                <w:sz w:val="17"/>
                <w:szCs w:val="17"/>
                <w:color w:val="auto"/>
              </w:rPr>
            </w:pPr>
          </w:p>
        </w:tc>
        <w:tc>
          <w:tcPr>
            <w:tcW w:w="980" w:type="dxa"/>
            <w:vAlign w:val="bottom"/>
            <w:tcBorders>
              <w:top w:val="single" w:sz="8" w:color="auto"/>
            </w:tcBorders>
            <w:shd w:val="clear" w:color="auto" w:fill="B2B2B2"/>
          </w:tcPr>
          <w:p>
            <w:pPr>
              <w:spacing w:after="0"/>
              <w:rPr>
                <w:sz w:val="17"/>
                <w:szCs w:val="17"/>
                <w:color w:val="auto"/>
              </w:rPr>
            </w:pPr>
          </w:p>
        </w:tc>
        <w:tc>
          <w:tcPr>
            <w:tcW w:w="120" w:type="dxa"/>
            <w:vAlign w:val="bottom"/>
            <w:tcBorders>
              <w:top w:val="single" w:sz="8" w:color="B2B2B2"/>
            </w:tcBorders>
            <w:shd w:val="clear" w:color="auto" w:fill="B2B2B2"/>
          </w:tcPr>
          <w:p>
            <w:pPr>
              <w:spacing w:after="0"/>
              <w:rPr>
                <w:sz w:val="17"/>
                <w:szCs w:val="17"/>
                <w:color w:val="auto"/>
              </w:rPr>
            </w:pPr>
          </w:p>
        </w:tc>
        <w:tc>
          <w:tcPr>
            <w:tcW w:w="340" w:type="dxa"/>
            <w:vAlign w:val="bottom"/>
            <w:tcBorders>
              <w:top w:val="single" w:sz="8" w:color="auto"/>
            </w:tcBorders>
            <w:shd w:val="clear" w:color="auto" w:fill="B2B2B2"/>
          </w:tcPr>
          <w:p>
            <w:pPr>
              <w:spacing w:after="0"/>
              <w:rPr>
                <w:sz w:val="17"/>
                <w:szCs w:val="17"/>
                <w:color w:val="auto"/>
              </w:rPr>
            </w:pPr>
          </w:p>
        </w:tc>
        <w:tc>
          <w:tcPr>
            <w:tcW w:w="900" w:type="dxa"/>
            <w:vAlign w:val="bottom"/>
            <w:tcBorders>
              <w:top w:val="single" w:sz="8" w:color="auto"/>
            </w:tcBorders>
            <w:shd w:val="clear" w:color="auto" w:fill="B2B2B2"/>
          </w:tcPr>
          <w:p>
            <w:pPr>
              <w:spacing w:after="0"/>
              <w:rPr>
                <w:sz w:val="17"/>
                <w:szCs w:val="17"/>
                <w:color w:val="auto"/>
              </w:rPr>
            </w:pPr>
          </w:p>
        </w:tc>
        <w:tc>
          <w:tcPr>
            <w:tcW w:w="100" w:type="dxa"/>
            <w:vAlign w:val="bottom"/>
            <w:tcBorders>
              <w:top w:val="single" w:sz="8" w:color="B2B2B2"/>
              <w:left w:val="single" w:sz="8" w:color="B2B2B2"/>
            </w:tcBorders>
            <w:shd w:val="clear" w:color="auto" w:fill="B2B2B2"/>
          </w:tcPr>
          <w:p>
            <w:pPr>
              <w:spacing w:after="0"/>
              <w:rPr>
                <w:sz w:val="17"/>
                <w:szCs w:val="17"/>
                <w:color w:val="auto"/>
              </w:rPr>
            </w:pPr>
          </w:p>
        </w:tc>
        <w:tc>
          <w:tcPr>
            <w:tcW w:w="260" w:type="dxa"/>
            <w:vAlign w:val="bottom"/>
            <w:tcBorders>
              <w:top w:val="single" w:sz="8" w:color="auto"/>
            </w:tcBorders>
            <w:shd w:val="clear" w:color="auto" w:fill="B2B2B2"/>
          </w:tcPr>
          <w:p>
            <w:pPr>
              <w:spacing w:after="0"/>
              <w:rPr>
                <w:sz w:val="17"/>
                <w:szCs w:val="17"/>
                <w:color w:val="auto"/>
              </w:rPr>
            </w:pPr>
          </w:p>
        </w:tc>
        <w:tc>
          <w:tcPr>
            <w:tcW w:w="960" w:type="dxa"/>
            <w:vAlign w:val="bottom"/>
            <w:tcBorders>
              <w:top w:val="single" w:sz="8" w:color="auto"/>
            </w:tcBorders>
            <w:shd w:val="clear" w:color="auto" w:fill="B2B2B2"/>
          </w:tcPr>
          <w:p>
            <w:pPr>
              <w:spacing w:after="0"/>
              <w:rPr>
                <w:sz w:val="17"/>
                <w:szCs w:val="17"/>
                <w:color w:val="auto"/>
              </w:rPr>
            </w:pPr>
          </w:p>
        </w:tc>
        <w:tc>
          <w:tcPr>
            <w:tcW w:w="120" w:type="dxa"/>
            <w:vAlign w:val="bottom"/>
            <w:tcBorders>
              <w:top w:val="single" w:sz="8" w:color="B2B2B2"/>
              <w:left w:val="single" w:sz="8" w:color="B2B2B2"/>
            </w:tcBorders>
            <w:shd w:val="clear" w:color="auto" w:fill="B2B2B2"/>
          </w:tcPr>
          <w:p>
            <w:pPr>
              <w:spacing w:after="0"/>
              <w:rPr>
                <w:sz w:val="17"/>
                <w:szCs w:val="17"/>
                <w:color w:val="auto"/>
              </w:rPr>
            </w:pPr>
          </w:p>
        </w:tc>
        <w:tc>
          <w:tcPr>
            <w:tcW w:w="340" w:type="dxa"/>
            <w:vAlign w:val="bottom"/>
            <w:tcBorders>
              <w:top w:val="single" w:sz="8" w:color="auto"/>
            </w:tcBorders>
            <w:shd w:val="clear" w:color="auto" w:fill="B2B2B2"/>
          </w:tcPr>
          <w:p>
            <w:pPr>
              <w:spacing w:after="0"/>
              <w:rPr>
                <w:sz w:val="17"/>
                <w:szCs w:val="17"/>
                <w:color w:val="auto"/>
              </w:rPr>
            </w:pPr>
          </w:p>
        </w:tc>
        <w:tc>
          <w:tcPr>
            <w:tcW w:w="880" w:type="dxa"/>
            <w:vAlign w:val="bottom"/>
            <w:tcBorders>
              <w:top w:val="single" w:sz="8" w:color="auto"/>
            </w:tcBorders>
            <w:shd w:val="clear" w:color="auto" w:fill="B2B2B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8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Diluted earnings per share</w:t>
            </w:r>
          </w:p>
        </w:tc>
        <w:tc>
          <w:tcPr>
            <w:tcW w:w="8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1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82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2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4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(Unaudited)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40" w:type="dxa"/>
            <w:vAlign w:val="bottom"/>
            <w:gridSpan w:val="2"/>
          </w:tcPr>
          <w:p>
            <w:pPr>
              <w:jc w:val="center"/>
              <w:ind w:left="1610"/>
              <w:spacing w:after="0"/>
              <w:rPr>
                <w:sz w:val="20"/>
                <w:szCs w:val="20"/>
                <w:color w:val="auto"/>
              </w:rPr>
            </w:pPr>
            <w:r>
              <w:rPr>
                <w:rFonts w:ascii="Arial" w:cs="Arial" w:eastAsia="Arial" w:hAnsi="Arial"/>
                <w:sz w:val="18"/>
                <w:szCs w:val="18"/>
                <w:color w:val="auto"/>
                <w:w w:val="91"/>
              </w:rPr>
              <w:t>(Dollars in Thousands)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6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32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7,026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14,097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gridSpan w:val="2"/>
            <w:shd w:val="clear" w:color="auto" w:fill="B2B2B2"/>
          </w:tcPr>
          <w:p>
            <w:pPr>
              <w:spacing w:after="0"/>
              <w:rPr>
                <w:sz w:val="20"/>
                <w:szCs w:val="20"/>
                <w:color w:val="auto"/>
              </w:rPr>
            </w:pPr>
            <w:r>
              <w:rPr>
                <w:rFonts w:ascii="Arial" w:cs="Arial" w:eastAsia="Arial" w:hAnsi="Arial"/>
                <w:sz w:val="18"/>
                <w:szCs w:val="18"/>
                <w:color w:val="auto"/>
                <w:w w:val="94"/>
              </w:rPr>
              <w:t>Other comprehensive income (loss):</w:t>
            </w:r>
          </w:p>
        </w:tc>
        <w:tc>
          <w:tcPr>
            <w:tcW w:w="32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4"/>
          </w:tcPr>
          <w:p>
            <w:pPr>
              <w:ind w:left="180"/>
              <w:spacing w:after="0"/>
              <w:rPr>
                <w:sz w:val="20"/>
                <w:szCs w:val="20"/>
                <w:color w:val="auto"/>
              </w:rPr>
            </w:pPr>
            <w:r>
              <w:rPr>
                <w:rFonts w:ascii="Arial" w:cs="Arial" w:eastAsia="Arial" w:hAnsi="Arial"/>
                <w:sz w:val="18"/>
                <w:szCs w:val="18"/>
                <w:color w:val="auto"/>
              </w:rPr>
              <w:t>Net unrealized gain (loss) on securities available-for-sale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1,566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32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54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w w:val="95"/>
              </w:rPr>
              <w:t>(373)</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gridSpan w:val="4"/>
          </w:tcPr>
          <w:p>
            <w:pPr>
              <w:ind w:left="180"/>
              <w:spacing w:after="0"/>
              <w:rPr>
                <w:sz w:val="20"/>
                <w:szCs w:val="20"/>
                <w:color w:val="auto"/>
              </w:rPr>
            </w:pPr>
            <w:r>
              <w:rPr>
                <w:rFonts w:ascii="Arial" w:cs="Arial" w:eastAsia="Arial" w:hAnsi="Arial"/>
                <w:sz w:val="18"/>
                <w:szCs w:val="18"/>
                <w:color w:val="auto"/>
              </w:rPr>
              <w:t>Reclassification adjustments for losses (gains) included in net income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Tax effect</w:t>
            </w:r>
          </w:p>
        </w:tc>
        <w:tc>
          <w:tcPr>
            <w:tcW w:w="322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54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B2B2B2"/>
            </w:tcBorders>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left w:val="single" w:sz="8" w:color="B2B2B2"/>
            </w:tcBorders>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Total comprehensive income</w:t>
            </w:r>
          </w:p>
        </w:tc>
        <w:tc>
          <w:tcPr>
            <w:tcW w:w="4040" w:type="dxa"/>
            <w:vAlign w:val="bottom"/>
            <w:gridSpan w:val="2"/>
            <w:shd w:val="clear" w:color="auto" w:fill="B2B2B2"/>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w w:val="88"/>
              </w:rPr>
              <w:t>8,373</w:t>
            </w:r>
          </w:p>
        </w:tc>
        <w:tc>
          <w:tcPr>
            <w:tcW w:w="340" w:type="dxa"/>
            <w:vAlign w:val="bottom"/>
            <w:shd w:val="clear" w:color="auto" w:fill="B2B2B2"/>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10,337</w:t>
            </w:r>
          </w:p>
        </w:tc>
        <w:tc>
          <w:tcPr>
            <w:tcW w:w="360" w:type="dxa"/>
            <w:vAlign w:val="bottom"/>
            <w:tcBorders>
              <w:left w:val="single" w:sz="8" w:color="B2B2B2"/>
            </w:tcBorders>
            <w:gridSpan w:val="2"/>
            <w:shd w:val="clear" w:color="auto" w:fill="B2B2B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12,067</w:t>
            </w:r>
          </w:p>
        </w:tc>
        <w:tc>
          <w:tcPr>
            <w:tcW w:w="460" w:type="dxa"/>
            <w:vAlign w:val="bottom"/>
            <w:tcBorders>
              <w:left w:val="single" w:sz="8" w:color="B2B2B2"/>
            </w:tcBorders>
            <w:gridSpan w:val="2"/>
            <w:shd w:val="clear" w:color="auto" w:fill="B2B2B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17,363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B2B2B2"/>
            </w:tcBorders>
            <w:shd w:val="clear" w:color="auto" w:fill="B2B2B2"/>
          </w:tcPr>
          <w:p>
            <w:pPr>
              <w:spacing w:after="0" w:line="20" w:lineRule="exact"/>
              <w:rPr>
                <w:sz w:val="1"/>
                <w:szCs w:val="1"/>
                <w:color w:val="auto"/>
              </w:rPr>
            </w:pPr>
          </w:p>
        </w:tc>
        <w:tc>
          <w:tcPr>
            <w:tcW w:w="1400" w:type="dxa"/>
            <w:vAlign w:val="bottom"/>
            <w:tcBorders>
              <w:top w:val="single" w:sz="8" w:color="B2B2B2"/>
            </w:tcBorders>
            <w:shd w:val="clear" w:color="auto" w:fill="B2B2B2"/>
          </w:tcPr>
          <w:p>
            <w:pPr>
              <w:spacing w:after="0" w:line="20" w:lineRule="exact"/>
              <w:rPr>
                <w:sz w:val="1"/>
                <w:szCs w:val="1"/>
                <w:color w:val="auto"/>
              </w:rPr>
            </w:pPr>
          </w:p>
        </w:tc>
        <w:tc>
          <w:tcPr>
            <w:tcW w:w="3220" w:type="dxa"/>
            <w:vAlign w:val="bottom"/>
            <w:tcBorders>
              <w:top w:val="single" w:sz="8" w:color="B2B2B2"/>
            </w:tcBorders>
            <w:shd w:val="clear" w:color="auto" w:fill="B2B2B2"/>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2B2B2"/>
            </w:tcBorders>
            <w:shd w:val="clear" w:color="auto" w:fill="B2B2B2"/>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2B2B2"/>
              <w:left w:val="single" w:sz="8" w:color="B2B2B2"/>
            </w:tcBorders>
            <w:shd w:val="clear" w:color="auto" w:fill="B2B2B2"/>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2B2B2"/>
              <w:left w:val="single" w:sz="8" w:color="B2B2B2"/>
            </w:tcBorders>
            <w:shd w:val="clear" w:color="auto" w:fill="B2B2B2"/>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686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1360" w:type="dxa"/>
            <w:vAlign w:val="bottom"/>
          </w:tcPr>
          <w:p>
            <w:pPr>
              <w:spacing w:after="0"/>
              <w:rPr>
                <w:sz w:val="18"/>
                <w:szCs w:val="18"/>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60" w:type="dxa"/>
            <w:vAlign w:val="bottom"/>
          </w:tcPr>
          <w:p>
            <w:pPr>
              <w:spacing w:after="0"/>
              <w:rPr>
                <w:sz w:val="19"/>
                <w:szCs w:val="19"/>
                <w:color w:val="auto"/>
              </w:rPr>
            </w:pPr>
          </w:p>
        </w:tc>
        <w:tc>
          <w:tcPr>
            <w:tcW w:w="6860" w:type="dxa"/>
            <w:vAlign w:val="bottom"/>
          </w:tcPr>
          <w:p>
            <w:pPr>
              <w:jc w:val="center"/>
              <w:ind w:left="1590"/>
              <w:spacing w:after="0"/>
              <w:rPr>
                <w:sz w:val="20"/>
                <w:szCs w:val="20"/>
                <w:color w:val="auto"/>
              </w:rPr>
            </w:pPr>
            <w:r>
              <w:rPr>
                <w:rFonts w:ascii="Arial" w:cs="Arial" w:eastAsia="Arial" w:hAnsi="Arial"/>
                <w:sz w:val="18"/>
                <w:szCs w:val="18"/>
                <w:color w:val="auto"/>
                <w:w w:val="91"/>
              </w:rPr>
              <w:t>(Dollars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2"/>
        </w:trPr>
        <w:tc>
          <w:tcPr>
            <w:tcW w:w="13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6"/>
          </w:tcPr>
          <w:p>
            <w:pPr>
              <w:ind w:left="4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13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1360" w:type="dxa"/>
            <w:vAlign w:val="bottom"/>
            <w:tcBorders>
              <w:bottom w:val="single" w:sz="8" w:color="auto"/>
            </w:tcBorders>
          </w:tcPr>
          <w:p>
            <w:pPr>
              <w:spacing w:after="0"/>
              <w:rPr>
                <w:sz w:val="19"/>
                <w:szCs w:val="19"/>
                <w:color w:val="auto"/>
              </w:rPr>
            </w:pPr>
          </w:p>
        </w:tc>
        <w:tc>
          <w:tcPr>
            <w:tcW w:w="6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14,097</w:t>
            </w: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12,984</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6,167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5,564</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Gains on sales of securities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1,519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(Release of) provision for credit losses / loan losses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(1,210)</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Decrease in income tax benefit</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(Decrease) increase in income tax liability</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(88)</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(Decrease) increase in pension liability</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(Increase) decrease in accounts receivable</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(1,131)</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Other operating activities,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w:t>
            </w:r>
          </w:p>
        </w:tc>
        <w:tc>
          <w:tcPr>
            <w:tcW w:w="20" w:type="dxa"/>
            <w:vAlign w:val="bottom"/>
          </w:tcPr>
          <w:p>
            <w:pPr>
              <w:spacing w:after="0"/>
              <w:rPr>
                <w:sz w:val="18"/>
                <w:szCs w:val="18"/>
                <w:color w:val="auto"/>
              </w:rPr>
            </w:pPr>
          </w:p>
        </w:tc>
      </w:tr>
      <w:tr>
        <w:trPr>
          <w:trHeight w:val="209"/>
        </w:trPr>
        <w:tc>
          <w:tcPr>
            <w:tcW w:w="822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21,759</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32,655</w:t>
            </w:r>
          </w:p>
        </w:tc>
        <w:tc>
          <w:tcPr>
            <w:tcW w:w="20" w:type="dxa"/>
            <w:vAlign w:val="bottom"/>
          </w:tcPr>
          <w:p>
            <w:pPr>
              <w:spacing w:after="0"/>
              <w:rPr>
                <w:sz w:val="18"/>
                <w:szCs w:val="18"/>
                <w:color w:val="auto"/>
              </w:rPr>
            </w:pPr>
          </w:p>
        </w:tc>
      </w:tr>
      <w:tr>
        <w:trPr>
          <w:trHeight w:val="209"/>
        </w:trPr>
        <w:tc>
          <w:tcPr>
            <w:tcW w:w="1360" w:type="dxa"/>
            <w:vAlign w:val="bottom"/>
            <w:tcBorders>
              <w:top w:val="single" w:sz="8" w:color="B2B2B2"/>
            </w:tcBorders>
            <w:shd w:val="clear" w:color="auto" w:fill="B2B2B2"/>
          </w:tcPr>
          <w:p>
            <w:pPr>
              <w:spacing w:after="0"/>
              <w:rPr>
                <w:sz w:val="18"/>
                <w:szCs w:val="18"/>
                <w:color w:val="auto"/>
              </w:rPr>
            </w:pPr>
          </w:p>
        </w:tc>
        <w:tc>
          <w:tcPr>
            <w:tcW w:w="6860" w:type="dxa"/>
            <w:vAlign w:val="bottom"/>
            <w:tcBorders>
              <w:top w:val="single" w:sz="8" w:color="B2B2B2"/>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42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Proceeds from sales of securities available-for-sale</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13,116</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19,629</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70,209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27,130</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securities available-for-sale</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(238,831)</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Net decrease (increase) in loans</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21,093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(191,077)</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Decrease in payments in excess of funding</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10,301</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43,948</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Purchases of premises and equipment,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8"/>
                <w:szCs w:val="18"/>
                <w:color w:val="auto"/>
              </w:rPr>
            </w:pPr>
          </w:p>
        </w:tc>
      </w:tr>
      <w:tr>
        <w:trPr>
          <w:trHeight w:val="209"/>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(125,998)</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(101,753)</w:t>
            </w:r>
          </w:p>
        </w:tc>
        <w:tc>
          <w:tcPr>
            <w:tcW w:w="20" w:type="dxa"/>
            <w:vAlign w:val="bottom"/>
          </w:tcPr>
          <w:p>
            <w:pPr>
              <w:spacing w:after="0"/>
              <w:rPr>
                <w:sz w:val="18"/>
                <w:szCs w:val="18"/>
                <w:color w:val="auto"/>
              </w:rPr>
            </w:pPr>
          </w:p>
        </w:tc>
      </w:tr>
      <w:tr>
        <w:trPr>
          <w:trHeight w:val="209"/>
        </w:trPr>
        <w:tc>
          <w:tcPr>
            <w:tcW w:w="1360" w:type="dxa"/>
            <w:vAlign w:val="bottom"/>
            <w:tcBorders>
              <w:top w:val="single" w:sz="8" w:color="B2B2B2"/>
            </w:tcBorders>
            <w:shd w:val="clear" w:color="auto" w:fill="B2B2B2"/>
          </w:tcPr>
          <w:p>
            <w:pPr>
              <w:spacing w:after="0"/>
              <w:rPr>
                <w:sz w:val="18"/>
                <w:szCs w:val="18"/>
                <w:color w:val="auto"/>
              </w:rPr>
            </w:pPr>
          </w:p>
        </w:tc>
        <w:tc>
          <w:tcPr>
            <w:tcW w:w="6860" w:type="dxa"/>
            <w:vAlign w:val="bottom"/>
            <w:tcBorders>
              <w:top w:val="single" w:sz="8" w:color="B2B2B2"/>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60" w:type="dxa"/>
            <w:vAlign w:val="bottom"/>
            <w:tcBorders>
              <w:top w:val="single" w:sz="8" w:color="B2B2B2"/>
            </w:tcBorders>
            <w:shd w:val="clear" w:color="auto" w:fill="B2B2B2"/>
          </w:tcPr>
          <w:p>
            <w:pPr>
              <w:spacing w:after="0"/>
              <w:rPr>
                <w:sz w:val="18"/>
                <w:szCs w:val="18"/>
                <w:color w:val="auto"/>
              </w:rPr>
            </w:pPr>
          </w:p>
        </w:tc>
        <w:tc>
          <w:tcPr>
            <w:tcW w:w="40" w:type="dxa"/>
            <w:vAlign w:val="bottom"/>
            <w:tcBorders>
              <w:top w:val="single" w:sz="8" w:color="B2B2B2"/>
            </w:tcBorders>
            <w:shd w:val="clear" w:color="auto" w:fill="B2B2B2"/>
          </w:tcPr>
          <w:p>
            <w:pPr>
              <w:spacing w:after="0"/>
              <w:rPr>
                <w:sz w:val="18"/>
                <w:szCs w:val="18"/>
                <w:color w:val="auto"/>
              </w:rPr>
            </w:pPr>
          </w:p>
        </w:tc>
        <w:tc>
          <w:tcPr>
            <w:tcW w:w="42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 noninterest-bearing demand deposits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(71,130)</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(7,524)</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Net increase in interest-bearing demand and savings deposits</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40,759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79,066</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 time deposits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(4,542)</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(2,721)</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Net increase in accounts and drafts payable</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104,184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60,966</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Net decrease in short-term borrowings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(7,761)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(7,811)</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common shares for treasury</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(5,260)</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(5,508)</w:t>
            </w:r>
          </w:p>
        </w:tc>
        <w:tc>
          <w:tcPr>
            <w:tcW w:w="20" w:type="dxa"/>
            <w:vAlign w:val="bottom"/>
          </w:tcPr>
          <w:p>
            <w:pPr>
              <w:spacing w:after="0"/>
              <w:rPr>
                <w:sz w:val="18"/>
                <w:szCs w:val="18"/>
                <w:color w:val="auto"/>
              </w:rPr>
            </w:pPr>
          </w:p>
        </w:tc>
      </w:tr>
      <w:tr>
        <w:trPr>
          <w:trHeight w:val="215"/>
        </w:trPr>
        <w:tc>
          <w:tcPr>
            <w:tcW w:w="8220" w:type="dxa"/>
            <w:vAlign w:val="bottom"/>
            <w:gridSpan w:val="2"/>
          </w:tcPr>
          <w:p>
            <w:pPr>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r>
      <w:tr>
        <w:trPr>
          <w:trHeight w:val="209"/>
        </w:trPr>
        <w:tc>
          <w:tcPr>
            <w:tcW w:w="8220" w:type="dxa"/>
            <w:vAlign w:val="bottom"/>
            <w:tcBorders>
              <w:bottom w:val="single" w:sz="8" w:color="B2B2B2"/>
            </w:tcBorders>
            <w:gridSpan w:val="2"/>
            <w:shd w:val="clear" w:color="auto" w:fill="B2B2B2"/>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55,292</w:t>
            </w:r>
          </w:p>
        </w:tc>
        <w:tc>
          <w:tcPr>
            <w:tcW w:w="60" w:type="dxa"/>
            <w:vAlign w:val="bottom"/>
            <w:tcBorders>
              <w:bottom w:val="single" w:sz="8" w:color="B2B2B2"/>
            </w:tcBorders>
            <w:shd w:val="clear" w:color="auto" w:fill="B2B2B2"/>
          </w:tcPr>
          <w:p>
            <w:pPr>
              <w:spacing w:after="0"/>
              <w:rPr>
                <w:sz w:val="18"/>
                <w:szCs w:val="18"/>
                <w:color w:val="auto"/>
              </w:rPr>
            </w:pPr>
          </w:p>
        </w:tc>
        <w:tc>
          <w:tcPr>
            <w:tcW w:w="40" w:type="dxa"/>
            <w:vAlign w:val="bottom"/>
            <w:tcBorders>
              <w:bottom w:val="single" w:sz="8" w:color="B2B2B2"/>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97,283</w:t>
            </w:r>
          </w:p>
        </w:tc>
        <w:tc>
          <w:tcPr>
            <w:tcW w:w="20" w:type="dxa"/>
            <w:vAlign w:val="bottom"/>
          </w:tcPr>
          <w:p>
            <w:pPr>
              <w:spacing w:after="0"/>
              <w:rPr>
                <w:sz w:val="18"/>
                <w:szCs w:val="18"/>
                <w:color w:val="auto"/>
              </w:rPr>
            </w:pPr>
          </w:p>
        </w:tc>
      </w:tr>
      <w:tr>
        <w:trPr>
          <w:trHeight w:val="209"/>
        </w:trPr>
        <w:tc>
          <w:tcPr>
            <w:tcW w:w="82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(48,947)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28,185</w:t>
            </w:r>
          </w:p>
        </w:tc>
        <w:tc>
          <w:tcPr>
            <w:tcW w:w="20" w:type="dxa"/>
            <w:vAlign w:val="bottom"/>
          </w:tcPr>
          <w:p>
            <w:pPr>
              <w:spacing w:after="0"/>
              <w:rPr>
                <w:sz w:val="18"/>
                <w:szCs w:val="18"/>
                <w:color w:val="auto"/>
              </w:rPr>
            </w:pPr>
          </w:p>
        </w:tc>
      </w:tr>
      <w:tr>
        <w:trPr>
          <w:trHeight w:val="215"/>
        </w:trPr>
        <w:tc>
          <w:tcPr>
            <w:tcW w:w="822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670,528</w:t>
            </w:r>
          </w:p>
        </w:tc>
        <w:tc>
          <w:tcPr>
            <w:tcW w:w="60" w:type="dxa"/>
            <w:vAlign w:val="bottom"/>
            <w:tcBorders>
              <w:bottom w:val="single" w:sz="8" w:color="B2B2B2"/>
            </w:tcBorders>
            <w:shd w:val="clear" w:color="auto" w:fill="B2B2B2"/>
          </w:tcPr>
          <w:p>
            <w:pPr>
              <w:spacing w:after="0"/>
              <w:rPr>
                <w:sz w:val="18"/>
                <w:szCs w:val="18"/>
                <w:color w:val="auto"/>
              </w:rPr>
            </w:pPr>
          </w:p>
        </w:tc>
        <w:tc>
          <w:tcPr>
            <w:tcW w:w="40" w:type="dxa"/>
            <w:vAlign w:val="bottom"/>
            <w:tcBorders>
              <w:bottom w:val="single" w:sz="8" w:color="B2B2B2"/>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203,954</w:t>
            </w:r>
          </w:p>
        </w:tc>
        <w:tc>
          <w:tcPr>
            <w:tcW w:w="20" w:type="dxa"/>
            <w:vAlign w:val="bottom"/>
          </w:tcPr>
          <w:p>
            <w:pPr>
              <w:spacing w:after="0"/>
              <w:rPr>
                <w:sz w:val="18"/>
                <w:szCs w:val="18"/>
                <w:color w:val="auto"/>
              </w:rPr>
            </w:pPr>
          </w:p>
        </w:tc>
      </w:tr>
      <w:tr>
        <w:trPr>
          <w:trHeight w:val="209"/>
        </w:trPr>
        <w:tc>
          <w:tcPr>
            <w:tcW w:w="82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621,581</w:t>
            </w: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232,139</w:t>
            </w:r>
          </w:p>
        </w:tc>
        <w:tc>
          <w:tcPr>
            <w:tcW w:w="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82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Supplemental information:</w:t>
            </w:r>
          </w:p>
        </w:tc>
        <w:tc>
          <w:tcPr>
            <w:tcW w:w="32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8"/>
                <w:szCs w:val="18"/>
                <w:color w:val="auto"/>
              </w:rPr>
            </w:pPr>
          </w:p>
        </w:tc>
      </w:tr>
      <w:tr>
        <w:trPr>
          <w:trHeight w:val="215"/>
        </w:trPr>
        <w:tc>
          <w:tcPr>
            <w:tcW w:w="8220" w:type="dxa"/>
            <w:vAlign w:val="bottom"/>
            <w:gridSpan w:val="2"/>
            <w:shd w:val="clear" w:color="auto" w:fill="B2B2B2"/>
          </w:tcPr>
          <w:p>
            <w:pPr>
              <w:ind w:left="36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B2B2B2"/>
          </w:tcPr>
          <w:p>
            <w:pPr>
              <w:spacing w:after="0"/>
              <w:rPr>
                <w:sz w:val="18"/>
                <w:szCs w:val="18"/>
                <w:color w:val="auto"/>
              </w:rPr>
            </w:pPr>
          </w:p>
        </w:tc>
        <w:tc>
          <w:tcPr>
            <w:tcW w:w="1200" w:type="dxa"/>
            <w:vAlign w:val="bottom"/>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3,164</w:t>
            </w:r>
          </w:p>
        </w:tc>
        <w:tc>
          <w:tcPr>
            <w:tcW w:w="40" w:type="dxa"/>
            <w:vAlign w:val="bottom"/>
            <w:shd w:val="clear" w:color="auto" w:fill="B2B2B2"/>
          </w:tcPr>
          <w:p>
            <w:pPr>
              <w:spacing w:after="0"/>
              <w:rPr>
                <w:sz w:val="18"/>
                <w:szCs w:val="18"/>
                <w:color w:val="auto"/>
              </w:rPr>
            </w:pPr>
          </w:p>
        </w:tc>
        <w:tc>
          <w:tcPr>
            <w:tcW w:w="42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8"/>
                <w:szCs w:val="18"/>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3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5460" w:type="dxa"/>
            <w:vAlign w:val="bottom"/>
            <w:gridSpan w:val="12"/>
          </w:tcPr>
          <w:p>
            <w:pPr>
              <w:jc w:val="center"/>
              <w:ind w:right="37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7220" w:type="dxa"/>
            <w:vAlign w:val="bottom"/>
            <w:gridSpan w:val="13"/>
          </w:tcPr>
          <w:p>
            <w:pPr>
              <w:jc w:val="center"/>
              <w:ind w:left="1230"/>
              <w:spacing w:after="0"/>
              <w:rPr>
                <w:sz w:val="20"/>
                <w:szCs w:val="20"/>
                <w:color w:val="auto"/>
              </w:rPr>
            </w:pPr>
            <w:r>
              <w:rPr>
                <w:rFonts w:ascii="Arial" w:cs="Arial" w:eastAsia="Arial" w:hAnsi="Arial"/>
                <w:sz w:val="18"/>
                <w:szCs w:val="18"/>
                <w:b w:val="1"/>
                <w:bCs w:val="1"/>
                <w:color w:val="auto"/>
                <w:w w:val="99"/>
              </w:rPr>
              <w:t>CONSOLIDATED STATEMENTS OF SHAREHOLDERS’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460" w:type="dxa"/>
            <w:vAlign w:val="bottom"/>
            <w:gridSpan w:val="12"/>
          </w:tcPr>
          <w:p>
            <w:pPr>
              <w:jc w:val="center"/>
              <w:ind w:right="350"/>
              <w:spacing w:after="0"/>
              <w:rPr>
                <w:sz w:val="20"/>
                <w:szCs w:val="20"/>
                <w:color w:val="auto"/>
              </w:rPr>
            </w:pPr>
            <w:r>
              <w:rPr>
                <w:rFonts w:ascii="Arial" w:cs="Arial" w:eastAsia="Arial" w:hAnsi="Arial"/>
                <w:sz w:val="18"/>
                <w:szCs w:val="18"/>
                <w:b w:val="1"/>
                <w:bCs w:val="1"/>
                <w:color w:val="auto"/>
                <w:w w:val="97"/>
              </w:rPr>
              <w:t>THREE AND SIX MONTHS ENDED JUNE 30, 2020 AND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left="170"/>
              <w:spacing w:after="0"/>
              <w:rPr>
                <w:sz w:val="20"/>
                <w:szCs w:val="20"/>
                <w:color w:val="auto"/>
              </w:rPr>
            </w:pPr>
            <w:r>
              <w:rPr>
                <w:rFonts w:ascii="Arial" w:cs="Arial" w:eastAsia="Arial" w:hAnsi="Arial"/>
                <w:sz w:val="18"/>
                <w:szCs w:val="18"/>
                <w:color w:val="auto"/>
                <w:w w:val="91"/>
              </w:rPr>
              <w:t>(Unaudited)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8"/>
          </w:tcPr>
          <w:p>
            <w:pPr>
              <w:jc w:val="center"/>
              <w:ind w:left="370"/>
              <w:spacing w:after="0"/>
              <w:rPr>
                <w:sz w:val="20"/>
                <w:szCs w:val="20"/>
                <w:color w:val="auto"/>
              </w:rPr>
            </w:pPr>
            <w:r>
              <w:rPr>
                <w:rFonts w:ascii="Arial" w:cs="Arial" w:eastAsia="Arial" w:hAnsi="Arial"/>
                <w:sz w:val="18"/>
                <w:szCs w:val="18"/>
                <w:color w:val="auto"/>
                <w:w w:val="88"/>
              </w:rPr>
              <w:t>(Dollars in Thousands except per share data)</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Retained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85"/>
              </w:rPr>
              <w:t>Comprehensive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Earnings</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March 31, 2020</w:t>
            </w:r>
          </w:p>
        </w:tc>
        <w:tc>
          <w:tcPr>
            <w:tcW w:w="140" w:type="dxa"/>
            <w:vAlign w:val="bottom"/>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203,801</w:t>
            </w:r>
          </w:p>
        </w:tc>
        <w:tc>
          <w:tcPr>
            <w:tcW w:w="120" w:type="dxa"/>
            <w:vAlign w:val="bottom"/>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93,968</w:t>
            </w:r>
          </w:p>
        </w:tc>
        <w:tc>
          <w:tcPr>
            <w:tcW w:w="100" w:type="dxa"/>
            <w:vAlign w:val="bottom"/>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(49,800)</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B2B2B2"/>
          </w:tcPr>
          <w:p>
            <w:pPr>
              <w:spacing w:after="0"/>
              <w:rPr>
                <w:sz w:val="15"/>
                <w:szCs w:val="15"/>
                <w:color w:val="auto"/>
              </w:rPr>
            </w:pPr>
          </w:p>
        </w:tc>
        <w:tc>
          <w:tcPr>
            <w:tcW w:w="17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8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10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140" w:type="dxa"/>
            <w:vAlign w:val="bottom"/>
            <w:gridSpan w:val="2"/>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60" w:type="dxa"/>
            <w:vAlign w:val="bottom"/>
            <w:shd w:val="clear" w:color="auto" w:fill="B2B2B2"/>
          </w:tcPr>
          <w:p>
            <w:pPr>
              <w:spacing w:after="0"/>
              <w:rPr>
                <w:sz w:val="15"/>
                <w:szCs w:val="15"/>
                <w:color w:val="auto"/>
              </w:rPr>
            </w:pPr>
          </w:p>
        </w:tc>
        <w:tc>
          <w:tcPr>
            <w:tcW w:w="100" w:type="dxa"/>
            <w:vAlign w:val="bottom"/>
            <w:tcBorders>
              <w:lef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120" w:type="dxa"/>
            <w:vAlign w:val="bottom"/>
            <w:tcBorders>
              <w:left w:val="single" w:sz="8" w:color="B2B2B2"/>
            </w:tcBorders>
            <w:shd w:val="clear" w:color="auto" w:fill="B2B2B2"/>
          </w:tcPr>
          <w:p>
            <w:pPr>
              <w:spacing w:after="0"/>
              <w:rPr>
                <w:sz w:val="15"/>
                <w:szCs w:val="15"/>
                <w:color w:val="auto"/>
              </w:rPr>
            </w:pPr>
          </w:p>
        </w:tc>
        <w:tc>
          <w:tcPr>
            <w:tcW w:w="240" w:type="dxa"/>
            <w:vAlign w:val="bottom"/>
            <w:shd w:val="clear" w:color="auto" w:fill="B2B2B2"/>
          </w:tcPr>
          <w:p>
            <w:pPr>
              <w:spacing w:after="0"/>
              <w:rPr>
                <w:sz w:val="15"/>
                <w:szCs w:val="15"/>
                <w:color w:val="auto"/>
              </w:rPr>
            </w:pPr>
          </w:p>
        </w:tc>
        <w:tc>
          <w:tcPr>
            <w:tcW w:w="98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5,439</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($.27 per share)</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(3,893)</w:t>
            </w: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88"/>
              </w:rPr>
              <w:t>Issuance of 9,292 common shares pursuant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4"/>
              </w:rPr>
              <w:t>to stock-based compensation plan,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June 30, 2020</w:t>
            </w:r>
          </w:p>
        </w:tc>
        <w:tc>
          <w:tcPr>
            <w:tcW w:w="140" w:type="dxa"/>
            <w:vAlign w:val="bottom"/>
            <w:shd w:val="clear" w:color="auto" w:fill="B2B2B2"/>
          </w:tcPr>
          <w:p>
            <w:pPr>
              <w:spacing w:after="0"/>
              <w:rPr>
                <w:sz w:val="21"/>
                <w:szCs w:val="21"/>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2B2B2"/>
          </w:tcPr>
          <w:p>
            <w:pPr>
              <w:spacing w:after="0"/>
              <w:rPr>
                <w:sz w:val="21"/>
                <w:szCs w:val="21"/>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204,258</w:t>
            </w:r>
          </w:p>
        </w:tc>
        <w:tc>
          <w:tcPr>
            <w:tcW w:w="120" w:type="dxa"/>
            <w:vAlign w:val="bottom"/>
            <w:shd w:val="clear" w:color="auto" w:fill="B2B2B2"/>
          </w:tcPr>
          <w:p>
            <w:pPr>
              <w:spacing w:after="0"/>
              <w:rPr>
                <w:sz w:val="21"/>
                <w:szCs w:val="21"/>
                <w:color w:val="auto"/>
              </w:rPr>
            </w:pP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95,514</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(49,457)</w:t>
            </w:r>
          </w:p>
        </w:tc>
        <w:tc>
          <w:tcPr>
            <w:tcW w:w="200" w:type="dxa"/>
            <w:vAlign w:val="bottom"/>
            <w:tcBorders>
              <w:left w:val="single" w:sz="8" w:color="B2B2B2"/>
            </w:tcBorders>
            <w:gridSpan w:val="2"/>
            <w:shd w:val="clear" w:color="auto" w:fill="B2B2B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(9,541)</w:t>
            </w:r>
          </w:p>
        </w:tc>
        <w:tc>
          <w:tcPr>
            <w:tcW w:w="360" w:type="dxa"/>
            <w:vAlign w:val="bottom"/>
            <w:tcBorders>
              <w:left w:val="single" w:sz="8" w:color="B2B2B2"/>
            </w:tcBorders>
            <w:gridSpan w:val="2"/>
            <w:shd w:val="clear" w:color="auto" w:fill="B2B2B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248,527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60" w:type="dxa"/>
            <w:vAlign w:val="bottom"/>
            <w:tcBorders>
              <w:top w:val="single" w:sz="8" w:color="B2B2B2"/>
              <w:bottom w:val="single" w:sz="8" w:color="auto"/>
            </w:tcBorders>
            <w:shd w:val="clear" w:color="auto" w:fill="B2B2B2"/>
          </w:tcPr>
          <w:p>
            <w:pPr>
              <w:spacing w:after="0"/>
              <w:rPr>
                <w:sz w:val="17"/>
                <w:szCs w:val="17"/>
                <w:color w:val="auto"/>
              </w:rPr>
            </w:pPr>
          </w:p>
        </w:tc>
        <w:tc>
          <w:tcPr>
            <w:tcW w:w="1760" w:type="dxa"/>
            <w:vAlign w:val="bottom"/>
            <w:tcBorders>
              <w:top w:val="single" w:sz="8" w:color="B2B2B2"/>
              <w:bottom w:val="single" w:sz="8" w:color="auto"/>
            </w:tcBorders>
            <w:shd w:val="clear" w:color="auto" w:fill="B2B2B2"/>
          </w:tcPr>
          <w:p>
            <w:pPr>
              <w:spacing w:after="0"/>
              <w:rPr>
                <w:sz w:val="17"/>
                <w:szCs w:val="17"/>
                <w:color w:val="auto"/>
              </w:rPr>
            </w:pPr>
          </w:p>
        </w:tc>
        <w:tc>
          <w:tcPr>
            <w:tcW w:w="140" w:type="dxa"/>
            <w:vAlign w:val="bottom"/>
            <w:tcBorders>
              <w:top w:val="single" w:sz="8" w:color="B2B2B2"/>
              <w:bottom w:val="single" w:sz="8" w:color="auto"/>
            </w:tcBorders>
            <w:shd w:val="clear" w:color="auto" w:fill="B2B2B2"/>
          </w:tcPr>
          <w:p>
            <w:pPr>
              <w:spacing w:after="0"/>
              <w:rPr>
                <w:sz w:val="17"/>
                <w:szCs w:val="17"/>
                <w:color w:val="auto"/>
              </w:rPr>
            </w:pPr>
          </w:p>
        </w:tc>
        <w:tc>
          <w:tcPr>
            <w:tcW w:w="180" w:type="dxa"/>
            <w:vAlign w:val="bottom"/>
            <w:tcBorders>
              <w:top w:val="single" w:sz="8" w:color="auto"/>
              <w:bottom w:val="single" w:sz="8" w:color="auto"/>
            </w:tcBorders>
            <w:shd w:val="clear" w:color="auto" w:fill="B2B2B2"/>
          </w:tcPr>
          <w:p>
            <w:pPr>
              <w:spacing w:after="0"/>
              <w:rPr>
                <w:sz w:val="17"/>
                <w:szCs w:val="17"/>
                <w:color w:val="auto"/>
              </w:rPr>
            </w:pPr>
          </w:p>
        </w:tc>
        <w:tc>
          <w:tcPr>
            <w:tcW w:w="1080" w:type="dxa"/>
            <w:vAlign w:val="bottom"/>
            <w:tcBorders>
              <w:top w:val="single" w:sz="8" w:color="auto"/>
              <w:bottom w:val="single" w:sz="8" w:color="auto"/>
            </w:tcBorders>
            <w:shd w:val="clear" w:color="auto" w:fill="B2B2B2"/>
          </w:tcPr>
          <w:p>
            <w:pPr>
              <w:spacing w:after="0"/>
              <w:rPr>
                <w:sz w:val="17"/>
                <w:szCs w:val="17"/>
                <w:color w:val="auto"/>
              </w:rPr>
            </w:pPr>
          </w:p>
        </w:tc>
        <w:tc>
          <w:tcPr>
            <w:tcW w:w="120" w:type="dxa"/>
            <w:vAlign w:val="bottom"/>
            <w:tcBorders>
              <w:top w:val="single" w:sz="8" w:color="B2B2B2"/>
              <w:bottom w:val="single" w:sz="8" w:color="auto"/>
            </w:tcBorders>
            <w:shd w:val="clear" w:color="auto" w:fill="B2B2B2"/>
          </w:tcPr>
          <w:p>
            <w:pPr>
              <w:spacing w:after="0"/>
              <w:rPr>
                <w:sz w:val="17"/>
                <w:szCs w:val="17"/>
                <w:color w:val="auto"/>
              </w:rPr>
            </w:pPr>
          </w:p>
        </w:tc>
        <w:tc>
          <w:tcPr>
            <w:tcW w:w="160" w:type="dxa"/>
            <w:vAlign w:val="bottom"/>
            <w:tcBorders>
              <w:top w:val="single" w:sz="8" w:color="auto"/>
              <w:bottom w:val="single" w:sz="8" w:color="auto"/>
            </w:tcBorders>
            <w:shd w:val="clear" w:color="auto" w:fill="B2B2B2"/>
          </w:tcPr>
          <w:p>
            <w:pPr>
              <w:spacing w:after="0"/>
              <w:rPr>
                <w:sz w:val="17"/>
                <w:szCs w:val="17"/>
                <w:color w:val="auto"/>
              </w:rPr>
            </w:pPr>
          </w:p>
        </w:tc>
        <w:tc>
          <w:tcPr>
            <w:tcW w:w="1100" w:type="dxa"/>
            <w:vAlign w:val="bottom"/>
            <w:tcBorders>
              <w:top w:val="single" w:sz="8" w:color="auto"/>
              <w:bottom w:val="single" w:sz="8" w:color="auto"/>
            </w:tcBorders>
            <w:shd w:val="clear" w:color="auto" w:fill="B2B2B2"/>
          </w:tcPr>
          <w:p>
            <w:pPr>
              <w:spacing w:after="0"/>
              <w:rPr>
                <w:sz w:val="17"/>
                <w:szCs w:val="17"/>
                <w:color w:val="auto"/>
              </w:rPr>
            </w:pPr>
          </w:p>
        </w:tc>
        <w:tc>
          <w:tcPr>
            <w:tcW w:w="120" w:type="dxa"/>
            <w:vAlign w:val="bottom"/>
            <w:tcBorders>
              <w:top w:val="single" w:sz="8" w:color="B2B2B2"/>
              <w:bottom w:val="single" w:sz="8" w:color="auto"/>
            </w:tcBorders>
            <w:shd w:val="clear" w:color="auto" w:fill="B2B2B2"/>
          </w:tcPr>
          <w:p>
            <w:pPr>
              <w:spacing w:after="0"/>
              <w:rPr>
                <w:sz w:val="17"/>
                <w:szCs w:val="17"/>
                <w:color w:val="auto"/>
              </w:rPr>
            </w:pPr>
          </w:p>
        </w:tc>
        <w:tc>
          <w:tcPr>
            <w:tcW w:w="180" w:type="dxa"/>
            <w:vAlign w:val="bottom"/>
            <w:tcBorders>
              <w:top w:val="single" w:sz="8" w:color="auto"/>
              <w:bottom w:val="single" w:sz="8" w:color="auto"/>
            </w:tcBorders>
            <w:shd w:val="clear" w:color="auto" w:fill="B2B2B2"/>
          </w:tcPr>
          <w:p>
            <w:pPr>
              <w:spacing w:after="0"/>
              <w:rPr>
                <w:sz w:val="17"/>
                <w:szCs w:val="17"/>
                <w:color w:val="auto"/>
              </w:rPr>
            </w:pPr>
          </w:p>
        </w:tc>
        <w:tc>
          <w:tcPr>
            <w:tcW w:w="1040" w:type="dxa"/>
            <w:vAlign w:val="bottom"/>
            <w:tcBorders>
              <w:top w:val="single" w:sz="8" w:color="auto"/>
              <w:bottom w:val="single" w:sz="8" w:color="auto"/>
            </w:tcBorders>
            <w:shd w:val="clear" w:color="auto" w:fill="B2B2B2"/>
          </w:tcPr>
          <w:p>
            <w:pPr>
              <w:spacing w:after="0"/>
              <w:rPr>
                <w:sz w:val="17"/>
                <w:szCs w:val="17"/>
                <w:color w:val="auto"/>
              </w:rPr>
            </w:pPr>
          </w:p>
        </w:tc>
        <w:tc>
          <w:tcPr>
            <w:tcW w:w="100" w:type="dxa"/>
            <w:vAlign w:val="bottom"/>
            <w:tcBorders>
              <w:top w:val="single" w:sz="8" w:color="B2B2B2"/>
              <w:bottom w:val="single" w:sz="8" w:color="auto"/>
            </w:tcBorders>
            <w:shd w:val="clear" w:color="auto" w:fill="B2B2B2"/>
          </w:tcPr>
          <w:p>
            <w:pPr>
              <w:spacing w:after="0"/>
              <w:rPr>
                <w:sz w:val="17"/>
                <w:szCs w:val="17"/>
                <w:color w:val="auto"/>
              </w:rPr>
            </w:pPr>
          </w:p>
        </w:tc>
        <w:tc>
          <w:tcPr>
            <w:tcW w:w="180" w:type="dxa"/>
            <w:vAlign w:val="bottom"/>
            <w:tcBorders>
              <w:top w:val="single" w:sz="8" w:color="auto"/>
              <w:bottom w:val="single" w:sz="8" w:color="auto"/>
            </w:tcBorders>
            <w:shd w:val="clear" w:color="auto" w:fill="B2B2B2"/>
          </w:tcPr>
          <w:p>
            <w:pPr>
              <w:spacing w:after="0"/>
              <w:rPr>
                <w:sz w:val="17"/>
                <w:szCs w:val="17"/>
                <w:color w:val="auto"/>
              </w:rPr>
            </w:pPr>
          </w:p>
        </w:tc>
        <w:tc>
          <w:tcPr>
            <w:tcW w:w="1060" w:type="dxa"/>
            <w:vAlign w:val="bottom"/>
            <w:tcBorders>
              <w:top w:val="single" w:sz="8" w:color="auto"/>
              <w:bottom w:val="single" w:sz="8" w:color="auto"/>
            </w:tcBorders>
            <w:shd w:val="clear" w:color="auto" w:fill="B2B2B2"/>
          </w:tcPr>
          <w:p>
            <w:pPr>
              <w:spacing w:after="0"/>
              <w:rPr>
                <w:sz w:val="17"/>
                <w:szCs w:val="17"/>
                <w:color w:val="auto"/>
              </w:rPr>
            </w:pPr>
          </w:p>
        </w:tc>
        <w:tc>
          <w:tcPr>
            <w:tcW w:w="100" w:type="dxa"/>
            <w:vAlign w:val="bottom"/>
            <w:tcBorders>
              <w:top w:val="single" w:sz="8" w:color="B2B2B2"/>
              <w:left w:val="single" w:sz="8" w:color="B2B2B2"/>
              <w:bottom w:val="single" w:sz="8" w:color="auto"/>
            </w:tcBorders>
            <w:shd w:val="clear" w:color="auto" w:fill="B2B2B2"/>
          </w:tcPr>
          <w:p>
            <w:pPr>
              <w:spacing w:after="0"/>
              <w:rPr>
                <w:sz w:val="17"/>
                <w:szCs w:val="17"/>
                <w:color w:val="auto"/>
              </w:rPr>
            </w:pPr>
          </w:p>
        </w:tc>
        <w:tc>
          <w:tcPr>
            <w:tcW w:w="100" w:type="dxa"/>
            <w:vAlign w:val="bottom"/>
            <w:tcBorders>
              <w:top w:val="single" w:sz="8" w:color="auto"/>
              <w:bottom w:val="single" w:sz="8" w:color="auto"/>
            </w:tcBorders>
            <w:shd w:val="clear" w:color="auto" w:fill="B2B2B2"/>
          </w:tcPr>
          <w:p>
            <w:pPr>
              <w:spacing w:after="0"/>
              <w:rPr>
                <w:sz w:val="17"/>
                <w:szCs w:val="17"/>
                <w:color w:val="auto"/>
              </w:rPr>
            </w:pPr>
          </w:p>
        </w:tc>
        <w:tc>
          <w:tcPr>
            <w:tcW w:w="1120" w:type="dxa"/>
            <w:vAlign w:val="bottom"/>
            <w:tcBorders>
              <w:top w:val="single" w:sz="8" w:color="auto"/>
              <w:bottom w:val="single" w:sz="8" w:color="auto"/>
            </w:tcBorders>
            <w:shd w:val="clear" w:color="auto" w:fill="B2B2B2"/>
          </w:tcPr>
          <w:p>
            <w:pPr>
              <w:spacing w:after="0"/>
              <w:rPr>
                <w:sz w:val="17"/>
                <w:szCs w:val="17"/>
                <w:color w:val="auto"/>
              </w:rPr>
            </w:pPr>
          </w:p>
        </w:tc>
        <w:tc>
          <w:tcPr>
            <w:tcW w:w="120" w:type="dxa"/>
            <w:vAlign w:val="bottom"/>
            <w:tcBorders>
              <w:top w:val="single" w:sz="8" w:color="B2B2B2"/>
              <w:left w:val="single" w:sz="8" w:color="B2B2B2"/>
              <w:bottom w:val="single" w:sz="8" w:color="auto"/>
            </w:tcBorders>
            <w:shd w:val="clear" w:color="auto" w:fill="B2B2B2"/>
          </w:tcPr>
          <w:p>
            <w:pPr>
              <w:spacing w:after="0"/>
              <w:rPr>
                <w:sz w:val="17"/>
                <w:szCs w:val="17"/>
                <w:color w:val="auto"/>
              </w:rPr>
            </w:pPr>
          </w:p>
        </w:tc>
        <w:tc>
          <w:tcPr>
            <w:tcW w:w="240" w:type="dxa"/>
            <w:vAlign w:val="bottom"/>
            <w:tcBorders>
              <w:top w:val="single" w:sz="8" w:color="auto"/>
              <w:bottom w:val="single" w:sz="8" w:color="auto"/>
            </w:tcBorders>
            <w:shd w:val="clear" w:color="auto" w:fill="B2B2B2"/>
          </w:tcPr>
          <w:p>
            <w:pPr>
              <w:spacing w:after="0"/>
              <w:rPr>
                <w:sz w:val="17"/>
                <w:szCs w:val="17"/>
                <w:color w:val="auto"/>
              </w:rPr>
            </w:pPr>
          </w:p>
        </w:tc>
        <w:tc>
          <w:tcPr>
            <w:tcW w:w="980" w:type="dxa"/>
            <w:vAlign w:val="bottom"/>
            <w:tcBorders>
              <w:top w:val="single" w:sz="8" w:color="auto"/>
              <w:bottom w:val="single" w:sz="8" w:color="auto"/>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March 31, 2021</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2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202,828</w:t>
            </w: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102,247</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(49,949)</w:t>
            </w:r>
          </w:p>
        </w:tc>
        <w:tc>
          <w:tcPr>
            <w:tcW w:w="200" w:type="dxa"/>
            <w:vAlign w:val="bottom"/>
            <w:tcBorders>
              <w:left w:val="single" w:sz="8" w:color="B2B2B2"/>
            </w:tcBorders>
            <w:gridSpan w:val="2"/>
            <w:shd w:val="clear" w:color="auto" w:fill="B2B2B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(3,392)</w:t>
            </w:r>
          </w:p>
        </w:tc>
        <w:tc>
          <w:tcPr>
            <w:tcW w:w="360" w:type="dxa"/>
            <w:vAlign w:val="bottom"/>
            <w:tcBorders>
              <w:left w:val="single" w:sz="8" w:color="B2B2B2"/>
            </w:tcBorders>
            <w:gridSpan w:val="2"/>
            <w:shd w:val="clear" w:color="auto" w:fill="B2B2B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259,487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B2B2B2"/>
          </w:tcPr>
          <w:p>
            <w:pPr>
              <w:spacing w:after="0"/>
              <w:rPr>
                <w:sz w:val="15"/>
                <w:szCs w:val="15"/>
                <w:color w:val="auto"/>
              </w:rPr>
            </w:pPr>
          </w:p>
        </w:tc>
        <w:tc>
          <w:tcPr>
            <w:tcW w:w="17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8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10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140" w:type="dxa"/>
            <w:vAlign w:val="bottom"/>
            <w:gridSpan w:val="2"/>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60" w:type="dxa"/>
            <w:vAlign w:val="bottom"/>
            <w:shd w:val="clear" w:color="auto" w:fill="B2B2B2"/>
          </w:tcPr>
          <w:p>
            <w:pPr>
              <w:spacing w:after="0"/>
              <w:rPr>
                <w:sz w:val="15"/>
                <w:szCs w:val="15"/>
                <w:color w:val="auto"/>
              </w:rPr>
            </w:pPr>
          </w:p>
        </w:tc>
        <w:tc>
          <w:tcPr>
            <w:tcW w:w="100" w:type="dxa"/>
            <w:vAlign w:val="bottom"/>
            <w:tcBorders>
              <w:lef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120" w:type="dxa"/>
            <w:vAlign w:val="bottom"/>
            <w:tcBorders>
              <w:left w:val="single" w:sz="8" w:color="B2B2B2"/>
            </w:tcBorders>
            <w:shd w:val="clear" w:color="auto" w:fill="B2B2B2"/>
          </w:tcPr>
          <w:p>
            <w:pPr>
              <w:spacing w:after="0"/>
              <w:rPr>
                <w:sz w:val="15"/>
                <w:szCs w:val="15"/>
                <w:color w:val="auto"/>
              </w:rPr>
            </w:pPr>
          </w:p>
        </w:tc>
        <w:tc>
          <w:tcPr>
            <w:tcW w:w="240" w:type="dxa"/>
            <w:vAlign w:val="bottom"/>
            <w:shd w:val="clear" w:color="auto" w:fill="B2B2B2"/>
          </w:tcPr>
          <w:p>
            <w:pPr>
              <w:spacing w:after="0"/>
              <w:rPr>
                <w:sz w:val="15"/>
                <w:szCs w:val="15"/>
                <w:color w:val="auto"/>
              </w:rPr>
            </w:pPr>
          </w:p>
        </w:tc>
        <w:tc>
          <w:tcPr>
            <w:tcW w:w="98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7,026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($.27 per share)</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(3,875)</w:t>
            </w: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w w:val="88"/>
              </w:rPr>
              <w:t>Issuance of 9,720 common shares pursuant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4"/>
              </w:rPr>
              <w:t>to stock-based compensation plan,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Exercise of SARs</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89,010 common shares</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June 30, 2021</w:t>
            </w:r>
          </w:p>
        </w:tc>
        <w:tc>
          <w:tcPr>
            <w:tcW w:w="140" w:type="dxa"/>
            <w:vAlign w:val="bottom"/>
            <w:shd w:val="clear" w:color="auto" w:fill="B2B2B2"/>
          </w:tcPr>
          <w:p>
            <w:pPr>
              <w:spacing w:after="0"/>
              <w:rPr>
                <w:sz w:val="21"/>
                <w:szCs w:val="21"/>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2B2B2"/>
          </w:tcPr>
          <w:p>
            <w:pPr>
              <w:spacing w:after="0"/>
              <w:rPr>
                <w:sz w:val="21"/>
                <w:szCs w:val="21"/>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203,098</w:t>
            </w:r>
          </w:p>
        </w:tc>
        <w:tc>
          <w:tcPr>
            <w:tcW w:w="120" w:type="dxa"/>
            <w:vAlign w:val="bottom"/>
            <w:shd w:val="clear" w:color="auto" w:fill="B2B2B2"/>
          </w:tcPr>
          <w:p>
            <w:pPr>
              <w:spacing w:after="0"/>
              <w:rPr>
                <w:sz w:val="21"/>
                <w:szCs w:val="21"/>
                <w:color w:val="auto"/>
              </w:rPr>
            </w:pP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105,398</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(53,437)</w:t>
            </w:r>
          </w:p>
        </w:tc>
        <w:tc>
          <w:tcPr>
            <w:tcW w:w="200" w:type="dxa"/>
            <w:vAlign w:val="bottom"/>
            <w:tcBorders>
              <w:left w:val="single" w:sz="8" w:color="B2B2B2"/>
            </w:tcBorders>
            <w:gridSpan w:val="2"/>
            <w:shd w:val="clear" w:color="auto" w:fill="B2B2B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(2,045)</w:t>
            </w:r>
          </w:p>
        </w:tc>
        <w:tc>
          <w:tcPr>
            <w:tcW w:w="360" w:type="dxa"/>
            <w:vAlign w:val="bottom"/>
            <w:tcBorders>
              <w:left w:val="single" w:sz="8" w:color="B2B2B2"/>
            </w:tcBorders>
            <w:gridSpan w:val="2"/>
            <w:shd w:val="clear" w:color="auto" w:fill="B2B2B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260,767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1360" w:type="dxa"/>
            <w:vAlign w:val="bottom"/>
            <w:tcBorders>
              <w:top w:val="single" w:sz="8" w:color="B2B2B2"/>
            </w:tcBorders>
          </w:tcPr>
          <w:p>
            <w:pPr>
              <w:spacing w:after="0"/>
              <w:rPr>
                <w:sz w:val="24"/>
                <w:szCs w:val="24"/>
                <w:color w:val="auto"/>
              </w:rPr>
            </w:pPr>
          </w:p>
        </w:tc>
        <w:tc>
          <w:tcPr>
            <w:tcW w:w="1760" w:type="dxa"/>
            <w:vAlign w:val="bottom"/>
            <w:tcBorders>
              <w:top w:val="single" w:sz="8" w:color="B2B2B2"/>
            </w:tcBorders>
          </w:tcPr>
          <w:p>
            <w:pPr>
              <w:spacing w:after="0"/>
              <w:rPr>
                <w:sz w:val="24"/>
                <w:szCs w:val="24"/>
                <w:color w:val="auto"/>
              </w:rPr>
            </w:pPr>
          </w:p>
        </w:tc>
        <w:tc>
          <w:tcPr>
            <w:tcW w:w="140" w:type="dxa"/>
            <w:vAlign w:val="bottom"/>
            <w:tcBorders>
              <w:top w:val="single" w:sz="8" w:color="B2B2B2"/>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B2B2B2"/>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B2B2B2"/>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B2B2B2"/>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B2B2B2"/>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Borders>
              <w:top w:val="single" w:sz="8" w:color="B2B2B2"/>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Retained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85"/>
              </w:rPr>
              <w:t>Comprehensive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Earnings</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December 31, 2019</w:t>
            </w:r>
          </w:p>
        </w:tc>
        <w:tc>
          <w:tcPr>
            <w:tcW w:w="140" w:type="dxa"/>
            <w:vAlign w:val="bottom"/>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205,397</w:t>
            </w:r>
          </w:p>
        </w:tc>
        <w:tc>
          <w:tcPr>
            <w:tcW w:w="120" w:type="dxa"/>
            <w:vAlign w:val="bottom"/>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90,341</w:t>
            </w:r>
          </w:p>
        </w:tc>
        <w:tc>
          <w:tcPr>
            <w:tcW w:w="100" w:type="dxa"/>
            <w:vAlign w:val="bottom"/>
            <w:shd w:val="clear" w:color="auto" w:fill="B2B2B2"/>
          </w:tcPr>
          <w:p>
            <w:pPr>
              <w:spacing w:after="0"/>
              <w:rPr>
                <w:sz w:val="18"/>
                <w:szCs w:val="18"/>
                <w:color w:val="auto"/>
              </w:rPr>
            </w:pP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(45,381)</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(13,920)</w:t>
            </w: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244,190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B2B2B2"/>
          </w:tcPr>
          <w:p>
            <w:pPr>
              <w:spacing w:after="0"/>
              <w:rPr>
                <w:sz w:val="15"/>
                <w:szCs w:val="15"/>
                <w:color w:val="auto"/>
              </w:rPr>
            </w:pPr>
          </w:p>
        </w:tc>
        <w:tc>
          <w:tcPr>
            <w:tcW w:w="17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8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10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140" w:type="dxa"/>
            <w:vAlign w:val="bottom"/>
            <w:gridSpan w:val="2"/>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60" w:type="dxa"/>
            <w:vAlign w:val="bottom"/>
            <w:shd w:val="clear" w:color="auto" w:fill="B2B2B2"/>
          </w:tcPr>
          <w:p>
            <w:pPr>
              <w:spacing w:after="0"/>
              <w:rPr>
                <w:sz w:val="15"/>
                <w:szCs w:val="15"/>
                <w:color w:val="auto"/>
              </w:rPr>
            </w:pPr>
          </w:p>
        </w:tc>
        <w:tc>
          <w:tcPr>
            <w:tcW w:w="100" w:type="dxa"/>
            <w:vAlign w:val="bottom"/>
            <w:tcBorders>
              <w:lef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120" w:type="dxa"/>
            <w:vAlign w:val="bottom"/>
            <w:tcBorders>
              <w:left w:val="single" w:sz="8" w:color="B2B2B2"/>
            </w:tcBorders>
            <w:shd w:val="clear" w:color="auto" w:fill="B2B2B2"/>
          </w:tcPr>
          <w:p>
            <w:pPr>
              <w:spacing w:after="0"/>
              <w:rPr>
                <w:sz w:val="15"/>
                <w:szCs w:val="15"/>
                <w:color w:val="auto"/>
              </w:rPr>
            </w:pPr>
          </w:p>
        </w:tc>
        <w:tc>
          <w:tcPr>
            <w:tcW w:w="240" w:type="dxa"/>
            <w:vAlign w:val="bottom"/>
            <w:shd w:val="clear" w:color="auto" w:fill="B2B2B2"/>
          </w:tcPr>
          <w:p>
            <w:pPr>
              <w:spacing w:after="0"/>
              <w:rPr>
                <w:sz w:val="15"/>
                <w:szCs w:val="15"/>
                <w:color w:val="auto"/>
              </w:rPr>
            </w:pPr>
          </w:p>
        </w:tc>
        <w:tc>
          <w:tcPr>
            <w:tcW w:w="98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12,984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($.54 per share)</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(7,811)</w:t>
            </w: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40" w:type="dxa"/>
            <w:vAlign w:val="bottom"/>
            <w:gridSpan w:val="4"/>
          </w:tcPr>
          <w:p>
            <w:pPr>
              <w:spacing w:after="0" w:line="201" w:lineRule="exact"/>
              <w:rPr>
                <w:sz w:val="20"/>
                <w:szCs w:val="20"/>
                <w:color w:val="auto"/>
              </w:rPr>
            </w:pPr>
            <w:r>
              <w:rPr>
                <w:rFonts w:ascii="Arial" w:cs="Arial" w:eastAsia="Arial" w:hAnsi="Arial"/>
                <w:sz w:val="18"/>
                <w:szCs w:val="18"/>
                <w:color w:val="auto"/>
                <w:w w:val="94"/>
              </w:rPr>
              <w:t>Issuance of 66,625 common shares pursuant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4"/>
              </w:rPr>
              <w:t>to stock-based compensation plan,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(2,374)</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Exercise of SARs</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128,779 common shares</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June 30, 2020</w:t>
            </w:r>
          </w:p>
        </w:tc>
        <w:tc>
          <w:tcPr>
            <w:tcW w:w="140" w:type="dxa"/>
            <w:vAlign w:val="bottom"/>
            <w:shd w:val="clear" w:color="auto" w:fill="B2B2B2"/>
          </w:tcPr>
          <w:p>
            <w:pPr>
              <w:spacing w:after="0"/>
              <w:rPr>
                <w:sz w:val="21"/>
                <w:szCs w:val="21"/>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2B2B2"/>
          </w:tcPr>
          <w:p>
            <w:pPr>
              <w:spacing w:after="0"/>
              <w:rPr>
                <w:sz w:val="21"/>
                <w:szCs w:val="21"/>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204,258</w:t>
            </w:r>
          </w:p>
        </w:tc>
        <w:tc>
          <w:tcPr>
            <w:tcW w:w="120" w:type="dxa"/>
            <w:vAlign w:val="bottom"/>
            <w:shd w:val="clear" w:color="auto" w:fill="B2B2B2"/>
          </w:tcPr>
          <w:p>
            <w:pPr>
              <w:spacing w:after="0"/>
              <w:rPr>
                <w:sz w:val="21"/>
                <w:szCs w:val="21"/>
                <w:color w:val="auto"/>
              </w:rPr>
            </w:pP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95,514</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(49,457)</w:t>
            </w:r>
          </w:p>
        </w:tc>
        <w:tc>
          <w:tcPr>
            <w:tcW w:w="200" w:type="dxa"/>
            <w:vAlign w:val="bottom"/>
            <w:tcBorders>
              <w:left w:val="single" w:sz="8" w:color="B2B2B2"/>
            </w:tcBorders>
            <w:gridSpan w:val="2"/>
            <w:shd w:val="clear" w:color="auto" w:fill="B2B2B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(9,541)</w:t>
            </w:r>
          </w:p>
        </w:tc>
        <w:tc>
          <w:tcPr>
            <w:tcW w:w="360" w:type="dxa"/>
            <w:vAlign w:val="bottom"/>
            <w:tcBorders>
              <w:left w:val="single" w:sz="8" w:color="B2B2B2"/>
            </w:tcBorders>
            <w:gridSpan w:val="2"/>
            <w:shd w:val="clear" w:color="auto" w:fill="B2B2B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248,527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60" w:type="dxa"/>
            <w:vAlign w:val="bottom"/>
            <w:tcBorders>
              <w:top w:val="single" w:sz="8" w:color="B2B2B2"/>
              <w:bottom w:val="single" w:sz="8" w:color="auto"/>
            </w:tcBorders>
            <w:shd w:val="clear" w:color="auto" w:fill="B2B2B2"/>
          </w:tcPr>
          <w:p>
            <w:pPr>
              <w:spacing w:after="0"/>
              <w:rPr>
                <w:sz w:val="17"/>
                <w:szCs w:val="17"/>
                <w:color w:val="auto"/>
              </w:rPr>
            </w:pPr>
          </w:p>
        </w:tc>
        <w:tc>
          <w:tcPr>
            <w:tcW w:w="1760" w:type="dxa"/>
            <w:vAlign w:val="bottom"/>
            <w:tcBorders>
              <w:top w:val="single" w:sz="8" w:color="B2B2B2"/>
              <w:bottom w:val="single" w:sz="8" w:color="auto"/>
            </w:tcBorders>
            <w:shd w:val="clear" w:color="auto" w:fill="B2B2B2"/>
          </w:tcPr>
          <w:p>
            <w:pPr>
              <w:spacing w:after="0"/>
              <w:rPr>
                <w:sz w:val="17"/>
                <w:szCs w:val="17"/>
                <w:color w:val="auto"/>
              </w:rPr>
            </w:pPr>
          </w:p>
        </w:tc>
        <w:tc>
          <w:tcPr>
            <w:tcW w:w="140" w:type="dxa"/>
            <w:vAlign w:val="bottom"/>
            <w:tcBorders>
              <w:top w:val="single" w:sz="8" w:color="B2B2B2"/>
              <w:bottom w:val="single" w:sz="8" w:color="auto"/>
            </w:tcBorders>
            <w:shd w:val="clear" w:color="auto" w:fill="B2B2B2"/>
          </w:tcPr>
          <w:p>
            <w:pPr>
              <w:spacing w:after="0"/>
              <w:rPr>
                <w:sz w:val="17"/>
                <w:szCs w:val="17"/>
                <w:color w:val="auto"/>
              </w:rPr>
            </w:pPr>
          </w:p>
        </w:tc>
        <w:tc>
          <w:tcPr>
            <w:tcW w:w="180" w:type="dxa"/>
            <w:vAlign w:val="bottom"/>
            <w:tcBorders>
              <w:top w:val="single" w:sz="8" w:color="auto"/>
              <w:bottom w:val="single" w:sz="8" w:color="auto"/>
            </w:tcBorders>
            <w:shd w:val="clear" w:color="auto" w:fill="B2B2B2"/>
          </w:tcPr>
          <w:p>
            <w:pPr>
              <w:spacing w:after="0"/>
              <w:rPr>
                <w:sz w:val="17"/>
                <w:szCs w:val="17"/>
                <w:color w:val="auto"/>
              </w:rPr>
            </w:pPr>
          </w:p>
        </w:tc>
        <w:tc>
          <w:tcPr>
            <w:tcW w:w="1080" w:type="dxa"/>
            <w:vAlign w:val="bottom"/>
            <w:tcBorders>
              <w:top w:val="single" w:sz="8" w:color="auto"/>
              <w:bottom w:val="single" w:sz="8" w:color="auto"/>
            </w:tcBorders>
            <w:shd w:val="clear" w:color="auto" w:fill="B2B2B2"/>
          </w:tcPr>
          <w:p>
            <w:pPr>
              <w:spacing w:after="0"/>
              <w:rPr>
                <w:sz w:val="17"/>
                <w:szCs w:val="17"/>
                <w:color w:val="auto"/>
              </w:rPr>
            </w:pPr>
          </w:p>
        </w:tc>
        <w:tc>
          <w:tcPr>
            <w:tcW w:w="120" w:type="dxa"/>
            <w:vAlign w:val="bottom"/>
            <w:tcBorders>
              <w:top w:val="single" w:sz="8" w:color="B2B2B2"/>
              <w:bottom w:val="single" w:sz="8" w:color="auto"/>
            </w:tcBorders>
            <w:shd w:val="clear" w:color="auto" w:fill="B2B2B2"/>
          </w:tcPr>
          <w:p>
            <w:pPr>
              <w:spacing w:after="0"/>
              <w:rPr>
                <w:sz w:val="17"/>
                <w:szCs w:val="17"/>
                <w:color w:val="auto"/>
              </w:rPr>
            </w:pPr>
          </w:p>
        </w:tc>
        <w:tc>
          <w:tcPr>
            <w:tcW w:w="160" w:type="dxa"/>
            <w:vAlign w:val="bottom"/>
            <w:tcBorders>
              <w:top w:val="single" w:sz="8" w:color="auto"/>
              <w:bottom w:val="single" w:sz="8" w:color="auto"/>
            </w:tcBorders>
            <w:shd w:val="clear" w:color="auto" w:fill="B2B2B2"/>
          </w:tcPr>
          <w:p>
            <w:pPr>
              <w:spacing w:after="0"/>
              <w:rPr>
                <w:sz w:val="17"/>
                <w:szCs w:val="17"/>
                <w:color w:val="auto"/>
              </w:rPr>
            </w:pPr>
          </w:p>
        </w:tc>
        <w:tc>
          <w:tcPr>
            <w:tcW w:w="1100" w:type="dxa"/>
            <w:vAlign w:val="bottom"/>
            <w:tcBorders>
              <w:top w:val="single" w:sz="8" w:color="auto"/>
              <w:bottom w:val="single" w:sz="8" w:color="auto"/>
            </w:tcBorders>
            <w:shd w:val="clear" w:color="auto" w:fill="B2B2B2"/>
          </w:tcPr>
          <w:p>
            <w:pPr>
              <w:spacing w:after="0"/>
              <w:rPr>
                <w:sz w:val="17"/>
                <w:szCs w:val="17"/>
                <w:color w:val="auto"/>
              </w:rPr>
            </w:pPr>
          </w:p>
        </w:tc>
        <w:tc>
          <w:tcPr>
            <w:tcW w:w="120" w:type="dxa"/>
            <w:vAlign w:val="bottom"/>
            <w:tcBorders>
              <w:top w:val="single" w:sz="8" w:color="B2B2B2"/>
              <w:bottom w:val="single" w:sz="8" w:color="auto"/>
            </w:tcBorders>
            <w:shd w:val="clear" w:color="auto" w:fill="B2B2B2"/>
          </w:tcPr>
          <w:p>
            <w:pPr>
              <w:spacing w:after="0"/>
              <w:rPr>
                <w:sz w:val="17"/>
                <w:szCs w:val="17"/>
                <w:color w:val="auto"/>
              </w:rPr>
            </w:pPr>
          </w:p>
        </w:tc>
        <w:tc>
          <w:tcPr>
            <w:tcW w:w="180" w:type="dxa"/>
            <w:vAlign w:val="bottom"/>
            <w:tcBorders>
              <w:top w:val="single" w:sz="8" w:color="auto"/>
              <w:bottom w:val="single" w:sz="8" w:color="auto"/>
            </w:tcBorders>
            <w:shd w:val="clear" w:color="auto" w:fill="B2B2B2"/>
          </w:tcPr>
          <w:p>
            <w:pPr>
              <w:spacing w:after="0"/>
              <w:rPr>
                <w:sz w:val="17"/>
                <w:szCs w:val="17"/>
                <w:color w:val="auto"/>
              </w:rPr>
            </w:pPr>
          </w:p>
        </w:tc>
        <w:tc>
          <w:tcPr>
            <w:tcW w:w="1040" w:type="dxa"/>
            <w:vAlign w:val="bottom"/>
            <w:tcBorders>
              <w:top w:val="single" w:sz="8" w:color="auto"/>
              <w:bottom w:val="single" w:sz="8" w:color="auto"/>
            </w:tcBorders>
            <w:shd w:val="clear" w:color="auto" w:fill="B2B2B2"/>
          </w:tcPr>
          <w:p>
            <w:pPr>
              <w:spacing w:after="0"/>
              <w:rPr>
                <w:sz w:val="17"/>
                <w:szCs w:val="17"/>
                <w:color w:val="auto"/>
              </w:rPr>
            </w:pPr>
          </w:p>
        </w:tc>
        <w:tc>
          <w:tcPr>
            <w:tcW w:w="100" w:type="dxa"/>
            <w:vAlign w:val="bottom"/>
            <w:tcBorders>
              <w:top w:val="single" w:sz="8" w:color="B2B2B2"/>
              <w:bottom w:val="single" w:sz="8" w:color="auto"/>
            </w:tcBorders>
            <w:shd w:val="clear" w:color="auto" w:fill="B2B2B2"/>
          </w:tcPr>
          <w:p>
            <w:pPr>
              <w:spacing w:after="0"/>
              <w:rPr>
                <w:sz w:val="17"/>
                <w:szCs w:val="17"/>
                <w:color w:val="auto"/>
              </w:rPr>
            </w:pPr>
          </w:p>
        </w:tc>
        <w:tc>
          <w:tcPr>
            <w:tcW w:w="180" w:type="dxa"/>
            <w:vAlign w:val="bottom"/>
            <w:tcBorders>
              <w:top w:val="single" w:sz="8" w:color="auto"/>
              <w:bottom w:val="single" w:sz="8" w:color="auto"/>
            </w:tcBorders>
            <w:shd w:val="clear" w:color="auto" w:fill="B2B2B2"/>
          </w:tcPr>
          <w:p>
            <w:pPr>
              <w:spacing w:after="0"/>
              <w:rPr>
                <w:sz w:val="17"/>
                <w:szCs w:val="17"/>
                <w:color w:val="auto"/>
              </w:rPr>
            </w:pPr>
          </w:p>
        </w:tc>
        <w:tc>
          <w:tcPr>
            <w:tcW w:w="1060" w:type="dxa"/>
            <w:vAlign w:val="bottom"/>
            <w:tcBorders>
              <w:top w:val="single" w:sz="8" w:color="auto"/>
              <w:bottom w:val="single" w:sz="8" w:color="auto"/>
            </w:tcBorders>
            <w:shd w:val="clear" w:color="auto" w:fill="B2B2B2"/>
          </w:tcPr>
          <w:p>
            <w:pPr>
              <w:spacing w:after="0"/>
              <w:rPr>
                <w:sz w:val="17"/>
                <w:szCs w:val="17"/>
                <w:color w:val="auto"/>
              </w:rPr>
            </w:pPr>
          </w:p>
        </w:tc>
        <w:tc>
          <w:tcPr>
            <w:tcW w:w="100" w:type="dxa"/>
            <w:vAlign w:val="bottom"/>
            <w:tcBorders>
              <w:top w:val="single" w:sz="8" w:color="B2B2B2"/>
              <w:left w:val="single" w:sz="8" w:color="B2B2B2"/>
              <w:bottom w:val="single" w:sz="8" w:color="auto"/>
            </w:tcBorders>
            <w:shd w:val="clear" w:color="auto" w:fill="B2B2B2"/>
          </w:tcPr>
          <w:p>
            <w:pPr>
              <w:spacing w:after="0"/>
              <w:rPr>
                <w:sz w:val="17"/>
                <w:szCs w:val="17"/>
                <w:color w:val="auto"/>
              </w:rPr>
            </w:pPr>
          </w:p>
        </w:tc>
        <w:tc>
          <w:tcPr>
            <w:tcW w:w="100" w:type="dxa"/>
            <w:vAlign w:val="bottom"/>
            <w:tcBorders>
              <w:top w:val="single" w:sz="8" w:color="auto"/>
              <w:bottom w:val="single" w:sz="8" w:color="auto"/>
            </w:tcBorders>
            <w:shd w:val="clear" w:color="auto" w:fill="B2B2B2"/>
          </w:tcPr>
          <w:p>
            <w:pPr>
              <w:spacing w:after="0"/>
              <w:rPr>
                <w:sz w:val="17"/>
                <w:szCs w:val="17"/>
                <w:color w:val="auto"/>
              </w:rPr>
            </w:pPr>
          </w:p>
        </w:tc>
        <w:tc>
          <w:tcPr>
            <w:tcW w:w="1120" w:type="dxa"/>
            <w:vAlign w:val="bottom"/>
            <w:tcBorders>
              <w:top w:val="single" w:sz="8" w:color="auto"/>
              <w:bottom w:val="single" w:sz="8" w:color="auto"/>
            </w:tcBorders>
            <w:shd w:val="clear" w:color="auto" w:fill="B2B2B2"/>
          </w:tcPr>
          <w:p>
            <w:pPr>
              <w:spacing w:after="0"/>
              <w:rPr>
                <w:sz w:val="17"/>
                <w:szCs w:val="17"/>
                <w:color w:val="auto"/>
              </w:rPr>
            </w:pPr>
          </w:p>
        </w:tc>
        <w:tc>
          <w:tcPr>
            <w:tcW w:w="120" w:type="dxa"/>
            <w:vAlign w:val="bottom"/>
            <w:tcBorders>
              <w:top w:val="single" w:sz="8" w:color="B2B2B2"/>
              <w:left w:val="single" w:sz="8" w:color="B2B2B2"/>
              <w:bottom w:val="single" w:sz="8" w:color="auto"/>
            </w:tcBorders>
            <w:shd w:val="clear" w:color="auto" w:fill="B2B2B2"/>
          </w:tcPr>
          <w:p>
            <w:pPr>
              <w:spacing w:after="0"/>
              <w:rPr>
                <w:sz w:val="17"/>
                <w:szCs w:val="17"/>
                <w:color w:val="auto"/>
              </w:rPr>
            </w:pPr>
          </w:p>
        </w:tc>
        <w:tc>
          <w:tcPr>
            <w:tcW w:w="240" w:type="dxa"/>
            <w:vAlign w:val="bottom"/>
            <w:tcBorders>
              <w:top w:val="single" w:sz="8" w:color="auto"/>
              <w:bottom w:val="single" w:sz="8" w:color="auto"/>
            </w:tcBorders>
            <w:shd w:val="clear" w:color="auto" w:fill="B2B2B2"/>
          </w:tcPr>
          <w:p>
            <w:pPr>
              <w:spacing w:after="0"/>
              <w:rPr>
                <w:sz w:val="17"/>
                <w:szCs w:val="17"/>
                <w:color w:val="auto"/>
              </w:rPr>
            </w:pPr>
          </w:p>
        </w:tc>
        <w:tc>
          <w:tcPr>
            <w:tcW w:w="980" w:type="dxa"/>
            <w:vAlign w:val="bottom"/>
            <w:tcBorders>
              <w:top w:val="single" w:sz="8" w:color="auto"/>
              <w:bottom w:val="single" w:sz="8" w:color="auto"/>
            </w:tcBorders>
            <w:shd w:val="clear" w:color="auto" w:fill="B2B2B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December 31, 2020</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2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204,875</w:t>
            </w: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99,062</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(50,515)</w:t>
            </w:r>
          </w:p>
        </w:tc>
        <w:tc>
          <w:tcPr>
            <w:tcW w:w="200" w:type="dxa"/>
            <w:vAlign w:val="bottom"/>
            <w:tcBorders>
              <w:left w:val="single" w:sz="8" w:color="B2B2B2"/>
            </w:tcBorders>
            <w:gridSpan w:val="2"/>
            <w:shd w:val="clear" w:color="auto" w:fill="B2B2B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left w:val="single" w:sz="8" w:color="B2B2B2"/>
            </w:tcBorders>
            <w:gridSpan w:val="2"/>
            <w:shd w:val="clear" w:color="auto" w:fill="B2B2B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261,160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B2B2B2"/>
          </w:tcPr>
          <w:p>
            <w:pPr>
              <w:spacing w:after="0"/>
              <w:rPr>
                <w:sz w:val="15"/>
                <w:szCs w:val="15"/>
                <w:color w:val="auto"/>
              </w:rPr>
            </w:pPr>
          </w:p>
        </w:tc>
        <w:tc>
          <w:tcPr>
            <w:tcW w:w="176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8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100" w:type="dxa"/>
            <w:vAlign w:val="bottom"/>
            <w:shd w:val="clear" w:color="auto" w:fill="B2B2B2"/>
          </w:tcPr>
          <w:p>
            <w:pPr>
              <w:spacing w:after="0"/>
              <w:rPr>
                <w:sz w:val="15"/>
                <w:szCs w:val="15"/>
                <w:color w:val="auto"/>
              </w:rPr>
            </w:pPr>
          </w:p>
        </w:tc>
        <w:tc>
          <w:tcPr>
            <w:tcW w:w="12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140" w:type="dxa"/>
            <w:vAlign w:val="bottom"/>
            <w:gridSpan w:val="2"/>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060" w:type="dxa"/>
            <w:vAlign w:val="bottom"/>
            <w:shd w:val="clear" w:color="auto" w:fill="B2B2B2"/>
          </w:tcPr>
          <w:p>
            <w:pPr>
              <w:spacing w:after="0"/>
              <w:rPr>
                <w:sz w:val="15"/>
                <w:szCs w:val="15"/>
                <w:color w:val="auto"/>
              </w:rPr>
            </w:pPr>
          </w:p>
        </w:tc>
        <w:tc>
          <w:tcPr>
            <w:tcW w:w="100" w:type="dxa"/>
            <w:vAlign w:val="bottom"/>
            <w:tcBorders>
              <w:left w:val="single" w:sz="8" w:color="B2B2B2"/>
            </w:tcBorders>
            <w:shd w:val="clear" w:color="auto" w:fill="B2B2B2"/>
          </w:tcPr>
          <w:p>
            <w:pPr>
              <w:spacing w:after="0"/>
              <w:rPr>
                <w:sz w:val="15"/>
                <w:szCs w:val="15"/>
                <w:color w:val="auto"/>
              </w:rPr>
            </w:pPr>
          </w:p>
        </w:tc>
        <w:tc>
          <w:tcPr>
            <w:tcW w:w="100" w:type="dxa"/>
            <w:vAlign w:val="bottom"/>
            <w:shd w:val="clear" w:color="auto" w:fill="B2B2B2"/>
          </w:tcPr>
          <w:p>
            <w:pPr>
              <w:spacing w:after="0"/>
              <w:rPr>
                <w:sz w:val="15"/>
                <w:szCs w:val="15"/>
                <w:color w:val="auto"/>
              </w:rPr>
            </w:pPr>
          </w:p>
        </w:tc>
        <w:tc>
          <w:tcPr>
            <w:tcW w:w="1120" w:type="dxa"/>
            <w:vAlign w:val="bottom"/>
            <w:shd w:val="clear" w:color="auto" w:fill="B2B2B2"/>
          </w:tcPr>
          <w:p>
            <w:pPr>
              <w:spacing w:after="0"/>
              <w:rPr>
                <w:sz w:val="15"/>
                <w:szCs w:val="15"/>
                <w:color w:val="auto"/>
              </w:rPr>
            </w:pPr>
          </w:p>
        </w:tc>
        <w:tc>
          <w:tcPr>
            <w:tcW w:w="120" w:type="dxa"/>
            <w:vAlign w:val="bottom"/>
            <w:tcBorders>
              <w:left w:val="single" w:sz="8" w:color="B2B2B2"/>
            </w:tcBorders>
            <w:shd w:val="clear" w:color="auto" w:fill="B2B2B2"/>
          </w:tcPr>
          <w:p>
            <w:pPr>
              <w:spacing w:after="0"/>
              <w:rPr>
                <w:sz w:val="15"/>
                <w:szCs w:val="15"/>
                <w:color w:val="auto"/>
              </w:rPr>
            </w:pPr>
          </w:p>
        </w:tc>
        <w:tc>
          <w:tcPr>
            <w:tcW w:w="240" w:type="dxa"/>
            <w:vAlign w:val="bottom"/>
            <w:shd w:val="clear" w:color="auto" w:fill="B2B2B2"/>
          </w:tcPr>
          <w:p>
            <w:pPr>
              <w:spacing w:after="0"/>
              <w:rPr>
                <w:sz w:val="15"/>
                <w:szCs w:val="15"/>
                <w:color w:val="auto"/>
              </w:rPr>
            </w:pPr>
          </w:p>
        </w:tc>
        <w:tc>
          <w:tcPr>
            <w:tcW w:w="980" w:type="dxa"/>
            <w:vAlign w:val="bottom"/>
            <w:shd w:val="clear" w:color="auto" w:fill="B2B2B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14,097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Cash dividends ($.54 per share)</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(7,761)</w:t>
            </w: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40" w:type="dxa"/>
            <w:vAlign w:val="bottom"/>
            <w:gridSpan w:val="4"/>
          </w:tcPr>
          <w:p>
            <w:pPr>
              <w:spacing w:after="0" w:line="201" w:lineRule="exact"/>
              <w:rPr>
                <w:sz w:val="20"/>
                <w:szCs w:val="20"/>
                <w:color w:val="auto"/>
              </w:rPr>
            </w:pPr>
            <w:r>
              <w:rPr>
                <w:rFonts w:ascii="Arial" w:cs="Arial" w:eastAsia="Arial" w:hAnsi="Arial"/>
                <w:sz w:val="18"/>
                <w:szCs w:val="18"/>
                <w:color w:val="auto"/>
                <w:w w:val="94"/>
              </w:rPr>
              <w:t>Issuance of 79,094 common shares pursuant</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4"/>
              </w:rPr>
              <w:t>to stock-based compensation plan,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(2,881)</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Exercise of SARs</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2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Purchase of 120,266 common shares</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Borders>
              <w:left w:val="single" w:sz="8" w:color="B2B2B2"/>
            </w:tcBorders>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20" w:type="dxa"/>
            <w:vAlign w:val="bottom"/>
            <w:tcBorders>
              <w:left w:val="single" w:sz="8" w:color="B2B2B2"/>
            </w:tcBorders>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Balance, June 30, 2021</w:t>
            </w:r>
          </w:p>
        </w:tc>
        <w:tc>
          <w:tcPr>
            <w:tcW w:w="140" w:type="dxa"/>
            <w:vAlign w:val="bottom"/>
            <w:shd w:val="clear" w:color="auto" w:fill="B2B2B2"/>
          </w:tcPr>
          <w:p>
            <w:pPr>
              <w:spacing w:after="0"/>
              <w:rPr>
                <w:sz w:val="19"/>
                <w:szCs w:val="19"/>
                <w:color w:val="auto"/>
              </w:rPr>
            </w:pP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2B2B2"/>
          </w:tcPr>
          <w:p>
            <w:pPr>
              <w:spacing w:after="0"/>
              <w:rPr>
                <w:sz w:val="19"/>
                <w:szCs w:val="19"/>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203,098</w:t>
            </w:r>
          </w:p>
        </w:tc>
        <w:tc>
          <w:tcPr>
            <w:tcW w:w="120" w:type="dxa"/>
            <w:vAlign w:val="bottom"/>
            <w:shd w:val="clear" w:color="auto" w:fill="B2B2B2"/>
          </w:tcPr>
          <w:p>
            <w:pPr>
              <w:spacing w:after="0"/>
              <w:rPr>
                <w:sz w:val="19"/>
                <w:szCs w:val="19"/>
                <w:color w:val="auto"/>
              </w:rPr>
            </w:pPr>
          </w:p>
        </w:tc>
        <w:tc>
          <w:tcPr>
            <w:tcW w:w="180" w:type="dxa"/>
            <w:vAlign w:val="bottom"/>
            <w:shd w:val="clear" w:color="auto" w:fill="B2B2B2"/>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105,398</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(53,437)</w:t>
            </w:r>
          </w:p>
        </w:tc>
        <w:tc>
          <w:tcPr>
            <w:tcW w:w="200" w:type="dxa"/>
            <w:vAlign w:val="bottom"/>
            <w:tcBorders>
              <w:left w:val="single" w:sz="8" w:color="B2B2B2"/>
            </w:tcBorders>
            <w:gridSpan w:val="2"/>
            <w:shd w:val="clear" w:color="auto" w:fill="B2B2B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(2,045)</w:t>
            </w:r>
          </w:p>
        </w:tc>
        <w:tc>
          <w:tcPr>
            <w:tcW w:w="360" w:type="dxa"/>
            <w:vAlign w:val="bottom"/>
            <w:tcBorders>
              <w:left w:val="single" w:sz="8" w:color="B2B2B2"/>
            </w:tcBorders>
            <w:gridSpan w:val="2"/>
            <w:shd w:val="clear" w:color="auto" w:fill="B2B2B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260,767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B2B2B2"/>
            </w:tcBorders>
            <w:shd w:val="clear" w:color="auto" w:fill="B2B2B2"/>
          </w:tcPr>
          <w:p>
            <w:pPr>
              <w:spacing w:after="0" w:line="20" w:lineRule="exact"/>
              <w:rPr>
                <w:sz w:val="1"/>
                <w:szCs w:val="1"/>
                <w:color w:val="auto"/>
              </w:rPr>
            </w:pPr>
          </w:p>
        </w:tc>
        <w:tc>
          <w:tcPr>
            <w:tcW w:w="1760" w:type="dxa"/>
            <w:vAlign w:val="bottom"/>
            <w:tcBorders>
              <w:top w:val="single" w:sz="8" w:color="B2B2B2"/>
            </w:tcBorders>
            <w:shd w:val="clear" w:color="auto" w:fill="B2B2B2"/>
          </w:tcPr>
          <w:p>
            <w:pPr>
              <w:spacing w:after="0" w:line="20" w:lineRule="exact"/>
              <w:rPr>
                <w:sz w:val="1"/>
                <w:szCs w:val="1"/>
                <w:color w:val="auto"/>
              </w:rPr>
            </w:pPr>
          </w:p>
        </w:tc>
        <w:tc>
          <w:tcPr>
            <w:tcW w:w="140" w:type="dxa"/>
            <w:vAlign w:val="bottom"/>
            <w:tcBorders>
              <w:top w:val="single" w:sz="8" w:color="B2B2B2"/>
            </w:tcBorders>
            <w:shd w:val="clear" w:color="auto" w:fill="B2B2B2"/>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2B2B2"/>
            </w:tcBorders>
            <w:shd w:val="clear" w:color="auto" w:fill="B2B2B2"/>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2B2B2"/>
            </w:tcBorders>
            <w:shd w:val="clear" w:color="auto" w:fill="B2B2B2"/>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2B2B2"/>
            </w:tcBorders>
            <w:shd w:val="clear" w:color="auto" w:fill="B2B2B2"/>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2B2B2"/>
              <w:left w:val="single" w:sz="8" w:color="B2B2B2"/>
            </w:tcBorders>
            <w:shd w:val="clear" w:color="auto" w:fill="B2B2B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2B2B2"/>
              <w:left w:val="single" w:sz="8" w:color="B2B2B2"/>
            </w:tcBorders>
            <w:shd w:val="clear" w:color="auto" w:fill="B2B2B2"/>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Results for quarterly reporting periods beginning after December 31, 2020 in the Company’s Form 10-Q will be presented under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xml:space="preserve"> while prior quarterly period amounts continue to be reported in accordance with previously applicable GAAP. For further information, refer to the audited consolidated financial statements and related footnotes included in Cass Information System, Inc.’s (the “Company” or “Cass”)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11, 2020, the World Health Organization (“WHO”) declared the outbreak of COVID-19 as a global pandemic. The declaration of a global pandemic meant that almost all public commerce and related business activities was, to varying degrees, curtailed with the goal of decreasing the rate of new infections. In late fiscal 2020, vaccines for combatting COVID-19 were approved by health agencies and have been administered throughout the country. The timeline of full administration of the COVID-19 vaccines is uncertain and fluctuating, however has resulted in a significant amount of previous business and other restrictions being lifted. The ongoing impact of COVID-19, including the impact of restrictions imposed to combat its spread, could result in additional and prolonged business closures, work restrictions and activity restrictions.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is closely monitoring developments related to COVID-19 checking regularly for updated information and recommendations from the WHO and the CDC, from national, state, and local governments, and evaluating courses of action being taken by peers. At this time, the Company remains subject to heightened business, operational, market, credit and other risks related to the COVID-19 pandemic, including, but not limited to, those discussed below, which may have an adverse effect on business, financial condition and results of operations.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Financial position and results of operations </w:t>
      </w:r>
      <w:r>
        <w:rPr>
          <w:rFonts w:ascii="Arial" w:cs="Arial" w:eastAsia="Arial" w:hAnsi="Arial"/>
          <w:sz w:val="16"/>
          <w:szCs w:val="16"/>
          <w:color w:val="auto"/>
        </w:rPr>
        <w:t>- The global health crisis caused by COVID-19 has and will continue to negatively impact business activity</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world. The COVID-19 outbreak and associated counter-acting measures implemented by governments around the world, as well as increased business uncertainty, have had, and continue to have, an adverse impact on the Company’s financial results and are discussed in more detail below. Although many restrictions have been relaxed with some success, many states and localities are still experiencing moderate to high levels of COVID-19 cases, prompting continued restrictions and the need for additional aid and other forms of relief for affected individuals, businesses and other entities. When and if COVID-19 is demonstrably contained, the Company anticipates a rebound in economic activity; however, any such rebound is contingent upon the rate and effectiveness of the containment efforts deployed by federal, state, and local governments. In light of the evolving health, social, economic and business environment, governmental regulations or mandates, and business disruptions that have occurred and could continue to occur, the aggregate impact that COVID-19 could have on the Company’s financial condition and operating results remains uncertain.</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response to COVID-19, the Federal Reserve has taken action to lower the Federal Funds rate, which has adversely affected interest income and therefore, the Company’s results of operations and financial condition. The Federal Reserve has continued its commitment to this approach, indicating that the target Federal Funds rate would remain at current levels until the economy is in a more stable employment and price-stability position.</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the business disruption continues for an extended period, additional cost control actions will be considered. Future asset impairment charges, increases in allowance for credit losses, or restructuring charges could be more likely and will be dependent on the severity and duration of this crisis and its effect on the Company’s borrowers.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payment processing services, business closures cause a decrease in the number of transactions and dollars processed due to the decline in customers’ business activity. Other financial impact could occur though such potential impact is unknown at this time.</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Capital and liquidity </w:t>
      </w:r>
      <w:r>
        <w:rPr>
          <w:rFonts w:ascii="Arial" w:cs="Arial" w:eastAsia="Arial" w:hAnsi="Arial"/>
          <w:sz w:val="18"/>
          <w:szCs w:val="18"/>
          <w:color w:val="auto"/>
        </w:rPr>
        <w:t>- While the Company believes that it has sufficient capital to withstand an extended economic recession brought about by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its reported and regulatory capital ratios could be adversely impacted by future financial losses.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maintains access to multiple sources of liquidity. If an extended recession caused large numbers of the Bank’s customers to draw down deposits, the Company might become more reliant on more expensive sources of funding.</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Asset valuation </w:t>
      </w:r>
      <w:r>
        <w:rPr>
          <w:rFonts w:ascii="Arial" w:cs="Arial" w:eastAsia="Arial" w:hAnsi="Arial"/>
          <w:sz w:val="18"/>
          <w:szCs w:val="18"/>
          <w:color w:val="auto"/>
        </w:rPr>
        <w:t>- Currently, the Company does not expect COVID-19 to affect its ability to fairly value the assets on its balance sheet; however, this could</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future periods. While certain valuation assumptions and judgments will change to account for pandemic-related circumstances such as widening credit spreads, the Company does not anticipate significant changes in methodology used to determine the fair value of assets measured in accordance with GAAP.</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economic slowdown as a result of COVID-19 could cause a decline in the Company’s stock price or the occurrence of what management would deem to be a triggering event that could, under certain circumstances, necessitate a goodwill or intangible asset impairment test and result in an impairment charge being recorded for that period. In the event that the Company concludes that all or a portion of its goodwill is impaired, a non-cash charge for the amount of such impairment would be recorded to earnings. Such a charge would have no impact on tangible capital or regulatory capital.</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Processes, controls and business continuity </w:t>
      </w:r>
      <w:r>
        <w:rPr>
          <w:rFonts w:ascii="Arial" w:cs="Arial" w:eastAsia="Arial" w:hAnsi="Arial"/>
          <w:sz w:val="18"/>
          <w:szCs w:val="18"/>
          <w:color w:val="auto"/>
        </w:rPr>
        <w:t>- In accord with its federally mandated Pandemic Plan and Business Continuity Plan, many Cass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globe continue to work and conduct business remotely. Employees necessary to oversee certain business coordination activities or to conduct essential physical activities such as mail handling and scanning operations, remain in offices. In addition, employees are now being permitted to return to the offices on a voluntary basis. Employees are required to report any exposure or diagnosis and must adhere to the defined safety protocol to enter the offices.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past several years, Cass has invested in sophisticated technology initiatives that enable employees to operate remotely with full system(s) access along with unified and transparent voice and electronic communications capabilities, ensuring seamless service delivery. The Company cannot predict when or how it will fully lift the actions put in place as part of the Business Continuity Plan, including work from home requirements and travel restrictions. Cass does not believe the work from home protocol has materially adversely impacted internal controls, financial reporting systems, or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Company accounts for intangible assets in accordance with Financial Accounting Standards Board (“FASB”) Accounting Standards Codification (“ASC”)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(“FASB ASC 350”), which requires that intangibles with indefinite useful lives be tested annually for impairment, or when management deems there is a triggering event, and those with finite useful lives be amortized over their useful lives.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7"/>
        </w:trPr>
        <w:tc>
          <w:tcPr>
            <w:tcW w:w="4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2021</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300"/>
              <w:spacing w:after="0"/>
              <w:rPr>
                <w:sz w:val="20"/>
                <w:szCs w:val="20"/>
                <w:color w:val="auto"/>
              </w:rPr>
            </w:pPr>
            <w:r>
              <w:rPr>
                <w:rFonts w:ascii="Arial" w:cs="Arial" w:eastAsia="Arial" w:hAnsi="Arial"/>
                <w:sz w:val="18"/>
                <w:szCs w:val="18"/>
                <w:b w:val="1"/>
                <w:bCs w:val="1"/>
                <w:color w:val="auto"/>
              </w:rPr>
              <w:t>December 31, 2020</w:t>
            </w:r>
          </w:p>
        </w:tc>
      </w:tr>
      <w:tr>
        <w:trPr>
          <w:trHeight w:val="197"/>
        </w:trPr>
        <w:tc>
          <w:tcPr>
            <w:tcW w:w="4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5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90"/>
              <w:spacing w:after="0" w:line="197" w:lineRule="exact"/>
              <w:rPr>
                <w:sz w:val="20"/>
                <w:szCs w:val="20"/>
                <w:color w:val="auto"/>
              </w:rPr>
            </w:pPr>
            <w:r>
              <w:rPr>
                <w:rFonts w:ascii="Arial" w:cs="Arial" w:eastAsia="Arial" w:hAnsi="Arial"/>
                <w:sz w:val="18"/>
                <w:szCs w:val="18"/>
                <w:b w:val="1"/>
                <w:bCs w:val="1"/>
                <w:color w:val="auto"/>
                <w:w w:val="84"/>
              </w:rPr>
              <w:t>Gross</w:t>
            </w: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Accumulated</w:t>
            </w:r>
          </w:p>
        </w:tc>
        <w:tc>
          <w:tcPr>
            <w:tcW w:w="2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Accumulated</w:t>
            </w:r>
          </w:p>
        </w:tc>
      </w:tr>
      <w:tr>
        <w:trPr>
          <w:trHeight w:val="241"/>
        </w:trPr>
        <w:tc>
          <w:tcPr>
            <w:tcW w:w="48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Amortization</w:t>
            </w:r>
          </w:p>
        </w:tc>
        <w:tc>
          <w:tcPr>
            <w:tcW w:w="2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Amortization</w:t>
            </w:r>
          </w:p>
        </w:tc>
      </w:tr>
      <w:tr>
        <w:trPr>
          <w:trHeight w:val="215"/>
        </w:trPr>
        <w:tc>
          <w:tcPr>
            <w:tcW w:w="48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Assets eligible for amortization:</w:t>
            </w:r>
          </w:p>
        </w:tc>
        <w:tc>
          <w:tcPr>
            <w:tcW w:w="1480" w:type="dxa"/>
            <w:vAlign w:val="bottom"/>
            <w:tcBorders>
              <w:top w:val="single" w:sz="8" w:color="auto"/>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580" w:type="dxa"/>
            <w:vAlign w:val="bottom"/>
            <w:tcBorders>
              <w:top w:val="single" w:sz="8" w:color="auto"/>
            </w:tcBorders>
            <w:shd w:val="clear" w:color="auto" w:fill="B2B2B2"/>
          </w:tcPr>
          <w:p>
            <w:pPr>
              <w:spacing w:after="0"/>
              <w:rPr>
                <w:sz w:val="18"/>
                <w:szCs w:val="18"/>
                <w:color w:val="auto"/>
              </w:rPr>
            </w:pPr>
          </w:p>
        </w:tc>
        <w:tc>
          <w:tcPr>
            <w:tcW w:w="64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1020" w:type="dxa"/>
            <w:vAlign w:val="bottom"/>
            <w:tcBorders>
              <w:top w:val="single" w:sz="8" w:color="auto"/>
            </w:tcBorders>
            <w:shd w:val="clear" w:color="auto" w:fill="B2B2B2"/>
          </w:tcPr>
          <w:p>
            <w:pPr>
              <w:spacing w:after="0"/>
              <w:rPr>
                <w:sz w:val="18"/>
                <w:szCs w:val="18"/>
                <w:color w:val="auto"/>
              </w:rPr>
            </w:pPr>
          </w:p>
        </w:tc>
        <w:tc>
          <w:tcPr>
            <w:tcW w:w="400" w:type="dxa"/>
            <w:vAlign w:val="bottom"/>
            <w:tcBorders>
              <w:top w:val="single" w:sz="8" w:color="auto"/>
            </w:tcBorders>
            <w:shd w:val="clear" w:color="auto" w:fill="B2B2B2"/>
          </w:tcPr>
          <w:p>
            <w:pPr>
              <w:spacing w:after="0"/>
              <w:rPr>
                <w:sz w:val="18"/>
                <w:szCs w:val="18"/>
                <w:color w:val="auto"/>
              </w:rPr>
            </w:pPr>
          </w:p>
        </w:tc>
        <w:tc>
          <w:tcPr>
            <w:tcW w:w="780" w:type="dxa"/>
            <w:vAlign w:val="bottom"/>
            <w:tcBorders>
              <w:top w:val="single" w:sz="8" w:color="auto"/>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Customer lists</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4,778</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(4,122)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(3,902)</w:t>
            </w:r>
          </w:p>
        </w:tc>
        <w:tc>
          <w:tcPr>
            <w:tcW w:w="20" w:type="dxa"/>
            <w:vAlign w:val="bottom"/>
          </w:tcPr>
          <w:p>
            <w:pPr>
              <w:spacing w:after="0"/>
              <w:rPr>
                <w:sz w:val="18"/>
                <w:szCs w:val="18"/>
                <w:color w:val="auto"/>
              </w:rPr>
            </w:pPr>
          </w:p>
        </w:tc>
      </w:tr>
      <w:tr>
        <w:trPr>
          <w:trHeight w:val="215"/>
        </w:trPr>
        <w:tc>
          <w:tcPr>
            <w:tcW w:w="48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Patents</w:t>
            </w:r>
          </w:p>
        </w:tc>
        <w:tc>
          <w:tcPr>
            <w:tcW w:w="14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2,844</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r>
      <w:tr>
        <w:trPr>
          <w:trHeight w:val="215"/>
        </w:trPr>
        <w:tc>
          <w:tcPr>
            <w:tcW w:w="48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Trade Name</w:t>
            </w:r>
          </w:p>
        </w:tc>
        <w:tc>
          <w:tcPr>
            <w:tcW w:w="14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190</w:t>
            </w: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5"/>
        </w:trPr>
        <w:tc>
          <w:tcPr>
            <w:tcW w:w="4840" w:type="dxa"/>
            <w:vAlign w:val="bottom"/>
          </w:tcPr>
          <w:p>
            <w:pPr>
              <w:ind w:left="18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r>
      <w:tr>
        <w:trPr>
          <w:trHeight w:val="215"/>
        </w:trPr>
        <w:tc>
          <w:tcPr>
            <w:tcW w:w="4840" w:type="dxa"/>
            <w:vAlign w:val="bottom"/>
            <w:shd w:val="clear" w:color="auto" w:fill="B2B2B2"/>
          </w:tcPr>
          <w:p>
            <w:pPr>
              <w:spacing w:after="0"/>
              <w:rPr>
                <w:sz w:val="20"/>
                <w:szCs w:val="20"/>
                <w:color w:val="auto"/>
              </w:rPr>
            </w:pPr>
            <w:r>
              <w:rPr>
                <w:rFonts w:ascii="Arial" w:cs="Arial" w:eastAsia="Arial" w:hAnsi="Arial"/>
                <w:sz w:val="18"/>
                <w:szCs w:val="18"/>
                <w:color w:val="auto"/>
              </w:rPr>
              <w:t>Unamortized intangible assets:</w:t>
            </w:r>
          </w:p>
        </w:tc>
        <w:tc>
          <w:tcPr>
            <w:tcW w:w="14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580" w:type="dxa"/>
            <w:vAlign w:val="bottom"/>
            <w:shd w:val="clear" w:color="auto" w:fill="B2B2B2"/>
          </w:tcPr>
          <w:p>
            <w:pPr>
              <w:spacing w:after="0"/>
              <w:rPr>
                <w:sz w:val="18"/>
                <w:szCs w:val="18"/>
                <w:color w:val="auto"/>
              </w:rPr>
            </w:pPr>
          </w:p>
        </w:tc>
        <w:tc>
          <w:tcPr>
            <w:tcW w:w="6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1020" w:type="dxa"/>
            <w:vAlign w:val="bottom"/>
            <w:shd w:val="clear" w:color="auto" w:fill="B2B2B2"/>
          </w:tcPr>
          <w:p>
            <w:pPr>
              <w:spacing w:after="0"/>
              <w:rPr>
                <w:sz w:val="18"/>
                <w:szCs w:val="18"/>
                <w:color w:val="auto"/>
              </w:rPr>
            </w:pPr>
          </w:p>
        </w:tc>
        <w:tc>
          <w:tcPr>
            <w:tcW w:w="400" w:type="dxa"/>
            <w:vAlign w:val="bottom"/>
            <w:shd w:val="clear" w:color="auto" w:fill="B2B2B2"/>
          </w:tcPr>
          <w:p>
            <w:pPr>
              <w:spacing w:after="0"/>
              <w:rPr>
                <w:sz w:val="18"/>
                <w:szCs w:val="18"/>
                <w:color w:val="auto"/>
              </w:rPr>
            </w:pPr>
          </w:p>
        </w:tc>
        <w:tc>
          <w:tcPr>
            <w:tcW w:w="78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Goodwill</w:t>
            </w: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840" w:type="dxa"/>
            <w:vAlign w:val="bottom"/>
            <w:tcBorders>
              <w:bottom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Total intangible assets</w:t>
            </w:r>
          </w:p>
        </w:tc>
        <w:tc>
          <w:tcPr>
            <w:tcW w:w="1740" w:type="dxa"/>
            <w:vAlign w:val="bottom"/>
            <w:tcBorders>
              <w:bottom w:val="single" w:sz="8" w:color="auto"/>
            </w:tcBorders>
            <w:gridSpan w:val="2"/>
            <w:shd w:val="clear" w:color="auto" w:fill="B2B2B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22,646</w:t>
            </w:r>
          </w:p>
        </w:tc>
        <w:tc>
          <w:tcPr>
            <w:tcW w:w="580" w:type="dxa"/>
            <w:vAlign w:val="bottom"/>
            <w:tcBorders>
              <w:bottom w:val="single" w:sz="8" w:color="auto"/>
            </w:tcBorders>
            <w:shd w:val="clear" w:color="auto" w:fill="B2B2B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w w:val="98"/>
              </w:rPr>
              <w:t>(5,391)</w:t>
            </w:r>
          </w:p>
        </w:tc>
        <w:tc>
          <w:tcPr>
            <w:tcW w:w="2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22,646</w:t>
            </w:r>
          </w:p>
        </w:tc>
        <w:tc>
          <w:tcPr>
            <w:tcW w:w="400" w:type="dxa"/>
            <w:vAlign w:val="bottom"/>
            <w:tcBorders>
              <w:bottom w:val="single" w:sz="8" w:color="auto"/>
            </w:tcBorders>
            <w:shd w:val="clear" w:color="auto" w:fill="B2B2B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B2B2B2"/>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(4,961)</w:t>
            </w:r>
          </w:p>
        </w:tc>
        <w:tc>
          <w:tcPr>
            <w:tcW w:w="20" w:type="dxa"/>
            <w:vAlign w:val="bottom"/>
          </w:tcPr>
          <w:p>
            <w:pPr>
              <w:spacing w:after="0"/>
              <w:rPr>
                <w:sz w:val="18"/>
                <w:szCs w:val="18"/>
                <w:color w:val="auto"/>
              </w:rPr>
            </w:pPr>
          </w:p>
        </w:tc>
      </w:tr>
      <w:tr>
        <w:trPr>
          <w:trHeight w:val="431"/>
        </w:trPr>
        <w:tc>
          <w:tcPr>
            <w:tcW w:w="4840" w:type="dxa"/>
            <w:vAlign w:val="bottom"/>
          </w:tcPr>
          <w:p>
            <w:pPr>
              <w:spacing w:after="0"/>
              <w:rPr>
                <w:sz w:val="24"/>
                <w:szCs w:val="24"/>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840" w:type="dxa"/>
            <w:vAlign w:val="bottom"/>
            <w:tcBorders>
              <w:bottom w:val="single" w:sz="8" w:color="EEEEEE"/>
            </w:tcBorders>
          </w:tcPr>
          <w:p>
            <w:pPr>
              <w:spacing w:after="0"/>
              <w:rPr>
                <w:sz w:val="18"/>
                <w:szCs w:val="18"/>
                <w:color w:val="auto"/>
              </w:rPr>
            </w:pPr>
          </w:p>
        </w:tc>
        <w:tc>
          <w:tcPr>
            <w:tcW w:w="14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040" w:type="dxa"/>
            <w:vAlign w:val="bottom"/>
            <w:tcBorders>
              <w:bottom w:val="single" w:sz="8" w:color="EEEEEE"/>
            </w:tcBorders>
          </w:tcPr>
          <w:p>
            <w:pPr>
              <w:spacing w:after="0"/>
              <w:rPr>
                <w:sz w:val="18"/>
                <w:szCs w:val="18"/>
                <w:color w:val="auto"/>
              </w:rPr>
            </w:pPr>
          </w:p>
        </w:tc>
        <w:tc>
          <w:tcPr>
            <w:tcW w:w="580" w:type="dxa"/>
            <w:vAlign w:val="bottom"/>
            <w:tcBorders>
              <w:bottom w:val="single" w:sz="8" w:color="EEEEEE"/>
            </w:tcBorders>
          </w:tcPr>
          <w:p>
            <w:pPr>
              <w:spacing w:after="0"/>
              <w:rPr>
                <w:sz w:val="18"/>
                <w:szCs w:val="18"/>
                <w:color w:val="auto"/>
              </w:rPr>
            </w:pPr>
          </w:p>
        </w:tc>
        <w:tc>
          <w:tcPr>
            <w:tcW w:w="6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400" w:type="dxa"/>
            <w:vAlign w:val="bottom"/>
            <w:tcBorders>
              <w:bottom w:val="single" w:sz="8" w:color="EEEEEE"/>
            </w:tcBorders>
          </w:tcPr>
          <w:p>
            <w:pPr>
              <w:spacing w:after="0"/>
              <w:rPr>
                <w:sz w:val="18"/>
                <w:szCs w:val="18"/>
                <w:color w:val="auto"/>
              </w:rPr>
            </w:pPr>
          </w:p>
        </w:tc>
        <w:tc>
          <w:tcPr>
            <w:tcW w:w="7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835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customer lists are amortized over 7 and 10 years; the patents over 18 years; software over 3 years and 7 years, the trade name over 20 years and other intangible assets over 15 years. Amortization of intangible assets amounted to $429,000 for both for the six-month periods ended June 30, 2021 and 2020, respectively. Estimated amortization of intangibles is $859,000 in 2021, $540,000 in both 2022 and 2023, $498,000 in 2024, and $490,000 in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ectPr>
          <w:pgSz w:w="11900" w:h="16838" w:orient="portrait"/>
          <w:cols w:equalWidth="0" w:num="1">
            <w:col w:w="11240"/>
          </w:cols>
          <w:pgMar w:left="320" w:top="296" w:right="3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calculations of basic and diluted earnings per share are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and 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60"/>
        <w:spacing w:after="0"/>
        <w:tabs>
          <w:tab w:leader="none" w:pos="3440" w:val="left"/>
        </w:tabs>
        <w:rPr>
          <w:sz w:val="20"/>
          <w:szCs w:val="20"/>
          <w:color w:val="auto"/>
        </w:rPr>
      </w:pPr>
      <w:r>
        <w:rPr>
          <w:rFonts w:ascii="Arial" w:cs="Arial" w:eastAsia="Arial" w:hAnsi="Arial"/>
          <w:sz w:val="18"/>
          <w:szCs w:val="18"/>
          <w:b w:val="1"/>
          <w:bCs w:val="1"/>
          <w:color w:val="auto"/>
        </w:rPr>
        <w:t>Three Months Ended</w:t>
      </w:r>
      <w:r>
        <w:rPr>
          <w:sz w:val="20"/>
          <w:szCs w:val="20"/>
          <w:color w:val="auto"/>
        </w:rPr>
        <w:tab/>
      </w:r>
      <w:r>
        <w:rPr>
          <w:rFonts w:ascii="Arial" w:cs="Arial" w:eastAsia="Arial" w:hAnsi="Arial"/>
          <w:sz w:val="16"/>
          <w:szCs w:val="16"/>
          <w:b w:val="1"/>
          <w:bCs w:val="1"/>
          <w:color w:val="auto"/>
        </w:rPr>
        <w:t>Six Months Ended</w:t>
      </w:r>
    </w:p>
    <w:p>
      <w:pPr>
        <w:spacing w:after="0" w:line="27" w:lineRule="exact"/>
        <w:rPr>
          <w:sz w:val="20"/>
          <w:szCs w:val="20"/>
          <w:color w:val="auto"/>
        </w:rPr>
      </w:pPr>
    </w:p>
    <w:p>
      <w:pPr>
        <w:ind w:left="640"/>
        <w:spacing w:after="0"/>
        <w:tabs>
          <w:tab w:leader="none" w:pos="382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5080</wp:posOffset>
            </wp:positionV>
            <wp:extent cx="39166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6680" cy="17145"/>
                    </a:xfrm>
                    <a:prstGeom prst="rect">
                      <a:avLst/>
                    </a:prstGeom>
                    <a:noFill/>
                  </pic:spPr>
                </pic:pic>
              </a:graphicData>
            </a:graphic>
          </wp:anchor>
        </w:drawing>
      </w:r>
    </w:p>
    <w:p>
      <w:pPr>
        <w:spacing w:after="0"/>
        <w:tabs>
          <w:tab w:leader="none" w:pos="1560" w:val="left"/>
          <w:tab w:leader="none" w:pos="3140" w:val="left"/>
          <w:tab w:leader="none" w:pos="47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7" w:lineRule="exact"/>
        <w:rPr>
          <w:sz w:val="20"/>
          <w:szCs w:val="20"/>
          <w:color w:val="auto"/>
        </w:rPr>
      </w:pPr>
    </w:p>
    <w:p>
      <w:pPr>
        <w:sectPr>
          <w:pgSz w:w="11900" w:h="16838" w:orient="portrait"/>
          <w:cols w:equalWidth="0" w:num="2">
            <w:col w:w="5080" w:space="500"/>
            <w:col w:w="5660"/>
          </w:cols>
          <w:pgMar w:left="320" w:top="296"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92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Basic</w:t>
            </w:r>
          </w:p>
        </w:tc>
        <w:tc>
          <w:tcPr>
            <w:tcW w:w="540" w:type="dxa"/>
            <w:vAlign w:val="bottom"/>
            <w:tcBorders>
              <w:top w:val="single" w:sz="8" w:color="auto"/>
            </w:tcBorders>
            <w:shd w:val="clear" w:color="auto" w:fill="B2B2B2"/>
          </w:tcPr>
          <w:p>
            <w:pPr>
              <w:spacing w:after="0"/>
              <w:rPr>
                <w:sz w:val="19"/>
                <w:szCs w:val="19"/>
                <w:color w:val="auto"/>
              </w:rPr>
            </w:pPr>
          </w:p>
        </w:tc>
        <w:tc>
          <w:tcPr>
            <w:tcW w:w="1260" w:type="dxa"/>
            <w:vAlign w:val="bottom"/>
            <w:tcBorders>
              <w:top w:val="single" w:sz="8" w:color="auto"/>
            </w:tcBorders>
            <w:shd w:val="clear" w:color="auto" w:fill="B2B2B2"/>
          </w:tcPr>
          <w:p>
            <w:pPr>
              <w:spacing w:after="0"/>
              <w:rPr>
                <w:sz w:val="19"/>
                <w:szCs w:val="19"/>
                <w:color w:val="auto"/>
              </w:rPr>
            </w:pPr>
          </w:p>
        </w:tc>
        <w:tc>
          <w:tcPr>
            <w:tcW w:w="440" w:type="dxa"/>
            <w:vAlign w:val="bottom"/>
            <w:tcBorders>
              <w:top w:val="single" w:sz="8" w:color="auto"/>
            </w:tcBorders>
            <w:shd w:val="clear" w:color="auto" w:fill="B2B2B2"/>
          </w:tcPr>
          <w:p>
            <w:pPr>
              <w:spacing w:after="0"/>
              <w:rPr>
                <w:sz w:val="19"/>
                <w:szCs w:val="19"/>
                <w:color w:val="auto"/>
              </w:rPr>
            </w:pPr>
          </w:p>
        </w:tc>
        <w:tc>
          <w:tcPr>
            <w:tcW w:w="1160" w:type="dxa"/>
            <w:vAlign w:val="bottom"/>
            <w:tcBorders>
              <w:top w:val="single" w:sz="8" w:color="auto"/>
            </w:tcBorders>
            <w:shd w:val="clear" w:color="auto" w:fill="B2B2B2"/>
          </w:tcPr>
          <w:p>
            <w:pPr>
              <w:spacing w:after="0"/>
              <w:rPr>
                <w:sz w:val="19"/>
                <w:szCs w:val="19"/>
                <w:color w:val="auto"/>
              </w:rPr>
            </w:pPr>
          </w:p>
        </w:tc>
        <w:tc>
          <w:tcPr>
            <w:tcW w:w="420" w:type="dxa"/>
            <w:vAlign w:val="bottom"/>
            <w:tcBorders>
              <w:top w:val="single" w:sz="8" w:color="auto"/>
            </w:tcBorders>
            <w:shd w:val="clear" w:color="auto" w:fill="B2B2B2"/>
          </w:tcPr>
          <w:p>
            <w:pPr>
              <w:spacing w:after="0"/>
              <w:rPr>
                <w:sz w:val="19"/>
                <w:szCs w:val="19"/>
                <w:color w:val="auto"/>
              </w:rPr>
            </w:pPr>
          </w:p>
        </w:tc>
        <w:tc>
          <w:tcPr>
            <w:tcW w:w="1160" w:type="dxa"/>
            <w:vAlign w:val="bottom"/>
            <w:tcBorders>
              <w:top w:val="single" w:sz="8" w:color="auto"/>
            </w:tcBorders>
            <w:shd w:val="clear" w:color="auto" w:fill="B2B2B2"/>
          </w:tcPr>
          <w:p>
            <w:pPr>
              <w:spacing w:after="0"/>
              <w:rPr>
                <w:sz w:val="19"/>
                <w:szCs w:val="19"/>
                <w:color w:val="auto"/>
              </w:rPr>
            </w:pPr>
          </w:p>
        </w:tc>
        <w:tc>
          <w:tcPr>
            <w:tcW w:w="460" w:type="dxa"/>
            <w:vAlign w:val="bottom"/>
            <w:tcBorders>
              <w:top w:val="single" w:sz="8" w:color="auto"/>
            </w:tcBorders>
            <w:shd w:val="clear" w:color="auto" w:fill="B2B2B2"/>
          </w:tcPr>
          <w:p>
            <w:pPr>
              <w:spacing w:after="0"/>
              <w:rPr>
                <w:sz w:val="19"/>
                <w:szCs w:val="19"/>
                <w:color w:val="auto"/>
              </w:rPr>
            </w:pPr>
          </w:p>
        </w:tc>
        <w:tc>
          <w:tcPr>
            <w:tcW w:w="880" w:type="dxa"/>
            <w:vAlign w:val="bottom"/>
            <w:tcBorders>
              <w:top w:val="single" w:sz="8" w:color="auto"/>
            </w:tcBorders>
            <w:shd w:val="clear" w:color="auto" w:fill="B2B2B2"/>
          </w:tcPr>
          <w:p>
            <w:pPr>
              <w:spacing w:after="0"/>
              <w:rPr>
                <w:sz w:val="19"/>
                <w:szCs w:val="19"/>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7,026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5,439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14,097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r>
      <w:tr>
        <w:trPr>
          <w:trHeight w:val="215"/>
        </w:trPr>
        <w:tc>
          <w:tcPr>
            <w:tcW w:w="49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shd w:val="clear" w:color="auto" w:fill="B2B2B2"/>
          </w:tcPr>
          <w:p>
            <w:pPr>
              <w:spacing w:after="0"/>
              <w:rPr>
                <w:sz w:val="18"/>
                <w:szCs w:val="18"/>
                <w:color w:val="auto"/>
              </w:rPr>
            </w:pPr>
          </w:p>
        </w:tc>
        <w:tc>
          <w:tcPr>
            <w:tcW w:w="12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14,267,290</w:t>
            </w:r>
          </w:p>
        </w:tc>
        <w:tc>
          <w:tcPr>
            <w:tcW w:w="44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w w:val="93"/>
              </w:rPr>
              <w:t>14,349,040</w:t>
            </w:r>
          </w:p>
        </w:tc>
        <w:tc>
          <w:tcPr>
            <w:tcW w:w="420" w:type="dxa"/>
            <w:vAlign w:val="bottom"/>
            <w:shd w:val="clear" w:color="auto" w:fill="B2B2B2"/>
          </w:tcPr>
          <w:p>
            <w:pPr>
              <w:spacing w:after="0"/>
              <w:rPr>
                <w:sz w:val="18"/>
                <w:szCs w:val="18"/>
                <w:color w:val="auto"/>
              </w:rPr>
            </w:pPr>
          </w:p>
        </w:tc>
        <w:tc>
          <w:tcPr>
            <w:tcW w:w="11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w w:val="95"/>
              </w:rPr>
              <w:t>14,286,362</w:t>
            </w:r>
          </w:p>
        </w:tc>
        <w:tc>
          <w:tcPr>
            <w:tcW w:w="460" w:type="dxa"/>
            <w:vAlign w:val="bottom"/>
            <w:shd w:val="clear" w:color="auto" w:fill="B2B2B2"/>
          </w:tcPr>
          <w:p>
            <w:pPr>
              <w:spacing w:after="0"/>
              <w:rPr>
                <w:sz w:val="18"/>
                <w:szCs w:val="18"/>
                <w:color w:val="auto"/>
              </w:rPr>
            </w:pP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5"/>
              </w:rPr>
              <w:t>14,385,927</w:t>
            </w:r>
          </w:p>
        </w:tc>
      </w:tr>
      <w:tr>
        <w:trPr>
          <w:trHeight w:val="215"/>
        </w:trPr>
        <w:tc>
          <w:tcPr>
            <w:tcW w:w="49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09"/>
        </w:trPr>
        <w:tc>
          <w:tcPr>
            <w:tcW w:w="4920" w:type="dxa"/>
            <w:vAlign w:val="bottom"/>
            <w:tcBorders>
              <w:bottom w:val="single" w:sz="8" w:color="auto"/>
            </w:tcBorders>
            <w:shd w:val="clear" w:color="auto" w:fill="B2B2B2"/>
          </w:tcPr>
          <w:p>
            <w:pPr>
              <w:spacing w:after="0"/>
              <w:rPr>
                <w:sz w:val="18"/>
                <w:szCs w:val="18"/>
                <w:color w:val="auto"/>
              </w:rPr>
            </w:pPr>
          </w:p>
        </w:tc>
        <w:tc>
          <w:tcPr>
            <w:tcW w:w="540" w:type="dxa"/>
            <w:vAlign w:val="bottom"/>
            <w:tcBorders>
              <w:bottom w:val="single" w:sz="8" w:color="auto"/>
            </w:tcBorders>
            <w:shd w:val="clear" w:color="auto" w:fill="B2B2B2"/>
          </w:tcPr>
          <w:p>
            <w:pPr>
              <w:spacing w:after="0"/>
              <w:rPr>
                <w:sz w:val="18"/>
                <w:szCs w:val="18"/>
                <w:color w:val="auto"/>
              </w:rPr>
            </w:pPr>
          </w:p>
        </w:tc>
        <w:tc>
          <w:tcPr>
            <w:tcW w:w="1260" w:type="dxa"/>
            <w:vAlign w:val="bottom"/>
            <w:tcBorders>
              <w:bottom w:val="single" w:sz="8" w:color="auto"/>
            </w:tcBorders>
            <w:shd w:val="clear" w:color="auto" w:fill="B2B2B2"/>
          </w:tcPr>
          <w:p>
            <w:pPr>
              <w:spacing w:after="0"/>
              <w:rPr>
                <w:sz w:val="18"/>
                <w:szCs w:val="18"/>
                <w:color w:val="auto"/>
              </w:rPr>
            </w:pPr>
          </w:p>
        </w:tc>
        <w:tc>
          <w:tcPr>
            <w:tcW w:w="4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spacing w:after="0"/>
              <w:rPr>
                <w:sz w:val="18"/>
                <w:szCs w:val="18"/>
                <w:color w:val="auto"/>
              </w:rPr>
            </w:pPr>
          </w:p>
        </w:tc>
        <w:tc>
          <w:tcPr>
            <w:tcW w:w="4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spacing w:after="0"/>
              <w:rPr>
                <w:sz w:val="18"/>
                <w:szCs w:val="18"/>
                <w:color w:val="auto"/>
              </w:rPr>
            </w:pPr>
          </w:p>
        </w:tc>
        <w:tc>
          <w:tcPr>
            <w:tcW w:w="46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4920" w:type="dxa"/>
            <w:vAlign w:val="bottom"/>
            <w:shd w:val="clear" w:color="auto" w:fill="B2B2B2"/>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B2B2B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7,026</w:t>
            </w:r>
          </w:p>
        </w:tc>
        <w:tc>
          <w:tcPr>
            <w:tcW w:w="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ind w:right="210"/>
              <w:spacing w:after="0"/>
              <w:rPr>
                <w:sz w:val="20"/>
                <w:szCs w:val="20"/>
                <w:color w:val="auto"/>
              </w:rPr>
            </w:pPr>
            <w:r>
              <w:rPr>
                <w:rFonts w:ascii="Arial" w:cs="Arial" w:eastAsia="Arial" w:hAnsi="Arial"/>
                <w:sz w:val="18"/>
                <w:szCs w:val="18"/>
                <w:color w:val="auto"/>
              </w:rPr>
              <w:t>5,439</w:t>
            </w:r>
          </w:p>
        </w:tc>
        <w:tc>
          <w:tcPr>
            <w:tcW w:w="4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2B2B2"/>
          </w:tcPr>
          <w:p>
            <w:pPr>
              <w:jc w:val="right"/>
              <w:ind w:right="190"/>
              <w:spacing w:after="0"/>
              <w:rPr>
                <w:sz w:val="20"/>
                <w:szCs w:val="20"/>
                <w:color w:val="auto"/>
              </w:rPr>
            </w:pPr>
            <w:r>
              <w:rPr>
                <w:rFonts w:ascii="Arial" w:cs="Arial" w:eastAsia="Arial" w:hAnsi="Arial"/>
                <w:sz w:val="18"/>
                <w:szCs w:val="18"/>
                <w:color w:val="auto"/>
              </w:rPr>
              <w:t>14,097</w:t>
            </w: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12,984</w:t>
            </w: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14,267,290</w:t>
            </w:r>
          </w:p>
        </w:tc>
        <w:tc>
          <w:tcPr>
            <w:tcW w:w="44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w w:val="93"/>
              </w:rPr>
              <w:t>14,349,040</w:t>
            </w:r>
          </w:p>
        </w:tc>
        <w:tc>
          <w:tcPr>
            <w:tcW w:w="4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5"/>
              </w:rPr>
              <w:t>14,286,362</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14,385,927</w:t>
            </w:r>
          </w:p>
        </w:tc>
      </w:tr>
      <w:tr>
        <w:trPr>
          <w:trHeight w:val="215"/>
        </w:trPr>
        <w:tc>
          <w:tcPr>
            <w:tcW w:w="492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w w:val="96"/>
              </w:rPr>
              <w:t>Effect of dilutive restricted stock and stock appreciation rights</w:t>
            </w:r>
          </w:p>
        </w:tc>
        <w:tc>
          <w:tcPr>
            <w:tcW w:w="540" w:type="dxa"/>
            <w:vAlign w:val="bottom"/>
            <w:tcBorders>
              <w:bottom w:val="single" w:sz="8" w:color="auto"/>
            </w:tcBorders>
            <w:shd w:val="clear" w:color="auto" w:fill="B2B2B2"/>
          </w:tcPr>
          <w:p>
            <w:pPr>
              <w:spacing w:after="0"/>
              <w:rPr>
                <w:sz w:val="18"/>
                <w:szCs w:val="18"/>
                <w:color w:val="auto"/>
              </w:rPr>
            </w:pPr>
          </w:p>
        </w:tc>
        <w:tc>
          <w:tcPr>
            <w:tcW w:w="1260" w:type="dxa"/>
            <w:vAlign w:val="bottom"/>
            <w:tcBorders>
              <w:bottom w:val="single" w:sz="8" w:color="auto"/>
            </w:tcBorders>
            <w:shd w:val="clear" w:color="auto" w:fill="B2B2B2"/>
          </w:tcPr>
          <w:p>
            <w:pPr>
              <w:jc w:val="right"/>
              <w:ind w:right="190"/>
              <w:spacing w:after="0"/>
              <w:rPr>
                <w:sz w:val="20"/>
                <w:szCs w:val="20"/>
                <w:color w:val="auto"/>
              </w:rPr>
            </w:pPr>
            <w:r>
              <w:rPr>
                <w:rFonts w:ascii="Arial" w:cs="Arial" w:eastAsia="Arial" w:hAnsi="Arial"/>
                <w:sz w:val="18"/>
                <w:szCs w:val="18"/>
                <w:color w:val="auto"/>
              </w:rPr>
              <w:t>243,192</w:t>
            </w:r>
          </w:p>
        </w:tc>
        <w:tc>
          <w:tcPr>
            <w:tcW w:w="44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210"/>
              <w:spacing w:after="0"/>
              <w:rPr>
                <w:sz w:val="20"/>
                <w:szCs w:val="20"/>
                <w:color w:val="auto"/>
              </w:rPr>
            </w:pPr>
            <w:r>
              <w:rPr>
                <w:rFonts w:ascii="Arial" w:cs="Arial" w:eastAsia="Arial" w:hAnsi="Arial"/>
                <w:sz w:val="18"/>
                <w:szCs w:val="18"/>
                <w:color w:val="auto"/>
              </w:rPr>
              <w:t>196,159</w:t>
            </w:r>
          </w:p>
        </w:tc>
        <w:tc>
          <w:tcPr>
            <w:tcW w:w="420" w:type="dxa"/>
            <w:vAlign w:val="bottom"/>
            <w:tcBorders>
              <w:bottom w:val="single" w:sz="8" w:color="auto"/>
            </w:tcBorders>
            <w:shd w:val="clear" w:color="auto" w:fill="B2B2B2"/>
          </w:tcPr>
          <w:p>
            <w:pPr>
              <w:spacing w:after="0"/>
              <w:rPr>
                <w:sz w:val="18"/>
                <w:szCs w:val="18"/>
                <w:color w:val="auto"/>
              </w:rPr>
            </w:pPr>
          </w:p>
        </w:tc>
        <w:tc>
          <w:tcPr>
            <w:tcW w:w="1160" w:type="dxa"/>
            <w:vAlign w:val="bottom"/>
            <w:tcBorders>
              <w:bottom w:val="single" w:sz="8" w:color="auto"/>
            </w:tcBorders>
            <w:shd w:val="clear" w:color="auto" w:fill="B2B2B2"/>
          </w:tcPr>
          <w:p>
            <w:pPr>
              <w:jc w:val="right"/>
              <w:ind w:right="190"/>
              <w:spacing w:after="0"/>
              <w:rPr>
                <w:sz w:val="20"/>
                <w:szCs w:val="20"/>
                <w:color w:val="auto"/>
              </w:rPr>
            </w:pPr>
            <w:r>
              <w:rPr>
                <w:rFonts w:ascii="Arial" w:cs="Arial" w:eastAsia="Arial" w:hAnsi="Arial"/>
                <w:sz w:val="18"/>
                <w:szCs w:val="18"/>
                <w:color w:val="auto"/>
              </w:rPr>
              <w:t>239,906</w:t>
            </w:r>
          </w:p>
        </w:tc>
        <w:tc>
          <w:tcPr>
            <w:tcW w:w="46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201,930</w:t>
            </w:r>
          </w:p>
        </w:tc>
      </w:tr>
      <w:tr>
        <w:trPr>
          <w:trHeight w:val="195"/>
        </w:trPr>
        <w:tc>
          <w:tcPr>
            <w:tcW w:w="4920" w:type="dxa"/>
            <w:vAlign w:val="bottom"/>
          </w:tcPr>
          <w:p>
            <w:pPr>
              <w:ind w:left="180"/>
              <w:spacing w:after="0" w:line="195" w:lineRule="exact"/>
              <w:rPr>
                <w:sz w:val="20"/>
                <w:szCs w:val="20"/>
                <w:color w:val="auto"/>
              </w:rPr>
            </w:pPr>
            <w:r>
              <w:rPr>
                <w:rFonts w:ascii="Arial" w:cs="Arial" w:eastAsia="Arial" w:hAnsi="Arial"/>
                <w:sz w:val="18"/>
                <w:szCs w:val="18"/>
                <w:color w:val="auto"/>
              </w:rPr>
              <w:t>Weighted-average common shares outstanding assuming</w:t>
            </w: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dilution</w:t>
            </w:r>
          </w:p>
        </w:tc>
        <w:tc>
          <w:tcPr>
            <w:tcW w:w="54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14,510,482</w:t>
            </w:r>
          </w:p>
        </w:tc>
        <w:tc>
          <w:tcPr>
            <w:tcW w:w="44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w w:val="93"/>
              </w:rPr>
              <w:t>14,545,199</w:t>
            </w:r>
          </w:p>
        </w:tc>
        <w:tc>
          <w:tcPr>
            <w:tcW w:w="42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5"/>
              </w:rPr>
              <w:t>14,526,268</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14,587,857</w:t>
            </w:r>
          </w:p>
        </w:tc>
      </w:tr>
      <w:tr>
        <w:trPr>
          <w:trHeight w:val="222"/>
        </w:trPr>
        <w:tc>
          <w:tcPr>
            <w:tcW w:w="4920" w:type="dxa"/>
            <w:vAlign w:val="bottom"/>
            <w:tcBorders>
              <w:bottom w:val="single" w:sz="8" w:color="auto"/>
            </w:tcBorders>
            <w:shd w:val="clear" w:color="auto" w:fill="B2B2B2"/>
          </w:tcPr>
          <w:p>
            <w:pPr>
              <w:ind w:left="540"/>
              <w:spacing w:after="0" w:line="202" w:lineRule="exact"/>
              <w:rPr>
                <w:sz w:val="20"/>
                <w:szCs w:val="20"/>
                <w:color w:val="auto"/>
              </w:rPr>
            </w:pPr>
            <w:r>
              <w:rPr>
                <w:rFonts w:ascii="Arial" w:cs="Arial" w:eastAsia="Arial" w:hAnsi="Arial"/>
                <w:sz w:val="18"/>
                <w:szCs w:val="18"/>
                <w:color w:val="auto"/>
              </w:rPr>
              <w:t>Diluted earnings per share</w:t>
            </w:r>
          </w:p>
        </w:tc>
        <w:tc>
          <w:tcPr>
            <w:tcW w:w="54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2B2B2"/>
          </w:tcPr>
          <w:p>
            <w:pPr>
              <w:jc w:val="right"/>
              <w:ind w:right="190"/>
              <w:spacing w:after="0" w:line="202" w:lineRule="exact"/>
              <w:rPr>
                <w:sz w:val="20"/>
                <w:szCs w:val="20"/>
                <w:color w:val="auto"/>
              </w:rPr>
            </w:pPr>
            <w:r>
              <w:rPr>
                <w:rFonts w:ascii="Arial" w:cs="Arial" w:eastAsia="Arial" w:hAnsi="Arial"/>
                <w:sz w:val="18"/>
                <w:szCs w:val="18"/>
                <w:color w:val="auto"/>
              </w:rPr>
              <w:t>.48</w:t>
            </w:r>
          </w:p>
        </w:tc>
        <w:tc>
          <w:tcPr>
            <w:tcW w:w="4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ind w:right="210"/>
              <w:spacing w:after="0" w:line="202" w:lineRule="exact"/>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ind w:right="190"/>
              <w:spacing w:after="0" w:line="202" w:lineRule="exact"/>
              <w:rPr>
                <w:sz w:val="20"/>
                <w:szCs w:val="20"/>
                <w:color w:val="auto"/>
              </w:rPr>
            </w:pPr>
            <w:r>
              <w:rPr>
                <w:rFonts w:ascii="Arial" w:cs="Arial" w:eastAsia="Arial" w:hAnsi="Arial"/>
                <w:sz w:val="18"/>
                <w:szCs w:val="18"/>
                <w:color w:val="auto"/>
              </w:rPr>
              <w:t>.97</w:t>
            </w:r>
          </w:p>
        </w:tc>
        <w:tc>
          <w:tcPr>
            <w:tcW w:w="4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.89</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maintains a treasury stock buyback program pursuant to which the Board of Directors has authorized the repurchase of up to 500,000 shares of the Company’s common stock. As restored by the Board of Directors in October 2020, the program provides that the Company may repurchase up to an aggregate of 500,000 shares of common stock and has no expiration date. As of June 30, 2021, 345,612 shares remained available for repurchase under the program. The Company repurchased 89,010 and zero shares during the three-month periods ended June 30, 2021 and 2020 and 120,266 and 128,779 shares for the six-month periods ended June 30, 2021 and 2020, respectively. Repurchases may be made in the open market or through negotiated transactions from time to time depending on market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faith-based ministries, including on-line generosity services, as well as supporting the banking needs of the Information Services segment.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Annual Report on Form 10-K for the year ended December 31, 2020.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5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ectPr>
          <w:pgSz w:w="11900" w:h="16838" w:orient="portrait"/>
          <w:cols w:equalWidth="0" w:num="1">
            <w:col w:w="11240"/>
          </w:cols>
          <w:pgMar w:left="320" w:top="296" w:right="339" w:bottom="1440" w:gutter="0" w:footer="0" w:header="0"/>
        </w:sectPr>
      </w:pPr>
    </w:p>
    <w:p>
      <w:pPr>
        <w:ind w:left="340"/>
        <w:spacing w:after="0" w:line="222" w:lineRule="auto"/>
        <w:rPr>
          <w:sz w:val="20"/>
          <w:szCs w:val="20"/>
          <w:color w:val="auto"/>
        </w:rPr>
      </w:pPr>
      <w:r>
        <w:rPr>
          <w:rFonts w:ascii="Arial" w:cs="Arial" w:eastAsia="Arial" w:hAnsi="Arial"/>
          <w:sz w:val="28"/>
          <w:szCs w:val="28"/>
          <w:color w:val="auto"/>
        </w:rPr>
        <w: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180"/>
        <w:spacing w:after="0" w:line="411" w:lineRule="auto"/>
        <w:rPr>
          <w:sz w:val="20"/>
          <w:szCs w:val="20"/>
          <w:color w:val="auto"/>
        </w:rPr>
      </w:pPr>
      <w:r>
        <w:rPr>
          <w:rFonts w:ascii="Arial" w:cs="Arial" w:eastAsia="Arial" w:hAnsi="Arial"/>
          <w:sz w:val="16"/>
          <w:szCs w:val="16"/>
          <w:color w:val="auto"/>
        </w:rPr>
        <w:t>Information Services – one or more fixed rates depending upon the specific characteristics of the funding source, and Banking Services – a variable rate that is based upon the overall performance of the Company’s earning assets.</w:t>
      </w:r>
    </w:p>
    <w:p>
      <w:pPr>
        <w:spacing w:after="0" w:line="57" w:lineRule="exact"/>
        <w:rPr>
          <w:sz w:val="20"/>
          <w:szCs w:val="20"/>
          <w:color w:val="auto"/>
        </w:rPr>
      </w:pPr>
    </w:p>
    <w:p>
      <w:pPr>
        <w:sectPr>
          <w:pgSz w:w="11900" w:h="16838" w:orient="portrait"/>
          <w:cols w:equalWidth="0" w:num="2">
            <w:col w:w="440" w:space="200"/>
            <w:col w:w="10600"/>
          </w:cols>
          <w:pgMar w:left="320" w:top="296" w:right="339" w:bottom="1440" w:gutter="0" w:footer="0" w:header="0"/>
          <w:type w:val="continuous"/>
        </w:sectPr>
      </w:pPr>
    </w:p>
    <w:p>
      <w:pPr>
        <w:spacing w:after="0"/>
        <w:rPr>
          <w:sz w:val="20"/>
          <w:szCs w:val="20"/>
          <w:color w:val="auto"/>
        </w:rPr>
      </w:pPr>
      <w:r>
        <w:rPr>
          <w:rFonts w:ascii="Arial" w:cs="Arial" w:eastAsia="Arial" w:hAnsi="Arial"/>
          <w:sz w:val="16"/>
          <w:szCs w:val="16"/>
          <w:color w:val="auto"/>
        </w:rPr>
        <w:t>Any difference between total segment interest income and overall total Company interest income is included in Corporate, Eliminations, and Other.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38"/>
        </w:trPr>
        <w:tc>
          <w:tcPr>
            <w:tcW w:w="7280" w:type="dxa"/>
            <w:vAlign w:val="bottom"/>
            <w:gridSpan w:val="4"/>
          </w:tcPr>
          <w:p>
            <w:pPr>
              <w:spacing w:after="0"/>
              <w:rPr>
                <w:sz w:val="20"/>
                <w:szCs w:val="20"/>
                <w:color w:val="auto"/>
              </w:rPr>
            </w:pPr>
            <w:r>
              <w:rPr>
                <w:rFonts w:ascii="Arial" w:cs="Arial" w:eastAsia="Arial" w:hAnsi="Arial"/>
                <w:sz w:val="18"/>
                <w:szCs w:val="18"/>
                <w:color w:val="auto"/>
                <w:w w:val="94"/>
              </w:rPr>
              <w:t>Summarized information about the Company’s operations in each industry segment is as follows: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2"/>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5"/>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Information</w:t>
            </w:r>
          </w:p>
        </w:tc>
        <w:tc>
          <w:tcPr>
            <w:tcW w:w="26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Banking</w:t>
            </w: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Eliminations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Services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and Other</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5"/>
        </w:trPr>
        <w:tc>
          <w:tcPr>
            <w:tcW w:w="430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Three Months Ended June 30, 2021:</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26,098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26,987</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5,884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6,563</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(853)</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11,594</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(688)</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9,093</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1,062,536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1,215,799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(6,002)</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2,272,333</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905,983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860,956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1,766,939</w:t>
            </w:r>
          </w:p>
        </w:tc>
      </w:tr>
      <w:tr>
        <w:trPr>
          <w:trHeight w:val="215"/>
        </w:trPr>
        <w:tc>
          <w:tcPr>
            <w:tcW w:w="430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Three Months Ended June 30, 2020:</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23,174</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4,955</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6,601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560</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12,116</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822,684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1,109,676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(103,376)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1,828,984</w:t>
            </w:r>
          </w:p>
        </w:tc>
      </w:tr>
      <w:tr>
        <w:trPr>
          <w:trHeight w:val="222"/>
        </w:trPr>
        <w:tc>
          <w:tcPr>
            <w:tcW w:w="43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680,061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746,619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1,426,680</w:t>
            </w:r>
          </w:p>
        </w:tc>
      </w:tr>
      <w:tr>
        <w:trPr>
          <w:trHeight w:val="215"/>
        </w:trPr>
        <w:tc>
          <w:tcPr>
            <w:tcW w:w="430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Six Months Ended June 30, 2021:</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51,075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53,162</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11,393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12,314</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22,732</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(1,311)</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12,417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18,150</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1,062,536</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1,215,799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(6,002)</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2,272,333</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872,106</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855,099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1,727,205</w:t>
            </w:r>
          </w:p>
        </w:tc>
      </w:tr>
      <w:tr>
        <w:trPr>
          <w:trHeight w:val="215"/>
        </w:trPr>
        <w:tc>
          <w:tcPr>
            <w:tcW w:w="4300" w:type="dxa"/>
            <w:vAlign w:val="bottom"/>
            <w:gridSpan w:val="2"/>
            <w:shd w:val="clear" w:color="auto" w:fill="B2B2B2"/>
          </w:tcPr>
          <w:p>
            <w:pPr>
              <w:spacing w:after="0"/>
              <w:rPr>
                <w:sz w:val="20"/>
                <w:szCs w:val="20"/>
                <w:color w:val="auto"/>
              </w:rPr>
            </w:pPr>
            <w:r>
              <w:rPr>
                <w:rFonts w:ascii="Arial" w:cs="Arial" w:eastAsia="Arial" w:hAnsi="Arial"/>
                <w:sz w:val="18"/>
                <w:szCs w:val="18"/>
                <w:i w:val="1"/>
                <w:iCs w:val="1"/>
                <w:color w:val="auto"/>
              </w:rPr>
              <w:t>Six Months Ended June 30, 2020:</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50,269</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9,662</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13,885</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1,391</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24,938</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Intersegment income (expense)</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(1,081)</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Tax-equivalized pre-tax income*</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16,750</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Goodwill</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12,433</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14,262</w:t>
            </w:r>
          </w:p>
        </w:tc>
      </w:tr>
      <w:tr>
        <w:trPr>
          <w:trHeight w:val="215"/>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Other intangible assets, net</w:t>
            </w:r>
          </w:p>
        </w:tc>
        <w:tc>
          <w:tcPr>
            <w:tcW w:w="1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215"/>
        </w:trPr>
        <w:tc>
          <w:tcPr>
            <w:tcW w:w="43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822,684</w:t>
            </w:r>
          </w:p>
        </w:tc>
        <w:tc>
          <w:tcPr>
            <w:tcW w:w="26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1,109,676</w:t>
            </w:r>
          </w:p>
        </w:tc>
        <w:tc>
          <w:tcPr>
            <w:tcW w:w="160" w:type="dxa"/>
            <w:vAlign w:val="bottom"/>
            <w:shd w:val="clear" w:color="auto" w:fill="B2B2B2"/>
          </w:tcPr>
          <w:p>
            <w:pPr>
              <w:spacing w:after="0"/>
              <w:rPr>
                <w:sz w:val="18"/>
                <w:szCs w:val="18"/>
                <w:color w:val="auto"/>
              </w:rPr>
            </w:pPr>
          </w:p>
        </w:tc>
        <w:tc>
          <w:tcPr>
            <w:tcW w:w="1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(103,376)</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1,828,984</w:t>
            </w:r>
          </w:p>
        </w:tc>
      </w:tr>
      <w:tr>
        <w:trPr>
          <w:trHeight w:val="230"/>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Average funding sources</w:t>
            </w:r>
          </w:p>
        </w:tc>
        <w:tc>
          <w:tcPr>
            <w:tcW w:w="1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678,945</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678,877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1,357,822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ind w:firstLine="8"/>
        <w:spacing w:after="0" w:line="242" w:lineRule="auto"/>
        <w:tabs>
          <w:tab w:leader="none" w:pos="114"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Presented on a tax-equivalent basis assuming a tax rate of 21% for both 2021 and 2020. The tax-equivalent adjustment was approximately $487,000 and $474,000 f for the Second Quarter of 2021 and 2020, respectively, and $949,000 and $958,000 for the First Half of 2021 and 2020,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835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3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5700" w:type="dxa"/>
            <w:vAlign w:val="bottom"/>
            <w:gridSpan w:val="2"/>
          </w:tcPr>
          <w:p>
            <w:pPr>
              <w:spacing w:after="0"/>
              <w:rPr>
                <w:sz w:val="20"/>
                <w:szCs w:val="20"/>
                <w:color w:val="auto"/>
              </w:rPr>
            </w:pPr>
            <w:r>
              <w:rPr>
                <w:rFonts w:ascii="Arial" w:cs="Arial" w:eastAsia="Arial" w:hAnsi="Arial"/>
                <w:sz w:val="18"/>
                <w:szCs w:val="18"/>
                <w:color w:val="auto"/>
              </w:rPr>
              <w:t>Note 6 – Loans by Type</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700" w:type="dxa"/>
            <w:vAlign w:val="bottom"/>
            <w:gridSpan w:val="2"/>
          </w:tcPr>
          <w:p>
            <w:pPr>
              <w:spacing w:after="0"/>
              <w:rPr>
                <w:sz w:val="20"/>
                <w:szCs w:val="20"/>
                <w:color w:val="auto"/>
              </w:rPr>
            </w:pPr>
            <w:r>
              <w:rPr>
                <w:rFonts w:ascii="Arial" w:cs="Arial" w:eastAsia="Arial" w:hAnsi="Arial"/>
                <w:sz w:val="18"/>
                <w:szCs w:val="18"/>
                <w:color w:val="auto"/>
              </w:rPr>
              <w:t>A summary of loan categories is as follows:</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5"/>
        </w:trPr>
        <w:tc>
          <w:tcPr>
            <w:tcW w:w="5700" w:type="dxa"/>
            <w:vAlign w:val="bottom"/>
            <w:gridSpan w:val="2"/>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74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330,714</w:t>
            </w:r>
          </w:p>
        </w:tc>
        <w:tc>
          <w:tcPr>
            <w:tcW w:w="2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298,984</w:t>
            </w:r>
          </w:p>
        </w:tc>
        <w:tc>
          <w:tcPr>
            <w:tcW w:w="20" w:type="dxa"/>
            <w:vAlign w:val="bottom"/>
          </w:tcPr>
          <w:p>
            <w:pPr>
              <w:spacing w:after="0"/>
              <w:rPr>
                <w:sz w:val="18"/>
                <w:szCs w:val="18"/>
                <w:color w:val="auto"/>
              </w:rPr>
            </w:pPr>
          </w:p>
        </w:tc>
      </w:tr>
      <w:tr>
        <w:trPr>
          <w:trHeight w:val="215"/>
        </w:trPr>
        <w:tc>
          <w:tcPr>
            <w:tcW w:w="5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700" w:type="dxa"/>
            <w:vAlign w:val="bottom"/>
            <w:gridSpan w:val="2"/>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2740" w:type="dxa"/>
            <w:vAlign w:val="bottom"/>
            <w:shd w:val="clear" w:color="auto" w:fill="B2B2B2"/>
          </w:tcPr>
          <w:p>
            <w:pPr>
              <w:spacing w:after="0"/>
              <w:rPr>
                <w:sz w:val="18"/>
                <w:szCs w:val="18"/>
                <w:color w:val="auto"/>
              </w:rPr>
            </w:pPr>
          </w:p>
        </w:tc>
        <w:tc>
          <w:tcPr>
            <w:tcW w:w="126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700" w:type="dxa"/>
            <w:vAlign w:val="bottom"/>
            <w:gridSpan w:val="2"/>
          </w:tcPr>
          <w:p>
            <w:pPr>
              <w:ind w:left="540"/>
              <w:spacing w:after="0"/>
              <w:rPr>
                <w:sz w:val="20"/>
                <w:szCs w:val="20"/>
                <w:color w:val="auto"/>
              </w:rPr>
            </w:pPr>
            <w:r>
              <w:rPr>
                <w:rFonts w:ascii="Arial" w:cs="Arial" w:eastAsia="Arial" w:hAnsi="Arial"/>
                <w:sz w:val="18"/>
                <w:szCs w:val="18"/>
                <w:color w:val="auto"/>
              </w:rPr>
              <w:t>Mortgage</w:t>
            </w:r>
          </w:p>
        </w:tc>
        <w:tc>
          <w:tcPr>
            <w:tcW w:w="2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103,878</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100,419</w:t>
            </w:r>
          </w:p>
        </w:tc>
        <w:tc>
          <w:tcPr>
            <w:tcW w:w="20" w:type="dxa"/>
            <w:vAlign w:val="bottom"/>
          </w:tcPr>
          <w:p>
            <w:pPr>
              <w:spacing w:after="0"/>
              <w:rPr>
                <w:sz w:val="18"/>
                <w:szCs w:val="18"/>
                <w:color w:val="auto"/>
              </w:rPr>
            </w:pPr>
          </w:p>
        </w:tc>
      </w:tr>
      <w:tr>
        <w:trPr>
          <w:trHeight w:val="215"/>
        </w:trPr>
        <w:tc>
          <w:tcPr>
            <w:tcW w:w="570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Construction</w:t>
            </w:r>
          </w:p>
        </w:tc>
        <w:tc>
          <w:tcPr>
            <w:tcW w:w="2740" w:type="dxa"/>
            <w:vAlign w:val="bottom"/>
            <w:shd w:val="clear" w:color="auto" w:fill="B2B2B2"/>
          </w:tcPr>
          <w:p>
            <w:pPr>
              <w:spacing w:after="0"/>
              <w:rPr>
                <w:sz w:val="18"/>
                <w:szCs w:val="18"/>
                <w:color w:val="auto"/>
              </w:rPr>
            </w:pPr>
          </w:p>
        </w:tc>
        <w:tc>
          <w:tcPr>
            <w:tcW w:w="1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24,500</w:t>
            </w: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25,090</w:t>
            </w:r>
          </w:p>
        </w:tc>
        <w:tc>
          <w:tcPr>
            <w:tcW w:w="20" w:type="dxa"/>
            <w:vAlign w:val="bottom"/>
          </w:tcPr>
          <w:p>
            <w:pPr>
              <w:spacing w:after="0"/>
              <w:rPr>
                <w:sz w:val="18"/>
                <w:szCs w:val="18"/>
                <w:color w:val="auto"/>
              </w:rPr>
            </w:pPr>
          </w:p>
        </w:tc>
      </w:tr>
      <w:tr>
        <w:trPr>
          <w:trHeight w:val="215"/>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Faith-based:</w:t>
            </w: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700" w:type="dxa"/>
            <w:vAlign w:val="bottom"/>
            <w:gridSpan w:val="2"/>
            <w:shd w:val="clear" w:color="auto" w:fill="B2B2B2"/>
          </w:tcPr>
          <w:p>
            <w:pPr>
              <w:ind w:left="540"/>
              <w:spacing w:after="0"/>
              <w:rPr>
                <w:sz w:val="20"/>
                <w:szCs w:val="20"/>
                <w:color w:val="auto"/>
              </w:rPr>
            </w:pPr>
            <w:r>
              <w:rPr>
                <w:rFonts w:ascii="Arial" w:cs="Arial" w:eastAsia="Arial" w:hAnsi="Arial"/>
                <w:sz w:val="18"/>
                <w:szCs w:val="18"/>
                <w:color w:val="auto"/>
              </w:rPr>
              <w:t>Mortgage</w:t>
            </w:r>
          </w:p>
        </w:tc>
        <w:tc>
          <w:tcPr>
            <w:tcW w:w="2740" w:type="dxa"/>
            <w:vAlign w:val="bottom"/>
            <w:shd w:val="clear" w:color="auto" w:fill="B2B2B2"/>
          </w:tcPr>
          <w:p>
            <w:pPr>
              <w:spacing w:after="0"/>
              <w:rPr>
                <w:sz w:val="18"/>
                <w:szCs w:val="18"/>
                <w:color w:val="auto"/>
              </w:rPr>
            </w:pPr>
          </w:p>
        </w:tc>
        <w:tc>
          <w:tcPr>
            <w:tcW w:w="1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331,235</w:t>
            </w:r>
          </w:p>
        </w:tc>
        <w:tc>
          <w:tcPr>
            <w:tcW w:w="240" w:type="dxa"/>
            <w:vAlign w:val="bottom"/>
            <w:shd w:val="clear" w:color="auto" w:fill="B2B2B2"/>
          </w:tcPr>
          <w:p>
            <w:pPr>
              <w:spacing w:after="0"/>
              <w:rPr>
                <w:sz w:val="18"/>
                <w:szCs w:val="18"/>
                <w:color w:val="auto"/>
              </w:rPr>
            </w:pPr>
          </w:p>
        </w:tc>
        <w:tc>
          <w:tcPr>
            <w:tcW w:w="13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333,661</w:t>
            </w:r>
          </w:p>
        </w:tc>
        <w:tc>
          <w:tcPr>
            <w:tcW w:w="20" w:type="dxa"/>
            <w:vAlign w:val="bottom"/>
          </w:tcPr>
          <w:p>
            <w:pPr>
              <w:spacing w:after="0"/>
              <w:rPr>
                <w:sz w:val="18"/>
                <w:szCs w:val="18"/>
                <w:color w:val="auto"/>
              </w:rPr>
            </w:pPr>
          </w:p>
        </w:tc>
      </w:tr>
      <w:tr>
        <w:trPr>
          <w:trHeight w:val="215"/>
        </w:trPr>
        <w:tc>
          <w:tcPr>
            <w:tcW w:w="5700" w:type="dxa"/>
            <w:vAlign w:val="bottom"/>
            <w:gridSpan w:val="2"/>
          </w:tcPr>
          <w:p>
            <w:pPr>
              <w:ind w:left="540"/>
              <w:spacing w:after="0"/>
              <w:rPr>
                <w:sz w:val="20"/>
                <w:szCs w:val="20"/>
                <w:color w:val="auto"/>
              </w:rPr>
            </w:pPr>
            <w:r>
              <w:rPr>
                <w:rFonts w:ascii="Arial" w:cs="Arial" w:eastAsia="Arial" w:hAnsi="Arial"/>
                <w:sz w:val="18"/>
                <w:szCs w:val="18"/>
                <w:color w:val="auto"/>
              </w:rPr>
              <w:t>Construction</w:t>
            </w:r>
          </w:p>
        </w:tc>
        <w:tc>
          <w:tcPr>
            <w:tcW w:w="2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24,051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23,818</w:t>
            </w:r>
          </w:p>
        </w:tc>
        <w:tc>
          <w:tcPr>
            <w:tcW w:w="20" w:type="dxa"/>
            <w:vAlign w:val="bottom"/>
          </w:tcPr>
          <w:p>
            <w:pPr>
              <w:spacing w:after="0"/>
              <w:rPr>
                <w:sz w:val="18"/>
                <w:szCs w:val="18"/>
                <w:color w:val="auto"/>
              </w:rPr>
            </w:pPr>
          </w:p>
        </w:tc>
      </w:tr>
      <w:tr>
        <w:trPr>
          <w:trHeight w:val="215"/>
        </w:trPr>
        <w:tc>
          <w:tcPr>
            <w:tcW w:w="5700" w:type="dxa"/>
            <w:vAlign w:val="bottom"/>
            <w:tcBorders>
              <w:bottom w:val="single" w:sz="8" w:color="auto"/>
            </w:tcBorders>
            <w:gridSpan w:val="2"/>
            <w:shd w:val="clear" w:color="auto" w:fill="B2B2B2"/>
          </w:tcPr>
          <w:p>
            <w:pPr>
              <w:spacing w:after="0"/>
              <w:rPr>
                <w:sz w:val="20"/>
                <w:szCs w:val="20"/>
                <w:color w:val="auto"/>
              </w:rPr>
            </w:pPr>
            <w:r>
              <w:rPr>
                <w:rFonts w:ascii="Arial" w:cs="Arial" w:eastAsia="Arial" w:hAnsi="Arial"/>
                <w:sz w:val="18"/>
                <w:szCs w:val="18"/>
                <w:color w:val="auto"/>
              </w:rPr>
              <w:t>Paycheck Protection Program (“PPP”)</w:t>
            </w:r>
          </w:p>
        </w:tc>
        <w:tc>
          <w:tcPr>
            <w:tcW w:w="2740" w:type="dxa"/>
            <w:vAlign w:val="bottom"/>
            <w:tcBorders>
              <w:bottom w:val="single" w:sz="8" w:color="auto"/>
            </w:tcBorders>
            <w:shd w:val="clear" w:color="auto" w:fill="B2B2B2"/>
          </w:tcPr>
          <w:p>
            <w:pPr>
              <w:spacing w:after="0"/>
              <w:rPr>
                <w:sz w:val="18"/>
                <w:szCs w:val="18"/>
                <w:color w:val="auto"/>
              </w:rPr>
            </w:pPr>
          </w:p>
        </w:tc>
        <w:tc>
          <w:tcPr>
            <w:tcW w:w="1260" w:type="dxa"/>
            <w:vAlign w:val="bottom"/>
            <w:tcBorders>
              <w:bottom w:val="single" w:sz="8" w:color="auto"/>
            </w:tcBorders>
            <w:shd w:val="clear" w:color="auto" w:fill="B2B2B2"/>
          </w:tcPr>
          <w:p>
            <w:pPr>
              <w:jc w:val="right"/>
              <w:ind w:right="30"/>
              <w:spacing w:after="0"/>
              <w:rPr>
                <w:sz w:val="20"/>
                <w:szCs w:val="20"/>
                <w:color w:val="auto"/>
              </w:rPr>
            </w:pPr>
            <w:r>
              <w:rPr>
                <w:rFonts w:ascii="Arial" w:cs="Arial" w:eastAsia="Arial" w:hAnsi="Arial"/>
                <w:sz w:val="18"/>
                <w:szCs w:val="18"/>
                <w:color w:val="auto"/>
              </w:rPr>
              <w:t>56,642</w:t>
            </w:r>
          </w:p>
        </w:tc>
        <w:tc>
          <w:tcPr>
            <w:tcW w:w="240" w:type="dxa"/>
            <w:vAlign w:val="bottom"/>
            <w:tcBorders>
              <w:bottom w:val="single" w:sz="8" w:color="auto"/>
            </w:tcBorders>
            <w:shd w:val="clear" w:color="auto" w:fill="B2B2B2"/>
          </w:tcPr>
          <w:p>
            <w:pPr>
              <w:spacing w:after="0"/>
              <w:rPr>
                <w:sz w:val="18"/>
                <w:szCs w:val="18"/>
                <w:color w:val="auto"/>
              </w:rPr>
            </w:pPr>
          </w:p>
        </w:tc>
        <w:tc>
          <w:tcPr>
            <w:tcW w:w="13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109,704</w:t>
            </w:r>
          </w:p>
        </w:tc>
        <w:tc>
          <w:tcPr>
            <w:tcW w:w="20" w:type="dxa"/>
            <w:vAlign w:val="bottom"/>
          </w:tcPr>
          <w:p>
            <w:pPr>
              <w:spacing w:after="0"/>
              <w:rPr>
                <w:sz w:val="18"/>
                <w:szCs w:val="18"/>
                <w:color w:val="auto"/>
              </w:rPr>
            </w:pPr>
          </w:p>
        </w:tc>
      </w:tr>
      <w:tr>
        <w:trPr>
          <w:trHeight w:val="216"/>
        </w:trPr>
        <w:tc>
          <w:tcPr>
            <w:tcW w:w="5700" w:type="dxa"/>
            <w:vAlign w:val="bottom"/>
            <w:tcBorders>
              <w:bottom w:val="single" w:sz="8" w:color="auto"/>
            </w:tcBorders>
            <w:gridSpan w:val="2"/>
          </w:tcPr>
          <w:p>
            <w:pPr>
              <w:ind w:left="360"/>
              <w:spacing w:after="0" w:line="195" w:lineRule="exact"/>
              <w:rPr>
                <w:sz w:val="20"/>
                <w:szCs w:val="20"/>
                <w:color w:val="auto"/>
              </w:rPr>
            </w:pPr>
            <w:r>
              <w:rPr>
                <w:rFonts w:ascii="Arial" w:cs="Arial" w:eastAsia="Arial" w:hAnsi="Arial"/>
                <w:sz w:val="18"/>
                <w:szCs w:val="18"/>
                <w:color w:val="auto"/>
              </w:rPr>
              <w:t>Total loans</w:t>
            </w:r>
          </w:p>
        </w:tc>
        <w:tc>
          <w:tcPr>
            <w:tcW w:w="274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871,020</w:t>
            </w:r>
          </w:p>
        </w:tc>
        <w:tc>
          <w:tcPr>
            <w:tcW w:w="2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891,676</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support of the Coronavirus, Aid, Relief, and Economic Security Act (the “CARES Act”), the Bank processed nearly 460 applications for PPP loans of approximately $210,000,000 cumulatively during 2021 and 2020 to provide much-needed cash to small business and self-employed taxpayers during the COVID-19 crisis. The loans were primarily made to existing bank customers and are 100% guaranteed by the Small Business Administration (“SBA”) with no allowance for credit loss allocation. The Company has unaccreted PPP loan fees of $1,312,000 at June 30,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past due by category at June 30, 2021 and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Performing</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Nonperforming</w:t>
            </w:r>
          </w:p>
        </w:tc>
        <w:tc>
          <w:tcPr>
            <w:tcW w:w="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150"/>
              <w:spacing w:after="0" w:line="197" w:lineRule="exact"/>
              <w:rPr>
                <w:sz w:val="20"/>
                <w:szCs w:val="20"/>
                <w:color w:val="auto"/>
              </w:rPr>
            </w:pPr>
            <w:r>
              <w:rPr>
                <w:rFonts w:ascii="Arial" w:cs="Arial" w:eastAsia="Arial" w:hAnsi="Arial"/>
                <w:sz w:val="18"/>
                <w:szCs w:val="18"/>
                <w:b w:val="1"/>
                <w:bCs w:val="1"/>
                <w:color w:val="auto"/>
                <w:w w:val="89"/>
              </w:rPr>
              <w:t>90</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Days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30-59</w:t>
            </w:r>
          </w:p>
        </w:tc>
        <w:tc>
          <w:tcPr>
            <w:tcW w:w="24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Non-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Current</w:t>
            </w:r>
          </w:p>
        </w:tc>
        <w:tc>
          <w:tcPr>
            <w:tcW w:w="16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rPr>
              <w:t>Days</w:t>
            </w: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Days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Over</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accrual</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Loans</w:t>
            </w:r>
          </w:p>
        </w:tc>
      </w:tr>
      <w:tr>
        <w:trPr>
          <w:trHeight w:val="215"/>
        </w:trPr>
        <w:tc>
          <w:tcPr>
            <w:tcW w:w="486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i w:val="1"/>
                <w:iCs w:val="1"/>
                <w:color w:val="auto"/>
              </w:rPr>
              <w:t>June 30, 2021</w:t>
            </w:r>
          </w:p>
        </w:tc>
        <w:tc>
          <w:tcPr>
            <w:tcW w:w="12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980" w:type="dxa"/>
            <w:vAlign w:val="bottom"/>
            <w:tcBorders>
              <w:top w:val="single" w:sz="8" w:color="auto"/>
            </w:tcBorders>
            <w:shd w:val="clear" w:color="auto" w:fill="B2B2B2"/>
          </w:tcPr>
          <w:p>
            <w:pPr>
              <w:spacing w:after="0"/>
              <w:rPr>
                <w:sz w:val="18"/>
                <w:szCs w:val="18"/>
                <w:color w:val="auto"/>
              </w:rPr>
            </w:pPr>
          </w:p>
        </w:tc>
        <w:tc>
          <w:tcPr>
            <w:tcW w:w="240" w:type="dxa"/>
            <w:vAlign w:val="bottom"/>
            <w:tcBorders>
              <w:top w:val="single" w:sz="8" w:color="auto"/>
            </w:tcBorders>
            <w:shd w:val="clear" w:color="auto" w:fill="B2B2B2"/>
          </w:tcPr>
          <w:p>
            <w:pPr>
              <w:spacing w:after="0"/>
              <w:rPr>
                <w:sz w:val="18"/>
                <w:szCs w:val="18"/>
                <w:color w:val="auto"/>
              </w:rPr>
            </w:pPr>
          </w:p>
        </w:tc>
        <w:tc>
          <w:tcPr>
            <w:tcW w:w="820" w:type="dxa"/>
            <w:vAlign w:val="bottom"/>
            <w:tcBorders>
              <w:top w:val="single" w:sz="8" w:color="auto"/>
            </w:tcBorders>
            <w:shd w:val="clear" w:color="auto" w:fill="B2B2B2"/>
          </w:tcPr>
          <w:p>
            <w:pPr>
              <w:spacing w:after="0"/>
              <w:rPr>
                <w:sz w:val="18"/>
                <w:szCs w:val="18"/>
                <w:color w:val="auto"/>
              </w:rPr>
            </w:pPr>
          </w:p>
        </w:tc>
        <w:tc>
          <w:tcPr>
            <w:tcW w:w="10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860" w:type="dxa"/>
            <w:vAlign w:val="bottom"/>
            <w:tcBorders>
              <w:top w:val="single" w:sz="8" w:color="auto"/>
            </w:tcBorders>
            <w:shd w:val="clear" w:color="auto" w:fill="B2B2B2"/>
          </w:tcPr>
          <w:p>
            <w:pPr>
              <w:spacing w:after="0"/>
              <w:rPr>
                <w:sz w:val="18"/>
                <w:szCs w:val="18"/>
                <w:color w:val="auto"/>
              </w:rPr>
            </w:pPr>
          </w:p>
        </w:tc>
        <w:tc>
          <w:tcPr>
            <w:tcW w:w="840" w:type="dxa"/>
            <w:vAlign w:val="bottom"/>
            <w:tcBorders>
              <w:top w:val="single" w:sz="8" w:color="auto"/>
            </w:tcBorders>
            <w:shd w:val="clear" w:color="auto" w:fill="B2B2B2"/>
          </w:tcPr>
          <w:p>
            <w:pPr>
              <w:spacing w:after="0"/>
              <w:rPr>
                <w:sz w:val="18"/>
                <w:szCs w:val="18"/>
                <w:color w:val="auto"/>
              </w:rPr>
            </w:pPr>
          </w:p>
        </w:tc>
        <w:tc>
          <w:tcPr>
            <w:tcW w:w="200" w:type="dxa"/>
            <w:vAlign w:val="bottom"/>
            <w:tcBorders>
              <w:top w:val="single" w:sz="8" w:color="auto"/>
            </w:tcBorders>
            <w:shd w:val="clear" w:color="auto" w:fill="B2B2B2"/>
          </w:tcPr>
          <w:p>
            <w:pPr>
              <w:spacing w:after="0"/>
              <w:rPr>
                <w:sz w:val="18"/>
                <w:szCs w:val="18"/>
                <w:color w:val="auto"/>
              </w:rPr>
            </w:pPr>
          </w:p>
        </w:tc>
        <w:tc>
          <w:tcPr>
            <w:tcW w:w="260" w:type="dxa"/>
            <w:vAlign w:val="bottom"/>
            <w:tcBorders>
              <w:top w:val="single" w:sz="8" w:color="auto"/>
            </w:tcBorders>
            <w:shd w:val="clear" w:color="auto" w:fill="B2B2B2"/>
          </w:tcPr>
          <w:p>
            <w:pPr>
              <w:spacing w:after="0"/>
              <w:rPr>
                <w:sz w:val="18"/>
                <w:szCs w:val="18"/>
                <w:color w:val="auto"/>
              </w:rPr>
            </w:pPr>
          </w:p>
        </w:tc>
        <w:tc>
          <w:tcPr>
            <w:tcW w:w="740" w:type="dxa"/>
            <w:vAlign w:val="bottom"/>
            <w:tcBorders>
              <w:top w:val="single" w:sz="8" w:color="auto"/>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330,714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330,714</w:t>
            </w: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103,878</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103,878</w:t>
            </w:r>
          </w:p>
        </w:tc>
        <w:tc>
          <w:tcPr>
            <w:tcW w:w="20" w:type="dxa"/>
            <w:vAlign w:val="bottom"/>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24,500</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24,500</w:t>
            </w: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331,235</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331,235</w:t>
            </w: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24,051</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24,051</w:t>
            </w:r>
          </w:p>
        </w:tc>
        <w:tc>
          <w:tcPr>
            <w:tcW w:w="20" w:type="dxa"/>
            <w:vAlign w:val="bottom"/>
          </w:tcPr>
          <w:p>
            <w:pPr>
              <w:spacing w:after="0"/>
              <w:rPr>
                <w:sz w:val="18"/>
                <w:szCs w:val="18"/>
                <w:color w:val="auto"/>
              </w:rPr>
            </w:pPr>
          </w:p>
        </w:tc>
      </w:tr>
      <w:tr>
        <w:trPr>
          <w:trHeight w:val="21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PPP</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56,642</w:t>
            </w:r>
          </w:p>
        </w:tc>
        <w:tc>
          <w:tcPr>
            <w:tcW w:w="20" w:type="dxa"/>
            <w:vAlign w:val="bottom"/>
          </w:tcPr>
          <w:p>
            <w:pPr>
              <w:spacing w:after="0"/>
              <w:rPr>
                <w:sz w:val="18"/>
                <w:szCs w:val="18"/>
                <w:color w:val="auto"/>
              </w:rPr>
            </w:pPr>
          </w:p>
        </w:tc>
      </w:tr>
      <w:tr>
        <w:trPr>
          <w:trHeight w:val="209"/>
        </w:trPr>
        <w:tc>
          <w:tcPr>
            <w:tcW w:w="48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871,020</w:t>
            </w:r>
          </w:p>
        </w:tc>
        <w:tc>
          <w:tcPr>
            <w:tcW w:w="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871,020</w:t>
            </w:r>
          </w:p>
        </w:tc>
        <w:tc>
          <w:tcPr>
            <w:tcW w:w="20" w:type="dxa"/>
            <w:vAlign w:val="bottom"/>
          </w:tcPr>
          <w:p>
            <w:pPr>
              <w:spacing w:after="0"/>
              <w:rPr>
                <w:sz w:val="18"/>
                <w:szCs w:val="18"/>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i w:val="1"/>
                <w:iCs w:val="1"/>
                <w:color w:val="auto"/>
              </w:rPr>
              <w:t>December 31, 2020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298,984</w:t>
            </w: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298,984</w:t>
            </w:r>
          </w:p>
        </w:tc>
        <w:tc>
          <w:tcPr>
            <w:tcW w:w="20" w:type="dxa"/>
            <w:vAlign w:val="bottom"/>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100,419</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100,419</w:t>
            </w: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25,090</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25,090</w:t>
            </w:r>
          </w:p>
        </w:tc>
        <w:tc>
          <w:tcPr>
            <w:tcW w:w="20" w:type="dxa"/>
            <w:vAlign w:val="bottom"/>
          </w:tcPr>
          <w:p>
            <w:pPr>
              <w:spacing w:after="0"/>
              <w:rPr>
                <w:sz w:val="18"/>
                <w:szCs w:val="18"/>
                <w:color w:val="auto"/>
              </w:rPr>
            </w:pPr>
          </w:p>
        </w:tc>
      </w:tr>
      <w:tr>
        <w:trPr>
          <w:trHeight w:val="215"/>
        </w:trPr>
        <w:tc>
          <w:tcPr>
            <w:tcW w:w="486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B2B2B2"/>
          </w:tcPr>
          <w:p>
            <w:pPr>
              <w:spacing w:after="0"/>
              <w:rPr>
                <w:sz w:val="18"/>
                <w:szCs w:val="18"/>
                <w:color w:val="auto"/>
              </w:rPr>
            </w:pPr>
          </w:p>
        </w:tc>
        <w:tc>
          <w:tcPr>
            <w:tcW w:w="8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333,661</w:t>
            </w:r>
          </w:p>
        </w:tc>
        <w:tc>
          <w:tcPr>
            <w:tcW w:w="160" w:type="dxa"/>
            <w:vAlign w:val="bottom"/>
            <w:shd w:val="clear" w:color="auto" w:fill="B2B2B2"/>
          </w:tcPr>
          <w:p>
            <w:pPr>
              <w:spacing w:after="0"/>
              <w:rPr>
                <w:sz w:val="18"/>
                <w:szCs w:val="18"/>
                <w:color w:val="auto"/>
              </w:rPr>
            </w:pPr>
          </w:p>
        </w:tc>
        <w:tc>
          <w:tcPr>
            <w:tcW w:w="980" w:type="dxa"/>
            <w:vAlign w:val="bottom"/>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B2B2B2"/>
          </w:tcPr>
          <w:p>
            <w:pPr>
              <w:spacing w:after="0"/>
              <w:rPr>
                <w:sz w:val="18"/>
                <w:szCs w:val="18"/>
                <w:color w:val="auto"/>
              </w:rPr>
            </w:pPr>
          </w:p>
        </w:tc>
        <w:tc>
          <w:tcPr>
            <w:tcW w:w="820" w:type="dxa"/>
            <w:vAlign w:val="bottom"/>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B2B2B2"/>
          </w:tcPr>
          <w:p>
            <w:pPr>
              <w:spacing w:after="0"/>
              <w:rPr>
                <w:sz w:val="18"/>
                <w:szCs w:val="18"/>
                <w:color w:val="auto"/>
              </w:rPr>
            </w:pPr>
          </w:p>
        </w:tc>
        <w:tc>
          <w:tcPr>
            <w:tcW w:w="200" w:type="dxa"/>
            <w:vAlign w:val="bottom"/>
            <w:shd w:val="clear" w:color="auto" w:fill="B2B2B2"/>
          </w:tcPr>
          <w:p>
            <w:pPr>
              <w:spacing w:after="0"/>
              <w:rPr>
                <w:sz w:val="18"/>
                <w:szCs w:val="18"/>
                <w:color w:val="auto"/>
              </w:rPr>
            </w:pPr>
          </w:p>
        </w:tc>
        <w:tc>
          <w:tcPr>
            <w:tcW w:w="860" w:type="dxa"/>
            <w:vAlign w:val="bottom"/>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B2B2B2"/>
          </w:tcPr>
          <w:p>
            <w:pPr>
              <w:spacing w:after="0"/>
              <w:rPr>
                <w:sz w:val="18"/>
                <w:szCs w:val="18"/>
                <w:color w:val="auto"/>
              </w:rPr>
            </w:pPr>
          </w:p>
        </w:tc>
        <w:tc>
          <w:tcPr>
            <w:tcW w:w="200" w:type="dxa"/>
            <w:vAlign w:val="bottom"/>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B2B2B2"/>
          </w:tcPr>
          <w:p>
            <w:pPr>
              <w:spacing w:after="0"/>
              <w:rPr>
                <w:sz w:val="18"/>
                <w:szCs w:val="18"/>
                <w:color w:val="auto"/>
              </w:rPr>
            </w:pPr>
          </w:p>
        </w:tc>
        <w:tc>
          <w:tcPr>
            <w:tcW w:w="74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333,661</w:t>
            </w:r>
          </w:p>
        </w:tc>
        <w:tc>
          <w:tcPr>
            <w:tcW w:w="20" w:type="dxa"/>
            <w:vAlign w:val="bottom"/>
          </w:tcPr>
          <w:p>
            <w:pPr>
              <w:spacing w:after="0"/>
              <w:rPr>
                <w:sz w:val="18"/>
                <w:szCs w:val="18"/>
                <w:color w:val="auto"/>
              </w:rPr>
            </w:pPr>
          </w:p>
        </w:tc>
      </w:tr>
      <w:tr>
        <w:trPr>
          <w:trHeight w:val="215"/>
        </w:trPr>
        <w:tc>
          <w:tcPr>
            <w:tcW w:w="48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23,818</w:t>
            </w:r>
          </w:p>
        </w:tc>
        <w:tc>
          <w:tcPr>
            <w:tcW w:w="16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23,818</w:t>
            </w:r>
          </w:p>
        </w:tc>
        <w:tc>
          <w:tcPr>
            <w:tcW w:w="20" w:type="dxa"/>
            <w:vAlign w:val="bottom"/>
          </w:tcPr>
          <w:p>
            <w:pPr>
              <w:spacing w:after="0"/>
              <w:rPr>
                <w:sz w:val="18"/>
                <w:szCs w:val="18"/>
                <w:color w:val="auto"/>
              </w:rPr>
            </w:pPr>
          </w:p>
        </w:tc>
      </w:tr>
      <w:tr>
        <w:trPr>
          <w:trHeight w:val="215"/>
        </w:trPr>
        <w:tc>
          <w:tcPr>
            <w:tcW w:w="48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PPP</w:t>
            </w:r>
          </w:p>
        </w:tc>
        <w:tc>
          <w:tcPr>
            <w:tcW w:w="12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109,704</w:t>
            </w:r>
          </w:p>
        </w:tc>
        <w:tc>
          <w:tcPr>
            <w:tcW w:w="16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spacing w:after="0"/>
              <w:rPr>
                <w:sz w:val="18"/>
                <w:szCs w:val="18"/>
                <w:color w:val="auto"/>
              </w:rPr>
            </w:pPr>
          </w:p>
        </w:tc>
        <w:tc>
          <w:tcPr>
            <w:tcW w:w="860" w:type="dxa"/>
            <w:vAlign w:val="bottom"/>
            <w:tcBorders>
              <w:bottom w:val="single" w:sz="8" w:color="auto"/>
            </w:tcBorders>
            <w:shd w:val="clear" w:color="auto" w:fill="B2B2B2"/>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spacing w:after="0"/>
              <w:rPr>
                <w:sz w:val="18"/>
                <w:szCs w:val="18"/>
                <w:color w:val="auto"/>
              </w:rPr>
            </w:pPr>
          </w:p>
        </w:tc>
        <w:tc>
          <w:tcPr>
            <w:tcW w:w="200" w:type="dxa"/>
            <w:vAlign w:val="bottom"/>
            <w:tcBorders>
              <w:bottom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shd w:val="clear" w:color="auto" w:fill="B2B2B2"/>
          </w:tcPr>
          <w:p>
            <w:pPr>
              <w:spacing w:after="0"/>
              <w:rPr>
                <w:sz w:val="18"/>
                <w:szCs w:val="18"/>
                <w:color w:val="auto"/>
              </w:rPr>
            </w:pPr>
          </w:p>
        </w:tc>
        <w:tc>
          <w:tcPr>
            <w:tcW w:w="740" w:type="dxa"/>
            <w:vAlign w:val="bottom"/>
            <w:tcBorders>
              <w:bottom w:val="single" w:sz="8" w:color="auto"/>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109,704</w:t>
            </w:r>
          </w:p>
        </w:tc>
        <w:tc>
          <w:tcPr>
            <w:tcW w:w="20" w:type="dxa"/>
            <w:vAlign w:val="bottom"/>
          </w:tcPr>
          <w:p>
            <w:pPr>
              <w:spacing w:after="0"/>
              <w:rPr>
                <w:sz w:val="18"/>
                <w:szCs w:val="18"/>
                <w:color w:val="auto"/>
              </w:rPr>
            </w:pPr>
          </w:p>
        </w:tc>
      </w:tr>
      <w:tr>
        <w:trPr>
          <w:trHeight w:val="216"/>
        </w:trPr>
        <w:tc>
          <w:tcPr>
            <w:tcW w:w="48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891,676</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740"/>
              <w:spacing w:after="0" w:line="195"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640"/>
              <w:spacing w:after="0" w:line="195" w:lineRule="exact"/>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auto"/>
            </w:tcBorders>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620"/>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610"/>
              <w:spacing w:after="0" w:line="195"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20"/>
              <w:spacing w:after="0" w:line="195"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891,676</w:t>
            </w:r>
          </w:p>
        </w:tc>
        <w:tc>
          <w:tcPr>
            <w:tcW w:w="20" w:type="dxa"/>
            <w:vAlign w:val="bottom"/>
          </w:tcPr>
          <w:p>
            <w:pPr>
              <w:spacing w:after="0"/>
              <w:rPr>
                <w:sz w:val="18"/>
                <w:szCs w:val="18"/>
                <w:color w:val="auto"/>
              </w:rPr>
            </w:pPr>
          </w:p>
        </w:tc>
      </w:tr>
      <w:tr>
        <w:trPr>
          <w:trHeight w:val="431"/>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86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8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74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835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credit exposure of the loan portfolio by internally assigned credit grade as of June 30, 2021 and December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Performing</w:t>
            </w: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Nonperforming</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Subject to</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Loans Subject</w:t>
            </w: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Loans Subject</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Normal</w:t>
            </w:r>
          </w:p>
        </w:tc>
        <w:tc>
          <w:tcPr>
            <w:tcW w:w="16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to Special</w:t>
            </w: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to Special</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00" w:type="dxa"/>
            <w:vAlign w:val="bottom"/>
            <w:gridSpan w:val="2"/>
          </w:tcPr>
          <w:p>
            <w:pPr>
              <w:jc w:val="center"/>
              <w:ind w:left="2070"/>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1</w:t>
            </w:r>
          </w:p>
        </w:tc>
        <w:tc>
          <w:tcPr>
            <w:tcW w:w="1220" w:type="dxa"/>
            <w:vAlign w:val="bottom"/>
            <w:gridSpan w:val="2"/>
          </w:tcPr>
          <w:p>
            <w:pPr>
              <w:jc w:val="center"/>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2</w:t>
            </w:r>
          </w:p>
        </w:tc>
        <w:tc>
          <w:tcPr>
            <w:tcW w:w="160" w:type="dxa"/>
            <w:vAlign w:val="bottom"/>
          </w:tcPr>
          <w:p>
            <w:pPr>
              <w:spacing w:after="0"/>
              <w:rPr>
                <w:sz w:val="24"/>
                <w:szCs w:val="24"/>
                <w:color w:val="auto"/>
              </w:rPr>
            </w:pPr>
          </w:p>
        </w:tc>
        <w:tc>
          <w:tcPr>
            <w:tcW w:w="1140" w:type="dxa"/>
            <w:vAlign w:val="bottom"/>
          </w:tcPr>
          <w:p>
            <w:pPr>
              <w:jc w:val="center"/>
              <w:ind w:right="90"/>
              <w:spacing w:after="0" w:line="270"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9"/>
                <w:szCs w:val="29"/>
                <w:b w:val="1"/>
                <w:bCs w:val="1"/>
                <w:color w:val="auto"/>
                <w:w w:val="92"/>
                <w:vertAlign w:val="superscript"/>
              </w:rPr>
              <w:t>2</w:t>
            </w:r>
          </w:p>
        </w:tc>
        <w:tc>
          <w:tcPr>
            <w:tcW w:w="118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Loans</w:t>
            </w:r>
          </w:p>
        </w:tc>
      </w:tr>
      <w:tr>
        <w:trPr>
          <w:trHeight w:val="215"/>
        </w:trPr>
        <w:tc>
          <w:tcPr>
            <w:tcW w:w="416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i w:val="1"/>
                <w:iCs w:val="1"/>
                <w:color w:val="auto"/>
              </w:rPr>
              <w:t>June 30, 2021</w:t>
            </w:r>
          </w:p>
        </w:tc>
        <w:tc>
          <w:tcPr>
            <w:tcW w:w="2360" w:type="dxa"/>
            <w:vAlign w:val="bottom"/>
            <w:tcBorders>
              <w:top w:val="single" w:sz="8" w:color="auto"/>
            </w:tcBorders>
            <w:shd w:val="clear" w:color="auto" w:fill="B2B2B2"/>
          </w:tcPr>
          <w:p>
            <w:pPr>
              <w:spacing w:after="0"/>
              <w:rPr>
                <w:sz w:val="18"/>
                <w:szCs w:val="18"/>
                <w:color w:val="auto"/>
              </w:rPr>
            </w:pPr>
          </w:p>
        </w:tc>
        <w:tc>
          <w:tcPr>
            <w:tcW w:w="104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1140" w:type="dxa"/>
            <w:vAlign w:val="bottom"/>
            <w:tcBorders>
              <w:top w:val="single" w:sz="8" w:color="auto"/>
            </w:tcBorders>
            <w:shd w:val="clear" w:color="auto" w:fill="B2B2B2"/>
          </w:tcPr>
          <w:p>
            <w:pPr>
              <w:spacing w:after="0"/>
              <w:rPr>
                <w:sz w:val="18"/>
                <w:szCs w:val="18"/>
                <w:color w:val="auto"/>
              </w:rPr>
            </w:pPr>
          </w:p>
        </w:tc>
        <w:tc>
          <w:tcPr>
            <w:tcW w:w="360" w:type="dxa"/>
            <w:vAlign w:val="bottom"/>
            <w:tcBorders>
              <w:top w:val="single" w:sz="8" w:color="auto"/>
            </w:tcBorders>
            <w:shd w:val="clear" w:color="auto" w:fill="B2B2B2"/>
          </w:tcPr>
          <w:p>
            <w:pPr>
              <w:spacing w:after="0"/>
              <w:rPr>
                <w:sz w:val="18"/>
                <w:szCs w:val="18"/>
                <w:color w:val="auto"/>
              </w:rPr>
            </w:pPr>
          </w:p>
        </w:tc>
        <w:tc>
          <w:tcPr>
            <w:tcW w:w="80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319,477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11,237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330,714</w:t>
            </w: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spacing w:after="0"/>
              <w:rPr>
                <w:sz w:val="20"/>
                <w:szCs w:val="20"/>
                <w:color w:val="auto"/>
              </w:rPr>
            </w:pPr>
            <w:r>
              <w:rPr>
                <w:rFonts w:ascii="Arial" w:cs="Arial" w:eastAsia="Arial" w:hAnsi="Arial"/>
                <w:sz w:val="18"/>
                <w:szCs w:val="18"/>
                <w:color w:val="auto"/>
              </w:rPr>
              <w:t>Real estate</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103,637</w:t>
            </w: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103,878</w:t>
            </w:r>
          </w:p>
        </w:tc>
        <w:tc>
          <w:tcPr>
            <w:tcW w:w="20" w:type="dxa"/>
            <w:vAlign w:val="bottom"/>
          </w:tcPr>
          <w:p>
            <w:pPr>
              <w:spacing w:after="0"/>
              <w:rPr>
                <w:sz w:val="18"/>
                <w:szCs w:val="18"/>
                <w:color w:val="auto"/>
              </w:rPr>
            </w:pPr>
          </w:p>
        </w:tc>
      </w:tr>
      <w:tr>
        <w:trPr>
          <w:trHeight w:val="215"/>
        </w:trPr>
        <w:tc>
          <w:tcPr>
            <w:tcW w:w="41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24,500</w:t>
            </w: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Faith-based:</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328,236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331,235</w:t>
            </w: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24,051</w:t>
            </w: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24,051</w:t>
            </w:r>
          </w:p>
        </w:tc>
        <w:tc>
          <w:tcPr>
            <w:tcW w:w="20" w:type="dxa"/>
            <w:vAlign w:val="bottom"/>
          </w:tcPr>
          <w:p>
            <w:pPr>
              <w:spacing w:after="0"/>
              <w:rPr>
                <w:sz w:val="18"/>
                <w:szCs w:val="18"/>
                <w:color w:val="auto"/>
              </w:rPr>
            </w:pPr>
          </w:p>
        </w:tc>
      </w:tr>
      <w:tr>
        <w:trPr>
          <w:trHeight w:val="21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PPP</w:t>
            </w:r>
          </w:p>
        </w:tc>
        <w:tc>
          <w:tcPr>
            <w:tcW w:w="2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56,642</w:t>
            </w:r>
          </w:p>
        </w:tc>
        <w:tc>
          <w:tcPr>
            <w:tcW w:w="20" w:type="dxa"/>
            <w:vAlign w:val="bottom"/>
          </w:tcPr>
          <w:p>
            <w:pPr>
              <w:spacing w:after="0"/>
              <w:rPr>
                <w:sz w:val="18"/>
                <w:szCs w:val="18"/>
                <w:color w:val="auto"/>
              </w:rPr>
            </w:pPr>
          </w:p>
        </w:tc>
      </w:tr>
      <w:tr>
        <w:trPr>
          <w:trHeight w:val="209"/>
        </w:trPr>
        <w:tc>
          <w:tcPr>
            <w:tcW w:w="41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856,543</w:t>
            </w:r>
          </w:p>
        </w:tc>
        <w:tc>
          <w:tcPr>
            <w:tcW w:w="16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14,477</w:t>
            </w:r>
          </w:p>
        </w:tc>
        <w:tc>
          <w:tcPr>
            <w:tcW w:w="160" w:type="dxa"/>
            <w:vAlign w:val="bottom"/>
            <w:tcBorders>
              <w:bottom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871,020</w:t>
            </w:r>
          </w:p>
        </w:tc>
        <w:tc>
          <w:tcPr>
            <w:tcW w:w="20" w:type="dxa"/>
            <w:vAlign w:val="bottom"/>
          </w:tcPr>
          <w:p>
            <w:pPr>
              <w:spacing w:after="0"/>
              <w:rPr>
                <w:sz w:val="18"/>
                <w:szCs w:val="18"/>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i w:val="1"/>
                <w:iCs w:val="1"/>
                <w:color w:val="auto"/>
              </w:rPr>
              <w:t>December 31, 2020</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23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284,882</w:t>
            </w:r>
          </w:p>
        </w:tc>
        <w:tc>
          <w:tcPr>
            <w:tcW w:w="160" w:type="dxa"/>
            <w:vAlign w:val="bottom"/>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14,102</w:t>
            </w:r>
          </w:p>
        </w:tc>
        <w:tc>
          <w:tcPr>
            <w:tcW w:w="160" w:type="dxa"/>
            <w:vAlign w:val="bottom"/>
            <w:shd w:val="clear" w:color="auto" w:fill="B2B2B2"/>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298,984</w:t>
            </w:r>
          </w:p>
        </w:tc>
        <w:tc>
          <w:tcPr>
            <w:tcW w:w="20" w:type="dxa"/>
            <w:vAlign w:val="bottom"/>
          </w:tcPr>
          <w:p>
            <w:pPr>
              <w:spacing w:after="0"/>
              <w:rPr>
                <w:sz w:val="18"/>
                <w:szCs w:val="18"/>
                <w:color w:val="auto"/>
              </w:rPr>
            </w:pP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Commercial:</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spacing w:after="0"/>
              <w:rPr>
                <w:sz w:val="18"/>
                <w:szCs w:val="18"/>
                <w:color w:val="auto"/>
              </w:rPr>
            </w:pP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tcPr>
          <w:p>
            <w:pPr>
              <w:ind w:left="360"/>
              <w:spacing w:after="0"/>
              <w:rPr>
                <w:sz w:val="20"/>
                <w:szCs w:val="20"/>
                <w:color w:val="auto"/>
              </w:rPr>
            </w:pPr>
            <w:r>
              <w:rPr>
                <w:rFonts w:ascii="Arial" w:cs="Arial" w:eastAsia="Arial" w:hAnsi="Arial"/>
                <w:sz w:val="18"/>
                <w:szCs w:val="18"/>
                <w:color w:val="auto"/>
              </w:rPr>
              <w:t>Mortgage</w:t>
            </w:r>
          </w:p>
        </w:tc>
        <w:tc>
          <w:tcPr>
            <w:tcW w:w="2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99,044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100,419</w:t>
            </w: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Construction</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25,090</w:t>
            </w: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25,090</w:t>
            </w:r>
          </w:p>
        </w:tc>
        <w:tc>
          <w:tcPr>
            <w:tcW w:w="20" w:type="dxa"/>
            <w:vAlign w:val="bottom"/>
          </w:tcPr>
          <w:p>
            <w:pPr>
              <w:spacing w:after="0"/>
              <w:rPr>
                <w:sz w:val="18"/>
                <w:szCs w:val="18"/>
                <w:color w:val="auto"/>
              </w:rPr>
            </w:pPr>
          </w:p>
        </w:tc>
      </w:tr>
      <w:tr>
        <w:trPr>
          <w:trHeight w:val="215"/>
        </w:trPr>
        <w:tc>
          <w:tcPr>
            <w:tcW w:w="4160" w:type="dxa"/>
            <w:vAlign w:val="bottom"/>
          </w:tcPr>
          <w:p>
            <w:pPr>
              <w:ind w:left="180"/>
              <w:spacing w:after="0"/>
              <w:rPr>
                <w:sz w:val="20"/>
                <w:szCs w:val="20"/>
                <w:color w:val="auto"/>
              </w:rPr>
            </w:pPr>
            <w:r>
              <w:rPr>
                <w:rFonts w:ascii="Arial" w:cs="Arial" w:eastAsia="Arial" w:hAnsi="Arial"/>
                <w:sz w:val="18"/>
                <w:szCs w:val="18"/>
                <w:color w:val="auto"/>
              </w:rPr>
              <w:t>Faith-based:</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160" w:type="dxa"/>
            <w:vAlign w:val="bottom"/>
            <w:shd w:val="clear" w:color="auto" w:fill="B2B2B2"/>
          </w:tcPr>
          <w:p>
            <w:pPr>
              <w:ind w:left="360"/>
              <w:spacing w:after="0"/>
              <w:rPr>
                <w:sz w:val="20"/>
                <w:szCs w:val="20"/>
                <w:color w:val="auto"/>
              </w:rPr>
            </w:pPr>
            <w:r>
              <w:rPr>
                <w:rFonts w:ascii="Arial" w:cs="Arial" w:eastAsia="Arial" w:hAnsi="Arial"/>
                <w:sz w:val="18"/>
                <w:szCs w:val="18"/>
                <w:color w:val="auto"/>
              </w:rPr>
              <w:t>Mortgage</w:t>
            </w:r>
          </w:p>
        </w:tc>
        <w:tc>
          <w:tcPr>
            <w:tcW w:w="2360" w:type="dxa"/>
            <w:vAlign w:val="bottom"/>
            <w:shd w:val="clear" w:color="auto" w:fill="B2B2B2"/>
          </w:tcPr>
          <w:p>
            <w:pPr>
              <w:spacing w:after="0"/>
              <w:rPr>
                <w:sz w:val="18"/>
                <w:szCs w:val="18"/>
                <w:color w:val="auto"/>
              </w:rPr>
            </w:pPr>
          </w:p>
        </w:tc>
        <w:tc>
          <w:tcPr>
            <w:tcW w:w="10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330,554</w:t>
            </w: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3,107</w:t>
            </w:r>
          </w:p>
        </w:tc>
        <w:tc>
          <w:tcPr>
            <w:tcW w:w="160" w:type="dxa"/>
            <w:vAlign w:val="bottom"/>
            <w:shd w:val="clear" w:color="auto" w:fill="B2B2B2"/>
          </w:tcPr>
          <w:p>
            <w:pPr>
              <w:spacing w:after="0"/>
              <w:rPr>
                <w:sz w:val="18"/>
                <w:szCs w:val="18"/>
                <w:color w:val="auto"/>
              </w:rPr>
            </w:pPr>
          </w:p>
        </w:tc>
        <w:tc>
          <w:tcPr>
            <w:tcW w:w="1140" w:type="dxa"/>
            <w:vAlign w:val="bottom"/>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B2B2B2"/>
          </w:tcPr>
          <w:p>
            <w:pPr>
              <w:spacing w:after="0"/>
              <w:rPr>
                <w:sz w:val="18"/>
                <w:szCs w:val="18"/>
                <w:color w:val="auto"/>
              </w:rPr>
            </w:pP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333,661</w:t>
            </w:r>
          </w:p>
        </w:tc>
        <w:tc>
          <w:tcPr>
            <w:tcW w:w="20" w:type="dxa"/>
            <w:vAlign w:val="bottom"/>
          </w:tcPr>
          <w:p>
            <w:pPr>
              <w:spacing w:after="0"/>
              <w:rPr>
                <w:sz w:val="18"/>
                <w:szCs w:val="18"/>
                <w:color w:val="auto"/>
              </w:rPr>
            </w:pPr>
          </w:p>
        </w:tc>
      </w:tr>
      <w:tr>
        <w:trPr>
          <w:trHeight w:val="215"/>
        </w:trPr>
        <w:tc>
          <w:tcPr>
            <w:tcW w:w="416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23,818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23,818</w:t>
            </w:r>
          </w:p>
        </w:tc>
        <w:tc>
          <w:tcPr>
            <w:tcW w:w="20" w:type="dxa"/>
            <w:vAlign w:val="bottom"/>
          </w:tcPr>
          <w:p>
            <w:pPr>
              <w:spacing w:after="0"/>
              <w:rPr>
                <w:sz w:val="18"/>
                <w:szCs w:val="18"/>
                <w:color w:val="auto"/>
              </w:rPr>
            </w:pPr>
          </w:p>
        </w:tc>
      </w:tr>
      <w:tr>
        <w:trPr>
          <w:trHeight w:val="215"/>
        </w:trPr>
        <w:tc>
          <w:tcPr>
            <w:tcW w:w="416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PPP</w:t>
            </w:r>
          </w:p>
        </w:tc>
        <w:tc>
          <w:tcPr>
            <w:tcW w:w="2360" w:type="dxa"/>
            <w:vAlign w:val="bottom"/>
            <w:tcBorders>
              <w:bottom w:val="single" w:sz="8" w:color="auto"/>
            </w:tcBorders>
            <w:shd w:val="clear" w:color="auto" w:fill="B2B2B2"/>
          </w:tcPr>
          <w:p>
            <w:pPr>
              <w:spacing w:after="0"/>
              <w:rPr>
                <w:sz w:val="18"/>
                <w:szCs w:val="18"/>
                <w:color w:val="auto"/>
              </w:rPr>
            </w:pPr>
          </w:p>
        </w:tc>
        <w:tc>
          <w:tcPr>
            <w:tcW w:w="10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109,704</w:t>
            </w:r>
          </w:p>
        </w:tc>
        <w:tc>
          <w:tcPr>
            <w:tcW w:w="1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140" w:type="dxa"/>
            <w:vAlign w:val="bottom"/>
            <w:tcBorders>
              <w:bottom w:val="single" w:sz="8" w:color="auto"/>
            </w:tcBorders>
            <w:shd w:val="clear" w:color="auto" w:fill="B2B2B2"/>
          </w:tcPr>
          <w:p>
            <w:pPr>
              <w:ind w:left="9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2B2B2"/>
          </w:tcPr>
          <w:p>
            <w:pPr>
              <w:spacing w:after="0"/>
              <w:rPr>
                <w:sz w:val="18"/>
                <w:szCs w:val="18"/>
                <w:color w:val="auto"/>
              </w:rPr>
            </w:pPr>
          </w:p>
        </w:tc>
        <w:tc>
          <w:tcPr>
            <w:tcW w:w="8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109,704</w:t>
            </w:r>
          </w:p>
        </w:tc>
        <w:tc>
          <w:tcPr>
            <w:tcW w:w="20" w:type="dxa"/>
            <w:vAlign w:val="bottom"/>
          </w:tcPr>
          <w:p>
            <w:pPr>
              <w:spacing w:after="0"/>
              <w:rPr>
                <w:sz w:val="18"/>
                <w:szCs w:val="18"/>
                <w:color w:val="auto"/>
              </w:rPr>
            </w:pPr>
          </w:p>
        </w:tc>
      </w:tr>
      <w:tr>
        <w:trPr>
          <w:trHeight w:val="216"/>
        </w:trPr>
        <w:tc>
          <w:tcPr>
            <w:tcW w:w="416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873,092</w:t>
            </w:r>
          </w:p>
        </w:tc>
        <w:tc>
          <w:tcPr>
            <w:tcW w:w="16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18,584</w:t>
            </w:r>
          </w:p>
        </w:tc>
        <w:tc>
          <w:tcPr>
            <w:tcW w:w="160" w:type="dxa"/>
            <w:vAlign w:val="bottom"/>
            <w:tcBorders>
              <w:bottom w:val="single" w:sz="8" w:color="auto"/>
            </w:tcBorders>
          </w:tcPr>
          <w:p>
            <w:pPr>
              <w:ind w:left="6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line="195"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891,676</w:t>
            </w:r>
          </w:p>
        </w:tc>
        <w:tc>
          <w:tcPr>
            <w:tcW w:w="20" w:type="dxa"/>
            <w:vAlign w:val="bottom"/>
            <w:tcBorders>
              <w:bottom w:val="single" w:sz="8" w:color="auto"/>
            </w:tcBorders>
          </w:tcPr>
          <w:p>
            <w:pPr>
              <w:spacing w:after="0"/>
              <w:rPr>
                <w:sz w:val="18"/>
                <w:szCs w:val="18"/>
                <w:color w:val="auto"/>
              </w:rPr>
            </w:pPr>
          </w:p>
        </w:tc>
      </w:tr>
    </w:tbl>
    <w:p>
      <w:pPr>
        <w:ind w:left="100" w:hanging="92"/>
        <w:spacing w:after="0" w:line="184" w:lineRule="auto"/>
        <w:tabs>
          <w:tab w:leader="none" w:pos="1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9"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Loans subject to special monitoring possess some credit deficiency or potential weakness which requires a high level of management attention.</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had no impaired loans as of June 30, 2021. The Company had one loan considered impaired in the amount of $2,500,000 at December 31, 2020 that was individually evaluated for impairment, resulting in a specific allowance for credit loss of $500,000 at December 31, 2020. Due to improvement in borrower conditions, this loan was no longer considered impaired at June 30,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(included in other assets) as of June 30, 2021 or December 31, 2020.</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no loans considered troubled debt restructurings as of June 30, 2021. There were two loans that were considered troubled debt restructurings at December 31, 2020 and these loans were removed from troubled debt restructuring status during the first quarter of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recorded investment by category for loans considered as troubled debt restructuring during the year ended December 31, 2020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Pre-</w:t>
            </w:r>
          </w:p>
        </w:tc>
        <w:tc>
          <w:tcPr>
            <w:tcW w:w="1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Post-</w:t>
            </w:r>
          </w:p>
        </w:tc>
      </w:tr>
      <w:tr>
        <w:trPr>
          <w:trHeight w:val="215"/>
        </w:trPr>
        <w:tc>
          <w:tcPr>
            <w:tcW w:w="4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Modification</w:t>
            </w:r>
          </w:p>
        </w:tc>
        <w:tc>
          <w:tcPr>
            <w:tcW w:w="1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Modification</w:t>
            </w:r>
          </w:p>
        </w:tc>
      </w:tr>
      <w:tr>
        <w:trPr>
          <w:trHeight w:val="215"/>
        </w:trPr>
        <w:tc>
          <w:tcPr>
            <w:tcW w:w="4080" w:type="dxa"/>
            <w:vAlign w:val="bottom"/>
          </w:tcPr>
          <w:p>
            <w:pPr>
              <w:spacing w:after="0"/>
              <w:rPr>
                <w:sz w:val="18"/>
                <w:szCs w:val="18"/>
                <w:color w:val="auto"/>
              </w:rPr>
            </w:pPr>
          </w:p>
        </w:tc>
        <w:tc>
          <w:tcPr>
            <w:tcW w:w="302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2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Balance</w:t>
            </w:r>
          </w:p>
        </w:tc>
        <w:tc>
          <w:tcPr>
            <w:tcW w:w="18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Balance</w:t>
            </w:r>
          </w:p>
        </w:tc>
      </w:tr>
      <w:tr>
        <w:trPr>
          <w:trHeight w:val="209"/>
        </w:trPr>
        <w:tc>
          <w:tcPr>
            <w:tcW w:w="40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Commercial and industrial</w:t>
            </w:r>
          </w:p>
        </w:tc>
        <w:tc>
          <w:tcPr>
            <w:tcW w:w="302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99"/>
              </w:rPr>
              <w:t>1</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8,773</w:t>
            </w:r>
          </w:p>
        </w:tc>
        <w:tc>
          <w:tcPr>
            <w:tcW w:w="1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8,773</w:t>
            </w:r>
          </w:p>
        </w:tc>
        <w:tc>
          <w:tcPr>
            <w:tcW w:w="20" w:type="dxa"/>
            <w:vAlign w:val="bottom"/>
          </w:tcPr>
          <w:p>
            <w:pPr>
              <w:spacing w:after="0"/>
              <w:rPr>
                <w:sz w:val="18"/>
                <w:szCs w:val="18"/>
                <w:color w:val="auto"/>
              </w:rPr>
            </w:pPr>
          </w:p>
        </w:tc>
      </w:tr>
      <w:tr>
        <w:trPr>
          <w:trHeight w:val="21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Faith-based real estate</w:t>
            </w:r>
          </w:p>
        </w:tc>
        <w:tc>
          <w:tcPr>
            <w:tcW w:w="3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r>
      <w:tr>
        <w:trPr>
          <w:trHeight w:val="216"/>
        </w:trPr>
        <w:tc>
          <w:tcPr>
            <w:tcW w:w="4080" w:type="dxa"/>
            <w:vAlign w:val="bottom"/>
            <w:tcBorders>
              <w:bottom w:val="single" w:sz="8" w:color="auto"/>
            </w:tcBorders>
            <w:shd w:val="clear" w:color="auto" w:fill="B2B2B2"/>
          </w:tcPr>
          <w:p>
            <w:pPr>
              <w:spacing w:after="0" w:line="195" w:lineRule="exact"/>
              <w:rPr>
                <w:sz w:val="20"/>
                <w:szCs w:val="20"/>
                <w:color w:val="auto"/>
              </w:rPr>
            </w:pPr>
            <w:r>
              <w:rPr>
                <w:rFonts w:ascii="Arial" w:cs="Arial" w:eastAsia="Arial" w:hAnsi="Arial"/>
                <w:sz w:val="18"/>
                <w:szCs w:val="18"/>
                <w:color w:val="auto"/>
              </w:rPr>
              <w:t>Total</w:t>
            </w:r>
          </w:p>
        </w:tc>
        <w:tc>
          <w:tcPr>
            <w:tcW w:w="3020" w:type="dxa"/>
            <w:vAlign w:val="bottom"/>
            <w:tcBorders>
              <w:bottom w:val="single" w:sz="8" w:color="auto"/>
            </w:tcBorders>
            <w:shd w:val="clear" w:color="auto" w:fill="B2B2B2"/>
          </w:tcPr>
          <w:p>
            <w:pPr>
              <w:spacing w:after="0"/>
              <w:rPr>
                <w:sz w:val="18"/>
                <w:szCs w:val="18"/>
                <w:color w:val="auto"/>
              </w:rPr>
            </w:pP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w w:val="99"/>
              </w:rPr>
              <w:t>2</w:t>
            </w:r>
          </w:p>
        </w:tc>
        <w:tc>
          <w:tcPr>
            <w:tcW w:w="1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9,802</w:t>
            </w:r>
          </w:p>
        </w:tc>
        <w:tc>
          <w:tcPr>
            <w:tcW w:w="1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9,802</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two loans were restructured to change the amortization schedule to reduce payments from the borrowers while the contractual interest rate remained unchanged. These loans did not have a specific allowance for credit loss allocated to them at December 31, 2020. There were no loans restructured that subsequently defaulted during the year ended December 31,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activity in allowance for credit losses (“ACL”) by category for the period ended June 30, 2021 and December 31, 2020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Faith-based</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C&amp;I</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CRE</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CRE</w:t>
            </w:r>
          </w:p>
        </w:tc>
        <w:tc>
          <w:tcPr>
            <w:tcW w:w="1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8"/>
              </w:rPr>
              <w:t>Construction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5"/>
        </w:trPr>
        <w:tc>
          <w:tcPr>
            <w:tcW w:w="384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Allowance for credit losses on loans:</w:t>
            </w:r>
          </w:p>
        </w:tc>
        <w:tc>
          <w:tcPr>
            <w:tcW w:w="98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340" w:type="dxa"/>
            <w:vAlign w:val="bottom"/>
            <w:shd w:val="clear" w:color="auto" w:fill="B2B2B2"/>
          </w:tcPr>
          <w:p>
            <w:pPr>
              <w:spacing w:after="0"/>
              <w:rPr>
                <w:sz w:val="18"/>
                <w:szCs w:val="18"/>
                <w:color w:val="auto"/>
              </w:rPr>
            </w:pPr>
          </w:p>
        </w:tc>
        <w:tc>
          <w:tcPr>
            <w:tcW w:w="11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c>
          <w:tcPr>
            <w:tcW w:w="520" w:type="dxa"/>
            <w:vAlign w:val="bottom"/>
            <w:shd w:val="clear" w:color="auto" w:fill="B2B2B2"/>
          </w:tcPr>
          <w:p>
            <w:pPr>
              <w:spacing w:after="0"/>
              <w:rPr>
                <w:sz w:val="18"/>
                <w:szCs w:val="18"/>
                <w:color w:val="auto"/>
              </w:rPr>
            </w:pPr>
          </w:p>
        </w:tc>
        <w:tc>
          <w:tcPr>
            <w:tcW w:w="720" w:type="dxa"/>
            <w:vAlign w:val="bottom"/>
            <w:shd w:val="clear" w:color="auto" w:fill="B2B2B2"/>
          </w:tcPr>
          <w:p>
            <w:pPr>
              <w:spacing w:after="0"/>
              <w:rPr>
                <w:sz w:val="18"/>
                <w:szCs w:val="18"/>
                <w:color w:val="auto"/>
              </w:rPr>
            </w:pPr>
          </w:p>
        </w:tc>
        <w:tc>
          <w:tcPr>
            <w:tcW w:w="320" w:type="dxa"/>
            <w:vAlign w:val="bottom"/>
            <w:shd w:val="clear" w:color="auto" w:fill="B2B2B2"/>
          </w:tcPr>
          <w:p>
            <w:pPr>
              <w:spacing w:after="0"/>
              <w:rPr>
                <w:sz w:val="18"/>
                <w:szCs w:val="18"/>
                <w:color w:val="auto"/>
              </w:rPr>
            </w:pPr>
          </w:p>
        </w:tc>
        <w:tc>
          <w:tcPr>
            <w:tcW w:w="1060" w:type="dxa"/>
            <w:vAlign w:val="bottom"/>
            <w:shd w:val="clear" w:color="auto" w:fill="B2B2B2"/>
          </w:tcPr>
          <w:p>
            <w:pPr>
              <w:spacing w:after="0"/>
              <w:rPr>
                <w:sz w:val="18"/>
                <w:szCs w:val="18"/>
                <w:color w:val="auto"/>
              </w:rPr>
            </w:pPr>
          </w:p>
        </w:tc>
      </w:tr>
      <w:tr>
        <w:trPr>
          <w:trHeight w:val="215"/>
        </w:trPr>
        <w:tc>
          <w:tcPr>
            <w:tcW w:w="3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Balance at December 31, 2020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11,944</w:t>
            </w:r>
          </w:p>
        </w:tc>
      </w:tr>
      <w:tr>
        <w:trPr>
          <w:trHeight w:val="209"/>
        </w:trPr>
        <w:tc>
          <w:tcPr>
            <w:tcW w:w="3840" w:type="dxa"/>
            <w:vAlign w:val="bottom"/>
            <w:tcBorders>
              <w:bottom w:val="single" w:sz="8" w:color="auto"/>
            </w:tcBorders>
            <w:shd w:val="clear" w:color="auto" w:fill="B2B2B2"/>
          </w:tcPr>
          <w:p>
            <w:pPr>
              <w:ind w:left="360"/>
              <w:spacing w:after="0"/>
              <w:rPr>
                <w:sz w:val="20"/>
                <w:szCs w:val="20"/>
                <w:color w:val="auto"/>
              </w:rPr>
            </w:pPr>
            <w:r>
              <w:rPr>
                <w:rFonts w:ascii="Arial" w:cs="Arial" w:eastAsia="Arial" w:hAnsi="Arial"/>
                <w:sz w:val="18"/>
                <w:szCs w:val="18"/>
                <w:color w:val="auto"/>
              </w:rPr>
              <w:t>Charge Offs</w:t>
            </w:r>
          </w:p>
        </w:tc>
        <w:tc>
          <w:tcPr>
            <w:tcW w:w="98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840" w:type="dxa"/>
            <w:vAlign w:val="bottom"/>
          </w:tcPr>
          <w:p>
            <w:pPr>
              <w:ind w:left="360"/>
              <w:spacing w:after="0"/>
              <w:rPr>
                <w:sz w:val="20"/>
                <w:szCs w:val="20"/>
                <w:color w:val="auto"/>
              </w:rPr>
            </w:pPr>
            <w:r>
              <w:rPr>
                <w:rFonts w:ascii="Arial" w:cs="Arial" w:eastAsia="Arial" w:hAnsi="Arial"/>
                <w:sz w:val="18"/>
                <w:szCs w:val="18"/>
                <w:color w:val="auto"/>
              </w:rPr>
              <w:t>(Release of) provision for credit losses</w:t>
            </w:r>
          </w:p>
        </w:tc>
        <w:tc>
          <w:tcPr>
            <w:tcW w:w="9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15"/>
        </w:trPr>
        <w:tc>
          <w:tcPr>
            <w:tcW w:w="3840" w:type="dxa"/>
            <w:vAlign w:val="bottom"/>
            <w:tcBorders>
              <w:bottom w:val="single" w:sz="8" w:color="auto"/>
            </w:tcBorders>
            <w:shd w:val="clear" w:color="auto" w:fill="B2B2B2"/>
          </w:tcPr>
          <w:p>
            <w:pPr>
              <w:ind w:left="360"/>
              <w:spacing w:after="0"/>
              <w:rPr>
                <w:sz w:val="20"/>
                <w:szCs w:val="20"/>
                <w:color w:val="auto"/>
              </w:rPr>
            </w:pPr>
            <w:r>
              <w:rPr>
                <w:rFonts w:ascii="Arial" w:cs="Arial" w:eastAsia="Arial" w:hAnsi="Arial"/>
                <w:sz w:val="18"/>
                <w:szCs w:val="18"/>
                <w:color w:val="auto"/>
              </w:rPr>
              <w:t>Recoveries</w:t>
            </w:r>
          </w:p>
        </w:tc>
        <w:tc>
          <w:tcPr>
            <w:tcW w:w="98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shd w:val="clear" w:color="auto" w:fill="B2B2B2"/>
          </w:tcPr>
          <w:p>
            <w:pPr>
              <w:spacing w:after="0"/>
              <w:rPr>
                <w:sz w:val="18"/>
                <w:szCs w:val="18"/>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auto"/>
            </w:tcBorders>
            <w:shd w:val="clear" w:color="auto" w:fill="B2B2B2"/>
          </w:tcPr>
          <w:p>
            <w:pPr>
              <w:spacing w:after="0"/>
              <w:rPr>
                <w:sz w:val="18"/>
                <w:szCs w:val="18"/>
                <w:color w:val="auto"/>
              </w:rPr>
            </w:pPr>
          </w:p>
        </w:tc>
        <w:tc>
          <w:tcPr>
            <w:tcW w:w="7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2B2B2"/>
          </w:tcPr>
          <w:p>
            <w:pPr>
              <w:spacing w:after="0"/>
              <w:rPr>
                <w:sz w:val="18"/>
                <w:szCs w:val="18"/>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840" w:type="dxa"/>
            <w:vAlign w:val="bottom"/>
            <w:tcBorders>
              <w:bottom w:val="single" w:sz="8" w:color="auto"/>
            </w:tcBorders>
          </w:tcPr>
          <w:p>
            <w:pPr>
              <w:ind w:left="180"/>
              <w:spacing w:after="0" w:line="195" w:lineRule="exact"/>
              <w:rPr>
                <w:sz w:val="20"/>
                <w:szCs w:val="20"/>
                <w:color w:val="auto"/>
              </w:rPr>
            </w:pPr>
            <w:r>
              <w:rPr>
                <w:rFonts w:ascii="Arial" w:cs="Arial" w:eastAsia="Arial" w:hAnsi="Arial"/>
                <w:sz w:val="18"/>
                <w:szCs w:val="18"/>
                <w:color w:val="auto"/>
              </w:rPr>
              <w:t>Balance at June 30, 2021</w:t>
            </w:r>
          </w:p>
        </w:tc>
        <w:tc>
          <w:tcPr>
            <w:tcW w:w="98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4,128</w:t>
            </w:r>
          </w:p>
        </w:tc>
        <w:tc>
          <w:tcPr>
            <w:tcW w:w="34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1,121</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5,533</w:t>
            </w:r>
          </w:p>
        </w:tc>
        <w:tc>
          <w:tcPr>
            <w:tcW w:w="520" w:type="dxa"/>
            <w:vAlign w:val="bottom"/>
            <w:tcBorders>
              <w:bottom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389</w:t>
            </w:r>
          </w:p>
        </w:tc>
        <w:tc>
          <w:tcPr>
            <w:tcW w:w="32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11,171</w:t>
            </w: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release of provision for credit losses during the six months ended June 30, 2021 is primarily due to improved economic conditions and the removal of specific allowance for credit loss allocations on impaired loans.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Faith-based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C&amp;I</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CRE</w:t>
            </w: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CRE</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Construction</w:t>
            </w:r>
          </w:p>
        </w:tc>
        <w:tc>
          <w:tcPr>
            <w:tcW w:w="32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5"/>
        </w:trPr>
        <w:tc>
          <w:tcPr>
            <w:tcW w:w="4340" w:type="dxa"/>
            <w:vAlign w:val="bottom"/>
            <w:tcBorders>
              <w:top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Allowance for credit losses on loans:</w:t>
            </w:r>
          </w:p>
        </w:tc>
        <w:tc>
          <w:tcPr>
            <w:tcW w:w="480" w:type="dxa"/>
            <w:vAlign w:val="bottom"/>
            <w:tcBorders>
              <w:top w:val="single" w:sz="8" w:color="auto"/>
            </w:tcBorders>
            <w:shd w:val="clear" w:color="auto" w:fill="B2B2B2"/>
          </w:tcPr>
          <w:p>
            <w:pPr>
              <w:spacing w:after="0"/>
              <w:rPr>
                <w:sz w:val="18"/>
                <w:szCs w:val="18"/>
                <w:color w:val="auto"/>
              </w:rPr>
            </w:pPr>
          </w:p>
        </w:tc>
        <w:tc>
          <w:tcPr>
            <w:tcW w:w="1120" w:type="dxa"/>
            <w:vAlign w:val="bottom"/>
            <w:tcBorders>
              <w:top w:val="single" w:sz="8" w:color="auto"/>
            </w:tcBorders>
            <w:shd w:val="clear" w:color="auto" w:fill="B2B2B2"/>
          </w:tcPr>
          <w:p>
            <w:pPr>
              <w:spacing w:after="0"/>
              <w:rPr>
                <w:sz w:val="18"/>
                <w:szCs w:val="18"/>
                <w:color w:val="auto"/>
              </w:rPr>
            </w:pPr>
          </w:p>
        </w:tc>
        <w:tc>
          <w:tcPr>
            <w:tcW w:w="340" w:type="dxa"/>
            <w:vAlign w:val="bottom"/>
            <w:tcBorders>
              <w:top w:val="single" w:sz="8" w:color="auto"/>
            </w:tcBorders>
            <w:shd w:val="clear" w:color="auto" w:fill="B2B2B2"/>
          </w:tcPr>
          <w:p>
            <w:pPr>
              <w:spacing w:after="0"/>
              <w:rPr>
                <w:sz w:val="18"/>
                <w:szCs w:val="18"/>
                <w:color w:val="auto"/>
              </w:rPr>
            </w:pPr>
          </w:p>
        </w:tc>
        <w:tc>
          <w:tcPr>
            <w:tcW w:w="1120" w:type="dxa"/>
            <w:vAlign w:val="bottom"/>
            <w:tcBorders>
              <w:top w:val="single" w:sz="8" w:color="auto"/>
            </w:tcBorders>
            <w:shd w:val="clear" w:color="auto" w:fill="B2B2B2"/>
          </w:tcPr>
          <w:p>
            <w:pPr>
              <w:spacing w:after="0"/>
              <w:rPr>
                <w:sz w:val="18"/>
                <w:szCs w:val="18"/>
                <w:color w:val="auto"/>
              </w:rPr>
            </w:pPr>
          </w:p>
        </w:tc>
        <w:tc>
          <w:tcPr>
            <w:tcW w:w="16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540" w:type="dxa"/>
            <w:vAlign w:val="bottom"/>
            <w:tcBorders>
              <w:top w:val="single" w:sz="8" w:color="auto"/>
            </w:tcBorders>
            <w:shd w:val="clear" w:color="auto" w:fill="B2B2B2"/>
          </w:tcPr>
          <w:p>
            <w:pPr>
              <w:spacing w:after="0"/>
              <w:rPr>
                <w:sz w:val="18"/>
                <w:szCs w:val="18"/>
                <w:color w:val="auto"/>
              </w:rPr>
            </w:pPr>
          </w:p>
        </w:tc>
        <w:tc>
          <w:tcPr>
            <w:tcW w:w="700" w:type="dxa"/>
            <w:vAlign w:val="bottom"/>
            <w:tcBorders>
              <w:top w:val="single" w:sz="8" w:color="auto"/>
            </w:tcBorders>
            <w:shd w:val="clear" w:color="auto" w:fill="B2B2B2"/>
          </w:tcPr>
          <w:p>
            <w:pPr>
              <w:spacing w:after="0"/>
              <w:rPr>
                <w:sz w:val="18"/>
                <w:szCs w:val="18"/>
                <w:color w:val="auto"/>
              </w:rPr>
            </w:pPr>
          </w:p>
        </w:tc>
        <w:tc>
          <w:tcPr>
            <w:tcW w:w="320" w:type="dxa"/>
            <w:vAlign w:val="bottom"/>
            <w:tcBorders>
              <w:top w:val="single" w:sz="8" w:color="auto"/>
            </w:tcBorders>
            <w:shd w:val="clear" w:color="auto" w:fill="B2B2B2"/>
          </w:tcPr>
          <w:p>
            <w:pPr>
              <w:spacing w:after="0"/>
              <w:rPr>
                <w:sz w:val="18"/>
                <w:szCs w:val="18"/>
                <w:color w:val="auto"/>
              </w:rPr>
            </w:pPr>
          </w:p>
        </w:tc>
        <w:tc>
          <w:tcPr>
            <w:tcW w:w="1060" w:type="dxa"/>
            <w:vAlign w:val="bottom"/>
            <w:tcBorders>
              <w:top w:val="single" w:sz="8" w:color="auto"/>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180"/>
              <w:spacing w:after="0"/>
              <w:rPr>
                <w:sz w:val="20"/>
                <w:szCs w:val="20"/>
                <w:color w:val="auto"/>
              </w:rPr>
            </w:pPr>
            <w:r>
              <w:rPr>
                <w:rFonts w:ascii="Arial" w:cs="Arial" w:eastAsia="Arial" w:hAnsi="Arial"/>
                <w:sz w:val="18"/>
                <w:szCs w:val="18"/>
                <w:color w:val="auto"/>
              </w:rPr>
              <w:t>Balance at December 31, 2019</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4,874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3,842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10,556</w:t>
            </w:r>
          </w:p>
        </w:tc>
        <w:tc>
          <w:tcPr>
            <w:tcW w:w="20" w:type="dxa"/>
            <w:vAlign w:val="bottom"/>
          </w:tcPr>
          <w:p>
            <w:pPr>
              <w:spacing w:after="0"/>
              <w:rPr>
                <w:sz w:val="18"/>
                <w:szCs w:val="18"/>
                <w:color w:val="auto"/>
              </w:rPr>
            </w:pPr>
          </w:p>
        </w:tc>
      </w:tr>
      <w:tr>
        <w:trPr>
          <w:trHeight w:val="201"/>
        </w:trPr>
        <w:tc>
          <w:tcPr>
            <w:tcW w:w="4340" w:type="dxa"/>
            <w:vAlign w:val="bottom"/>
            <w:shd w:val="clear" w:color="auto" w:fill="B2B2B2"/>
          </w:tcPr>
          <w:p>
            <w:pPr>
              <w:ind w:left="360"/>
              <w:spacing w:after="0" w:line="201" w:lineRule="exact"/>
              <w:rPr>
                <w:sz w:val="20"/>
                <w:szCs w:val="20"/>
                <w:color w:val="auto"/>
              </w:rPr>
            </w:pPr>
            <w:r>
              <w:rPr>
                <w:rFonts w:ascii="Arial" w:cs="Arial" w:eastAsia="Arial" w:hAnsi="Arial"/>
                <w:sz w:val="18"/>
                <w:szCs w:val="18"/>
                <w:color w:val="auto"/>
                <w:w w:val="95"/>
              </w:rPr>
              <w:t>Cumulative effect of accounting change (ASU 2016-</w:t>
            </w:r>
          </w:p>
        </w:tc>
        <w:tc>
          <w:tcPr>
            <w:tcW w:w="48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340" w:type="dxa"/>
            <w:vAlign w:val="bottom"/>
            <w:shd w:val="clear" w:color="auto" w:fill="B2B2B2"/>
          </w:tcPr>
          <w:p>
            <w:pPr>
              <w:spacing w:after="0"/>
              <w:rPr>
                <w:sz w:val="17"/>
                <w:szCs w:val="17"/>
                <w:color w:val="auto"/>
              </w:rPr>
            </w:pPr>
          </w:p>
        </w:tc>
        <w:tc>
          <w:tcPr>
            <w:tcW w:w="1120" w:type="dxa"/>
            <w:vAlign w:val="bottom"/>
            <w:shd w:val="clear" w:color="auto" w:fill="B2B2B2"/>
          </w:tcPr>
          <w:p>
            <w:pPr>
              <w:spacing w:after="0"/>
              <w:rPr>
                <w:sz w:val="17"/>
                <w:szCs w:val="17"/>
                <w:color w:val="auto"/>
              </w:rPr>
            </w:pPr>
          </w:p>
        </w:tc>
        <w:tc>
          <w:tcPr>
            <w:tcW w:w="16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54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320" w:type="dxa"/>
            <w:vAlign w:val="bottom"/>
            <w:shd w:val="clear" w:color="auto" w:fill="B2B2B2"/>
          </w:tcPr>
          <w:p>
            <w:pPr>
              <w:spacing w:after="0"/>
              <w:rPr>
                <w:sz w:val="17"/>
                <w:szCs w:val="17"/>
                <w:color w:val="auto"/>
              </w:rPr>
            </w:pPr>
          </w:p>
        </w:tc>
        <w:tc>
          <w:tcPr>
            <w:tcW w:w="106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40" w:type="dxa"/>
            <w:vAlign w:val="bottom"/>
            <w:tcBorders>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shd w:val="clear" w:color="auto" w:fill="B2B2B2"/>
          </w:tcPr>
          <w:p>
            <w:pPr>
              <w:spacing w:after="0"/>
              <w:rPr>
                <w:sz w:val="19"/>
                <w:szCs w:val="19"/>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Borders>
              <w:bottom w:val="single" w:sz="8" w:color="auto"/>
            </w:tcBorders>
            <w:shd w:val="clear" w:color="auto" w:fill="B2B2B2"/>
          </w:tcPr>
          <w:p>
            <w:pPr>
              <w:spacing w:after="0"/>
              <w:rPr>
                <w:sz w:val="19"/>
                <w:szCs w:val="19"/>
                <w:color w:val="auto"/>
              </w:rPr>
            </w:pPr>
          </w:p>
        </w:tc>
        <w:tc>
          <w:tcPr>
            <w:tcW w:w="11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Borders>
              <w:bottom w:val="single" w:sz="8" w:color="auto"/>
            </w:tcBorders>
            <w:shd w:val="clear" w:color="auto" w:fill="B2B2B2"/>
          </w:tcPr>
          <w:p>
            <w:pPr>
              <w:spacing w:after="0"/>
              <w:rPr>
                <w:sz w:val="19"/>
                <w:szCs w:val="19"/>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1,636</w:t>
            </w:r>
          </w:p>
        </w:tc>
        <w:tc>
          <w:tcPr>
            <w:tcW w:w="540" w:type="dxa"/>
            <w:vAlign w:val="bottom"/>
            <w:tcBorders>
              <w:bottom w:val="single" w:sz="8" w:color="auto"/>
            </w:tcBorders>
            <w:shd w:val="clear" w:color="auto" w:fill="B2B2B2"/>
          </w:tcPr>
          <w:p>
            <w:pPr>
              <w:spacing w:after="0"/>
              <w:rPr>
                <w:sz w:val="19"/>
                <w:szCs w:val="19"/>
                <w:color w:val="auto"/>
              </w:rPr>
            </w:pPr>
          </w:p>
        </w:tc>
        <w:tc>
          <w:tcPr>
            <w:tcW w:w="7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B2B2B2"/>
          </w:tcPr>
          <w:p>
            <w:pPr>
              <w:spacing w:after="0"/>
              <w:rPr>
                <w:sz w:val="19"/>
                <w:szCs w:val="19"/>
                <w:color w:val="auto"/>
              </w:rPr>
            </w:pPr>
          </w:p>
        </w:tc>
        <w:tc>
          <w:tcPr>
            <w:tcW w:w="10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9"/>
                <w:szCs w:val="19"/>
                <w:color w:val="auto"/>
              </w:rPr>
            </w:pPr>
          </w:p>
        </w:tc>
      </w:tr>
      <w:tr>
        <w:trPr>
          <w:trHeight w:val="209"/>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Balance at January 1, 2020</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20" w:type="dxa"/>
            <w:vAlign w:val="bottom"/>
          </w:tcPr>
          <w:p>
            <w:pPr>
              <w:spacing w:after="0"/>
              <w:rPr>
                <w:sz w:val="18"/>
                <w:szCs w:val="18"/>
                <w:color w:val="auto"/>
              </w:rPr>
            </w:pPr>
          </w:p>
        </w:tc>
      </w:tr>
      <w:tr>
        <w:trPr>
          <w:trHeight w:val="209"/>
        </w:trPr>
        <w:tc>
          <w:tcPr>
            <w:tcW w:w="4340" w:type="dxa"/>
            <w:vAlign w:val="bottom"/>
            <w:shd w:val="clear" w:color="auto" w:fill="B2B2B2"/>
          </w:tcPr>
          <w:p>
            <w:pPr>
              <w:ind w:left="360"/>
              <w:spacing w:after="0"/>
              <w:rPr>
                <w:sz w:val="20"/>
                <w:szCs w:val="20"/>
                <w:color w:val="auto"/>
              </w:rPr>
            </w:pPr>
            <w:r>
              <w:rPr>
                <w:rFonts w:ascii="Arial" w:cs="Arial" w:eastAsia="Arial" w:hAnsi="Arial"/>
                <w:sz w:val="18"/>
                <w:szCs w:val="18"/>
                <w:color w:val="auto"/>
              </w:rPr>
              <w:t>Provision for credit losses</w:t>
            </w:r>
          </w:p>
        </w:tc>
        <w:tc>
          <w:tcPr>
            <w:tcW w:w="48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B2B2B2"/>
          </w:tcPr>
          <w:p>
            <w:pPr>
              <w:spacing w:after="0"/>
              <w:rPr>
                <w:sz w:val="18"/>
                <w:szCs w:val="18"/>
                <w:color w:val="auto"/>
              </w:rPr>
            </w:pPr>
          </w:p>
        </w:tc>
        <w:tc>
          <w:tcPr>
            <w:tcW w:w="11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238</w:t>
            </w:r>
          </w:p>
        </w:tc>
        <w:tc>
          <w:tcPr>
            <w:tcW w:w="540" w:type="dxa"/>
            <w:vAlign w:val="bottom"/>
            <w:shd w:val="clear" w:color="auto" w:fill="B2B2B2"/>
          </w:tcPr>
          <w:p>
            <w:pPr>
              <w:spacing w:after="0"/>
              <w:rPr>
                <w:sz w:val="18"/>
                <w:szCs w:val="18"/>
                <w:color w:val="auto"/>
              </w:rPr>
            </w:pPr>
          </w:p>
        </w:tc>
        <w:tc>
          <w:tcPr>
            <w:tcW w:w="7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B2B2B2"/>
          </w:tcPr>
          <w:p>
            <w:pPr>
              <w:spacing w:after="0"/>
              <w:rPr>
                <w:sz w:val="18"/>
                <w:szCs w:val="18"/>
                <w:color w:val="auto"/>
              </w:rPr>
            </w:pPr>
          </w:p>
        </w:tc>
        <w:tc>
          <w:tcPr>
            <w:tcW w:w="10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r>
      <w:tr>
        <w:trPr>
          <w:trHeight w:val="215"/>
        </w:trPr>
        <w:tc>
          <w:tcPr>
            <w:tcW w:w="4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Recoveries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4340" w:type="dxa"/>
            <w:vAlign w:val="bottom"/>
            <w:tcBorders>
              <w:bottom w:val="single" w:sz="8" w:color="auto"/>
            </w:tcBorders>
            <w:shd w:val="clear" w:color="auto" w:fill="B2B2B2"/>
          </w:tcPr>
          <w:p>
            <w:pPr>
              <w:ind w:left="180"/>
              <w:spacing w:after="0" w:line="202" w:lineRule="exact"/>
              <w:rPr>
                <w:sz w:val="20"/>
                <w:szCs w:val="20"/>
                <w:color w:val="auto"/>
              </w:rPr>
            </w:pPr>
            <w:r>
              <w:rPr>
                <w:rFonts w:ascii="Arial" w:cs="Arial" w:eastAsia="Arial" w:hAnsi="Arial"/>
                <w:sz w:val="18"/>
                <w:szCs w:val="18"/>
                <w:color w:val="auto"/>
              </w:rPr>
              <w:t>Balance at December 31, 2020</w:t>
            </w:r>
          </w:p>
        </w:tc>
        <w:tc>
          <w:tcPr>
            <w:tcW w:w="480" w:type="dxa"/>
            <w:vAlign w:val="bottom"/>
            <w:tcBorders>
              <w:bottom w:val="single" w:sz="8" w:color="auto"/>
            </w:tcBorders>
            <w:shd w:val="clear" w:color="auto" w:fill="B2B2B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4,635</w:t>
            </w:r>
          </w:p>
        </w:tc>
        <w:tc>
          <w:tcPr>
            <w:tcW w:w="34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1,175</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5,717</w:t>
            </w:r>
          </w:p>
        </w:tc>
        <w:tc>
          <w:tcPr>
            <w:tcW w:w="540" w:type="dxa"/>
            <w:vAlign w:val="bottom"/>
            <w:tcBorders>
              <w:bottom w:val="single" w:sz="8" w:color="auto"/>
            </w:tcBorders>
            <w:shd w:val="clear" w:color="auto" w:fill="B2B2B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417</w:t>
            </w:r>
          </w:p>
        </w:tc>
        <w:tc>
          <w:tcPr>
            <w:tcW w:w="320" w:type="dxa"/>
            <w:vAlign w:val="bottom"/>
            <w:tcBorders>
              <w:bottom w:val="single" w:sz="8" w:color="auto"/>
            </w:tcBorders>
            <w:shd w:val="clear" w:color="auto" w:fill="B2B2B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11,944</w:t>
            </w:r>
          </w:p>
        </w:tc>
        <w:tc>
          <w:tcPr>
            <w:tcW w:w="20" w:type="dxa"/>
            <w:vAlign w:val="bottom"/>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provision for credit losses during the year ended December 31, 2020 was due to the Company’s forecast of macroeconomic factors, which worsened during 2020, primarily due to the COVID-19 pandemic.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 release of credit losses of $420,000 was recorded during the six months ended June 30, 2021 due to lower line of credit usage. An allowance for unfunded commitments of $147,000 and $567,000 had been recorded at June 30, 2021 and December 31, 2020, respectively.</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June 30, 2021, the balance of unused loan commitments, standby and commercial letters of credit were $194,669,000, $11,932,000, and $521,000,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38"/>
        </w:trPr>
        <w:tc>
          <w:tcPr>
            <w:tcW w:w="9080" w:type="dxa"/>
            <w:vAlign w:val="bottom"/>
            <w:gridSpan w:val="7"/>
          </w:tcPr>
          <w:p>
            <w:pPr>
              <w:spacing w:after="0"/>
              <w:rPr>
                <w:sz w:val="20"/>
                <w:szCs w:val="20"/>
                <w:color w:val="auto"/>
              </w:rPr>
            </w:pPr>
            <w:r>
              <w:rPr>
                <w:rFonts w:ascii="Arial" w:cs="Arial" w:eastAsia="Arial" w:hAnsi="Arial"/>
                <w:sz w:val="18"/>
                <w:szCs w:val="18"/>
                <w:color w:val="auto"/>
                <w:w w:val="95"/>
              </w:rPr>
              <w:t>The following table summarizes contractual cash obligations of the Company related to time deposits at June 30, 2021: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7"/>
        </w:trPr>
        <w:tc>
          <w:tcPr>
            <w:tcW w:w="1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Amount of Commitment Expiration per Period</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7"/>
        </w:trPr>
        <w:tc>
          <w:tcPr>
            <w:tcW w:w="13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center"/>
              <w:ind w:right="390"/>
              <w:spacing w:after="0" w:line="197" w:lineRule="exact"/>
              <w:rPr>
                <w:sz w:val="20"/>
                <w:szCs w:val="20"/>
                <w:color w:val="auto"/>
              </w:rPr>
            </w:pPr>
            <w:r>
              <w:rPr>
                <w:rFonts w:ascii="Arial" w:cs="Arial" w:eastAsia="Arial" w:hAnsi="Arial"/>
                <w:sz w:val="18"/>
                <w:szCs w:val="18"/>
                <w:b w:val="1"/>
                <w:bCs w:val="1"/>
                <w:color w:val="auto"/>
                <w:w w:val="88"/>
              </w:rPr>
              <w:t>Less than</w:t>
            </w:r>
          </w:p>
        </w:tc>
        <w:tc>
          <w:tcPr>
            <w:tcW w:w="860" w:type="dxa"/>
            <w:vAlign w:val="bottom"/>
          </w:tcPr>
          <w:p>
            <w:pPr>
              <w:jc w:val="right"/>
              <w:ind w:right="330"/>
              <w:spacing w:after="0" w:line="197"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7"/>
                <w:szCs w:val="17"/>
                <w:color w:val="auto"/>
              </w:rPr>
            </w:pPr>
          </w:p>
        </w:tc>
        <w:tc>
          <w:tcPr>
            <w:tcW w:w="900" w:type="dxa"/>
            <w:vAlign w:val="bottom"/>
          </w:tcPr>
          <w:p>
            <w:pPr>
              <w:jc w:val="right"/>
              <w:ind w:right="370"/>
              <w:spacing w:after="0" w:line="197" w:lineRule="exact"/>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7"/>
                <w:szCs w:val="17"/>
                <w:color w:val="auto"/>
              </w:rPr>
            </w:pPr>
          </w:p>
        </w:tc>
        <w:tc>
          <w:tcPr>
            <w:tcW w:w="84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92"/>
              </w:rPr>
              <w:t>Over 5</w:t>
            </w:r>
          </w:p>
        </w:tc>
      </w:tr>
      <w:tr>
        <w:trPr>
          <w:trHeight w:val="241"/>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2"/>
              </w:rPr>
              <w:t>1 Year</w:t>
            </w: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Years</w:t>
            </w:r>
          </w:p>
        </w:tc>
      </w:tr>
      <w:tr>
        <w:trPr>
          <w:trHeight w:val="222"/>
        </w:trPr>
        <w:tc>
          <w:tcPr>
            <w:tcW w:w="1360" w:type="dxa"/>
            <w:vAlign w:val="bottom"/>
            <w:tcBorders>
              <w:bottom w:val="single" w:sz="8" w:color="auto"/>
            </w:tcBorders>
            <w:shd w:val="clear" w:color="auto" w:fill="B2B2B2"/>
          </w:tcPr>
          <w:p>
            <w:pPr>
              <w:spacing w:after="0" w:line="202" w:lineRule="exact"/>
              <w:rPr>
                <w:sz w:val="20"/>
                <w:szCs w:val="20"/>
                <w:color w:val="auto"/>
              </w:rPr>
            </w:pPr>
            <w:r>
              <w:rPr>
                <w:rFonts w:ascii="Arial" w:cs="Arial" w:eastAsia="Arial" w:hAnsi="Arial"/>
                <w:sz w:val="18"/>
                <w:szCs w:val="18"/>
                <w:color w:val="auto"/>
              </w:rPr>
              <w:t>Time deposits</w:t>
            </w:r>
          </w:p>
        </w:tc>
        <w:tc>
          <w:tcPr>
            <w:tcW w:w="4360" w:type="dxa"/>
            <w:vAlign w:val="bottom"/>
            <w:tcBorders>
              <w:bottom w:val="single" w:sz="8" w:color="auto"/>
            </w:tcBorders>
            <w:gridSpan w:val="2"/>
            <w:shd w:val="clear" w:color="auto" w:fill="B2B2B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51,442</w:t>
            </w:r>
          </w:p>
        </w:tc>
        <w:tc>
          <w:tcPr>
            <w:tcW w:w="2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Arial" w:cs="Arial" w:eastAsia="Arial" w:hAnsi="Arial"/>
                <w:sz w:val="18"/>
                <w:szCs w:val="18"/>
                <w:color w:val="auto"/>
              </w:rPr>
              <w:t>36,441  $</w:t>
            </w:r>
          </w:p>
        </w:tc>
        <w:tc>
          <w:tcPr>
            <w:tcW w:w="8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14,938</w:t>
            </w:r>
          </w:p>
        </w:tc>
        <w:tc>
          <w:tcPr>
            <w:tcW w:w="240" w:type="dxa"/>
            <w:vAlign w:val="bottom"/>
            <w:tcBorders>
              <w:bottom w:val="single" w:sz="8" w:color="auto"/>
            </w:tcBorders>
            <w:shd w:val="clear" w:color="auto" w:fill="B2B2B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63</w:t>
            </w:r>
          </w:p>
        </w:tc>
        <w:tc>
          <w:tcPr>
            <w:tcW w:w="18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B2B2B2"/>
          </w:tcPr>
          <w:p>
            <w:pPr>
              <w:ind w:left="660"/>
              <w:spacing w:after="0" w:line="202" w:lineRule="exact"/>
              <w:rPr>
                <w:sz w:val="20"/>
                <w:szCs w:val="20"/>
                <w:color w:val="auto"/>
              </w:rPr>
            </w:pPr>
            <w:r>
              <w:rPr>
                <w:rFonts w:ascii="Arial" w:cs="Arial" w:eastAsia="Arial" w:hAnsi="Arial"/>
                <w:sz w:val="18"/>
                <w:szCs w:val="18"/>
                <w:color w:val="auto"/>
                <w:w w:val="88"/>
              </w:rPr>
              <w:t>—</w:t>
            </w:r>
          </w:p>
        </w:tc>
      </w:tr>
    </w:tbl>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six months ended June 30, 2021, 49,406 restricted shares, 29,688 performance-based restricted shares, and no SARs were granted under the Omnibus Plan. Stock-based compensation expense for the three months ended June 30, 2021 and 2020 was $826,000 and $756,000, respectively, and $1,519,000 and $1,478,000 for the six months ended June 30, 2021 and 2020,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the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June 30, 2021, the total unrecognized compensation expense related to non-vested restricted shares was $2,638,000, and the related weighted-average period over which it is expected to be recognized is approximately .85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7000" w:type="dxa"/>
            <w:vAlign w:val="bottom"/>
          </w:tcPr>
          <w:p>
            <w:pPr>
              <w:spacing w:after="0"/>
              <w:rPr>
                <w:sz w:val="24"/>
                <w:szCs w:val="24"/>
                <w:color w:val="auto"/>
              </w:rPr>
            </w:pPr>
          </w:p>
        </w:tc>
        <w:tc>
          <w:tcPr>
            <w:tcW w:w="30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7000" w:type="dxa"/>
            <w:vAlign w:val="bottom"/>
          </w:tcPr>
          <w:p>
            <w:pPr>
              <w:spacing w:after="0"/>
              <w:rPr>
                <w:sz w:val="20"/>
                <w:szCs w:val="20"/>
                <w:color w:val="auto"/>
              </w:rPr>
            </w:pPr>
          </w:p>
        </w:tc>
        <w:tc>
          <w:tcPr>
            <w:tcW w:w="30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June 30, 2021</w:t>
            </w:r>
          </w:p>
        </w:tc>
      </w:tr>
      <w:tr>
        <w:trPr>
          <w:trHeight w:val="222"/>
        </w:trPr>
        <w:tc>
          <w:tcPr>
            <w:tcW w:w="7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700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2020</w:t>
            </w:r>
          </w:p>
        </w:tc>
        <w:tc>
          <w:tcPr>
            <w:tcW w:w="1500" w:type="dxa"/>
            <w:vAlign w:val="bottom"/>
            <w:shd w:val="clear" w:color="auto" w:fill="B2B2B2"/>
          </w:tcPr>
          <w:p>
            <w:pPr>
              <w:jc w:val="right"/>
              <w:ind w:right="10"/>
              <w:spacing w:after="0"/>
              <w:rPr>
                <w:sz w:val="20"/>
                <w:szCs w:val="20"/>
                <w:color w:val="auto"/>
              </w:rPr>
            </w:pPr>
            <w:r>
              <w:rPr>
                <w:rFonts w:ascii="Arial" w:cs="Arial" w:eastAsia="Arial" w:hAnsi="Arial"/>
                <w:sz w:val="18"/>
                <w:szCs w:val="18"/>
                <w:color w:val="auto"/>
              </w:rPr>
              <w:t>136,167</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46.78</w:t>
            </w:r>
          </w:p>
        </w:tc>
        <w:tc>
          <w:tcPr>
            <w:tcW w:w="20" w:type="dxa"/>
            <w:vAlign w:val="bottom"/>
          </w:tcPr>
          <w:p>
            <w:pPr>
              <w:spacing w:after="0"/>
              <w:rPr>
                <w:sz w:val="18"/>
                <w:szCs w:val="18"/>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49,406</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41.54</w:t>
            </w:r>
          </w:p>
        </w:tc>
        <w:tc>
          <w:tcPr>
            <w:tcW w:w="20" w:type="dxa"/>
            <w:vAlign w:val="bottom"/>
          </w:tcPr>
          <w:p>
            <w:pPr>
              <w:spacing w:after="0"/>
              <w:rPr>
                <w:sz w:val="18"/>
                <w:szCs w:val="18"/>
                <w:color w:val="auto"/>
              </w:rPr>
            </w:pPr>
          </w:p>
        </w:tc>
      </w:tr>
      <w:tr>
        <w:trPr>
          <w:trHeight w:val="215"/>
        </w:trPr>
        <w:tc>
          <w:tcPr>
            <w:tcW w:w="70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(22,750)</w:t>
            </w:r>
          </w:p>
        </w:tc>
        <w:tc>
          <w:tcPr>
            <w:tcW w:w="2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47.97</w:t>
            </w:r>
          </w:p>
        </w:tc>
        <w:tc>
          <w:tcPr>
            <w:tcW w:w="20" w:type="dxa"/>
            <w:vAlign w:val="bottom"/>
          </w:tcPr>
          <w:p>
            <w:pPr>
              <w:spacing w:after="0"/>
              <w:rPr>
                <w:sz w:val="18"/>
                <w:szCs w:val="18"/>
                <w:color w:val="auto"/>
              </w:rPr>
            </w:pPr>
          </w:p>
        </w:tc>
      </w:tr>
      <w:tr>
        <w:trPr>
          <w:trHeight w:val="216"/>
        </w:trPr>
        <w:tc>
          <w:tcPr>
            <w:tcW w:w="70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Balance at June 30, 2021</w:t>
            </w:r>
          </w:p>
        </w:tc>
        <w:tc>
          <w:tcPr>
            <w:tcW w:w="1500" w:type="dxa"/>
            <w:vAlign w:val="bottom"/>
            <w:tcBorders>
              <w:bottom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162,823</w:t>
            </w:r>
          </w:p>
        </w:tc>
        <w:tc>
          <w:tcPr>
            <w:tcW w:w="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44.99</w:t>
            </w:r>
          </w:p>
        </w:tc>
        <w:tc>
          <w:tcPr>
            <w:tcW w:w="20" w:type="dxa"/>
            <w:vAlign w:val="bottom"/>
            <w:tcBorders>
              <w:bottom w:val="single" w:sz="8" w:color="auto"/>
            </w:tcBorders>
          </w:tcPr>
          <w:p>
            <w:pPr>
              <w:spacing w:after="0"/>
              <w:rPr>
                <w:sz w:val="18"/>
                <w:szCs w:val="18"/>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 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activity of the PBRS, based on target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2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38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20" w:type="dxa"/>
            <w:vAlign w:val="bottom"/>
            <w:gridSpan w:val="4"/>
          </w:tcPr>
          <w:p>
            <w:pPr>
              <w:jc w:val="center"/>
              <w:ind w:right="1260"/>
              <w:spacing w:after="0"/>
              <w:rPr>
                <w:sz w:val="20"/>
                <w:szCs w:val="20"/>
                <w:color w:val="auto"/>
              </w:rPr>
            </w:pPr>
            <w:r>
              <w:rPr>
                <w:rFonts w:ascii="Arial" w:cs="Arial" w:eastAsia="Arial" w:hAnsi="Arial"/>
                <w:sz w:val="18"/>
                <w:szCs w:val="18"/>
                <w:b w:val="1"/>
                <w:bCs w:val="1"/>
                <w:color w:val="auto"/>
                <w:w w:val="88"/>
              </w:rPr>
              <w:t>June 30, 2021</w:t>
            </w:r>
          </w:p>
        </w:tc>
      </w:tr>
      <w:tr>
        <w:trPr>
          <w:trHeight w:val="222"/>
        </w:trPr>
        <w:tc>
          <w:tcPr>
            <w:tcW w:w="38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spacing w:after="0"/>
              <w:rPr>
                <w:sz w:val="19"/>
                <w:szCs w:val="19"/>
                <w:color w:val="auto"/>
              </w:rPr>
            </w:pPr>
          </w:p>
        </w:tc>
      </w:tr>
      <w:tr>
        <w:trPr>
          <w:trHeight w:val="215"/>
        </w:trPr>
        <w:tc>
          <w:tcPr>
            <w:tcW w:w="3840" w:type="dxa"/>
            <w:vAlign w:val="bottom"/>
            <w:shd w:val="clear" w:color="auto" w:fill="B2B2B2"/>
          </w:tcPr>
          <w:p>
            <w:pPr>
              <w:spacing w:after="0"/>
              <w:rPr>
                <w:sz w:val="20"/>
                <w:szCs w:val="20"/>
                <w:color w:val="auto"/>
              </w:rPr>
            </w:pPr>
            <w:r>
              <w:rPr>
                <w:rFonts w:ascii="Arial" w:cs="Arial" w:eastAsia="Arial" w:hAnsi="Arial"/>
                <w:sz w:val="18"/>
                <w:szCs w:val="18"/>
                <w:color w:val="auto"/>
              </w:rPr>
              <w:t>Balance at December 31, 2020</w:t>
            </w:r>
          </w:p>
        </w:tc>
        <w:tc>
          <w:tcPr>
            <w:tcW w:w="4660" w:type="dxa"/>
            <w:vAlign w:val="bottom"/>
            <w:gridSpan w:val="2"/>
            <w:shd w:val="clear" w:color="auto" w:fill="B2B2B2"/>
          </w:tcPr>
          <w:p>
            <w:pPr>
              <w:jc w:val="right"/>
              <w:ind w:right="10"/>
              <w:spacing w:after="0"/>
              <w:rPr>
                <w:sz w:val="20"/>
                <w:szCs w:val="20"/>
                <w:color w:val="auto"/>
              </w:rPr>
            </w:pPr>
            <w:r>
              <w:rPr>
                <w:rFonts w:ascii="Arial" w:cs="Arial" w:eastAsia="Arial" w:hAnsi="Arial"/>
                <w:sz w:val="18"/>
                <w:szCs w:val="18"/>
                <w:color w:val="auto"/>
              </w:rPr>
              <w:t>98,410</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50.64</w:t>
            </w:r>
          </w:p>
        </w:tc>
        <w:tc>
          <w:tcPr>
            <w:tcW w:w="1240" w:type="dxa"/>
            <w:vAlign w:val="bottom"/>
          </w:tcPr>
          <w:p>
            <w:pPr>
              <w:spacing w:after="0"/>
              <w:rPr>
                <w:sz w:val="18"/>
                <w:szCs w:val="18"/>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4660" w:type="dxa"/>
            <w:vAlign w:val="bottom"/>
            <w:gridSpan w:val="2"/>
          </w:tcPr>
          <w:p>
            <w:pPr>
              <w:jc w:val="right"/>
              <w:ind w:right="10"/>
              <w:spacing w:after="0"/>
              <w:rPr>
                <w:sz w:val="20"/>
                <w:szCs w:val="20"/>
                <w:color w:val="auto"/>
              </w:rPr>
            </w:pPr>
            <w:r>
              <w:rPr>
                <w:rFonts w:ascii="Arial" w:cs="Arial" w:eastAsia="Arial" w:hAnsi="Arial"/>
                <w:sz w:val="18"/>
                <w:szCs w:val="18"/>
                <w:color w:val="auto"/>
              </w:rPr>
              <w:t>52,240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40.74</w:t>
            </w:r>
          </w:p>
        </w:tc>
        <w:tc>
          <w:tcPr>
            <w:tcW w:w="1240" w:type="dxa"/>
            <w:vAlign w:val="bottom"/>
          </w:tcPr>
          <w:p>
            <w:pPr>
              <w:spacing w:after="0"/>
              <w:rPr>
                <w:sz w:val="18"/>
                <w:szCs w:val="18"/>
                <w:color w:val="auto"/>
              </w:rPr>
            </w:pPr>
          </w:p>
        </w:tc>
      </w:tr>
      <w:tr>
        <w:trPr>
          <w:trHeight w:val="215"/>
        </w:trPr>
        <w:tc>
          <w:tcPr>
            <w:tcW w:w="384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Vested</w:t>
            </w:r>
          </w:p>
        </w:tc>
        <w:tc>
          <w:tcPr>
            <w:tcW w:w="4660" w:type="dxa"/>
            <w:vAlign w:val="bottom"/>
            <w:tcBorders>
              <w:bottom w:val="single" w:sz="8" w:color="auto"/>
            </w:tcBorders>
            <w:gridSpan w:val="2"/>
            <w:shd w:val="clear" w:color="auto" w:fill="B2B2B2"/>
          </w:tcPr>
          <w:p>
            <w:pPr>
              <w:jc w:val="right"/>
              <w:ind w:right="10"/>
              <w:spacing w:after="0"/>
              <w:rPr>
                <w:sz w:val="20"/>
                <w:szCs w:val="20"/>
                <w:color w:val="auto"/>
              </w:rPr>
            </w:pPr>
            <w:r>
              <w:rPr>
                <w:rFonts w:ascii="Arial" w:cs="Arial" w:eastAsia="Arial" w:hAnsi="Arial"/>
                <w:sz w:val="18"/>
                <w:szCs w:val="18"/>
                <w:color w:val="auto"/>
              </w:rPr>
              <w:t>(31,451)</w:t>
            </w:r>
          </w:p>
        </w:tc>
        <w:tc>
          <w:tcPr>
            <w:tcW w:w="280" w:type="dxa"/>
            <w:vAlign w:val="bottom"/>
            <w:tcBorders>
              <w:bottom w:val="single" w:sz="8" w:color="auto"/>
            </w:tcBorders>
            <w:shd w:val="clear" w:color="auto" w:fill="B2B2B2"/>
          </w:tcPr>
          <w:p>
            <w:pPr>
              <w:spacing w:after="0"/>
              <w:rPr>
                <w:sz w:val="18"/>
                <w:szCs w:val="18"/>
                <w:color w:val="auto"/>
              </w:rPr>
            </w:pPr>
          </w:p>
        </w:tc>
        <w:tc>
          <w:tcPr>
            <w:tcW w:w="12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48.63</w:t>
            </w:r>
          </w:p>
        </w:tc>
        <w:tc>
          <w:tcPr>
            <w:tcW w:w="1240" w:type="dxa"/>
            <w:vAlign w:val="bottom"/>
          </w:tcPr>
          <w:p>
            <w:pPr>
              <w:spacing w:after="0"/>
              <w:rPr>
                <w:sz w:val="18"/>
                <w:szCs w:val="18"/>
                <w:color w:val="auto"/>
              </w:rPr>
            </w:pPr>
          </w:p>
        </w:tc>
      </w:tr>
      <w:tr>
        <w:trPr>
          <w:trHeight w:val="216"/>
        </w:trPr>
        <w:tc>
          <w:tcPr>
            <w:tcW w:w="384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Balance at June 30, 2021</w:t>
            </w:r>
          </w:p>
        </w:tc>
        <w:tc>
          <w:tcPr>
            <w:tcW w:w="4660" w:type="dxa"/>
            <w:vAlign w:val="bottom"/>
            <w:tcBorders>
              <w:bottom w:val="single" w:sz="8" w:color="auto"/>
            </w:tcBorders>
            <w:gridSpan w:val="2"/>
          </w:tcPr>
          <w:p>
            <w:pPr>
              <w:jc w:val="right"/>
              <w:ind w:right="10"/>
              <w:spacing w:after="0" w:line="195" w:lineRule="exact"/>
              <w:rPr>
                <w:sz w:val="20"/>
                <w:szCs w:val="20"/>
                <w:color w:val="auto"/>
              </w:rPr>
            </w:pPr>
            <w:r>
              <w:rPr>
                <w:rFonts w:ascii="Arial" w:cs="Arial" w:eastAsia="Arial" w:hAnsi="Arial"/>
                <w:sz w:val="18"/>
                <w:szCs w:val="18"/>
                <w:color w:val="auto"/>
              </w:rPr>
              <w:t>119,199</w:t>
            </w:r>
          </w:p>
        </w:tc>
        <w:tc>
          <w:tcPr>
            <w:tcW w:w="2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46.79</w:t>
            </w:r>
          </w:p>
        </w:tc>
        <w:tc>
          <w:tcPr>
            <w:tcW w:w="1240" w:type="dxa"/>
            <w:vAlign w:val="bottom"/>
          </w:tcPr>
          <w:p>
            <w:pPr>
              <w:spacing w:after="0"/>
              <w:rPr>
                <w:sz w:val="18"/>
                <w:szCs w:val="18"/>
                <w:color w:val="auto"/>
              </w:rPr>
            </w:pPr>
          </w:p>
        </w:tc>
      </w:tr>
      <w:tr>
        <w:trPr>
          <w:trHeight w:val="431"/>
        </w:trPr>
        <w:tc>
          <w:tcPr>
            <w:tcW w:w="3840" w:type="dxa"/>
            <w:vAlign w:val="bottom"/>
          </w:tcPr>
          <w:p>
            <w:pPr>
              <w:spacing w:after="0"/>
              <w:rPr>
                <w:sz w:val="24"/>
                <w:szCs w:val="24"/>
                <w:color w:val="auto"/>
              </w:rPr>
            </w:pPr>
          </w:p>
        </w:tc>
        <w:tc>
          <w:tcPr>
            <w:tcW w:w="3160" w:type="dxa"/>
            <w:vAlign w:val="bottom"/>
          </w:tcPr>
          <w:p>
            <w:pPr>
              <w:jc w:val="right"/>
              <w:ind w:right="1130"/>
              <w:spacing w:after="0"/>
              <w:rPr>
                <w:sz w:val="20"/>
                <w:szCs w:val="20"/>
                <w:color w:val="auto"/>
              </w:rPr>
            </w:pPr>
            <w:r>
              <w:rPr>
                <w:rFonts w:ascii="Arial" w:cs="Arial" w:eastAsia="Arial" w:hAnsi="Arial"/>
                <w:sz w:val="18"/>
                <w:szCs w:val="18"/>
                <w:color w:val="auto"/>
              </w:rPr>
              <w:t>-16-</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5"/>
        </w:trPr>
        <w:tc>
          <w:tcPr>
            <w:tcW w:w="3840" w:type="dxa"/>
            <w:vAlign w:val="bottom"/>
            <w:tcBorders>
              <w:bottom w:val="single" w:sz="8" w:color="EEEEEE"/>
            </w:tcBorders>
          </w:tcPr>
          <w:p>
            <w:pPr>
              <w:spacing w:after="0"/>
              <w:rPr>
                <w:sz w:val="18"/>
                <w:szCs w:val="18"/>
                <w:color w:val="auto"/>
              </w:rPr>
            </w:pPr>
          </w:p>
        </w:tc>
        <w:tc>
          <w:tcPr>
            <w:tcW w:w="3160" w:type="dxa"/>
            <w:vAlign w:val="bottom"/>
            <w:tcBorders>
              <w:bottom w:val="single" w:sz="8" w:color="EEEEEE"/>
            </w:tcBorders>
          </w:tcPr>
          <w:p>
            <w:pPr>
              <w:spacing w:after="0"/>
              <w:rPr>
                <w:sz w:val="18"/>
                <w:szCs w:val="18"/>
                <w:color w:val="auto"/>
              </w:rPr>
            </w:pPr>
          </w:p>
        </w:tc>
        <w:tc>
          <w:tcPr>
            <w:tcW w:w="150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1200" w:type="dxa"/>
            <w:vAlign w:val="bottom"/>
            <w:tcBorders>
              <w:bottom w:val="single" w:sz="8" w:color="EEEEEE"/>
            </w:tcBorders>
          </w:tcPr>
          <w:p>
            <w:pPr>
              <w:spacing w:after="0"/>
              <w:rPr>
                <w:sz w:val="18"/>
                <w:szCs w:val="18"/>
                <w:color w:val="auto"/>
              </w:rPr>
            </w:pPr>
          </w:p>
        </w:tc>
        <w:tc>
          <w:tcPr>
            <w:tcW w:w="124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835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PBRS that vested during the six months ended June 30, 2021 achieved financial goals of 94.4%, resulting in the issuance of 29,688 shares of common stock. The outstanding PBRS at June 30, 2021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SARs granted and no expense recognized during the six months ended June 30, 2021. Following is a summary of the activity of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six-month period ended June 30,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Term Years</w:t>
            </w:r>
          </w:p>
        </w:tc>
        <w:tc>
          <w:tcPr>
            <w:tcW w:w="16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i w:val="1"/>
                <w:iCs w:val="1"/>
                <w:color w:val="auto"/>
                <w:w w:val="88"/>
              </w:rPr>
              <w:t>(In thousands)</w:t>
            </w:r>
          </w:p>
        </w:tc>
        <w:tc>
          <w:tcPr>
            <w:tcW w:w="0" w:type="dxa"/>
            <w:vAlign w:val="bottom"/>
          </w:tcPr>
          <w:p>
            <w:pPr>
              <w:spacing w:after="0"/>
              <w:rPr>
                <w:sz w:val="1"/>
                <w:szCs w:val="1"/>
                <w:color w:val="auto"/>
              </w:rPr>
            </w:pPr>
          </w:p>
        </w:tc>
      </w:tr>
      <w:tr>
        <w:trPr>
          <w:trHeight w:val="215"/>
        </w:trPr>
        <w:tc>
          <w:tcPr>
            <w:tcW w:w="654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Balance at December 31, 2020</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144,999</w:t>
            </w:r>
          </w:p>
        </w:tc>
        <w:tc>
          <w:tcPr>
            <w:tcW w:w="180" w:type="dxa"/>
            <w:vAlign w:val="bottom"/>
            <w:tcBorders>
              <w:top w:val="single" w:sz="8" w:color="auto"/>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32.99</w:t>
            </w:r>
          </w:p>
        </w:tc>
        <w:tc>
          <w:tcPr>
            <w:tcW w:w="1080" w:type="dxa"/>
            <w:vAlign w:val="bottom"/>
            <w:tcBorders>
              <w:top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tcPr>
          <w:p>
            <w:pPr>
              <w:jc w:val="right"/>
              <w:spacing w:after="0"/>
              <w:rPr>
                <w:sz w:val="20"/>
                <w:szCs w:val="20"/>
                <w:color w:val="auto"/>
              </w:rPr>
            </w:pPr>
            <w:r>
              <w:rPr>
                <w:rFonts w:ascii="Arial" w:cs="Arial" w:eastAsia="Arial" w:hAnsi="Arial"/>
                <w:sz w:val="18"/>
                <w:szCs w:val="18"/>
                <w:color w:val="auto"/>
              </w:rPr>
              <w:t>(20,560)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tcBorders>
              <w:bottom w:val="single" w:sz="8" w:color="B2B2B2"/>
            </w:tcBorders>
            <w:shd w:val="clear" w:color="auto" w:fill="B2B2B2"/>
          </w:tcPr>
          <w:p>
            <w:pPr>
              <w:spacing w:after="0"/>
              <w:rPr>
                <w:sz w:val="20"/>
                <w:szCs w:val="20"/>
                <w:color w:val="auto"/>
              </w:rPr>
            </w:pPr>
            <w:r>
              <w:rPr>
                <w:rFonts w:ascii="Arial" w:cs="Arial" w:eastAsia="Arial" w:hAnsi="Arial"/>
                <w:sz w:val="18"/>
                <w:szCs w:val="18"/>
                <w:color w:val="auto"/>
              </w:rPr>
              <w:t>Forfeited</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(2,088)</w:t>
            </w:r>
          </w:p>
        </w:tc>
        <w:tc>
          <w:tcPr>
            <w:tcW w:w="180" w:type="dxa"/>
            <w:vAlign w:val="bottom"/>
            <w:tcBorders>
              <w:bottom w:val="single" w:sz="8" w:color="auto"/>
              <w:right w:val="single" w:sz="8" w:color="B2B2B2"/>
            </w:tcBorders>
            <w:shd w:val="clear" w:color="auto" w:fill="B2B2B2"/>
          </w:tcPr>
          <w:p>
            <w:pPr>
              <w:spacing w:after="0"/>
              <w:rPr>
                <w:sz w:val="18"/>
                <w:szCs w:val="18"/>
                <w:color w:val="auto"/>
              </w:rPr>
            </w:pPr>
          </w:p>
        </w:tc>
        <w:tc>
          <w:tcPr>
            <w:tcW w:w="1080" w:type="dxa"/>
            <w:vAlign w:val="bottom"/>
            <w:tcBorders>
              <w:bottom w:val="single" w:sz="8" w:color="auto"/>
            </w:tcBorders>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31.92</w:t>
            </w:r>
          </w:p>
        </w:tc>
        <w:tc>
          <w:tcPr>
            <w:tcW w:w="1080" w:type="dxa"/>
            <w:vAlign w:val="bottom"/>
            <w:tcBorders>
              <w:bottom w:val="single" w:sz="8" w:color="auto"/>
            </w:tcBorders>
            <w:gridSpan w:val="2"/>
            <w:shd w:val="clear" w:color="auto" w:fill="B2B2B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12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rPr>
              <w:t>Exercisable at June 30, 2021</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122,351</w:t>
            </w: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00"/>
              <w:spacing w:after="0" w:line="195" w:lineRule="exact"/>
              <w:rPr>
                <w:sz w:val="20"/>
                <w:szCs w:val="20"/>
                <w:color w:val="auto"/>
              </w:rPr>
            </w:pPr>
            <w:r>
              <w:rPr>
                <w:rFonts w:ascii="Arial" w:cs="Arial" w:eastAsia="Arial" w:hAnsi="Arial"/>
                <w:sz w:val="18"/>
                <w:szCs w:val="18"/>
                <w:color w:val="auto"/>
              </w:rPr>
              <w:t>34.50</w:t>
            </w:r>
          </w:p>
        </w:tc>
        <w:tc>
          <w:tcPr>
            <w:tcW w:w="1080" w:type="dxa"/>
            <w:vAlign w:val="bottom"/>
            <w:tcBorders>
              <w:bottom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color w:val="auto"/>
              </w:rPr>
              <w:t>1.67</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1,228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non-vested SARs at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Estimated</w:t>
            </w:r>
          </w:p>
        </w:tc>
        <w:tc>
          <w:tcPr>
            <w:tcW w:w="30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Actual</w:t>
            </w:r>
          </w:p>
        </w:tc>
      </w:tr>
      <w:tr>
        <w:trPr>
          <w:trHeight w:val="24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2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4,329</w:t>
            </w:r>
          </w:p>
        </w:tc>
        <w:tc>
          <w:tcPr>
            <w:tcW w:w="20" w:type="dxa"/>
            <w:vAlign w:val="bottom"/>
          </w:tcPr>
          <w:p>
            <w:pPr>
              <w:spacing w:after="0"/>
              <w:rPr>
                <w:sz w:val="18"/>
                <w:szCs w:val="18"/>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2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3,908</w:t>
            </w:r>
          </w:p>
        </w:tc>
        <w:tc>
          <w:tcPr>
            <w:tcW w:w="20" w:type="dxa"/>
            <w:vAlign w:val="bottom"/>
          </w:tcPr>
          <w:p>
            <w:pPr>
              <w:spacing w:after="0"/>
              <w:rPr>
                <w:sz w:val="18"/>
                <w:szCs w:val="18"/>
                <w:color w:val="auto"/>
              </w:rPr>
            </w:pPr>
          </w:p>
        </w:tc>
      </w:tr>
      <w:tr>
        <w:trPr>
          <w:trHeight w:val="215"/>
        </w:trPr>
        <w:tc>
          <w:tcPr>
            <w:tcW w:w="5880" w:type="dxa"/>
            <w:vAlign w:val="bottom"/>
            <w:shd w:val="clear" w:color="auto" w:fill="B2B2B2"/>
          </w:tcPr>
          <w:p>
            <w:pPr>
              <w:spacing w:after="0"/>
              <w:rPr>
                <w:sz w:val="20"/>
                <w:szCs w:val="20"/>
                <w:color w:val="auto"/>
              </w:rPr>
            </w:pPr>
            <w:r>
              <w:rPr>
                <w:rFonts w:ascii="Arial" w:cs="Arial" w:eastAsia="Arial" w:hAnsi="Arial"/>
                <w:sz w:val="18"/>
                <w:szCs w:val="18"/>
                <w:color w:val="auto"/>
              </w:rPr>
              <w:t>Expected return on plan assets</w:t>
            </w:r>
          </w:p>
        </w:tc>
        <w:tc>
          <w:tcPr>
            <w:tcW w:w="2780" w:type="dxa"/>
            <w:vAlign w:val="bottom"/>
            <w:shd w:val="clear" w:color="auto" w:fill="B2B2B2"/>
          </w:tcPr>
          <w:p>
            <w:pPr>
              <w:spacing w:after="0"/>
              <w:rPr>
                <w:sz w:val="18"/>
                <w:szCs w:val="18"/>
                <w:color w:val="auto"/>
              </w:rPr>
            </w:pPr>
          </w:p>
        </w:tc>
        <w:tc>
          <w:tcPr>
            <w:tcW w:w="12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(6,299)</w:t>
            </w:r>
          </w:p>
        </w:tc>
        <w:tc>
          <w:tcPr>
            <w:tcW w:w="300" w:type="dxa"/>
            <w:vAlign w:val="bottom"/>
            <w:shd w:val="clear" w:color="auto" w:fill="B2B2B2"/>
          </w:tcPr>
          <w:p>
            <w:pPr>
              <w:spacing w:after="0"/>
              <w:rPr>
                <w:sz w:val="18"/>
                <w:szCs w:val="18"/>
                <w:color w:val="auto"/>
              </w:rPr>
            </w:pPr>
          </w:p>
        </w:tc>
        <w:tc>
          <w:tcPr>
            <w:tcW w:w="10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(6,049)</w:t>
            </w:r>
          </w:p>
        </w:tc>
        <w:tc>
          <w:tcPr>
            <w:tcW w:w="20" w:type="dxa"/>
            <w:vAlign w:val="bottom"/>
          </w:tcPr>
          <w:p>
            <w:pPr>
              <w:spacing w:after="0"/>
              <w:rPr>
                <w:sz w:val="18"/>
                <w:szCs w:val="18"/>
                <w:color w:val="auto"/>
              </w:rPr>
            </w:pPr>
          </w:p>
        </w:tc>
      </w:tr>
      <w:tr>
        <w:trPr>
          <w:trHeight w:val="215"/>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w:t>
            </w:r>
          </w:p>
        </w:tc>
        <w:tc>
          <w:tcPr>
            <w:tcW w:w="2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18"/>
                <w:szCs w:val="18"/>
                <w:color w:val="auto"/>
              </w:rPr>
            </w:pPr>
          </w:p>
        </w:tc>
      </w:tr>
      <w:tr>
        <w:trPr>
          <w:trHeight w:val="216"/>
        </w:trPr>
        <w:tc>
          <w:tcPr>
            <w:tcW w:w="588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Net periodic pension (benefit) cost</w:t>
            </w:r>
          </w:p>
        </w:tc>
        <w:tc>
          <w:tcPr>
            <w:tcW w:w="27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(1,907)</w:t>
            </w:r>
          </w:p>
        </w:tc>
        <w:tc>
          <w:tcPr>
            <w:tcW w:w="300" w:type="dxa"/>
            <w:vAlign w:val="bottom"/>
            <w:tcBorders>
              <w:bottom w:val="single" w:sz="8" w:color="auto"/>
            </w:tcBorders>
            <w:shd w:val="clear" w:color="auto" w:fill="B2B2B2"/>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4,134</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recorded a net periodic benefit of $691,000 and $418,000 for the three and six month periods ended June 30, 2021, respectively as compared to net periodic pension cost of $1,027,000 and $2,056,000 for the three and six month periods ended June 30, 2020, respectively. Pension costs decreased in 2021 due to the Plan being frozen as of February 28, 2021. The Company has not made a contribution to the plan during the six-month period ended June 30, 2021 and is evaluating the amount of additional contributions, if any, in the remainder of 2021.</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2020 and an estimate for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514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Actual</w:t>
            </w:r>
          </w:p>
        </w:tc>
      </w:tr>
      <w:tr>
        <w:trPr>
          <w:trHeight w:val="241"/>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4380" w:type="dxa"/>
            <w:vAlign w:val="bottom"/>
            <w:shd w:val="clear" w:color="auto" w:fill="B2B2B2"/>
          </w:tcPr>
          <w:p>
            <w:pPr>
              <w:spacing w:after="0"/>
              <w:rPr>
                <w:sz w:val="20"/>
                <w:szCs w:val="20"/>
                <w:color w:val="auto"/>
              </w:rPr>
            </w:pPr>
            <w:r>
              <w:rPr>
                <w:rFonts w:ascii="Arial" w:cs="Arial" w:eastAsia="Arial" w:hAnsi="Arial"/>
                <w:sz w:val="18"/>
                <w:szCs w:val="18"/>
                <w:color w:val="auto"/>
              </w:rPr>
              <w:t>Service cost – benefits earned during the year</w:t>
            </w:r>
          </w:p>
        </w:tc>
        <w:tc>
          <w:tcPr>
            <w:tcW w:w="5140" w:type="dxa"/>
            <w:vAlign w:val="bottom"/>
            <w:shd w:val="clear" w:color="auto" w:fill="B2B2B2"/>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shd w:val="clear" w:color="auto" w:fill="B2B2B2"/>
          </w:tcPr>
          <w:p>
            <w:pPr>
              <w:jc w:val="right"/>
              <w:spacing w:after="0"/>
              <w:rPr>
                <w:sz w:val="20"/>
                <w:szCs w:val="20"/>
                <w:color w:val="auto"/>
              </w:rPr>
            </w:pPr>
            <w:r>
              <w:rPr>
                <w:rFonts w:ascii="Arial" w:cs="Arial" w:eastAsia="Arial" w:hAnsi="Arial"/>
                <w:sz w:val="18"/>
                <w:szCs w:val="18"/>
                <w:color w:val="auto"/>
                <w:w w:val="86"/>
              </w:rPr>
              <w:t>147</w:t>
            </w:r>
          </w:p>
        </w:tc>
        <w:tc>
          <w:tcPr>
            <w:tcW w:w="30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5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291</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r>
      <w:tr>
        <w:trPr>
          <w:trHeight w:val="215"/>
        </w:trPr>
        <w:tc>
          <w:tcPr>
            <w:tcW w:w="43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Net amortization</w:t>
            </w:r>
          </w:p>
        </w:tc>
        <w:tc>
          <w:tcPr>
            <w:tcW w:w="5140" w:type="dxa"/>
            <w:vAlign w:val="bottom"/>
            <w:tcBorders>
              <w:bottom w:val="single" w:sz="8" w:color="auto"/>
            </w:tcBorders>
            <w:shd w:val="clear" w:color="auto" w:fill="B2B2B2"/>
          </w:tcPr>
          <w:p>
            <w:pPr>
              <w:spacing w:after="0"/>
              <w:rPr>
                <w:sz w:val="18"/>
                <w:szCs w:val="18"/>
                <w:color w:val="auto"/>
              </w:rPr>
            </w:pPr>
          </w:p>
        </w:tc>
        <w:tc>
          <w:tcPr>
            <w:tcW w:w="3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86"/>
              </w:rPr>
              <w:t>203</w:t>
            </w:r>
          </w:p>
        </w:tc>
        <w:tc>
          <w:tcPr>
            <w:tcW w:w="300" w:type="dxa"/>
            <w:vAlign w:val="bottom"/>
            <w:tcBorders>
              <w:bottom w:val="single" w:sz="8" w:color="auto"/>
            </w:tcBorders>
            <w:shd w:val="clear" w:color="auto" w:fill="B2B2B2"/>
          </w:tcPr>
          <w:p>
            <w:pPr>
              <w:spacing w:after="0"/>
              <w:rPr>
                <w:sz w:val="18"/>
                <w:szCs w:val="18"/>
                <w:color w:val="auto"/>
              </w:rPr>
            </w:pPr>
          </w:p>
        </w:tc>
        <w:tc>
          <w:tcPr>
            <w:tcW w:w="1080" w:type="dxa"/>
            <w:vAlign w:val="bottom"/>
            <w:tcBorders>
              <w:bottom w:val="single" w:sz="8" w:color="auto"/>
            </w:tcBorders>
            <w:gridSpan w:val="2"/>
            <w:shd w:val="clear" w:color="auto" w:fill="B2B2B2"/>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16"/>
        </w:trPr>
        <w:tc>
          <w:tcPr>
            <w:tcW w:w="4380" w:type="dxa"/>
            <w:vAlign w:val="bottom"/>
            <w:tcBorders>
              <w:bottom w:val="single" w:sz="8" w:color="auto"/>
            </w:tcBorders>
          </w:tcPr>
          <w:p>
            <w:pPr>
              <w:ind w:left="180"/>
              <w:spacing w:after="0" w:line="195" w:lineRule="exact"/>
              <w:rPr>
                <w:sz w:val="20"/>
                <w:szCs w:val="20"/>
                <w:color w:val="auto"/>
              </w:rPr>
            </w:pPr>
            <w:r>
              <w:rPr>
                <w:rFonts w:ascii="Arial" w:cs="Arial" w:eastAsia="Arial" w:hAnsi="Arial"/>
                <w:sz w:val="18"/>
                <w:szCs w:val="18"/>
                <w:color w:val="auto"/>
              </w:rPr>
              <w:t>Net periodic pension cost</w:t>
            </w:r>
          </w:p>
        </w:tc>
        <w:tc>
          <w:tcPr>
            <w:tcW w:w="5140" w:type="dxa"/>
            <w:vAlign w:val="bottom"/>
            <w:tcBorders>
              <w:bottom w:val="single" w:sz="8" w:color="auto"/>
            </w:tcBorders>
          </w:tcPr>
          <w:p>
            <w:pPr>
              <w:jc w:val="right"/>
              <w:ind w:right="850"/>
              <w:spacing w:after="0" w:line="195"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641</w:t>
            </w:r>
          </w:p>
        </w:tc>
        <w:tc>
          <w:tcPr>
            <w:tcW w:w="30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r>
      <w:tr>
        <w:trPr>
          <w:trHeight w:val="431"/>
        </w:trPr>
        <w:tc>
          <w:tcPr>
            <w:tcW w:w="4380" w:type="dxa"/>
            <w:vAlign w:val="bottom"/>
          </w:tcPr>
          <w:p>
            <w:pPr>
              <w:spacing w:after="0"/>
              <w:rPr>
                <w:sz w:val="24"/>
                <w:szCs w:val="24"/>
                <w:color w:val="auto"/>
              </w:rPr>
            </w:pPr>
          </w:p>
        </w:tc>
        <w:tc>
          <w:tcPr>
            <w:tcW w:w="5140" w:type="dxa"/>
            <w:vAlign w:val="bottom"/>
          </w:tcPr>
          <w:p>
            <w:pPr>
              <w:jc w:val="right"/>
              <w:ind w:right="36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380" w:type="dxa"/>
            <w:vAlign w:val="bottom"/>
            <w:tcBorders>
              <w:bottom w:val="single" w:sz="8" w:color="EEEEEE"/>
            </w:tcBorders>
          </w:tcPr>
          <w:p>
            <w:pPr>
              <w:spacing w:after="0"/>
              <w:rPr>
                <w:sz w:val="18"/>
                <w:szCs w:val="18"/>
                <w:color w:val="auto"/>
              </w:rPr>
            </w:pPr>
          </w:p>
        </w:tc>
        <w:tc>
          <w:tcPr>
            <w:tcW w:w="5140" w:type="dxa"/>
            <w:vAlign w:val="bottom"/>
            <w:tcBorders>
              <w:bottom w:val="single" w:sz="8" w:color="EEEEEE"/>
            </w:tcBorders>
          </w:tcPr>
          <w:p>
            <w:pPr>
              <w:spacing w:after="0"/>
              <w:rPr>
                <w:sz w:val="18"/>
                <w:szCs w:val="18"/>
                <w:color w:val="auto"/>
              </w:rPr>
            </w:pPr>
          </w:p>
        </w:tc>
        <w:tc>
          <w:tcPr>
            <w:tcW w:w="34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835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5080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Supplemental executive retirement plan costs recorded to expense were $161,000 and $145,000 for the three-month periods ended June 30, 2021 and 2020, respectively. Supplemental executive retirement plan costs recorded to expense were $321,000 and $290,000 for the six-month periods ended June 30,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was 18.4% and 17.3% for the three-month periods ended June 30, 2021 and 2020, respectively, and 18.0% and 17.8% for the six-month periods ended June 30, 2021 and 2020, respectively. The effective tax rate for all periods differs from the statutory rate of 21% primarily due to the tax-exempt interest received from municipal bonds.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r>
      <w:tr>
        <w:trPr>
          <w:trHeight w:val="215"/>
        </w:trPr>
        <w:tc>
          <w:tcPr>
            <w:tcW w:w="68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335,739</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16,004</w:t>
            </w:r>
          </w:p>
        </w:tc>
        <w:tc>
          <w:tcPr>
            <w:tcW w:w="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351,695</w:t>
            </w:r>
          </w:p>
        </w:tc>
        <w:tc>
          <w:tcPr>
            <w:tcW w:w="20" w:type="dxa"/>
            <w:vAlign w:val="bottom"/>
          </w:tcPr>
          <w:p>
            <w:pPr>
              <w:spacing w:after="0"/>
              <w:rPr>
                <w:sz w:val="18"/>
                <w:szCs w:val="18"/>
                <w:color w:val="auto"/>
              </w:rPr>
            </w:pPr>
          </w:p>
        </w:tc>
      </w:tr>
      <w:tr>
        <w:trPr>
          <w:trHeight w:val="215"/>
        </w:trPr>
        <w:tc>
          <w:tcPr>
            <w:tcW w:w="68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90,756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90,933</w:t>
            </w:r>
          </w:p>
        </w:tc>
        <w:tc>
          <w:tcPr>
            <w:tcW w:w="20" w:type="dxa"/>
            <w:vAlign w:val="bottom"/>
          </w:tcPr>
          <w:p>
            <w:pPr>
              <w:spacing w:after="0"/>
              <w:rPr>
                <w:sz w:val="18"/>
                <w:szCs w:val="18"/>
                <w:color w:val="auto"/>
              </w:rPr>
            </w:pPr>
          </w:p>
        </w:tc>
      </w:tr>
      <w:tr>
        <w:trPr>
          <w:trHeight w:val="215"/>
        </w:trPr>
        <w:tc>
          <w:tcPr>
            <w:tcW w:w="688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63,567</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auto"/>
            </w:tcBorders>
            <w:shd w:val="clear" w:color="auto" w:fill="B2B2B2"/>
          </w:tcPr>
          <w:p>
            <w:pPr>
              <w:spacing w:after="0"/>
              <w:rPr>
                <w:sz w:val="18"/>
                <w:szCs w:val="18"/>
                <w:color w:val="auto"/>
              </w:rPr>
            </w:pPr>
          </w:p>
        </w:tc>
        <w:tc>
          <w:tcPr>
            <w:tcW w:w="8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64,419</w:t>
            </w:r>
          </w:p>
        </w:tc>
        <w:tc>
          <w:tcPr>
            <w:tcW w:w="20" w:type="dxa"/>
            <w:vAlign w:val="bottom"/>
          </w:tcPr>
          <w:p>
            <w:pPr>
              <w:spacing w:after="0"/>
              <w:rPr>
                <w:sz w:val="18"/>
                <w:szCs w:val="18"/>
                <w:color w:val="auto"/>
              </w:rPr>
            </w:pPr>
          </w:p>
        </w:tc>
      </w:tr>
      <w:tr>
        <w:trPr>
          <w:trHeight w:val="216"/>
        </w:trPr>
        <w:tc>
          <w:tcPr>
            <w:tcW w:w="6880" w:type="dxa"/>
            <w:vAlign w:val="bottom"/>
            <w:tcBorders>
              <w:bottom w:val="single" w:sz="8" w:color="auto"/>
            </w:tcBorders>
          </w:tcPr>
          <w:p>
            <w:pPr>
              <w:ind w:left="180"/>
              <w:spacing w:after="0" w:line="195"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490,062</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17,457</w:t>
            </w: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472</w:t>
            </w: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507,047</w:t>
            </w:r>
          </w:p>
        </w:tc>
        <w:tc>
          <w:tcPr>
            <w:tcW w:w="20" w:type="dxa"/>
            <w:vAlign w:val="bottom"/>
          </w:tcPr>
          <w:p>
            <w:pPr>
              <w:spacing w:after="0"/>
              <w:rPr>
                <w:sz w:val="18"/>
                <w:szCs w:val="18"/>
                <w:color w:val="auto"/>
              </w:rPr>
            </w:pPr>
          </w:p>
        </w:tc>
      </w:tr>
      <w:tr>
        <w:trPr>
          <w:trHeight w:val="398"/>
        </w:trPr>
        <w:tc>
          <w:tcPr>
            <w:tcW w:w="6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7"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880" w:type="dxa"/>
            <w:vAlign w:val="bottom"/>
          </w:tcPr>
          <w:p>
            <w:pPr>
              <w:jc w:val="center"/>
              <w:ind w:right="110"/>
              <w:spacing w:after="0" w:line="197"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r>
      <w:tr>
        <w:trPr>
          <w:trHeight w:val="215"/>
        </w:trPr>
        <w:tc>
          <w:tcPr>
            <w:tcW w:w="688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287,059</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18,915</w:t>
            </w:r>
          </w:p>
        </w:tc>
        <w:tc>
          <w:tcPr>
            <w:tcW w:w="22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305,974</w:t>
            </w:r>
          </w:p>
        </w:tc>
        <w:tc>
          <w:tcPr>
            <w:tcW w:w="20" w:type="dxa"/>
            <w:vAlign w:val="bottom"/>
          </w:tcPr>
          <w:p>
            <w:pPr>
              <w:spacing w:after="0"/>
              <w:rPr>
                <w:sz w:val="18"/>
                <w:szCs w:val="18"/>
                <w:color w:val="auto"/>
              </w:rPr>
            </w:pPr>
          </w:p>
        </w:tc>
      </w:tr>
      <w:tr>
        <w:trPr>
          <w:trHeight w:val="215"/>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50,988</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20" w:type="dxa"/>
            <w:vAlign w:val="bottom"/>
          </w:tcPr>
          <w:p>
            <w:pPr>
              <w:spacing w:after="0"/>
              <w:rPr>
                <w:sz w:val="18"/>
                <w:szCs w:val="18"/>
                <w:color w:val="auto"/>
              </w:rPr>
            </w:pPr>
          </w:p>
        </w:tc>
      </w:tr>
      <w:tr>
        <w:trPr>
          <w:trHeight w:val="216"/>
        </w:trPr>
        <w:tc>
          <w:tcPr>
            <w:tcW w:w="688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338,047</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19,679</w:t>
            </w:r>
          </w:p>
        </w:tc>
        <w:tc>
          <w:tcPr>
            <w:tcW w:w="22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357,726</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securities with unrealized losses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98"/>
              </w:rPr>
              <w:t>Less than 12 months</w:t>
            </w: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6"/>
              </w:rPr>
              <w:t>12 months or more</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6"/>
                <w:szCs w:val="16"/>
                <w:color w:val="auto"/>
              </w:rPr>
            </w:pPr>
          </w:p>
        </w:tc>
        <w:tc>
          <w:tcPr>
            <w:tcW w:w="10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6"/>
                <w:szCs w:val="16"/>
                <w:color w:val="auto"/>
              </w:rPr>
            </w:pPr>
          </w:p>
        </w:tc>
        <w:tc>
          <w:tcPr>
            <w:tcW w:w="9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Estimated</w:t>
            </w:r>
          </w:p>
        </w:tc>
        <w:tc>
          <w:tcPr>
            <w:tcW w:w="110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6"/>
                <w:szCs w:val="16"/>
                <w:color w:val="auto"/>
              </w:rPr>
            </w:pPr>
          </w:p>
        </w:tc>
        <w:tc>
          <w:tcPr>
            <w:tcW w:w="9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Estimated</w:t>
            </w:r>
          </w:p>
        </w:tc>
        <w:tc>
          <w:tcPr>
            <w:tcW w:w="10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Fair Value</w:t>
            </w:r>
          </w:p>
        </w:tc>
        <w:tc>
          <w:tcPr>
            <w:tcW w:w="26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Losses</w:t>
            </w:r>
          </w:p>
        </w:tc>
      </w:tr>
      <w:tr>
        <w:trPr>
          <w:trHeight w:val="209"/>
        </w:trPr>
        <w:tc>
          <w:tcPr>
            <w:tcW w:w="4620" w:type="dxa"/>
            <w:vAlign w:val="bottom"/>
            <w:tcBorders>
              <w:top w:val="single" w:sz="8" w:color="auto"/>
            </w:tcBorders>
            <w:shd w:val="clear" w:color="auto" w:fill="B2B2B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8,184</w:t>
            </w:r>
          </w:p>
        </w:tc>
        <w:tc>
          <w:tcPr>
            <w:tcW w:w="1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B2B2B2"/>
          </w:tcPr>
          <w:p>
            <w:pPr>
              <w:ind w:left="7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B2B2B2"/>
          </w:tcPr>
          <w:p>
            <w:pPr>
              <w:jc w:val="right"/>
              <w:ind w:right="6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B2B2B2"/>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8,184</w:t>
            </w:r>
          </w:p>
        </w:tc>
        <w:tc>
          <w:tcPr>
            <w:tcW w:w="260" w:type="dxa"/>
            <w:vAlign w:val="bottom"/>
            <w:tcBorders>
              <w:top w:val="single" w:sz="8" w:color="auto"/>
            </w:tcBorders>
            <w:shd w:val="clear" w:color="auto" w:fill="B2B2B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59,998</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59,998</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r>
      <w:tr>
        <w:trPr>
          <w:trHeight w:val="216"/>
        </w:trPr>
        <w:tc>
          <w:tcPr>
            <w:tcW w:w="4620" w:type="dxa"/>
            <w:vAlign w:val="bottom"/>
            <w:tcBorders>
              <w:bottom w:val="single" w:sz="8" w:color="auto"/>
            </w:tcBorders>
            <w:shd w:val="clear" w:color="auto" w:fill="B2B2B2"/>
          </w:tcPr>
          <w:p>
            <w:pPr>
              <w:ind w:left="180"/>
              <w:spacing w:after="0" w:line="195"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68,182</w:t>
            </w:r>
          </w:p>
        </w:tc>
        <w:tc>
          <w:tcPr>
            <w:tcW w:w="1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472</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ind w:left="780"/>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B2B2B2"/>
          </w:tcPr>
          <w:p>
            <w:pPr>
              <w:jc w:val="right"/>
              <w:ind w:right="610"/>
              <w:spacing w:after="0" w:line="195"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2B2B2"/>
          </w:tcPr>
          <w:p>
            <w:pPr>
              <w:ind w:left="60"/>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68,182</w:t>
            </w:r>
          </w:p>
        </w:tc>
        <w:tc>
          <w:tcPr>
            <w:tcW w:w="260" w:type="dxa"/>
            <w:vAlign w:val="bottom"/>
            <w:tcBorders>
              <w:bottom w:val="single" w:sz="8" w:color="auto"/>
            </w:tcBorders>
            <w:shd w:val="clear" w:color="auto" w:fill="B2B2B2"/>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B2B2B2"/>
          </w:tcPr>
          <w:p>
            <w:pPr>
              <w:jc w:val="right"/>
              <w:spacing w:after="0" w:line="195" w:lineRule="exact"/>
              <w:rPr>
                <w:sz w:val="20"/>
                <w:szCs w:val="20"/>
                <w:color w:val="auto"/>
              </w:rPr>
            </w:pPr>
            <w:r>
              <w:rPr>
                <w:rFonts w:ascii="Arial" w:cs="Arial" w:eastAsia="Arial" w:hAnsi="Arial"/>
                <w:sz w:val="18"/>
                <w:szCs w:val="18"/>
                <w:color w:val="auto"/>
              </w:rPr>
              <w:t>472</w:t>
            </w:r>
          </w:p>
        </w:tc>
        <w:tc>
          <w:tcPr>
            <w:tcW w:w="20" w:type="dxa"/>
            <w:vAlign w:val="bottom"/>
            <w:tcBorders>
              <w:bottom w:val="single" w:sz="8" w:color="auto"/>
            </w:tcBorders>
          </w:tcPr>
          <w:p>
            <w:pPr>
              <w:spacing w:after="0"/>
              <w:rPr>
                <w:sz w:val="18"/>
                <w:szCs w:val="18"/>
                <w:color w:val="auto"/>
              </w:rPr>
            </w:pP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15 securities, or 5%, (0 greater than 12 months) in an unrealized loss position as of June 30, 2021. There were no securities in an unrealized loss position as of December 31, 2020.</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920"/>
              <w:spacing w:after="0"/>
              <w:rPr>
                <w:sz w:val="20"/>
                <w:szCs w:val="20"/>
                <w:color w:val="auto"/>
              </w:rPr>
            </w:pPr>
            <w:r>
              <w:rPr>
                <w:rFonts w:ascii="Arial" w:cs="Arial" w:eastAsia="Arial" w:hAnsi="Arial"/>
                <w:sz w:val="18"/>
                <w:szCs w:val="18"/>
                <w:b w:val="1"/>
                <w:bCs w:val="1"/>
                <w:color w:val="auto"/>
              </w:rPr>
              <w:t>June 30, 2021</w:t>
            </w:r>
          </w:p>
        </w:tc>
      </w:tr>
      <w:tr>
        <w:trPr>
          <w:trHeight w:val="222"/>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414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Amortized Cost</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5"/>
        </w:trPr>
        <w:tc>
          <w:tcPr>
            <w:tcW w:w="3980" w:type="dxa"/>
            <w:vAlign w:val="bottom"/>
            <w:shd w:val="clear" w:color="auto" w:fill="B2B2B2"/>
          </w:tcPr>
          <w:p>
            <w:pPr>
              <w:spacing w:after="0"/>
              <w:rPr>
                <w:sz w:val="20"/>
                <w:szCs w:val="20"/>
                <w:color w:val="auto"/>
              </w:rPr>
            </w:pPr>
            <w:r>
              <w:rPr>
                <w:rFonts w:ascii="Arial" w:cs="Arial" w:eastAsia="Arial" w:hAnsi="Arial"/>
                <w:sz w:val="18"/>
                <w:szCs w:val="18"/>
                <w:color w:val="auto"/>
              </w:rPr>
              <w:t>Due in 1 year or less</w:t>
            </w:r>
          </w:p>
        </w:tc>
        <w:tc>
          <w:tcPr>
            <w:tcW w:w="42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58,144</w:t>
            </w:r>
          </w:p>
        </w:tc>
        <w:tc>
          <w:tcPr>
            <w:tcW w:w="26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58,412</w:t>
            </w:r>
          </w:p>
        </w:tc>
        <w:tc>
          <w:tcPr>
            <w:tcW w:w="20" w:type="dxa"/>
            <w:vAlign w:val="bottom"/>
          </w:tcPr>
          <w:p>
            <w:pPr>
              <w:spacing w:after="0"/>
              <w:rPr>
                <w:sz w:val="18"/>
                <w:szCs w:val="18"/>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95,443</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100,135</w:t>
            </w:r>
          </w:p>
        </w:tc>
        <w:tc>
          <w:tcPr>
            <w:tcW w:w="20" w:type="dxa"/>
            <w:vAlign w:val="bottom"/>
          </w:tcPr>
          <w:p>
            <w:pPr>
              <w:spacing w:after="0"/>
              <w:rPr>
                <w:sz w:val="18"/>
                <w:szCs w:val="18"/>
                <w:color w:val="auto"/>
              </w:rPr>
            </w:pPr>
          </w:p>
        </w:tc>
      </w:tr>
      <w:tr>
        <w:trPr>
          <w:trHeight w:val="215"/>
        </w:trPr>
        <w:tc>
          <w:tcPr>
            <w:tcW w:w="3980" w:type="dxa"/>
            <w:vAlign w:val="bottom"/>
            <w:shd w:val="clear" w:color="auto" w:fill="B2B2B2"/>
          </w:tcPr>
          <w:p>
            <w:pPr>
              <w:spacing w:after="0"/>
              <w:rPr>
                <w:sz w:val="20"/>
                <w:szCs w:val="20"/>
                <w:color w:val="auto"/>
              </w:rPr>
            </w:pPr>
            <w:r>
              <w:rPr>
                <w:rFonts w:ascii="Arial" w:cs="Arial" w:eastAsia="Arial" w:hAnsi="Arial"/>
                <w:sz w:val="18"/>
                <w:szCs w:val="18"/>
                <w:color w:val="auto"/>
              </w:rPr>
              <w:t>Due after 5 years through 10 years</w:t>
            </w:r>
          </w:p>
        </w:tc>
        <w:tc>
          <w:tcPr>
            <w:tcW w:w="414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5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216,180</w:t>
            </w:r>
          </w:p>
        </w:tc>
        <w:tc>
          <w:tcPr>
            <w:tcW w:w="260" w:type="dxa"/>
            <w:vAlign w:val="bottom"/>
            <w:shd w:val="clear" w:color="auto" w:fill="B2B2B2"/>
          </w:tcPr>
          <w:p>
            <w:pPr>
              <w:spacing w:after="0"/>
              <w:rPr>
                <w:sz w:val="18"/>
                <w:szCs w:val="18"/>
                <w:color w:val="auto"/>
              </w:rPr>
            </w:pPr>
          </w:p>
        </w:tc>
        <w:tc>
          <w:tcPr>
            <w:tcW w:w="124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227,682</w:t>
            </w:r>
          </w:p>
        </w:tc>
        <w:tc>
          <w:tcPr>
            <w:tcW w:w="20" w:type="dxa"/>
            <w:vAlign w:val="bottom"/>
          </w:tcPr>
          <w:p>
            <w:pPr>
              <w:spacing w:after="0"/>
              <w:rPr>
                <w:sz w:val="18"/>
                <w:szCs w:val="18"/>
                <w:color w:val="auto"/>
              </w:rPr>
            </w:pPr>
          </w:p>
        </w:tc>
      </w:tr>
      <w:tr>
        <w:trPr>
          <w:trHeight w:val="21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Due after 10 years</w:t>
            </w:r>
          </w:p>
        </w:tc>
        <w:tc>
          <w:tcPr>
            <w:tcW w:w="4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120,295</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120,818</w:t>
            </w:r>
          </w:p>
        </w:tc>
        <w:tc>
          <w:tcPr>
            <w:tcW w:w="20" w:type="dxa"/>
            <w:vAlign w:val="bottom"/>
          </w:tcPr>
          <w:p>
            <w:pPr>
              <w:spacing w:after="0"/>
              <w:rPr>
                <w:sz w:val="18"/>
                <w:szCs w:val="18"/>
                <w:color w:val="auto"/>
              </w:rPr>
            </w:pPr>
          </w:p>
        </w:tc>
      </w:tr>
      <w:tr>
        <w:trPr>
          <w:trHeight w:val="216"/>
        </w:trPr>
        <w:tc>
          <w:tcPr>
            <w:tcW w:w="3980" w:type="dxa"/>
            <w:vAlign w:val="bottom"/>
            <w:tcBorders>
              <w:bottom w:val="single" w:sz="8" w:color="auto"/>
            </w:tcBorders>
            <w:shd w:val="clear" w:color="auto" w:fill="B2B2B2"/>
          </w:tcPr>
          <w:p>
            <w:pPr>
              <w:ind w:left="180"/>
              <w:spacing w:after="0" w:line="202" w:lineRule="exact"/>
              <w:rPr>
                <w:sz w:val="20"/>
                <w:szCs w:val="20"/>
                <w:color w:val="auto"/>
              </w:rPr>
            </w:pPr>
            <w:r>
              <w:rPr>
                <w:rFonts w:ascii="Arial" w:cs="Arial" w:eastAsia="Arial" w:hAnsi="Arial"/>
                <w:sz w:val="18"/>
                <w:szCs w:val="18"/>
                <w:color w:val="auto"/>
              </w:rPr>
              <w:t>Total</w:t>
            </w:r>
          </w:p>
        </w:tc>
        <w:tc>
          <w:tcPr>
            <w:tcW w:w="426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490,062</w:t>
            </w:r>
          </w:p>
        </w:tc>
        <w:tc>
          <w:tcPr>
            <w:tcW w:w="260" w:type="dxa"/>
            <w:vAlign w:val="bottom"/>
            <w:tcBorders>
              <w:bottom w:val="single" w:sz="8" w:color="auto"/>
            </w:tcBorders>
            <w:shd w:val="clear" w:color="auto" w:fill="B2B2B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shd w:val="clear" w:color="auto" w:fill="B2B2B2"/>
          </w:tcPr>
          <w:p>
            <w:pPr>
              <w:jc w:val="right"/>
              <w:spacing w:after="0" w:line="202" w:lineRule="exact"/>
              <w:rPr>
                <w:sz w:val="20"/>
                <w:szCs w:val="20"/>
                <w:color w:val="auto"/>
              </w:rPr>
            </w:pPr>
            <w:r>
              <w:rPr>
                <w:rFonts w:ascii="Arial" w:cs="Arial" w:eastAsia="Arial" w:hAnsi="Arial"/>
                <w:sz w:val="18"/>
                <w:szCs w:val="18"/>
                <w:color w:val="auto"/>
              </w:rPr>
              <w:t>507,047</w:t>
            </w:r>
          </w:p>
        </w:tc>
        <w:tc>
          <w:tcPr>
            <w:tcW w:w="20" w:type="dxa"/>
            <w:vAlign w:val="bottom"/>
          </w:tcPr>
          <w:p>
            <w:pPr>
              <w:spacing w:after="0"/>
              <w:rPr>
                <w:sz w:val="18"/>
                <w:szCs w:val="18"/>
                <w:color w:val="auto"/>
              </w:rPr>
            </w:pPr>
          </w:p>
        </w:tc>
      </w:tr>
      <w:tr>
        <w:trPr>
          <w:trHeight w:val="431"/>
        </w:trPr>
        <w:tc>
          <w:tcPr>
            <w:tcW w:w="3980" w:type="dxa"/>
            <w:vAlign w:val="bottom"/>
          </w:tcPr>
          <w:p>
            <w:pPr>
              <w:spacing w:after="0"/>
              <w:rPr>
                <w:sz w:val="24"/>
                <w:szCs w:val="24"/>
                <w:color w:val="auto"/>
              </w:rPr>
            </w:pPr>
          </w:p>
        </w:tc>
        <w:tc>
          <w:tcPr>
            <w:tcW w:w="4140" w:type="dxa"/>
            <w:vAlign w:val="bottom"/>
          </w:tcPr>
          <w:p>
            <w:pPr>
              <w:jc w:val="right"/>
              <w:ind w:right="22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980" w:type="dxa"/>
            <w:vAlign w:val="bottom"/>
            <w:tcBorders>
              <w:bottom w:val="single" w:sz="8" w:color="EEEEEE"/>
            </w:tcBorders>
          </w:tcPr>
          <w:p>
            <w:pPr>
              <w:spacing w:after="0"/>
              <w:rPr>
                <w:sz w:val="18"/>
                <w:szCs w:val="18"/>
                <w:color w:val="auto"/>
              </w:rPr>
            </w:pPr>
          </w:p>
        </w:tc>
        <w:tc>
          <w:tcPr>
            <w:tcW w:w="41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5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835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Proceeds from sales of investment securities classified as available-for-sale were $10,125,000 and $0 for the three months ended June 30, 2021 and 2020, respectively, and were $13,116,000 and $19,629,000 for the six months ended June 30, 2021 and 2020, respectively. Gross realized losses were $3,000 and $0 for the three months ended June 30, 2021 and 2020, respectively. Gross realized gains were $45,000 and $1,069,000 for the six months ended June 30, 2021 and 2020, respectively. There were no securities pledged to secure public deposits and for other purposes at June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of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carrying amounts and fair values of the Company’s financial instruments: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ind w:left="440"/>
              <w:spacing w:after="0"/>
              <w:rPr>
                <w:sz w:val="20"/>
                <w:szCs w:val="20"/>
                <w:color w:val="auto"/>
              </w:rPr>
            </w:pPr>
            <w:r>
              <w:rPr>
                <w:rFonts w:ascii="Arial" w:cs="Arial" w:eastAsia="Arial" w:hAnsi="Arial"/>
                <w:sz w:val="18"/>
                <w:szCs w:val="18"/>
                <w:b w:val="1"/>
                <w:bCs w:val="1"/>
                <w:color w:val="auto"/>
              </w:rPr>
              <w:t>June 30, 2021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December 31, 2020</w:t>
            </w:r>
          </w:p>
        </w:tc>
      </w:tr>
      <w:tr>
        <w:trPr>
          <w:trHeight w:val="197"/>
        </w:trPr>
        <w:tc>
          <w:tcPr>
            <w:tcW w:w="6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90"/>
              <w:spacing w:after="0" w:line="197" w:lineRule="exact"/>
              <w:rPr>
                <w:sz w:val="20"/>
                <w:szCs w:val="20"/>
                <w:color w:val="auto"/>
              </w:rPr>
            </w:pPr>
            <w:r>
              <w:rPr>
                <w:rFonts w:ascii="Arial" w:cs="Arial" w:eastAsia="Arial" w:hAnsi="Arial"/>
                <w:sz w:val="18"/>
                <w:szCs w:val="18"/>
                <w:b w:val="1"/>
                <w:bCs w:val="1"/>
                <w:color w:val="auto"/>
                <w:w w:val="97"/>
              </w:rPr>
              <w:t>Carrying</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41"/>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Fair Value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r>
      <w:tr>
        <w:trPr>
          <w:trHeight w:val="215"/>
        </w:trPr>
        <w:tc>
          <w:tcPr>
            <w:tcW w:w="6760" w:type="dxa"/>
            <w:vAlign w:val="bottom"/>
            <w:shd w:val="clear" w:color="auto" w:fill="B2B2B2"/>
          </w:tcPr>
          <w:p>
            <w:pPr>
              <w:spacing w:after="0"/>
              <w:rPr>
                <w:sz w:val="20"/>
                <w:szCs w:val="20"/>
                <w:color w:val="auto"/>
              </w:rPr>
            </w:pPr>
            <w:r>
              <w:rPr>
                <w:rFonts w:ascii="Arial" w:cs="Arial" w:eastAsia="Arial" w:hAnsi="Arial"/>
                <w:sz w:val="18"/>
                <w:szCs w:val="18"/>
                <w:color w:val="auto"/>
              </w:rPr>
              <w:t>Balance sheet assets:</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621,581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621,581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670,528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670,528</w:t>
            </w:r>
          </w:p>
        </w:tc>
      </w:tr>
      <w:tr>
        <w:trPr>
          <w:trHeight w:val="215"/>
        </w:trPr>
        <w:tc>
          <w:tcPr>
            <w:tcW w:w="67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507,047</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507,047</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357,726</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357,726</w:t>
            </w:r>
          </w:p>
        </w:tc>
      </w:tr>
      <w:tr>
        <w:trPr>
          <w:trHeight w:val="215"/>
        </w:trPr>
        <w:tc>
          <w:tcPr>
            <w:tcW w:w="67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859,849</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861,911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879,732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883,461</w:t>
            </w:r>
          </w:p>
        </w:tc>
      </w:tr>
      <w:tr>
        <w:trPr>
          <w:trHeight w:val="215"/>
        </w:trPr>
        <w:tc>
          <w:tcPr>
            <w:tcW w:w="676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Accrued interest receivable</w:t>
            </w:r>
          </w:p>
        </w:tc>
        <w:tc>
          <w:tcPr>
            <w:tcW w:w="24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6,802</w:t>
            </w:r>
          </w:p>
        </w:tc>
        <w:tc>
          <w:tcPr>
            <w:tcW w:w="160" w:type="dxa"/>
            <w:vAlign w:val="bottom"/>
            <w:tcBorders>
              <w:bottom w:val="single" w:sz="8" w:color="auto"/>
            </w:tcBorders>
            <w:shd w:val="clear" w:color="auto" w:fill="B2B2B2"/>
          </w:tcPr>
          <w:p>
            <w:pPr>
              <w:spacing w:after="0"/>
              <w:rPr>
                <w:sz w:val="18"/>
                <w:szCs w:val="18"/>
                <w:color w:val="auto"/>
              </w:rPr>
            </w:pPr>
          </w:p>
        </w:tc>
        <w:tc>
          <w:tcPr>
            <w:tcW w:w="960" w:type="dxa"/>
            <w:vAlign w:val="bottom"/>
            <w:tcBorders>
              <w:bottom w:val="single" w:sz="8" w:color="auto"/>
            </w:tcBorders>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6,802</w:t>
            </w:r>
          </w:p>
        </w:tc>
        <w:tc>
          <w:tcPr>
            <w:tcW w:w="6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9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6,850</w:t>
            </w:r>
          </w:p>
        </w:tc>
        <w:tc>
          <w:tcPr>
            <w:tcW w:w="16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6,850</w:t>
            </w:r>
          </w:p>
        </w:tc>
      </w:tr>
      <w:tr>
        <w:trPr>
          <w:trHeight w:val="209"/>
        </w:trPr>
        <w:tc>
          <w:tcPr>
            <w:tcW w:w="6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1,995,279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1,997,341</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1,918,565</w:t>
            </w:r>
          </w:p>
        </w:tc>
      </w:tr>
      <w:tr>
        <w:trPr>
          <w:trHeight w:val="209"/>
        </w:trPr>
        <w:tc>
          <w:tcPr>
            <w:tcW w:w="6760" w:type="dxa"/>
            <w:vAlign w:val="bottom"/>
            <w:shd w:val="clear" w:color="auto" w:fill="B2B2B2"/>
          </w:tcPr>
          <w:p>
            <w:pPr>
              <w:spacing w:after="0"/>
              <w:rPr>
                <w:sz w:val="20"/>
                <w:szCs w:val="20"/>
                <w:color w:val="auto"/>
              </w:rPr>
            </w:pPr>
            <w:r>
              <w:rPr>
                <w:rFonts w:ascii="Arial" w:cs="Arial" w:eastAsia="Arial" w:hAnsi="Arial"/>
                <w:sz w:val="18"/>
                <w:szCs w:val="18"/>
                <w:color w:val="auto"/>
              </w:rPr>
              <w:t>Balance sheet liabilities:</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40" w:type="dxa"/>
            <w:vAlign w:val="bottom"/>
            <w:shd w:val="clear" w:color="auto" w:fill="B2B2B2"/>
          </w:tcPr>
          <w:p>
            <w:pPr>
              <w:spacing w:after="0"/>
              <w:rPr>
                <w:sz w:val="18"/>
                <w:szCs w:val="18"/>
                <w:color w:val="auto"/>
              </w:rPr>
            </w:pP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r>
      <w:tr>
        <w:trPr>
          <w:trHeight w:val="215"/>
        </w:trPr>
        <w:tc>
          <w:tcPr>
            <w:tcW w:w="67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1,015,943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1,015,943</w:t>
            </w:r>
          </w:p>
        </w:tc>
        <w:tc>
          <w:tcPr>
            <w:tcW w:w="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1,050,856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1,050,856</w:t>
            </w:r>
          </w:p>
        </w:tc>
      </w:tr>
      <w:tr>
        <w:trPr>
          <w:trHeight w:val="215"/>
        </w:trPr>
        <w:tc>
          <w:tcPr>
            <w:tcW w:w="6760" w:type="dxa"/>
            <w:vAlign w:val="bottom"/>
            <w:shd w:val="clear" w:color="auto" w:fill="B2B2B2"/>
          </w:tcPr>
          <w:p>
            <w:pPr>
              <w:ind w:left="180"/>
              <w:spacing w:after="0"/>
              <w:rPr>
                <w:sz w:val="20"/>
                <w:szCs w:val="20"/>
                <w:color w:val="auto"/>
              </w:rPr>
            </w:pPr>
            <w:r>
              <w:rPr>
                <w:rFonts w:ascii="Arial" w:cs="Arial" w:eastAsia="Arial" w:hAnsi="Arial"/>
                <w:sz w:val="18"/>
                <w:szCs w:val="18"/>
                <w:color w:val="auto"/>
              </w:rPr>
              <w:t>Accounts and drafts payable</w:t>
            </w:r>
          </w:p>
        </w:tc>
        <w:tc>
          <w:tcPr>
            <w:tcW w:w="240" w:type="dxa"/>
            <w:vAlign w:val="bottom"/>
            <w:shd w:val="clear" w:color="auto" w:fill="B2B2B2"/>
          </w:tcPr>
          <w:p>
            <w:pPr>
              <w:spacing w:after="0"/>
              <w:rPr>
                <w:sz w:val="18"/>
                <w:szCs w:val="18"/>
                <w:color w:val="auto"/>
              </w:rPr>
            </w:pPr>
          </w:p>
        </w:tc>
        <w:tc>
          <w:tcPr>
            <w:tcW w:w="9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939,570</w:t>
            </w:r>
          </w:p>
        </w:tc>
        <w:tc>
          <w:tcPr>
            <w:tcW w:w="160" w:type="dxa"/>
            <w:vAlign w:val="bottom"/>
            <w:shd w:val="clear" w:color="auto" w:fill="B2B2B2"/>
          </w:tcPr>
          <w:p>
            <w:pPr>
              <w:spacing w:after="0"/>
              <w:rPr>
                <w:sz w:val="18"/>
                <w:szCs w:val="18"/>
                <w:color w:val="auto"/>
              </w:rPr>
            </w:pPr>
          </w:p>
        </w:tc>
        <w:tc>
          <w:tcPr>
            <w:tcW w:w="960" w:type="dxa"/>
            <w:vAlign w:val="bottom"/>
            <w:gridSpan w:val="2"/>
            <w:shd w:val="clear" w:color="auto" w:fill="B2B2B2"/>
          </w:tcPr>
          <w:p>
            <w:pPr>
              <w:jc w:val="right"/>
              <w:ind w:right="40"/>
              <w:spacing w:after="0"/>
              <w:rPr>
                <w:sz w:val="20"/>
                <w:szCs w:val="20"/>
                <w:color w:val="auto"/>
              </w:rPr>
            </w:pPr>
            <w:r>
              <w:rPr>
                <w:rFonts w:ascii="Arial" w:cs="Arial" w:eastAsia="Arial" w:hAnsi="Arial"/>
                <w:sz w:val="18"/>
                <w:szCs w:val="18"/>
                <w:color w:val="auto"/>
              </w:rPr>
              <w:t>939,570</w:t>
            </w:r>
          </w:p>
        </w:tc>
        <w:tc>
          <w:tcPr>
            <w:tcW w:w="6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9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c>
          <w:tcPr>
            <w:tcW w:w="16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835,386</w:t>
            </w:r>
          </w:p>
        </w:tc>
      </w:tr>
      <w:tr>
        <w:trPr>
          <w:trHeight w:val="215"/>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Accrued interest payable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760" w:type="dxa"/>
            <w:vAlign w:val="bottom"/>
            <w:tcBorders>
              <w:bottom w:val="single" w:sz="8" w:color="auto"/>
            </w:tcBorders>
            <w:shd w:val="clear" w:color="auto" w:fill="B2B2B2"/>
          </w:tcPr>
          <w:p>
            <w:pPr>
              <w:ind w:left="36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1,955,571</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1,955,571</w:t>
            </w:r>
          </w:p>
        </w:tc>
        <w:tc>
          <w:tcPr>
            <w:tcW w:w="40" w:type="dxa"/>
            <w:vAlign w:val="bottom"/>
            <w:tcBorders>
              <w:bottom w:val="single" w:sz="8" w:color="auto"/>
            </w:tcBorders>
            <w:shd w:val="clear" w:color="auto" w:fill="B2B2B2"/>
          </w:tcPr>
          <w:p>
            <w:pPr>
              <w:spacing w:after="0"/>
              <w:rPr>
                <w:sz w:val="18"/>
                <w:szCs w:val="18"/>
                <w:color w:val="auto"/>
              </w:rPr>
            </w:pPr>
          </w:p>
        </w:tc>
        <w:tc>
          <w:tcPr>
            <w:tcW w:w="180" w:type="dxa"/>
            <w:vAlign w:val="bottom"/>
            <w:tcBorders>
              <w:bottom w:val="single" w:sz="8" w:color="auto"/>
            </w:tcBorders>
            <w:gridSpan w:val="2"/>
            <w:shd w:val="clear" w:color="auto" w:fill="B2B2B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1,886,280</w:t>
            </w:r>
          </w:p>
        </w:tc>
        <w:tc>
          <w:tcPr>
            <w:tcW w:w="16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2B2B2"/>
          </w:tcPr>
          <w:p>
            <w:pPr>
              <w:jc w:val="right"/>
              <w:spacing w:after="0" w:line="202" w:lineRule="exact"/>
              <w:rPr>
                <w:sz w:val="20"/>
                <w:szCs w:val="20"/>
                <w:color w:val="auto"/>
              </w:rPr>
            </w:pPr>
            <w:r>
              <w:rPr>
                <w:rFonts w:ascii="Arial" w:cs="Arial" w:eastAsia="Arial" w:hAnsi="Arial"/>
                <w:sz w:val="18"/>
                <w:szCs w:val="18"/>
                <w:color w:val="auto"/>
              </w:rPr>
              <w:t>1,886,280</w:t>
            </w:r>
          </w:p>
        </w:tc>
      </w:tr>
    </w:tbl>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w:t>
      </w:r>
      <w:r>
        <w:rPr>
          <w:rFonts w:ascii="Arial" w:cs="Arial" w:eastAsia="Arial" w:hAnsi="Arial"/>
          <w:sz w:val="18"/>
          <w:szCs w:val="18"/>
          <w:color w:val="auto"/>
        </w:rPr>
        <w:t>- The carrying amount approximates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financial instruments are measured using Level 3 inputs for the three months ended June 30,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as the obligation to the customer is satisfied. The following is detail of the Company’s revenue from contracts with clients.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Invoice processing fees </w:t>
      </w:r>
      <w:r>
        <w:rPr>
          <w:rFonts w:ascii="Arial" w:cs="Arial" w:eastAsia="Arial" w:hAnsi="Arial"/>
          <w:sz w:val="18"/>
          <w:szCs w:val="18"/>
          <w:color w:val="auto"/>
        </w:rPr>
        <w:t>– 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Invoice payment fees </w:t>
      </w:r>
      <w:r>
        <w:rPr>
          <w:rFonts w:ascii="Arial" w:cs="Arial" w:eastAsia="Arial" w:hAnsi="Arial"/>
          <w:sz w:val="18"/>
          <w:szCs w:val="18"/>
          <w:color w:val="auto"/>
        </w:rPr>
        <w:t>– The Company earns fees on a transaction level basis for invoice payment services when making customer payments.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the point in time when the payment transactions are made, which is when the performance obligation is satisfied. The contracts have no significant impact of variable consideration and no significant financing components.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 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20" w:type="dxa"/>
            <w:vAlign w:val="bottom"/>
          </w:tcPr>
          <w:p>
            <w:pPr>
              <w:spacing w:after="0"/>
              <w:rPr>
                <w:sz w:val="18"/>
                <w:szCs w:val="18"/>
                <w:color w:val="auto"/>
              </w:rPr>
            </w:pPr>
          </w:p>
        </w:tc>
        <w:tc>
          <w:tcPr>
            <w:tcW w:w="212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41"/>
        </w:trPr>
        <w:tc>
          <w:tcPr>
            <w:tcW w:w="6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Ended June 30,</w:t>
            </w:r>
          </w:p>
        </w:tc>
        <w:tc>
          <w:tcPr>
            <w:tcW w:w="220" w:type="dxa"/>
            <w:vAlign w:val="bottom"/>
          </w:tcPr>
          <w:p>
            <w:pPr>
              <w:spacing w:after="0"/>
              <w:rPr>
                <w:sz w:val="20"/>
                <w:szCs w:val="20"/>
                <w:color w:val="auto"/>
              </w:rPr>
            </w:pPr>
          </w:p>
        </w:tc>
        <w:tc>
          <w:tcPr>
            <w:tcW w:w="21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22"/>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B2B2B2"/>
          </w:tcPr>
          <w:p>
            <w:pPr>
              <w:spacing w:after="0"/>
              <w:rPr>
                <w:sz w:val="20"/>
                <w:szCs w:val="20"/>
                <w:color w:val="auto"/>
              </w:rPr>
            </w:pPr>
            <w:r>
              <w:rPr>
                <w:rFonts w:ascii="Arial" w:cs="Arial" w:eastAsia="Arial" w:hAnsi="Arial"/>
                <w:sz w:val="18"/>
                <w:szCs w:val="18"/>
                <w:color w:val="auto"/>
              </w:rPr>
              <w:t>Fee revenue and other income</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88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80"/>
              <w:spacing w:after="0"/>
              <w:rPr>
                <w:sz w:val="20"/>
                <w:szCs w:val="20"/>
                <w:color w:val="auto"/>
              </w:rPr>
            </w:pPr>
            <w:r>
              <w:rPr>
                <w:rFonts w:ascii="Arial" w:cs="Arial" w:eastAsia="Arial" w:hAnsi="Arial"/>
                <w:sz w:val="18"/>
                <w:szCs w:val="18"/>
                <w:i w:val="1"/>
                <w:iCs w:val="1"/>
                <w:color w:val="auto"/>
              </w:rPr>
              <w:t>In-scope of FASB ASC 606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B2B2B2"/>
          </w:tcPr>
          <w:p>
            <w:pPr>
              <w:ind w:left="360"/>
              <w:spacing w:after="0"/>
              <w:rPr>
                <w:sz w:val="20"/>
                <w:szCs w:val="20"/>
                <w:color w:val="auto"/>
              </w:rPr>
            </w:pPr>
            <w:r>
              <w:rPr>
                <w:rFonts w:ascii="Arial" w:cs="Arial" w:eastAsia="Arial" w:hAnsi="Arial"/>
                <w:sz w:val="18"/>
                <w:szCs w:val="18"/>
                <w:color w:val="auto"/>
              </w:rPr>
              <w:t>Invoice processing fees</w:t>
            </w:r>
          </w:p>
        </w:tc>
        <w:tc>
          <w:tcPr>
            <w:tcW w:w="240" w:type="dxa"/>
            <w:vAlign w:val="bottom"/>
            <w:shd w:val="clear" w:color="auto" w:fill="B2B2B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B2B2B2"/>
          </w:tcPr>
          <w:p>
            <w:pPr>
              <w:jc w:val="right"/>
              <w:ind w:right="100"/>
              <w:spacing w:after="0"/>
              <w:rPr>
                <w:sz w:val="20"/>
                <w:szCs w:val="20"/>
                <w:color w:val="auto"/>
              </w:rPr>
            </w:pPr>
            <w:r>
              <w:rPr>
                <w:rFonts w:ascii="Arial" w:cs="Arial" w:eastAsia="Arial" w:hAnsi="Arial"/>
                <w:sz w:val="18"/>
                <w:szCs w:val="18"/>
                <w:color w:val="auto"/>
              </w:rPr>
              <w:t>19,753</w:t>
            </w:r>
          </w:p>
        </w:tc>
        <w:tc>
          <w:tcPr>
            <w:tcW w:w="360" w:type="dxa"/>
            <w:vAlign w:val="bottom"/>
            <w:gridSpan w:val="2"/>
            <w:shd w:val="clear" w:color="auto" w:fill="B2B2B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2B2B2"/>
          </w:tcPr>
          <w:p>
            <w:pPr>
              <w:jc w:val="right"/>
              <w:ind w:right="220"/>
              <w:spacing w:after="0"/>
              <w:rPr>
                <w:sz w:val="20"/>
                <w:szCs w:val="20"/>
                <w:color w:val="auto"/>
              </w:rPr>
            </w:pPr>
            <w:r>
              <w:rPr>
                <w:rFonts w:ascii="Arial" w:cs="Arial" w:eastAsia="Arial" w:hAnsi="Arial"/>
                <w:sz w:val="18"/>
                <w:szCs w:val="18"/>
                <w:color w:val="auto"/>
              </w:rPr>
              <w:t>17,923</w:t>
            </w:r>
          </w:p>
        </w:tc>
        <w:tc>
          <w:tcPr>
            <w:tcW w:w="220" w:type="dxa"/>
            <w:vAlign w:val="bottom"/>
            <w:shd w:val="clear" w:color="auto" w:fill="B2B2B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38,817</w:t>
            </w:r>
          </w:p>
        </w:tc>
        <w:tc>
          <w:tcPr>
            <w:tcW w:w="32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8"/>
                <w:szCs w:val="18"/>
                <w:color w:val="auto"/>
              </w:rPr>
              <w:t>Invoice payment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12,747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shd w:val="clear" w:color="auto" w:fill="B2B2B2"/>
          </w:tcPr>
          <w:p>
            <w:pPr>
              <w:ind w:left="540"/>
              <w:spacing w:after="0"/>
              <w:rPr>
                <w:sz w:val="20"/>
                <w:szCs w:val="20"/>
                <w:color w:val="auto"/>
              </w:rPr>
            </w:pPr>
            <w:r>
              <w:rPr>
                <w:rFonts w:ascii="Arial" w:cs="Arial" w:eastAsia="Arial" w:hAnsi="Arial"/>
                <w:sz w:val="18"/>
                <w:szCs w:val="18"/>
                <w:color w:val="auto"/>
              </w:rPr>
              <w:t>Information services payment and processing revenue</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26,348</w:t>
            </w: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22,661</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51,564</w:t>
            </w:r>
          </w:p>
        </w:tc>
        <w:tc>
          <w:tcPr>
            <w:tcW w:w="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8"/>
                <w:szCs w:val="18"/>
                <w:color w:val="auto"/>
              </w:rPr>
              <w:t>Bank service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Fee revenue (in-scope of FASB ASC 606)</w:t>
            </w: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26,878</w:t>
            </w:r>
          </w:p>
        </w:tc>
        <w:tc>
          <w:tcPr>
            <w:tcW w:w="100" w:type="dxa"/>
            <w:vAlign w:val="bottom"/>
            <w:shd w:val="clear" w:color="auto" w:fill="B2B2B2"/>
          </w:tcPr>
          <w:p>
            <w:pPr>
              <w:spacing w:after="0"/>
              <w:rPr>
                <w:sz w:val="18"/>
                <w:szCs w:val="18"/>
                <w:color w:val="auto"/>
              </w:rPr>
            </w:pPr>
          </w:p>
        </w:tc>
        <w:tc>
          <w:tcPr>
            <w:tcW w:w="120" w:type="dxa"/>
            <w:vAlign w:val="bottom"/>
            <w:shd w:val="clear" w:color="auto" w:fill="B2B2B2"/>
          </w:tcPr>
          <w:p>
            <w:pPr>
              <w:spacing w:after="0"/>
              <w:rPr>
                <w:sz w:val="18"/>
                <w:szCs w:val="18"/>
                <w:color w:val="auto"/>
              </w:rPr>
            </w:pPr>
          </w:p>
        </w:tc>
        <w:tc>
          <w:tcPr>
            <w:tcW w:w="240" w:type="dxa"/>
            <w:vAlign w:val="bottom"/>
            <w:shd w:val="clear" w:color="auto" w:fill="B2B2B2"/>
          </w:tcPr>
          <w:p>
            <w:pPr>
              <w:spacing w:after="0"/>
              <w:rPr>
                <w:sz w:val="18"/>
                <w:szCs w:val="18"/>
                <w:color w:val="auto"/>
              </w:rPr>
            </w:pPr>
          </w:p>
        </w:tc>
        <w:tc>
          <w:tcPr>
            <w:tcW w:w="9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23,059</w:t>
            </w:r>
          </w:p>
        </w:tc>
        <w:tc>
          <w:tcPr>
            <w:tcW w:w="22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1000" w:type="dxa"/>
            <w:vAlign w:val="bottom"/>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52,588</w:t>
            </w:r>
          </w:p>
        </w:tc>
        <w:tc>
          <w:tcPr>
            <w:tcW w:w="1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48,972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180"/>
              <w:spacing w:after="0"/>
              <w:rPr>
                <w:sz w:val="20"/>
                <w:szCs w:val="20"/>
                <w:color w:val="auto"/>
              </w:rPr>
            </w:pPr>
            <w:r>
              <w:rPr>
                <w:rFonts w:ascii="Arial" w:cs="Arial" w:eastAsia="Arial" w:hAnsi="Arial"/>
                <w:sz w:val="18"/>
                <w:szCs w:val="18"/>
                <w:color w:val="auto"/>
              </w:rPr>
              <w:t>Other income (out-of-scope of FASB ASC 606)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tcBorders>
              <w:bottom w:val="single" w:sz="8" w:color="auto"/>
            </w:tcBorders>
            <w:shd w:val="clear" w:color="auto" w:fill="B2B2B2"/>
          </w:tcPr>
          <w:p>
            <w:pPr>
              <w:ind w:left="540"/>
              <w:spacing w:after="0"/>
              <w:rPr>
                <w:sz w:val="20"/>
                <w:szCs w:val="20"/>
                <w:color w:val="auto"/>
              </w:rPr>
            </w:pPr>
            <w:r>
              <w:rPr>
                <w:rFonts w:ascii="Arial" w:cs="Arial" w:eastAsia="Arial" w:hAnsi="Arial"/>
                <w:sz w:val="18"/>
                <w:szCs w:val="18"/>
                <w:color w:val="auto"/>
              </w:rPr>
              <w:t>Total fee revenue and other income</w:t>
            </w: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26,987</w:t>
            </w:r>
          </w:p>
        </w:tc>
        <w:tc>
          <w:tcPr>
            <w:tcW w:w="100" w:type="dxa"/>
            <w:vAlign w:val="bottom"/>
            <w:tcBorders>
              <w:bottom w:val="single" w:sz="8" w:color="auto"/>
            </w:tcBorders>
            <w:shd w:val="clear" w:color="auto" w:fill="B2B2B2"/>
          </w:tcPr>
          <w:p>
            <w:pPr>
              <w:spacing w:after="0"/>
              <w:rPr>
                <w:sz w:val="18"/>
                <w:szCs w:val="18"/>
                <w:color w:val="auto"/>
              </w:rPr>
            </w:pPr>
          </w:p>
        </w:tc>
        <w:tc>
          <w:tcPr>
            <w:tcW w:w="120" w:type="dxa"/>
            <w:vAlign w:val="bottom"/>
            <w:tcBorders>
              <w:bottom w:val="single" w:sz="8" w:color="auto"/>
            </w:tcBorders>
            <w:shd w:val="clear" w:color="auto" w:fill="B2B2B2"/>
          </w:tcPr>
          <w:p>
            <w:pPr>
              <w:spacing w:after="0"/>
              <w:rPr>
                <w:sz w:val="18"/>
                <w:szCs w:val="18"/>
                <w:color w:val="auto"/>
              </w:rPr>
            </w:pPr>
          </w:p>
        </w:tc>
        <w:tc>
          <w:tcPr>
            <w:tcW w:w="240" w:type="dxa"/>
            <w:vAlign w:val="bottom"/>
            <w:tcBorders>
              <w:bottom w:val="single" w:sz="8" w:color="auto"/>
            </w:tcBorders>
            <w:shd w:val="clear" w:color="auto" w:fill="B2B2B2"/>
          </w:tcPr>
          <w:p>
            <w:pPr>
              <w:spacing w:after="0"/>
              <w:rPr>
                <w:sz w:val="18"/>
                <w:szCs w:val="18"/>
                <w:color w:val="auto"/>
              </w:rPr>
            </w:pPr>
          </w:p>
        </w:tc>
        <w:tc>
          <w:tcPr>
            <w:tcW w:w="9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23,174</w:t>
            </w:r>
          </w:p>
        </w:tc>
        <w:tc>
          <w:tcPr>
            <w:tcW w:w="22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gridSpan w:val="2"/>
            <w:shd w:val="clear" w:color="auto" w:fill="B2B2B2"/>
          </w:tcPr>
          <w:p>
            <w:pPr>
              <w:jc w:val="right"/>
              <w:ind w:right="120"/>
              <w:spacing w:after="0"/>
              <w:rPr>
                <w:sz w:val="20"/>
                <w:szCs w:val="20"/>
                <w:color w:val="auto"/>
              </w:rPr>
            </w:pPr>
            <w:r>
              <w:rPr>
                <w:rFonts w:ascii="Arial" w:cs="Arial" w:eastAsia="Arial" w:hAnsi="Arial"/>
                <w:sz w:val="18"/>
                <w:szCs w:val="18"/>
                <w:color w:val="auto"/>
              </w:rPr>
              <w:t>53,162</w:t>
            </w:r>
          </w:p>
        </w:tc>
        <w:tc>
          <w:tcPr>
            <w:tcW w:w="100" w:type="dxa"/>
            <w:vAlign w:val="bottom"/>
            <w:tcBorders>
              <w:bottom w:val="single" w:sz="8" w:color="auto"/>
            </w:tcBorders>
            <w:shd w:val="clear" w:color="auto" w:fill="B2B2B2"/>
          </w:tcPr>
          <w:p>
            <w:pPr>
              <w:spacing w:after="0"/>
              <w:rPr>
                <w:sz w:val="18"/>
                <w:szCs w:val="18"/>
                <w:color w:val="auto"/>
              </w:rPr>
            </w:pPr>
          </w:p>
        </w:tc>
        <w:tc>
          <w:tcPr>
            <w:tcW w:w="220" w:type="dxa"/>
            <w:vAlign w:val="bottom"/>
            <w:tcBorders>
              <w:bottom w:val="single" w:sz="8" w:color="auto"/>
            </w:tcBorders>
            <w:shd w:val="clear" w:color="auto" w:fill="B2B2B2"/>
          </w:tcPr>
          <w:p>
            <w:pPr>
              <w:spacing w:after="0"/>
              <w:rPr>
                <w:sz w:val="18"/>
                <w:szCs w:val="18"/>
                <w:color w:val="auto"/>
              </w:rPr>
            </w:pPr>
          </w:p>
        </w:tc>
        <w:tc>
          <w:tcPr>
            <w:tcW w:w="7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8"/>
                <w:szCs w:val="18"/>
                <w:color w:val="auto"/>
              </w:rPr>
              <w:t>50,269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leases certain premises under operating leases. As of June 30, 2021, the Company had lease liabilities of $5,429,000 and right-of-use assets of $4,912,000. Lease liabilities and right-of-use assets are reflected in other liabilities and other assets, respectively. Presented within occupancy expense on the Consolidated Statements of Income for the three months ended June 30, 2021, operating lease cost was $415,000, short-term lease cost was $61,000, and there was no variable lease cost. For the six months ended June 30, 2021, operating lease cost was $835,000, short-term lease cost was $91,000, and there was no variable lease cost. At June 30, 2021, the weighted average remaining lease term for the operating leases was 6.1 years and the weighted average discount rate used in the measurement of operating lease liabilities was 5.5%. Certain of the Company’s leases contain options to renew the lease; however, these renewal options are not included in the calculation of the lease liabilities as they are not reasonably certain to be exercised. There has been no significant changes in the Company’s expected future minimum lease payments since December 31, 2020. See the Company’s 2020 Annual Report on Form 10-K for information regarding these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maturity analysis of operating lease liabilities and undiscounted cash flows as of June 30, 2021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5"/>
        </w:trPr>
        <w:tc>
          <w:tcPr>
            <w:tcW w:w="4000" w:type="dxa"/>
            <w:vAlign w:val="bottom"/>
            <w:shd w:val="clear" w:color="auto" w:fill="B2B2B2"/>
          </w:tcPr>
          <w:p>
            <w:pPr>
              <w:spacing w:after="0"/>
              <w:rPr>
                <w:sz w:val="20"/>
                <w:szCs w:val="20"/>
                <w:color w:val="auto"/>
              </w:rPr>
            </w:pPr>
            <w:r>
              <w:rPr>
                <w:rFonts w:ascii="Arial" w:cs="Arial" w:eastAsia="Arial" w:hAnsi="Arial"/>
                <w:sz w:val="18"/>
                <w:szCs w:val="18"/>
                <w:color w:val="auto"/>
              </w:rPr>
              <w:t>Lease payments due</w:t>
            </w:r>
          </w:p>
        </w:tc>
        <w:tc>
          <w:tcPr>
            <w:tcW w:w="586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00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5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8"/>
                <w:szCs w:val="18"/>
                <w:color w:val="auto"/>
              </w:rPr>
            </w:pPr>
          </w:p>
        </w:tc>
      </w:tr>
      <w:tr>
        <w:trPr>
          <w:trHeight w:val="215"/>
        </w:trPr>
        <w:tc>
          <w:tcPr>
            <w:tcW w:w="40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1-2 years</w:t>
            </w:r>
          </w:p>
        </w:tc>
        <w:tc>
          <w:tcPr>
            <w:tcW w:w="586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8"/>
                <w:szCs w:val="18"/>
                <w:color w:val="auto"/>
              </w:rPr>
            </w:pPr>
          </w:p>
        </w:tc>
      </w:tr>
      <w:tr>
        <w:trPr>
          <w:trHeight w:val="215"/>
        </w:trPr>
        <w:tc>
          <w:tcPr>
            <w:tcW w:w="4000" w:type="dxa"/>
            <w:vAlign w:val="bottom"/>
          </w:tcPr>
          <w:p>
            <w:pPr>
              <w:ind w:left="180"/>
              <w:spacing w:after="0"/>
              <w:rPr>
                <w:sz w:val="20"/>
                <w:szCs w:val="20"/>
                <w:color w:val="auto"/>
              </w:rPr>
            </w:pPr>
            <w:r>
              <w:rPr>
                <w:rFonts w:ascii="Arial" w:cs="Arial" w:eastAsia="Arial" w:hAnsi="Arial"/>
                <w:sz w:val="18"/>
                <w:szCs w:val="18"/>
                <w:color w:val="auto"/>
              </w:rPr>
              <w:t>2-3 years</w:t>
            </w:r>
          </w:p>
        </w:tc>
        <w:tc>
          <w:tcPr>
            <w:tcW w:w="5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r>
      <w:tr>
        <w:trPr>
          <w:trHeight w:val="215"/>
        </w:trPr>
        <w:tc>
          <w:tcPr>
            <w:tcW w:w="4000" w:type="dxa"/>
            <w:vAlign w:val="bottom"/>
            <w:shd w:val="clear" w:color="auto" w:fill="B2B2B2"/>
          </w:tcPr>
          <w:p>
            <w:pPr>
              <w:ind w:left="180"/>
              <w:spacing w:after="0"/>
              <w:rPr>
                <w:sz w:val="20"/>
                <w:szCs w:val="20"/>
                <w:color w:val="auto"/>
              </w:rPr>
            </w:pPr>
            <w:r>
              <w:rPr>
                <w:rFonts w:ascii="Arial" w:cs="Arial" w:eastAsia="Arial" w:hAnsi="Arial"/>
                <w:sz w:val="18"/>
                <w:szCs w:val="18"/>
                <w:color w:val="auto"/>
              </w:rPr>
              <w:t>3-4 years</w:t>
            </w:r>
          </w:p>
        </w:tc>
        <w:tc>
          <w:tcPr>
            <w:tcW w:w="5860" w:type="dxa"/>
            <w:vAlign w:val="bottom"/>
            <w:shd w:val="clear" w:color="auto" w:fill="B2B2B2"/>
          </w:tcPr>
          <w:p>
            <w:pPr>
              <w:spacing w:after="0"/>
              <w:rPr>
                <w:sz w:val="18"/>
                <w:szCs w:val="18"/>
                <w:color w:val="auto"/>
              </w:rPr>
            </w:pPr>
          </w:p>
        </w:tc>
        <w:tc>
          <w:tcPr>
            <w:tcW w:w="1380" w:type="dxa"/>
            <w:vAlign w:val="bottom"/>
            <w:tcBorders>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5"/>
        </w:trPr>
        <w:tc>
          <w:tcPr>
            <w:tcW w:w="4000" w:type="dxa"/>
            <w:vAlign w:val="bottom"/>
          </w:tcPr>
          <w:p>
            <w:pPr>
              <w:ind w:left="180"/>
              <w:spacing w:after="0"/>
              <w:rPr>
                <w:sz w:val="20"/>
                <w:szCs w:val="20"/>
                <w:color w:val="auto"/>
              </w:rPr>
            </w:pPr>
            <w:r>
              <w:rPr>
                <w:rFonts w:ascii="Arial" w:cs="Arial" w:eastAsia="Arial" w:hAnsi="Arial"/>
                <w:sz w:val="18"/>
                <w:szCs w:val="18"/>
                <w:color w:val="auto"/>
              </w:rPr>
              <w:t>4-5 years</w:t>
            </w:r>
          </w:p>
        </w:tc>
        <w:tc>
          <w:tcPr>
            <w:tcW w:w="5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r>
      <w:tr>
        <w:trPr>
          <w:trHeight w:val="215"/>
        </w:trPr>
        <w:tc>
          <w:tcPr>
            <w:tcW w:w="4000" w:type="dxa"/>
            <w:vAlign w:val="bottom"/>
            <w:tcBorders>
              <w:bottom w:val="single" w:sz="8" w:color="auto"/>
            </w:tcBorders>
            <w:shd w:val="clear" w:color="auto" w:fill="B2B2B2"/>
          </w:tcPr>
          <w:p>
            <w:pPr>
              <w:ind w:left="180"/>
              <w:spacing w:after="0"/>
              <w:rPr>
                <w:sz w:val="20"/>
                <w:szCs w:val="20"/>
                <w:color w:val="auto"/>
              </w:rPr>
            </w:pPr>
            <w:r>
              <w:rPr>
                <w:rFonts w:ascii="Arial" w:cs="Arial" w:eastAsia="Arial" w:hAnsi="Arial"/>
                <w:sz w:val="18"/>
                <w:szCs w:val="18"/>
                <w:color w:val="auto"/>
              </w:rPr>
              <w:t>Over 5 years</w:t>
            </w:r>
          </w:p>
        </w:tc>
        <w:tc>
          <w:tcPr>
            <w:tcW w:w="586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8"/>
                <w:szCs w:val="18"/>
                <w:color w:val="auto"/>
              </w:rPr>
            </w:pPr>
          </w:p>
        </w:tc>
      </w:tr>
      <w:tr>
        <w:trPr>
          <w:trHeight w:val="209"/>
        </w:trPr>
        <w:tc>
          <w:tcPr>
            <w:tcW w:w="400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58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6,366</w:t>
            </w:r>
          </w:p>
        </w:tc>
        <w:tc>
          <w:tcPr>
            <w:tcW w:w="20" w:type="dxa"/>
            <w:vAlign w:val="bottom"/>
          </w:tcPr>
          <w:p>
            <w:pPr>
              <w:spacing w:after="0"/>
              <w:rPr>
                <w:sz w:val="18"/>
                <w:szCs w:val="18"/>
                <w:color w:val="auto"/>
              </w:rPr>
            </w:pPr>
          </w:p>
        </w:tc>
      </w:tr>
      <w:tr>
        <w:trPr>
          <w:trHeight w:val="215"/>
        </w:trPr>
        <w:tc>
          <w:tcPr>
            <w:tcW w:w="4000" w:type="dxa"/>
            <w:vAlign w:val="bottom"/>
            <w:tcBorders>
              <w:bottom w:val="single" w:sz="8" w:color="auto"/>
            </w:tcBorders>
            <w:shd w:val="clear" w:color="auto" w:fill="B2B2B2"/>
          </w:tcPr>
          <w:p>
            <w:pPr>
              <w:spacing w:after="0"/>
              <w:rPr>
                <w:sz w:val="20"/>
                <w:szCs w:val="20"/>
                <w:color w:val="auto"/>
              </w:rPr>
            </w:pPr>
            <w:r>
              <w:rPr>
                <w:rFonts w:ascii="Arial" w:cs="Arial" w:eastAsia="Arial" w:hAnsi="Arial"/>
                <w:sz w:val="18"/>
                <w:szCs w:val="18"/>
                <w:color w:val="auto"/>
              </w:rPr>
              <w:t>Discount on cash flows</w:t>
            </w:r>
          </w:p>
        </w:tc>
        <w:tc>
          <w:tcPr>
            <w:tcW w:w="5860" w:type="dxa"/>
            <w:vAlign w:val="bottom"/>
            <w:tcBorders>
              <w:bottom w:val="single" w:sz="8" w:color="auto"/>
            </w:tcBorders>
            <w:shd w:val="clear" w:color="auto" w:fill="B2B2B2"/>
          </w:tcPr>
          <w:p>
            <w:pPr>
              <w:spacing w:after="0"/>
              <w:rPr>
                <w:sz w:val="18"/>
                <w:szCs w:val="18"/>
                <w:color w:val="auto"/>
              </w:rPr>
            </w:pPr>
          </w:p>
        </w:tc>
        <w:tc>
          <w:tcPr>
            <w:tcW w:w="1380" w:type="dxa"/>
            <w:vAlign w:val="bottom"/>
            <w:tcBorders>
              <w:bottom w:val="single" w:sz="8" w:color="auto"/>
              <w:right w:val="single" w:sz="8" w:color="B2B2B2"/>
            </w:tcBorders>
            <w:shd w:val="clear" w:color="auto" w:fill="B2B2B2"/>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r>
      <w:tr>
        <w:trPr>
          <w:trHeight w:val="216"/>
        </w:trPr>
        <w:tc>
          <w:tcPr>
            <w:tcW w:w="4000" w:type="dxa"/>
            <w:vAlign w:val="bottom"/>
            <w:tcBorders>
              <w:bottom w:val="single" w:sz="8" w:color="auto"/>
            </w:tcBorders>
          </w:tcPr>
          <w:p>
            <w:pPr>
              <w:ind w:left="360"/>
              <w:spacing w:after="0" w:line="195" w:lineRule="exact"/>
              <w:rPr>
                <w:sz w:val="20"/>
                <w:szCs w:val="20"/>
                <w:color w:val="auto"/>
              </w:rPr>
            </w:pPr>
            <w:r>
              <w:rPr>
                <w:rFonts w:ascii="Arial" w:cs="Arial" w:eastAsia="Arial" w:hAnsi="Arial"/>
                <w:sz w:val="18"/>
                <w:szCs w:val="18"/>
                <w:color w:val="auto"/>
              </w:rPr>
              <w:t>Total lease liability</w:t>
            </w:r>
          </w:p>
        </w:tc>
        <w:tc>
          <w:tcPr>
            <w:tcW w:w="586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5,429</w:t>
            </w:r>
          </w:p>
        </w:tc>
        <w:tc>
          <w:tcPr>
            <w:tcW w:w="20" w:type="dxa"/>
            <w:vAlign w:val="bottom"/>
          </w:tcPr>
          <w:p>
            <w:pPr>
              <w:spacing w:after="0"/>
              <w:rPr>
                <w:sz w:val="18"/>
                <w:szCs w:val="18"/>
                <w:color w:val="auto"/>
              </w:rPr>
            </w:pPr>
          </w:p>
        </w:tc>
      </w:tr>
      <w:tr>
        <w:trPr>
          <w:trHeight w:val="431"/>
        </w:trPr>
        <w:tc>
          <w:tcPr>
            <w:tcW w:w="4000" w:type="dxa"/>
            <w:vAlign w:val="bottom"/>
          </w:tcPr>
          <w:p>
            <w:pPr>
              <w:spacing w:after="0"/>
              <w:rPr>
                <w:sz w:val="24"/>
                <w:szCs w:val="24"/>
                <w:color w:val="auto"/>
              </w:rPr>
            </w:pPr>
          </w:p>
        </w:tc>
        <w:tc>
          <w:tcPr>
            <w:tcW w:w="5860" w:type="dxa"/>
            <w:vAlign w:val="bottom"/>
          </w:tcPr>
          <w:p>
            <w:pPr>
              <w:jc w:val="right"/>
              <w:ind w:right="3990"/>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000" w:type="dxa"/>
            <w:vAlign w:val="bottom"/>
            <w:tcBorders>
              <w:bottom w:val="single" w:sz="8" w:color="EEEEEE"/>
            </w:tcBorders>
          </w:tcPr>
          <w:p>
            <w:pPr>
              <w:spacing w:after="0"/>
              <w:rPr>
                <w:sz w:val="18"/>
                <w:szCs w:val="18"/>
                <w:color w:val="auto"/>
              </w:rPr>
            </w:pPr>
          </w:p>
        </w:tc>
        <w:tc>
          <w:tcPr>
            <w:tcW w:w="5860" w:type="dxa"/>
            <w:vAlign w:val="bottom"/>
            <w:tcBorders>
              <w:bottom w:val="single" w:sz="8" w:color="EEEEEE"/>
            </w:tcBorders>
          </w:tcPr>
          <w:p>
            <w:pPr>
              <w:spacing w:after="0"/>
              <w:rPr>
                <w:sz w:val="18"/>
                <w:szCs w:val="18"/>
                <w:color w:val="auto"/>
              </w:rPr>
            </w:pPr>
          </w:p>
        </w:tc>
        <w:tc>
          <w:tcPr>
            <w:tcW w:w="13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835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six months ended June 30, 2021. At June 30, 2021, the Company had one lease that had not yet commenced, creating approximately $200,000 of additional lease liabilities and right-of-use assets for the Company. This lease will commence in July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Note 15 – Subsequent Events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June 30, 2021. There were no events identified that would require additional disclosures to prevent the Company’s unaudited consolidated financial statements from being misleading.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835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5969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Company’s Business</w:t>
      </w:r>
    </w:p>
    <w:p>
      <w:pPr>
        <w:spacing w:after="0" w:line="22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2020 and six months ended June 30, 2021, the effects of COVID-19 and related actions to attempt to control its spread significantly impacted the global economy and adversely affected the Company’s operating results in both the Information Services and Banking Services segments.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spread of COVID-19 to the U.S. in the first quarter of 2020, many state and local governments recommended or mandated limitations on crowd size, closures of businesses and shelter-in-place orders in order to slow the transmission. The extent and nature of government actions varied during fiscal year 2020 and the first half of 2021 based upon the then-current extent and severity of the COVID-19 pandemic within the respective localities. Severe business disruptions, resulting constrictions in the manufacturing sector for most of the year, decreased oil demand and prices and general economic uncertainty, significantly and adversely impacted the Company’s customers’ business operations and had a corresponding negative affect on the Company’s revenue generation in each sector of the Company’s Information Services segment.</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Reserve also took action to lower the Federal Funds rate in connection with COVID-19 relief, adversely affecting the Company’s net interest income and operating results tied to Banking Services. The Federal Reserve has indicated that it will retain the current low level interest rates until the economy has stabilized.</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Bank regulatory agencies and various governmental authorities are urging financial institutions to work prudently with borrowers who are or may be unable to meet their contractual payment obligations because of the effects of COVID-19. Accordingly, and in coordination with its primary regulators, the Company deferred borrower principal payments on loans during 2020, on an as needed basis, for periods of up to six months. There were no borrowers remaining on deferred terms at June 30, 2021.</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COVID-19, the CARES Act was adopted on March 27, 2020. The CARES Act provided for an estimated $2.2 trillion to fight the COVID-19 pandemic and stimulate the economy by supporting individuals and businesses through loans, grants, tax changes, and other types of relief. Among other things, the CARES Act established the Paycheck Protection Program (“PPP”), which allowed entities to apply for low-interest private loans to fund payroll and other costs which, subject to certain conditions and qualifications, are partially or fully forgivable. In support of the CARES Act, the Bank processed nearly 350 applications for PPP loans of approximately $170,000,000 during the year ended December 31, 2020 and an additional 110 applications for approximately $40,000,000 during the six months ended June 30, 2021 to provide much-needed cash to small business and self-employed taxpayers during the COVID-19 crisis. The loans were primarily made to existing bank customers and are 100% guaranteed by the SBA.</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remains committed to creating a safe and healthy environment for employees while offering assurance that it remains a financially strong service provider possessing the resources necessary to weather this pandemic in support of its valued customers.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fiscal 2020, vaccines for combatting COVID-19 were approved by health agencies and have been administered throughout the country. The timeline of full administration of the COVID-19 vaccines is uncertain and fluctuating, however has resulted in a significant amount of previous business and other restrictions being lifted. The ongoing impact of COVID-19, including the impact of restrictions imposed to combat its spread, could result in additional and prolonged business closures, work restrictions and activity restrictions. Given these and other uncertainties discussed throughout this report, the Company remains subject to heightened risk, and the aggregate impact that COVID-19 could have on the Company’s financial condition and operating results is presently unknown.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COVID-19, refer to Note 1 “Basis of Presentation.”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2020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Company performs periodic and systematic detailed reviews of its loan portfolio to determine management’s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paragraphs more fully discuss the results of operations and changes in financial condition for the three-month period ended June 30, 2021 (“Second Quarter of 2021”) compared to the three-month period ended June 30, 2020 (“Second Quarter of 2020”) and the six-month period ended June 30, 2021 (“First Half of 2021”) compared to the six-month period ended June 30, 2020 (“First Half of 2020”). The following discussion and analysis should be read in conjunction with the unaudited consolidated financial statements and related notes and with the statistical information and financial data appearing in this report, as well as in the Company’s 2020 Annual Report on Form 10-K. Results of operations for the Second Quarter and First Half of 2021 are not necessarily indicative of the results to be attained for any other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results</w:t>
      </w:r>
      <w:r>
        <w:rPr>
          <w:rFonts w:ascii="Arial" w:cs="Arial" w:eastAsia="Arial" w:hAnsi="Arial"/>
          <w:sz w:val="14"/>
          <w:szCs w:val="14"/>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Second Quarter of</w:t>
            </w:r>
          </w:p>
        </w:tc>
        <w:tc>
          <w:tcPr>
            <w:tcW w:w="9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9"/>
              </w:rPr>
              <w:t>First Half of</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 thousands except </w:t>
            </w:r>
            <w:r>
              <w:rPr>
                <w:rFonts w:ascii="Arial" w:cs="Arial" w:eastAsia="Arial" w:hAnsi="Arial"/>
                <w:sz w:val="17"/>
                <w:szCs w:val="17"/>
                <w:b w:val="1"/>
                <w:bCs w:val="1"/>
                <w:i w:val="1"/>
                <w:iCs w:val="1"/>
                <w:color w:val="auto"/>
              </w:rPr>
              <w:t>per</w:t>
            </w:r>
            <w:r>
              <w:rPr>
                <w:rFonts w:ascii="Arial" w:cs="Arial" w:eastAsia="Arial" w:hAnsi="Arial"/>
                <w:sz w:val="18"/>
                <w:szCs w:val="18"/>
                <w:b w:val="1"/>
                <w:bCs w:val="1"/>
                <w:i w:val="1"/>
                <w:iCs w:val="1"/>
                <w:color w:val="auto"/>
              </w:rPr>
              <w:t xml:space="preserve"> share data)</w:t>
            </w: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7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Change</w:t>
            </w:r>
          </w:p>
        </w:tc>
      </w:tr>
      <w:tr>
        <w:trPr>
          <w:trHeight w:val="195"/>
        </w:trPr>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rPr>
              <w:t>7,026</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5,439</w:t>
            </w:r>
          </w:p>
        </w:tc>
        <w:tc>
          <w:tcPr>
            <w:tcW w:w="128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rPr>
              <w:t>29.2%</w:t>
            </w: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14,097</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12,984</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6"/>
                <w:szCs w:val="16"/>
                <w:color w:val="auto"/>
              </w:rPr>
            </w:pP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29.7%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5"/>
        </w:trPr>
        <w:tc>
          <w:tcPr>
            <w:tcW w:w="360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7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on average equity</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9.04%</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Arial" w:cs="Arial" w:eastAsia="Arial" w:hAnsi="Arial"/>
          <w:sz w:val="12"/>
          <w:szCs w:val="12"/>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Second Quarter of</w:t>
            </w: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First Half of</w:t>
            </w: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3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Change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Change</w:t>
            </w:r>
          </w:p>
        </w:tc>
      </w:tr>
      <w:tr>
        <w:trPr>
          <w:trHeight w:val="195"/>
        </w:trPr>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Transportation invoice volume</w:t>
            </w: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9,461</w:t>
            </w: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7,294</w:t>
            </w:r>
          </w:p>
        </w:tc>
        <w:tc>
          <w:tcPr>
            <w:tcW w:w="980" w:type="dxa"/>
            <w:vAlign w:val="bottom"/>
            <w:tcBorders>
              <w:top w:val="single" w:sz="8" w:color="auto"/>
            </w:tcBorders>
            <w:gridSpan w:val="2"/>
          </w:tcPr>
          <w:p>
            <w:pPr>
              <w:jc w:val="right"/>
              <w:ind w:right="180"/>
              <w:spacing w:after="0" w:line="195" w:lineRule="exact"/>
              <w:rPr>
                <w:sz w:val="20"/>
                <w:szCs w:val="20"/>
                <w:color w:val="auto"/>
              </w:rPr>
            </w:pPr>
            <w:r>
              <w:rPr>
                <w:rFonts w:ascii="Arial" w:cs="Arial" w:eastAsia="Arial" w:hAnsi="Arial"/>
                <w:sz w:val="18"/>
                <w:szCs w:val="18"/>
                <w:color w:val="auto"/>
              </w:rPr>
              <w:t>29.7%</w:t>
            </w: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18,248</w:t>
            </w:r>
          </w:p>
        </w:tc>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15,574</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17.2%</w:t>
            </w:r>
          </w:p>
        </w:tc>
        <w:tc>
          <w:tcPr>
            <w:tcW w:w="20" w:type="dxa"/>
            <w:vAlign w:val="bottom"/>
          </w:tcPr>
          <w:p>
            <w:pPr>
              <w:spacing w:after="0"/>
              <w:rPr>
                <w:sz w:val="16"/>
                <w:szCs w:val="16"/>
                <w:color w:val="auto"/>
              </w:rPr>
            </w:pPr>
          </w:p>
        </w:tc>
      </w:t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Transportation invoice dollar volume</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8,940,889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5,697,627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16,845,528</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12,164,678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Facility-related transaction volume*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6,827</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13,823</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Facility-related dollar volume*</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3,657,965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3,064,038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7,375,393</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6,522,684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Payment and processing revenue</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26,348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22,661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51,564</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48,164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color w:val="auto"/>
        </w:rPr>
        <w:t>*Includes energy, telecom and environmental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2021 compared to Second Quarter of 2020:</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Payment and processing fee revenue increased 16%. Transportation volumes for invoices and dollars increased 30% and 57%, respectively. The increases were driven by the stronger performance of the manufacturing sector in addition to new customer wins. A factor contributing to the dramatic increase in dollar volume was scarcity in carrier supply, which drove prices higher. Facility-related invoice and dollar volume increased 2% and 19%, respectively, with the increases attributable, in part, to new business wins in the telecom division. Dollar volumes also improved due to significantly fewer pandemic-related restrictions in the restaurant, retail and hospitality sectors, creating higher utility usage.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2021 compared to First Half of 2020:</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Payment and processing revenue increased 7% for the same reasons as the Second Quarter. Transportation invoice and dollar volumes, as well as expense management transaction and dollar volumes, fluctuated for the same reasons as the Second Quarter.</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Second Quarter of</w:t>
            </w: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First Half of</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3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Change</w:t>
            </w:r>
          </w:p>
        </w:tc>
      </w:tr>
      <w:tr>
        <w:trPr>
          <w:trHeight w:val="195"/>
        </w:trPr>
        <w:tc>
          <w:tcPr>
            <w:tcW w:w="3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Average earnings assets</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$1,968,646</w:t>
            </w:r>
          </w:p>
        </w:tc>
        <w:tc>
          <w:tcPr>
            <w:tcW w:w="164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$1,624,415</w:t>
            </w:r>
          </w:p>
        </w:tc>
        <w:tc>
          <w:tcPr>
            <w:tcW w:w="126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rPr>
              <w:t>21.2%</w:t>
            </w:r>
          </w:p>
        </w:tc>
        <w:tc>
          <w:tcPr>
            <w:tcW w:w="11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$1,930,234</w:t>
            </w:r>
          </w:p>
        </w:tc>
        <w:tc>
          <w:tcPr>
            <w:tcW w:w="14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$1,556,144</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24.0%</w:t>
            </w:r>
          </w:p>
        </w:tc>
        <w:tc>
          <w:tcPr>
            <w:tcW w:w="20" w:type="dxa"/>
            <w:vAlign w:val="bottom"/>
          </w:tcPr>
          <w:p>
            <w:pPr>
              <w:spacing w:after="0"/>
              <w:rPr>
                <w:sz w:val="16"/>
                <w:szCs w:val="16"/>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8"/>
                <w:szCs w:val="18"/>
                <w:color w:val="auto"/>
              </w:rPr>
              <w:t>Average interest-bearing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596,744</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478,370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24.7%</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574,947</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443,873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11,298</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11,635</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22,105</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23,492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20" w:type="dxa"/>
            <w:vAlign w:val="bottom"/>
          </w:tcPr>
          <w:p>
            <w:pPr>
              <w:spacing w:after="0" w:line="201" w:lineRule="exact"/>
              <w:rPr>
                <w:sz w:val="20"/>
                <w:szCs w:val="20"/>
                <w:color w:val="auto"/>
              </w:rPr>
            </w:pPr>
            <w:r>
              <w:rPr>
                <w:rFonts w:ascii="Arial" w:cs="Arial" w:eastAsia="Arial" w:hAnsi="Arial"/>
                <w:sz w:val="18"/>
                <w:szCs w:val="18"/>
                <w:color w:val="auto"/>
              </w:rPr>
              <w:t>Net interest margin</w:t>
            </w:r>
            <w:r>
              <w:rPr>
                <w:rFonts w:ascii="Arial" w:cs="Arial" w:eastAsia="Arial" w:hAnsi="Arial"/>
                <w:sz w:val="14"/>
                <w:szCs w:val="14"/>
                <w:color w:val="auto"/>
              </w:rPr>
              <w:t>*</w:t>
            </w:r>
          </w:p>
        </w:tc>
        <w:tc>
          <w:tcPr>
            <w:tcW w:w="190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2.30%</w:t>
            </w:r>
          </w:p>
        </w:tc>
        <w:tc>
          <w:tcPr>
            <w:tcW w:w="1980" w:type="dxa"/>
            <w:vAlign w:val="bottom"/>
          </w:tcPr>
          <w:p>
            <w:pPr>
              <w:jc w:val="right"/>
              <w:ind w:right="970"/>
              <w:spacing w:after="0" w:line="201" w:lineRule="exact"/>
              <w:rPr>
                <w:sz w:val="20"/>
                <w:szCs w:val="20"/>
                <w:color w:val="auto"/>
              </w:rPr>
            </w:pPr>
            <w:r>
              <w:rPr>
                <w:rFonts w:ascii="Arial" w:cs="Arial" w:eastAsia="Arial" w:hAnsi="Arial"/>
                <w:sz w:val="18"/>
                <w:szCs w:val="18"/>
                <w:color w:val="auto"/>
              </w:rPr>
              <w:t>2.88%</w:t>
            </w:r>
          </w:p>
        </w:tc>
        <w:tc>
          <w:tcPr>
            <w:tcW w:w="196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2.31%</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3.04%</w:t>
            </w:r>
          </w:p>
        </w:tc>
      </w:tr>
      <w:tr>
        <w:trPr>
          <w:trHeight w:val="215"/>
        </w:trPr>
        <w:tc>
          <w:tcPr>
            <w:tcW w:w="3420" w:type="dxa"/>
            <w:vAlign w:val="bottom"/>
          </w:tcPr>
          <w:p>
            <w:pPr>
              <w:spacing w:after="0"/>
              <w:rPr>
                <w:sz w:val="20"/>
                <w:szCs w:val="20"/>
                <w:color w:val="auto"/>
              </w:rPr>
            </w:pPr>
            <w:r>
              <w:rPr>
                <w:rFonts w:ascii="Arial" w:cs="Arial" w:eastAsia="Arial" w:hAnsi="Arial"/>
                <w:sz w:val="18"/>
                <w:szCs w:val="18"/>
                <w:color w:val="auto"/>
              </w:rPr>
              <w:t>Yield on earning assets</w:t>
            </w:r>
            <w:r>
              <w:rPr>
                <w:rFonts w:ascii="Arial" w:cs="Arial" w:eastAsia="Arial" w:hAnsi="Arial"/>
                <w:sz w:val="14"/>
                <w:szCs w:val="14"/>
                <w:color w:val="auto"/>
              </w:rPr>
              <w:t>*</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2.36%</w:t>
            </w:r>
          </w:p>
        </w:tc>
        <w:tc>
          <w:tcPr>
            <w:tcW w:w="1980" w:type="dxa"/>
            <w:vAlign w:val="bottom"/>
          </w:tcPr>
          <w:p>
            <w:pPr>
              <w:jc w:val="right"/>
              <w:ind w:right="970"/>
              <w:spacing w:after="0"/>
              <w:rPr>
                <w:sz w:val="20"/>
                <w:szCs w:val="20"/>
                <w:color w:val="auto"/>
              </w:rPr>
            </w:pPr>
            <w:r>
              <w:rPr>
                <w:rFonts w:ascii="Arial" w:cs="Arial" w:eastAsia="Arial" w:hAnsi="Arial"/>
                <w:sz w:val="18"/>
                <w:szCs w:val="18"/>
                <w:color w:val="auto"/>
              </w:rPr>
              <w:t>3.00%</w:t>
            </w:r>
          </w:p>
        </w:tc>
        <w:tc>
          <w:tcPr>
            <w:tcW w:w="1960" w:type="dxa"/>
            <w:vAlign w:val="bottom"/>
          </w:tcPr>
          <w:p>
            <w:pPr>
              <w:jc w:val="right"/>
              <w:ind w:right="350"/>
              <w:spacing w:after="0"/>
              <w:rPr>
                <w:sz w:val="20"/>
                <w:szCs w:val="20"/>
                <w:color w:val="auto"/>
              </w:rPr>
            </w:pPr>
            <w:r>
              <w:rPr>
                <w:rFonts w:ascii="Arial" w:cs="Arial" w:eastAsia="Arial" w:hAnsi="Arial"/>
                <w:sz w:val="18"/>
                <w:szCs w:val="18"/>
                <w:color w:val="auto"/>
              </w:rPr>
              <w:t>2.37%</w:t>
            </w: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Rate on interest-bearing liabilities</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980" w:type="dxa"/>
            <w:vAlign w:val="bottom"/>
          </w:tcPr>
          <w:p>
            <w:pPr>
              <w:jc w:val="right"/>
              <w:ind w:right="970"/>
              <w:spacing w:after="0"/>
              <w:rPr>
                <w:sz w:val="20"/>
                <w:szCs w:val="20"/>
                <w:color w:val="auto"/>
              </w:rPr>
            </w:pPr>
            <w:r>
              <w:rPr>
                <w:rFonts w:ascii="Arial" w:cs="Arial" w:eastAsia="Arial" w:hAnsi="Arial"/>
                <w:sz w:val="18"/>
                <w:szCs w:val="18"/>
                <w:color w:val="auto"/>
              </w:rPr>
              <w:t>.40%</w:t>
            </w:r>
          </w:p>
        </w:tc>
        <w:tc>
          <w:tcPr>
            <w:tcW w:w="196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*Presented on a tax-equivalent basis assuming a tax rate of 21% for both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2021 compared to Second Quarter of 2020:</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Second Quarter of 2021 average earning assets increased $344,231,000, or 21.2%, compared to the same period in the prior year. Average federal funds sold increased $158,554,000, or 956.9%, interest-bearing deposits in other financial institutions increased $146,188,000, or 53.5%, and average investment securities increased $102,243,000, or 27.6%. Average loans decreased $62,441,000 as a significant amount of the PPP loans originated in 2020 were forgiven by the SBA in 2021. The overall increase in average interest-earning asset balances was funded by a significant increase in deposits and accounts and drafts payable driven by government stimulus programs, higher payments processing volumes and organic growth.</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Average accounts and drafts payable increased $206,440,000, or 27.8% for the Second Quarter of 2021 and average interest-bearing liabilities increased $118,374,000, or 24.7%, compared to the Second Quarter of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 Quarter of 2021 tax-equivalized net interest income decreased $337,000, or 2.9%, compared to the same period in the prior year. While average interest-earning assets were up 21.2%, the Company’s net interest margin declined 58 basis points from 2.88% to 2.30%, reflecting the negative impact of the historically low short-term interest rate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2021 compared to First Half of 2020:</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First Half of 2021 average earning assets increased $374,090,000, or 24.0%, compared to the same period in the prior year. Average interest-bearing deposits in other financial institutions increased $298,391,000, or 147.8%, and average federal funds sold and other short-term investments increased $25,810,000, or 28.5% for the First Half of 2021 compared to the First Half of 2020. These variances were driven by the same factors as the Second Quarter.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Average accounts and draft payable increased $168,547,000, or 22.3%, and average interest-bearing liabilities increased $131,074,000, or 29.5% for the First Half of 2021 compared to the First Half of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 Half of 2021 tax-equivalized net interest income decreased $1,387,000, or 5.9%, compared to the same period in the prior year. While average interest-earning assets were up 24.0%, the Company’s net interest margin declined 73 basis points from 3.04% to 2.31%, reflecting the negative impact of the historically low short-term interest rate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28" w:lineRule="exact"/>
        <w:rPr>
          <w:sz w:val="20"/>
          <w:szCs w:val="20"/>
          <w:color w:val="auto"/>
        </w:rPr>
      </w:pPr>
    </w:p>
    <w:p>
      <w:pPr>
        <w:jc w:val="both"/>
        <w:ind w:right="20" w:firstLine="9"/>
        <w:spacing w:after="0" w:line="276"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average yield on such categories of interest-earning assets and the average rates paid on such categories of interest-bearing liabilities for each of the periods reported.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2021</w:t>
            </w: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2020</w:t>
            </w:r>
          </w:p>
        </w:tc>
        <w:tc>
          <w:tcPr>
            <w:tcW w:w="1040" w:type="dxa"/>
            <w:vAlign w:val="bottom"/>
            <w:tcBorders>
              <w:bottom w:val="single" w:sz="8" w:color="auto"/>
            </w:tcBorders>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Interest</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Interest</w:t>
            </w:r>
          </w:p>
        </w:tc>
        <w:tc>
          <w:tcPr>
            <w:tcW w:w="1040" w:type="dxa"/>
            <w:vAlign w:val="bottom"/>
          </w:tcPr>
          <w:p>
            <w:pPr>
              <w:spacing w:after="0"/>
              <w:rPr>
                <w:sz w:val="16"/>
                <w:szCs w:val="16"/>
                <w:color w:val="auto"/>
              </w:rPr>
            </w:pPr>
          </w:p>
        </w:tc>
      </w:tr>
      <w:tr>
        <w:trPr>
          <w:trHeight w:val="215"/>
        </w:trPr>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2"/>
              </w:rPr>
              <w:t>Average</w:t>
            </w:r>
          </w:p>
        </w:tc>
        <w:tc>
          <w:tcPr>
            <w:tcW w:w="18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Yield/</w:t>
            </w:r>
          </w:p>
        </w:tc>
        <w:tc>
          <w:tcPr>
            <w:tcW w:w="3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w w:val="92"/>
              </w:rPr>
              <w:t>Average</w:t>
            </w:r>
          </w:p>
        </w:tc>
        <w:tc>
          <w:tcPr>
            <w:tcW w:w="16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Yield/</w:t>
            </w:r>
          </w:p>
        </w:tc>
      </w:tr>
      <w:tr>
        <w:trPr>
          <w:trHeight w:val="2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Balance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9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Rate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Balance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Rate</w:t>
            </w:r>
          </w:p>
        </w:tc>
      </w:tr>
      <w:tr>
        <w:trPr>
          <w:trHeight w:val="235"/>
        </w:trPr>
        <w:tc>
          <w:tcPr>
            <w:tcW w:w="3840" w:type="dxa"/>
            <w:vAlign w:val="bottom"/>
          </w:tcPr>
          <w:p>
            <w:pPr>
              <w:spacing w:after="0" w:line="235" w:lineRule="exact"/>
              <w:rPr>
                <w:sz w:val="20"/>
                <w:szCs w:val="20"/>
                <w:color w:val="auto"/>
              </w:rPr>
            </w:pPr>
            <w:r>
              <w:rPr>
                <w:rFonts w:ascii="Arial" w:cs="Arial" w:eastAsia="Arial" w:hAnsi="Arial"/>
                <w:sz w:val="17"/>
                <w:szCs w:val="17"/>
                <w:b w:val="1"/>
                <w:bCs w:val="1"/>
                <w:color w:val="auto"/>
              </w:rPr>
              <w:t>Assets</w:t>
            </w:r>
            <w:r>
              <w:rPr>
                <w:rFonts w:ascii="Arial" w:cs="Arial" w:eastAsia="Arial" w:hAnsi="Arial"/>
                <w:sz w:val="27"/>
                <w:szCs w:val="27"/>
                <w:color w:val="auto"/>
                <w:vertAlign w:val="superscript"/>
              </w:rPr>
              <w:t>1</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9"/>
        </w:trPr>
        <w:tc>
          <w:tcPr>
            <w:tcW w:w="38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2"/>
        </w:trPr>
        <w:tc>
          <w:tcPr>
            <w:tcW w:w="3840" w:type="dxa"/>
            <w:vAlign w:val="bottom"/>
          </w:tcPr>
          <w:p>
            <w:pPr>
              <w:spacing w:after="0" w:line="252"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9"/>
        </w:trPr>
        <w:tc>
          <w:tcPr>
            <w:tcW w:w="3840" w:type="dxa"/>
            <w:vAlign w:val="bottom"/>
          </w:tcPr>
          <w:p>
            <w:pPr>
              <w:ind w:left="160"/>
              <w:spacing w:after="0"/>
              <w:rPr>
                <w:sz w:val="20"/>
                <w:szCs w:val="20"/>
                <w:color w:val="auto"/>
              </w:rPr>
            </w:pPr>
            <w:r>
              <w:rPr>
                <w:rFonts w:ascii="Arial" w:cs="Arial" w:eastAsia="Arial" w:hAnsi="Arial"/>
                <w:sz w:val="18"/>
                <w:szCs w:val="18"/>
                <w:color w:val="auto"/>
              </w:rPr>
              <w:t>Taxable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901,619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8,696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964,060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9,298</w:t>
            </w:r>
          </w:p>
        </w:tc>
        <w:tc>
          <w:tcPr>
            <w:tcW w:w="10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52"/>
        </w:trPr>
        <w:tc>
          <w:tcPr>
            <w:tcW w:w="3840" w:type="dxa"/>
            <w:vAlign w:val="bottom"/>
          </w:tcPr>
          <w:p>
            <w:pPr>
              <w:spacing w:after="0" w:line="252"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3</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Taxable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156,057</w:t>
            </w:r>
          </w:p>
        </w:tc>
        <w:tc>
          <w:tcPr>
            <w:tcW w:w="1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82,107</w:t>
            </w:r>
          </w:p>
        </w:tc>
        <w:tc>
          <w:tcPr>
            <w:tcW w:w="1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471</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2.31</w:t>
            </w:r>
          </w:p>
        </w:tc>
      </w:tr>
      <w:tr>
        <w:trPr>
          <w:trHeight w:val="256"/>
        </w:trPr>
        <w:tc>
          <w:tcPr>
            <w:tcW w:w="3840" w:type="dxa"/>
            <w:vAlign w:val="bottom"/>
          </w:tcPr>
          <w:p>
            <w:pPr>
              <w:ind w:left="1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316,371</w:t>
            </w:r>
          </w:p>
        </w:tc>
        <w:tc>
          <w:tcPr>
            <w:tcW w:w="180" w:type="dxa"/>
            <w:vAlign w:val="bottom"/>
          </w:tcPr>
          <w:p>
            <w:pPr>
              <w:spacing w:after="0"/>
              <w:rPr>
                <w:sz w:val="22"/>
                <w:szCs w:val="22"/>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2,319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288,078</w:t>
            </w:r>
          </w:p>
        </w:tc>
        <w:tc>
          <w:tcPr>
            <w:tcW w:w="160" w:type="dxa"/>
            <w:vAlign w:val="bottom"/>
          </w:tcPr>
          <w:p>
            <w:pPr>
              <w:spacing w:after="0"/>
              <w:rPr>
                <w:sz w:val="22"/>
                <w:szCs w:val="22"/>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2,260</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3.16</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2.57</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Interest-bearing deposits in other financial</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institutions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419,475</w:t>
            </w:r>
          </w:p>
        </w:tc>
        <w:tc>
          <w:tcPr>
            <w:tcW w:w="1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273,287</w:t>
            </w:r>
          </w:p>
        </w:tc>
        <w:tc>
          <w:tcPr>
            <w:tcW w:w="1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73</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0.11</w:t>
            </w:r>
          </w:p>
        </w:tc>
      </w:t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Federal funds sold and other short-term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175,124</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0.04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0.29</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Total interest-earning assets</w:t>
            </w:r>
          </w:p>
        </w:tc>
        <w:tc>
          <w:tcPr>
            <w:tcW w:w="3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1,968,646</w:t>
            </w:r>
          </w:p>
        </w:tc>
        <w:tc>
          <w:tcPr>
            <w:tcW w:w="180" w:type="dxa"/>
            <w:vAlign w:val="bottom"/>
          </w:tcPr>
          <w:p>
            <w:pPr>
              <w:spacing w:after="0"/>
              <w:rPr>
                <w:sz w:val="16"/>
                <w:szCs w:val="16"/>
                <w:color w:val="auto"/>
              </w:rPr>
            </w:pPr>
          </w:p>
        </w:tc>
        <w:tc>
          <w:tcPr>
            <w:tcW w:w="10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11,595</w:t>
            </w:r>
          </w:p>
        </w:tc>
        <w:tc>
          <w:tcPr>
            <w:tcW w:w="96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2.36</w:t>
            </w:r>
          </w:p>
        </w:tc>
        <w:tc>
          <w:tcPr>
            <w:tcW w:w="30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1,624,415</w:t>
            </w:r>
          </w:p>
        </w:tc>
        <w:tc>
          <w:tcPr>
            <w:tcW w:w="160" w:type="dxa"/>
            <w:vAlign w:val="bottom"/>
          </w:tcPr>
          <w:p>
            <w:pPr>
              <w:spacing w:after="0"/>
              <w:rPr>
                <w:sz w:val="16"/>
                <w:szCs w:val="16"/>
                <w:color w:val="auto"/>
              </w:rPr>
            </w:pPr>
          </w:p>
        </w:tc>
        <w:tc>
          <w:tcPr>
            <w:tcW w:w="11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12,116</w:t>
            </w:r>
          </w:p>
        </w:tc>
        <w:tc>
          <w:tcPr>
            <w:tcW w:w="10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3.00</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20,565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15,948</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17,848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20,069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Bank-owned life insurance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17,693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17,760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Goodwill and other intangibles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18,239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247,983</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200,779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Allowance for loan losses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(11,715)</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(10,895)</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0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2,278,402</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1,886,315</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35"/>
        </w:trPr>
        <w:tc>
          <w:tcPr>
            <w:tcW w:w="3840" w:type="dxa"/>
            <w:vAlign w:val="bottom"/>
          </w:tcPr>
          <w:p>
            <w:pPr>
              <w:spacing w:after="0" w:line="235" w:lineRule="exact"/>
              <w:rPr>
                <w:sz w:val="20"/>
                <w:szCs w:val="20"/>
                <w:color w:val="auto"/>
              </w:rPr>
            </w:pPr>
            <w:r>
              <w:rPr>
                <w:rFonts w:ascii="Arial" w:cs="Arial" w:eastAsia="Arial" w:hAnsi="Arial"/>
                <w:sz w:val="17"/>
                <w:szCs w:val="17"/>
                <w:b w:val="1"/>
                <w:bCs w:val="1"/>
                <w:color w:val="auto"/>
              </w:rPr>
              <w:t>Liabilities and Shareholders’ Equity</w:t>
            </w:r>
            <w:r>
              <w:rPr>
                <w:rFonts w:ascii="Arial" w:cs="Arial" w:eastAsia="Arial" w:hAnsi="Arial"/>
                <w:sz w:val="27"/>
                <w:szCs w:val="27"/>
                <w:b w:val="1"/>
                <w:bCs w:val="1"/>
                <w:color w:val="auto"/>
                <w:vertAlign w:val="superscript"/>
              </w:rPr>
              <w:t>1</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Interest-bearing demand deposits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525,286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394,756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202</w:t>
            </w:r>
          </w:p>
        </w:tc>
        <w:tc>
          <w:tcPr>
            <w:tcW w:w="10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Savings deposits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17,772</w:t>
            </w:r>
          </w:p>
        </w:tc>
        <w:tc>
          <w:tcPr>
            <w:tcW w:w="1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12,921</w:t>
            </w:r>
          </w:p>
        </w:tc>
        <w:tc>
          <w:tcPr>
            <w:tcW w:w="1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0.09</w:t>
            </w: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Time deposits &gt;= $100</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22,841</w:t>
            </w:r>
          </w:p>
        </w:tc>
        <w:tc>
          <w:tcPr>
            <w:tcW w:w="18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28,268</w:t>
            </w:r>
          </w:p>
        </w:tc>
        <w:tc>
          <w:tcPr>
            <w:tcW w:w="16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138</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1.96</w:t>
            </w:r>
          </w:p>
        </w:tc>
      </w:tr>
      <w:tr>
        <w:trPr>
          <w:trHeight w:val="230"/>
        </w:trPr>
        <w:tc>
          <w:tcPr>
            <w:tcW w:w="3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time deposits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30,835</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91</w:t>
            </w: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42,414</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138</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1.31</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Total interest-bearing deposits</w:t>
            </w:r>
          </w:p>
        </w:tc>
        <w:tc>
          <w:tcPr>
            <w:tcW w:w="3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596,734</w:t>
            </w:r>
          </w:p>
        </w:tc>
        <w:tc>
          <w:tcPr>
            <w:tcW w:w="180" w:type="dxa"/>
            <w:vAlign w:val="bottom"/>
          </w:tcPr>
          <w:p>
            <w:pPr>
              <w:spacing w:after="0"/>
              <w:rPr>
                <w:sz w:val="16"/>
                <w:szCs w:val="16"/>
                <w:color w:val="auto"/>
              </w:rPr>
            </w:pPr>
          </w:p>
        </w:tc>
        <w:tc>
          <w:tcPr>
            <w:tcW w:w="10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297</w:t>
            </w:r>
          </w:p>
        </w:tc>
        <w:tc>
          <w:tcPr>
            <w:tcW w:w="96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0.20</w:t>
            </w:r>
          </w:p>
        </w:tc>
        <w:tc>
          <w:tcPr>
            <w:tcW w:w="30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478,359</w:t>
            </w:r>
          </w:p>
        </w:tc>
        <w:tc>
          <w:tcPr>
            <w:tcW w:w="160" w:type="dxa"/>
            <w:vAlign w:val="bottom"/>
          </w:tcPr>
          <w:p>
            <w:pPr>
              <w:spacing w:after="0"/>
              <w:rPr>
                <w:sz w:val="16"/>
                <w:szCs w:val="16"/>
                <w:color w:val="auto"/>
              </w:rPr>
            </w:pPr>
          </w:p>
        </w:tc>
        <w:tc>
          <w:tcPr>
            <w:tcW w:w="11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481</w:t>
            </w:r>
          </w:p>
        </w:tc>
        <w:tc>
          <w:tcPr>
            <w:tcW w:w="10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0.40</w:t>
            </w:r>
          </w:p>
        </w:tc>
      </w:t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Total interest-bearing liabilities</w:t>
            </w:r>
          </w:p>
        </w:tc>
        <w:tc>
          <w:tcPr>
            <w:tcW w:w="3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596,744</w:t>
            </w:r>
          </w:p>
        </w:tc>
        <w:tc>
          <w:tcPr>
            <w:tcW w:w="180" w:type="dxa"/>
            <w:vAlign w:val="bottom"/>
          </w:tcPr>
          <w:p>
            <w:pPr>
              <w:spacing w:after="0"/>
              <w:rPr>
                <w:sz w:val="16"/>
                <w:szCs w:val="16"/>
                <w:color w:val="auto"/>
              </w:rPr>
            </w:pPr>
          </w:p>
        </w:tc>
        <w:tc>
          <w:tcPr>
            <w:tcW w:w="10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297</w:t>
            </w:r>
          </w:p>
        </w:tc>
        <w:tc>
          <w:tcPr>
            <w:tcW w:w="96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0.20</w:t>
            </w:r>
          </w:p>
        </w:tc>
        <w:tc>
          <w:tcPr>
            <w:tcW w:w="30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478,370</w:t>
            </w:r>
          </w:p>
        </w:tc>
        <w:tc>
          <w:tcPr>
            <w:tcW w:w="160" w:type="dxa"/>
            <w:vAlign w:val="bottom"/>
          </w:tcPr>
          <w:p>
            <w:pPr>
              <w:spacing w:after="0"/>
              <w:rPr>
                <w:sz w:val="16"/>
                <w:szCs w:val="16"/>
                <w:color w:val="auto"/>
              </w:rPr>
            </w:pPr>
          </w:p>
        </w:tc>
        <w:tc>
          <w:tcPr>
            <w:tcW w:w="11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481</w:t>
            </w:r>
          </w:p>
        </w:tc>
        <w:tc>
          <w:tcPr>
            <w:tcW w:w="10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0.40</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420,072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359,808</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3840" w:type="dxa"/>
            <w:vAlign w:val="bottom"/>
          </w:tcPr>
          <w:p>
            <w:pPr>
              <w:ind w:left="160"/>
              <w:spacing w:after="0"/>
              <w:rPr>
                <w:sz w:val="20"/>
                <w:szCs w:val="20"/>
                <w:color w:val="auto"/>
              </w:rPr>
            </w:pPr>
            <w:r>
              <w:rPr>
                <w:rFonts w:ascii="Arial" w:cs="Arial" w:eastAsia="Arial" w:hAnsi="Arial"/>
                <w:sz w:val="18"/>
                <w:szCs w:val="18"/>
                <w:color w:val="auto"/>
              </w:rPr>
              <w:t>Accounts and drafts payable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947,987</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741,547</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53,482</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64,489</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2,018,285</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1,644,214</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260,117</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242,101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0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2,278,402</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1,886,315</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5"/>
        </w:trPr>
        <w:tc>
          <w:tcPr>
            <w:tcW w:w="3840" w:type="dxa"/>
            <w:vAlign w:val="bottom"/>
          </w:tcPr>
          <w:p>
            <w:pPr>
              <w:spacing w:after="0" w:line="195" w:lineRule="exact"/>
              <w:rPr>
                <w:sz w:val="20"/>
                <w:szCs w:val="20"/>
                <w:color w:val="auto"/>
              </w:rPr>
            </w:pPr>
            <w:r>
              <w:rPr>
                <w:rFonts w:ascii="Arial" w:cs="Arial" w:eastAsia="Arial" w:hAnsi="Arial"/>
                <w:sz w:val="18"/>
                <w:szCs w:val="18"/>
                <w:color w:val="auto"/>
              </w:rPr>
              <w:t>Net interest income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11,298</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11,635</w:t>
            </w:r>
          </w:p>
        </w:tc>
        <w:tc>
          <w:tcPr>
            <w:tcW w:w="1040" w:type="dxa"/>
            <w:vAlign w:val="bottom"/>
          </w:tcPr>
          <w:p>
            <w:pPr>
              <w:spacing w:after="0"/>
              <w:rPr>
                <w:sz w:val="16"/>
                <w:szCs w:val="16"/>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Net interest margin</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Interest spread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340" w:hanging="332"/>
        <w:spacing w:after="0" w:line="23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340" w:hanging="332"/>
        <w:spacing w:after="0" w:line="237"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Interest income on loans includes net loan fees of $868,000 and $565,000 for the Second Quarter of 2021 and 2020, respectively. The increase in net loan fees is due to higher PPP fees.</w:t>
      </w:r>
    </w:p>
    <w:p>
      <w:pPr>
        <w:ind w:left="340" w:hanging="332"/>
        <w:spacing w:after="0" w:line="22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ind w:left="340" w:right="20" w:hanging="332"/>
        <w:spacing w:after="0" w:line="237"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2021 and 2020. The tax-equivalent adjustment was approximately $487,000 and $474,000 for the Second Quarter of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40"/>
        </w:trPr>
        <w:tc>
          <w:tcPr>
            <w:tcW w:w="136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First Half of 2021</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First Half of 2020</w:t>
            </w:r>
          </w:p>
        </w:tc>
        <w:tc>
          <w:tcPr>
            <w:tcW w:w="1220" w:type="dxa"/>
            <w:vAlign w:val="bottom"/>
            <w:tcBorders>
              <w:bottom w:val="single" w:sz="8" w:color="auto"/>
            </w:tcBorders>
          </w:tcPr>
          <w:p>
            <w:pPr>
              <w:spacing w:after="0"/>
              <w:rPr>
                <w:sz w:val="24"/>
                <w:szCs w:val="24"/>
                <w:color w:val="auto"/>
              </w:rPr>
            </w:pPr>
          </w:p>
        </w:tc>
      </w:tr>
      <w:tr>
        <w:trPr>
          <w:trHeight w:val="191"/>
        </w:trPr>
        <w:tc>
          <w:tcPr>
            <w:tcW w:w="1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Interest</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Interest</w:t>
            </w:r>
          </w:p>
        </w:tc>
        <w:tc>
          <w:tcPr>
            <w:tcW w:w="1220" w:type="dxa"/>
            <w:vAlign w:val="bottom"/>
          </w:tcPr>
          <w:p>
            <w:pPr>
              <w:spacing w:after="0"/>
              <w:rPr>
                <w:sz w:val="16"/>
                <w:szCs w:val="16"/>
                <w:color w:val="auto"/>
              </w:rPr>
            </w:pPr>
          </w:p>
        </w:tc>
      </w:tr>
      <w:tr>
        <w:trPr>
          <w:trHeight w:val="215"/>
        </w:trPr>
        <w:tc>
          <w:tcPr>
            <w:tcW w:w="1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Average</w:t>
            </w:r>
          </w:p>
        </w:tc>
        <w:tc>
          <w:tcPr>
            <w:tcW w:w="16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w w:val="92"/>
              </w:rPr>
              <w:t>Average</w:t>
            </w: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Income/</w:t>
            </w: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rPr>
              <w:t>Yield/</w:t>
            </w:r>
          </w:p>
        </w:tc>
      </w:tr>
      <w:tr>
        <w:trPr>
          <w:trHeight w:val="234"/>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2"/>
              </w:rPr>
              <w:t>Balance</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10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Rate</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2"/>
              </w:rPr>
              <w:t>Balance</w:t>
            </w: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Expense</w:t>
            </w: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r>
      <w:tr>
        <w:trPr>
          <w:trHeight w:val="235"/>
        </w:trPr>
        <w:tc>
          <w:tcPr>
            <w:tcW w:w="3840" w:type="dxa"/>
            <w:vAlign w:val="bottom"/>
            <w:gridSpan w:val="2"/>
          </w:tcPr>
          <w:p>
            <w:pPr>
              <w:spacing w:after="0" w:line="235" w:lineRule="exact"/>
              <w:rPr>
                <w:sz w:val="20"/>
                <w:szCs w:val="20"/>
                <w:color w:val="auto"/>
              </w:rPr>
            </w:pPr>
            <w:r>
              <w:rPr>
                <w:rFonts w:ascii="Arial" w:cs="Arial" w:eastAsia="Arial" w:hAnsi="Arial"/>
                <w:sz w:val="17"/>
                <w:szCs w:val="17"/>
                <w:b w:val="1"/>
                <w:bCs w:val="1"/>
                <w:color w:val="auto"/>
              </w:rPr>
              <w:t>Assets</w:t>
            </w:r>
            <w:r>
              <w:rPr>
                <w:rFonts w:ascii="Arial" w:cs="Arial" w:eastAsia="Arial" w:hAnsi="Arial"/>
                <w:sz w:val="27"/>
                <w:szCs w:val="27"/>
                <w:color w:val="auto"/>
                <w:vertAlign w:val="superscript"/>
              </w:rPr>
              <w:t>1</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9"/>
        </w:trPr>
        <w:tc>
          <w:tcPr>
            <w:tcW w:w="384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2"/>
        </w:trPr>
        <w:tc>
          <w:tcPr>
            <w:tcW w:w="3840" w:type="dxa"/>
            <w:vAlign w:val="bottom"/>
            <w:gridSpan w:val="2"/>
          </w:tcPr>
          <w:p>
            <w:pPr>
              <w:spacing w:after="0" w:line="252"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9"/>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Taxable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891,477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17,283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881,781</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18,299</w:t>
            </w:r>
          </w:p>
        </w:tc>
        <w:tc>
          <w:tcPr>
            <w:tcW w:w="1220" w:type="dxa"/>
            <w:vAlign w:val="bottom"/>
          </w:tcPr>
          <w:p>
            <w:pPr>
              <w:ind w:left="460"/>
              <w:spacing w:after="0"/>
              <w:rPr>
                <w:sz w:val="20"/>
                <w:szCs w:val="20"/>
                <w:color w:val="auto"/>
              </w:rPr>
            </w:pPr>
            <w:r>
              <w:rPr>
                <w:rFonts w:ascii="Arial" w:cs="Arial" w:eastAsia="Arial" w:hAnsi="Arial"/>
                <w:sz w:val="18"/>
                <w:szCs w:val="18"/>
                <w:color w:val="auto"/>
              </w:rPr>
              <w:t>4.17%</w:t>
            </w:r>
          </w:p>
        </w:tc>
      </w:tr>
      <w:tr>
        <w:trPr>
          <w:trHeight w:val="252"/>
        </w:trPr>
        <w:tc>
          <w:tcPr>
            <w:tcW w:w="3840" w:type="dxa"/>
            <w:vAlign w:val="bottom"/>
            <w:gridSpan w:val="2"/>
          </w:tcPr>
          <w:p>
            <w:pPr>
              <w:spacing w:after="0" w:line="252"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3</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Taxable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119,604</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88,899</w:t>
            </w:r>
          </w:p>
        </w:tc>
        <w:tc>
          <w:tcPr>
            <w:tcW w:w="4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220" w:type="dxa"/>
            <w:vAlign w:val="bottom"/>
          </w:tcPr>
          <w:p>
            <w:pPr>
              <w:ind w:left="460"/>
              <w:spacing w:after="0"/>
              <w:rPr>
                <w:sz w:val="20"/>
                <w:szCs w:val="20"/>
                <w:color w:val="auto"/>
              </w:rPr>
            </w:pPr>
            <w:r>
              <w:rPr>
                <w:rFonts w:ascii="Arial" w:cs="Arial" w:eastAsia="Arial" w:hAnsi="Arial"/>
                <w:sz w:val="18"/>
                <w:szCs w:val="18"/>
                <w:color w:val="auto"/>
              </w:rPr>
              <w:t>2.33</w:t>
            </w:r>
          </w:p>
        </w:tc>
      </w:tr>
      <w:tr>
        <w:trPr>
          <w:trHeight w:val="256"/>
        </w:trPr>
        <w:tc>
          <w:tcPr>
            <w:tcW w:w="38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302,456</w:t>
            </w:r>
          </w:p>
        </w:tc>
        <w:tc>
          <w:tcPr>
            <w:tcW w:w="1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292,561</w:t>
            </w:r>
          </w:p>
        </w:tc>
        <w:tc>
          <w:tcPr>
            <w:tcW w:w="48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4,562</w:t>
            </w:r>
          </w:p>
        </w:tc>
        <w:tc>
          <w:tcPr>
            <w:tcW w:w="1220" w:type="dxa"/>
            <w:vAlign w:val="bottom"/>
          </w:tcPr>
          <w:p>
            <w:pPr>
              <w:ind w:left="460"/>
              <w:spacing w:after="0"/>
              <w:rPr>
                <w:sz w:val="20"/>
                <w:szCs w:val="20"/>
                <w:color w:val="auto"/>
              </w:rPr>
            </w:pPr>
            <w:r>
              <w:rPr>
                <w:rFonts w:ascii="Arial" w:cs="Arial" w:eastAsia="Arial" w:hAnsi="Arial"/>
                <w:sz w:val="18"/>
                <w:szCs w:val="18"/>
                <w:color w:val="auto"/>
              </w:rPr>
              <w:t>3.14</w:t>
            </w: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407</w:t>
            </w:r>
          </w:p>
        </w:tc>
        <w:tc>
          <w:tcPr>
            <w:tcW w:w="4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20" w:type="dxa"/>
            <w:vAlign w:val="bottom"/>
          </w:tcPr>
          <w:p>
            <w:pPr>
              <w:ind w:left="460"/>
              <w:spacing w:after="0"/>
              <w:rPr>
                <w:sz w:val="20"/>
                <w:szCs w:val="20"/>
                <w:color w:val="auto"/>
              </w:rPr>
            </w:pPr>
            <w:r>
              <w:rPr>
                <w:rFonts w:ascii="Arial" w:cs="Arial" w:eastAsia="Arial" w:hAnsi="Arial"/>
                <w:sz w:val="18"/>
                <w:szCs w:val="18"/>
                <w:color w:val="auto"/>
              </w:rPr>
              <w:t>2.47</w:t>
            </w: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Interest-bearing deposits in other financial</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institutions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500,340</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201,949</w:t>
            </w:r>
          </w:p>
        </w:tc>
        <w:tc>
          <w:tcPr>
            <w:tcW w:w="4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220" w:type="dxa"/>
            <w:vAlign w:val="bottom"/>
          </w:tcPr>
          <w:p>
            <w:pPr>
              <w:ind w:left="460"/>
              <w:spacing w:after="0"/>
              <w:rPr>
                <w:sz w:val="20"/>
                <w:szCs w:val="20"/>
                <w:color w:val="auto"/>
              </w:rPr>
            </w:pPr>
            <w:r>
              <w:rPr>
                <w:rFonts w:ascii="Arial" w:cs="Arial" w:eastAsia="Arial" w:hAnsi="Arial"/>
                <w:sz w:val="18"/>
                <w:szCs w:val="18"/>
                <w:color w:val="auto"/>
              </w:rPr>
              <w:t>0.45</w:t>
            </w:r>
          </w:p>
        </w:tc>
      </w:tr>
      <w:tr>
        <w:trPr>
          <w:trHeight w:val="23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Federal funds sold and other short-term investments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116,357</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90,547</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588</w:t>
            </w: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1.31</w:t>
            </w: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Total interest-earning assets</w:t>
            </w:r>
          </w:p>
        </w:tc>
        <w:tc>
          <w:tcPr>
            <w:tcW w:w="2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1,930,234</w:t>
            </w:r>
          </w:p>
        </w:tc>
        <w:tc>
          <w:tcPr>
            <w:tcW w:w="160" w:type="dxa"/>
            <w:vAlign w:val="bottom"/>
          </w:tcPr>
          <w:p>
            <w:pPr>
              <w:spacing w:after="0"/>
              <w:rPr>
                <w:sz w:val="16"/>
                <w:szCs w:val="16"/>
                <w:color w:val="auto"/>
              </w:rPr>
            </w:pP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22,733</w:t>
            </w:r>
          </w:p>
        </w:tc>
        <w:tc>
          <w:tcPr>
            <w:tcW w:w="10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2.37</w:t>
            </w:r>
          </w:p>
        </w:tc>
        <w:tc>
          <w:tcPr>
            <w:tcW w:w="260" w:type="dxa"/>
            <w:vAlign w:val="bottom"/>
          </w:tcPr>
          <w:p>
            <w:pPr>
              <w:spacing w:after="0"/>
              <w:rPr>
                <w:sz w:val="16"/>
                <w:szCs w:val="16"/>
                <w:color w:val="auto"/>
              </w:rPr>
            </w:pPr>
          </w:p>
        </w:tc>
        <w:tc>
          <w:tcPr>
            <w:tcW w:w="11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1,556,144</w:t>
            </w:r>
          </w:p>
        </w:tc>
        <w:tc>
          <w:tcPr>
            <w:tcW w:w="480" w:type="dxa"/>
            <w:vAlign w:val="bottom"/>
          </w:tcPr>
          <w:p>
            <w:pPr>
              <w:spacing w:after="0"/>
              <w:rPr>
                <w:sz w:val="16"/>
                <w:szCs w:val="16"/>
                <w:color w:val="auto"/>
              </w:rPr>
            </w:pPr>
          </w:p>
        </w:tc>
        <w:tc>
          <w:tcPr>
            <w:tcW w:w="8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24,938</w:t>
            </w:r>
          </w:p>
        </w:tc>
        <w:tc>
          <w:tcPr>
            <w:tcW w:w="1220" w:type="dxa"/>
            <w:vAlign w:val="bottom"/>
          </w:tcPr>
          <w:p>
            <w:pPr>
              <w:ind w:left="460"/>
              <w:spacing w:after="0" w:line="195" w:lineRule="exact"/>
              <w:rPr>
                <w:sz w:val="20"/>
                <w:szCs w:val="20"/>
                <w:color w:val="auto"/>
              </w:rPr>
            </w:pPr>
            <w:r>
              <w:rPr>
                <w:rFonts w:ascii="Arial" w:cs="Arial" w:eastAsia="Arial" w:hAnsi="Arial"/>
                <w:sz w:val="18"/>
                <w:szCs w:val="18"/>
                <w:color w:val="auto"/>
              </w:rPr>
              <w:t>3.22</w:t>
            </w: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Cash and due from banks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20,455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16,649</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17,958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20,182</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Bank-owned life insurance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17,703</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Goodwill and other intangibles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17,490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18,347</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239,636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213,674</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8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(10,728)</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0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2,231,744</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1,831,971</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35"/>
        </w:trPr>
        <w:tc>
          <w:tcPr>
            <w:tcW w:w="3840" w:type="dxa"/>
            <w:vAlign w:val="bottom"/>
            <w:gridSpan w:val="2"/>
          </w:tcPr>
          <w:p>
            <w:pPr>
              <w:spacing w:after="0" w:line="235" w:lineRule="exact"/>
              <w:rPr>
                <w:sz w:val="20"/>
                <w:szCs w:val="20"/>
                <w:color w:val="auto"/>
              </w:rPr>
            </w:pPr>
            <w:r>
              <w:rPr>
                <w:rFonts w:ascii="Arial" w:cs="Arial" w:eastAsia="Arial" w:hAnsi="Arial"/>
                <w:sz w:val="17"/>
                <w:szCs w:val="17"/>
                <w:b w:val="1"/>
                <w:bCs w:val="1"/>
                <w:color w:val="auto"/>
              </w:rPr>
              <w:t>Liabilities and Shareholders’ Equity</w:t>
            </w:r>
            <w:r>
              <w:rPr>
                <w:rFonts w:ascii="Arial" w:cs="Arial" w:eastAsia="Arial" w:hAnsi="Arial"/>
                <w:sz w:val="27"/>
                <w:szCs w:val="27"/>
                <w:b w:val="1"/>
                <w:bCs w:val="1"/>
                <w:color w:val="auto"/>
                <w:vertAlign w:val="superscript"/>
              </w:rPr>
              <w:t>1</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Interest-bearing 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Interest-bearing demand deposits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500,388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360,804</w:t>
            </w:r>
          </w:p>
        </w:tc>
        <w:tc>
          <w:tcPr>
            <w:tcW w:w="480" w:type="dxa"/>
            <w:vAlign w:val="bottom"/>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220" w:type="dxa"/>
            <w:vAlign w:val="bottom"/>
          </w:tcPr>
          <w:p>
            <w:pPr>
              <w:ind w:left="460"/>
              <w:spacing w:after="0"/>
              <w:rPr>
                <w:sz w:val="20"/>
                <w:szCs w:val="20"/>
                <w:color w:val="auto"/>
              </w:rPr>
            </w:pPr>
            <w:r>
              <w:rPr>
                <w:rFonts w:ascii="Arial" w:cs="Arial" w:eastAsia="Arial" w:hAnsi="Arial"/>
                <w:sz w:val="18"/>
                <w:szCs w:val="18"/>
                <w:color w:val="auto"/>
              </w:rPr>
              <w:t>0.47%</w:t>
            </w: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Savings deposits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19,775</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10,662</w:t>
            </w:r>
          </w:p>
        </w:tc>
        <w:tc>
          <w:tcPr>
            <w:tcW w:w="4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20" w:type="dxa"/>
            <w:vAlign w:val="bottom"/>
          </w:tcPr>
          <w:p>
            <w:pPr>
              <w:ind w:left="460"/>
              <w:spacing w:after="0"/>
              <w:rPr>
                <w:sz w:val="20"/>
                <w:szCs w:val="20"/>
                <w:color w:val="auto"/>
              </w:rPr>
            </w:pPr>
            <w:r>
              <w:rPr>
                <w:rFonts w:ascii="Arial" w:cs="Arial" w:eastAsia="Arial" w:hAnsi="Arial"/>
                <w:sz w:val="18"/>
                <w:szCs w:val="18"/>
                <w:color w:val="auto"/>
              </w:rPr>
              <w:t>0.30</w:t>
            </w: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Time deposits &gt;= $100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23,668</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29,044</w:t>
            </w:r>
          </w:p>
        </w:tc>
        <w:tc>
          <w:tcPr>
            <w:tcW w:w="4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220" w:type="dxa"/>
            <w:vAlign w:val="bottom"/>
          </w:tcPr>
          <w:p>
            <w:pPr>
              <w:ind w:left="460"/>
              <w:spacing w:after="0"/>
              <w:rPr>
                <w:sz w:val="20"/>
                <w:szCs w:val="20"/>
                <w:color w:val="auto"/>
              </w:rPr>
            </w:pPr>
            <w:r>
              <w:rPr>
                <w:rFonts w:ascii="Arial" w:cs="Arial" w:eastAsia="Arial" w:hAnsi="Arial"/>
                <w:sz w:val="18"/>
                <w:szCs w:val="18"/>
                <w:color w:val="auto"/>
              </w:rPr>
              <w:t>1.93</w:t>
            </w:r>
          </w:p>
        </w:tc>
      </w:tr>
      <w:tr>
        <w:trPr>
          <w:trHeight w:val="230"/>
        </w:trPr>
        <w:tc>
          <w:tcPr>
            <w:tcW w:w="38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 time deposits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31,106</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0.98</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43,253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w:t>
            </w: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1.46</w:t>
            </w: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Total interest-bearing deposits</w:t>
            </w:r>
          </w:p>
        </w:tc>
        <w:tc>
          <w:tcPr>
            <w:tcW w:w="2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574,937</w:t>
            </w:r>
          </w:p>
        </w:tc>
        <w:tc>
          <w:tcPr>
            <w:tcW w:w="160" w:type="dxa"/>
            <w:vAlign w:val="bottom"/>
          </w:tcPr>
          <w:p>
            <w:pPr>
              <w:spacing w:after="0"/>
              <w:rPr>
                <w:sz w:val="16"/>
                <w:szCs w:val="16"/>
                <w:color w:val="auto"/>
              </w:rPr>
            </w:pP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628</w:t>
            </w:r>
          </w:p>
        </w:tc>
        <w:tc>
          <w:tcPr>
            <w:tcW w:w="10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0.22</w:t>
            </w:r>
          </w:p>
        </w:tc>
        <w:tc>
          <w:tcPr>
            <w:tcW w:w="260" w:type="dxa"/>
            <w:vAlign w:val="bottom"/>
          </w:tcPr>
          <w:p>
            <w:pPr>
              <w:spacing w:after="0"/>
              <w:rPr>
                <w:sz w:val="16"/>
                <w:szCs w:val="16"/>
                <w:color w:val="auto"/>
              </w:rPr>
            </w:pPr>
          </w:p>
        </w:tc>
        <w:tc>
          <w:tcPr>
            <w:tcW w:w="11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443,763</w:t>
            </w:r>
          </w:p>
        </w:tc>
        <w:tc>
          <w:tcPr>
            <w:tcW w:w="480" w:type="dxa"/>
            <w:vAlign w:val="bottom"/>
          </w:tcPr>
          <w:p>
            <w:pPr>
              <w:spacing w:after="0"/>
              <w:rPr>
                <w:sz w:val="16"/>
                <w:szCs w:val="16"/>
                <w:color w:val="auto"/>
              </w:rPr>
            </w:pPr>
          </w:p>
        </w:tc>
        <w:tc>
          <w:tcPr>
            <w:tcW w:w="8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1,444</w:t>
            </w:r>
          </w:p>
        </w:tc>
        <w:tc>
          <w:tcPr>
            <w:tcW w:w="1220" w:type="dxa"/>
            <w:vAlign w:val="bottom"/>
          </w:tcPr>
          <w:p>
            <w:pPr>
              <w:ind w:left="460"/>
              <w:spacing w:after="0" w:line="195" w:lineRule="exact"/>
              <w:rPr>
                <w:sz w:val="20"/>
                <w:szCs w:val="20"/>
                <w:color w:val="auto"/>
              </w:rPr>
            </w:pPr>
            <w:r>
              <w:rPr>
                <w:rFonts w:ascii="Arial" w:cs="Arial" w:eastAsia="Arial" w:hAnsi="Arial"/>
                <w:sz w:val="18"/>
                <w:szCs w:val="18"/>
                <w:color w:val="auto"/>
              </w:rPr>
              <w:t>0.65</w:t>
            </w:r>
          </w:p>
        </w:tc>
      </w:tr>
      <w:tr>
        <w:trPr>
          <w:trHeight w:val="23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3.66</w:t>
            </w: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Total interest-bearing liabilities</w:t>
            </w:r>
          </w:p>
        </w:tc>
        <w:tc>
          <w:tcPr>
            <w:tcW w:w="2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574,947</w:t>
            </w:r>
          </w:p>
        </w:tc>
        <w:tc>
          <w:tcPr>
            <w:tcW w:w="160" w:type="dxa"/>
            <w:vAlign w:val="bottom"/>
          </w:tcPr>
          <w:p>
            <w:pPr>
              <w:spacing w:after="0"/>
              <w:rPr>
                <w:sz w:val="16"/>
                <w:szCs w:val="16"/>
                <w:color w:val="auto"/>
              </w:rPr>
            </w:pP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628</w:t>
            </w:r>
          </w:p>
        </w:tc>
        <w:tc>
          <w:tcPr>
            <w:tcW w:w="10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0.22</w:t>
            </w:r>
          </w:p>
        </w:tc>
        <w:tc>
          <w:tcPr>
            <w:tcW w:w="260" w:type="dxa"/>
            <w:vAlign w:val="bottom"/>
          </w:tcPr>
          <w:p>
            <w:pPr>
              <w:spacing w:after="0"/>
              <w:rPr>
                <w:sz w:val="16"/>
                <w:szCs w:val="16"/>
                <w:color w:val="auto"/>
              </w:rPr>
            </w:pPr>
          </w:p>
        </w:tc>
        <w:tc>
          <w:tcPr>
            <w:tcW w:w="11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443,873</w:t>
            </w:r>
          </w:p>
        </w:tc>
        <w:tc>
          <w:tcPr>
            <w:tcW w:w="480" w:type="dxa"/>
            <w:vAlign w:val="bottom"/>
          </w:tcPr>
          <w:p>
            <w:pPr>
              <w:spacing w:after="0"/>
              <w:rPr>
                <w:sz w:val="16"/>
                <w:szCs w:val="16"/>
                <w:color w:val="auto"/>
              </w:rPr>
            </w:pPr>
          </w:p>
        </w:tc>
        <w:tc>
          <w:tcPr>
            <w:tcW w:w="8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1,446</w:t>
            </w:r>
          </w:p>
        </w:tc>
        <w:tc>
          <w:tcPr>
            <w:tcW w:w="1220" w:type="dxa"/>
            <w:vAlign w:val="bottom"/>
          </w:tcPr>
          <w:p>
            <w:pPr>
              <w:ind w:left="460"/>
              <w:spacing w:after="0" w:line="195" w:lineRule="exact"/>
              <w:rPr>
                <w:sz w:val="20"/>
                <w:szCs w:val="20"/>
                <w:color w:val="auto"/>
              </w:rPr>
            </w:pPr>
            <w:r>
              <w:rPr>
                <w:rFonts w:ascii="Arial" w:cs="Arial" w:eastAsia="Arial" w:hAnsi="Arial"/>
                <w:sz w:val="18"/>
                <w:szCs w:val="18"/>
                <w:color w:val="auto"/>
              </w:rPr>
              <w:t>0.66</w:t>
            </w: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Non-interest bearing 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Demand deposits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419,013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327,486</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3840" w:type="dxa"/>
            <w:vAlign w:val="bottom"/>
            <w:gridSpan w:val="2"/>
          </w:tcPr>
          <w:p>
            <w:pPr>
              <w:ind w:left="160"/>
              <w:spacing w:after="0"/>
              <w:rPr>
                <w:sz w:val="20"/>
                <w:szCs w:val="20"/>
                <w:color w:val="auto"/>
              </w:rPr>
            </w:pPr>
            <w:r>
              <w:rPr>
                <w:rFonts w:ascii="Arial" w:cs="Arial" w:eastAsia="Arial" w:hAnsi="Arial"/>
                <w:sz w:val="18"/>
                <w:szCs w:val="18"/>
                <w:color w:val="auto"/>
              </w:rPr>
              <w:t>Accounts and drafts payable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923,320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754,773</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8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55,054</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63,359</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1,972,334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1,589,491</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259,410</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242,480</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0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2,231,744</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1,831,971</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Net interest income</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22,105</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ind w:left="180"/>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23,492</w:t>
            </w:r>
          </w:p>
        </w:tc>
        <w:tc>
          <w:tcPr>
            <w:tcW w:w="1220" w:type="dxa"/>
            <w:vAlign w:val="bottom"/>
          </w:tcPr>
          <w:p>
            <w:pPr>
              <w:spacing w:after="0"/>
              <w:rPr>
                <w:sz w:val="16"/>
                <w:szCs w:val="16"/>
                <w:color w:val="auto"/>
              </w:rPr>
            </w:pPr>
          </w:p>
        </w:tc>
      </w:tr>
      <w:tr>
        <w:trPr>
          <w:trHeight w:val="215"/>
        </w:trPr>
        <w:tc>
          <w:tcPr>
            <w:tcW w:w="3840" w:type="dxa"/>
            <w:vAlign w:val="bottom"/>
            <w:gridSpan w:val="2"/>
          </w:tcPr>
          <w:p>
            <w:pPr>
              <w:spacing w:after="0"/>
              <w:rPr>
                <w:sz w:val="20"/>
                <w:szCs w:val="20"/>
                <w:color w:val="auto"/>
              </w:rPr>
            </w:pPr>
            <w:r>
              <w:rPr>
                <w:rFonts w:ascii="Arial" w:cs="Arial" w:eastAsia="Arial" w:hAnsi="Arial"/>
                <w:sz w:val="18"/>
                <w:szCs w:val="18"/>
                <w:color w:val="auto"/>
              </w:rPr>
              <w:t>Net interest margin</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ind w:left="460"/>
              <w:spacing w:after="0"/>
              <w:rPr>
                <w:sz w:val="20"/>
                <w:szCs w:val="20"/>
                <w:color w:val="auto"/>
              </w:rPr>
            </w:pPr>
            <w:r>
              <w:rPr>
                <w:rFonts w:ascii="Arial" w:cs="Arial" w:eastAsia="Arial" w:hAnsi="Arial"/>
                <w:sz w:val="18"/>
                <w:szCs w:val="18"/>
                <w:color w:val="auto"/>
              </w:rPr>
              <w:t>3.04%</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Interest spread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ind w:left="460"/>
              <w:spacing w:after="0"/>
              <w:rPr>
                <w:sz w:val="20"/>
                <w:szCs w:val="20"/>
                <w:color w:val="auto"/>
              </w:rPr>
            </w:pPr>
            <w:r>
              <w:rPr>
                <w:rFonts w:ascii="Arial" w:cs="Arial" w:eastAsia="Arial" w:hAnsi="Arial"/>
                <w:sz w:val="18"/>
                <w:szCs w:val="18"/>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ind w:left="340" w:hanging="332"/>
        <w:spacing w:after="0" w:line="23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340" w:hanging="332"/>
        <w:spacing w:after="0" w:line="237"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Interest income on loans includes net loan fees of $1,769,000 and $721,000 for the First Half of 2021 and 2020, respectively. The increase in net loan fees is due to higher PPP fees.</w:t>
      </w:r>
    </w:p>
    <w:p>
      <w:pPr>
        <w:ind w:left="340" w:hanging="332"/>
        <w:spacing w:after="0" w:line="22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ind w:left="340" w:right="20" w:hanging="332"/>
        <w:spacing w:after="0" w:line="23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2021 and 2020. The tax-equivalent adjustment was approximately $949,000 and $958,000 for the First Half of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4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Second Quarter of 2021 Over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Second Quarter of 2020</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8"/>
              </w:rPr>
              <w:t>Volume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Rate</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00" w:type="dxa"/>
            <w:vAlign w:val="bottom"/>
          </w:tcPr>
          <w:p>
            <w:pPr>
              <w:spacing w:after="0" w:line="198" w:lineRule="exact"/>
              <w:rPr>
                <w:sz w:val="20"/>
                <w:szCs w:val="20"/>
                <w:color w:val="auto"/>
              </w:rPr>
            </w:pPr>
            <w:r>
              <w:rPr>
                <w:rFonts w:ascii="Arial" w:cs="Arial" w:eastAsia="Arial" w:hAnsi="Arial"/>
                <w:sz w:val="18"/>
                <w:szCs w:val="18"/>
                <w:color w:val="auto"/>
              </w:rPr>
              <w:t>Increase (decrease) in interest income:</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100" w:type="dxa"/>
            <w:vAlign w:val="bottom"/>
          </w:tcPr>
          <w:p>
            <w:pPr>
              <w:ind w:left="160"/>
              <w:spacing w:after="0" w:line="252"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8"/>
                <w:szCs w:val="18"/>
                <w:color w:val="auto"/>
              </w:rPr>
              <w:t>Taxable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tcPr>
          <w:p>
            <w:pPr>
              <w:ind w:left="340"/>
              <w:spacing w:after="0"/>
              <w:rPr>
                <w:sz w:val="20"/>
                <w:szCs w:val="20"/>
                <w:color w:val="auto"/>
              </w:rPr>
            </w:pPr>
            <w:r>
              <w:rPr>
                <w:rFonts w:ascii="Arial" w:cs="Arial" w:eastAsia="Arial" w:hAnsi="Arial"/>
                <w:sz w:val="18"/>
                <w:szCs w:val="18"/>
                <w:color w:val="auto"/>
              </w:rPr>
              <w:t>Taxable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100" w:type="dxa"/>
            <w:vAlign w:val="bottom"/>
          </w:tcPr>
          <w:p>
            <w:pPr>
              <w:ind w:left="340"/>
              <w:spacing w:after="0" w:line="252"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2</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Interest-bearing deposits in other financial institutions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Federal funds sold and other short-term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income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00" w:type="dxa"/>
            <w:vAlign w:val="bottom"/>
          </w:tcPr>
          <w:p>
            <w:pPr>
              <w:spacing w:after="0" w:line="195" w:lineRule="exact"/>
              <w:rPr>
                <w:sz w:val="20"/>
                <w:szCs w:val="20"/>
                <w:color w:val="auto"/>
              </w:rPr>
            </w:pPr>
            <w:r>
              <w:rPr>
                <w:rFonts w:ascii="Arial" w:cs="Arial" w:eastAsia="Arial" w:hAnsi="Arial"/>
                <w:sz w:val="18"/>
                <w:szCs w:val="18"/>
                <w:color w:val="auto"/>
              </w:rPr>
              <w:t>Interest expense on:</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Interest-bearing demand deposits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Savings deposits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Time deposits &gt;=$100</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time deposits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64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ind w:left="340" w:hanging="332"/>
        <w:spacing w:after="0" w:line="22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Second Quarter of 2021 and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First Half of 2021 Over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First Half of 2020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Volume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00" w:type="dxa"/>
            <w:vAlign w:val="bottom"/>
          </w:tcPr>
          <w:p>
            <w:pPr>
              <w:spacing w:after="0" w:line="198" w:lineRule="exact"/>
              <w:rPr>
                <w:sz w:val="20"/>
                <w:szCs w:val="20"/>
                <w:color w:val="auto"/>
              </w:rPr>
            </w:pPr>
            <w:r>
              <w:rPr>
                <w:rFonts w:ascii="Arial" w:cs="Arial" w:eastAsia="Arial" w:hAnsi="Arial"/>
                <w:sz w:val="18"/>
                <w:szCs w:val="18"/>
                <w:color w:val="auto"/>
              </w:rPr>
              <w:t>Increase (decrease) in interest income: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100" w:type="dxa"/>
            <w:vAlign w:val="bottom"/>
          </w:tcPr>
          <w:p>
            <w:pPr>
              <w:ind w:left="160"/>
              <w:spacing w:after="0" w:line="252"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8"/>
                <w:szCs w:val="18"/>
                <w:color w:val="auto"/>
              </w:rPr>
              <w:t>Taxable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8"/>
                <w:szCs w:val="18"/>
                <w:color w:val="auto"/>
              </w:rPr>
              <w:t>Taxable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34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Interest-bearing deposits in other financial institutions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Federal funds sold and other short-term investments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income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00" w:type="dxa"/>
            <w:vAlign w:val="bottom"/>
          </w:tcPr>
          <w:p>
            <w:pPr>
              <w:spacing w:after="0" w:line="195" w:lineRule="exact"/>
              <w:rPr>
                <w:sz w:val="20"/>
                <w:szCs w:val="20"/>
                <w:color w:val="auto"/>
              </w:rPr>
            </w:pPr>
            <w:r>
              <w:rPr>
                <w:rFonts w:ascii="Arial" w:cs="Arial" w:eastAsia="Arial" w:hAnsi="Arial"/>
                <w:sz w:val="18"/>
                <w:szCs w:val="18"/>
                <w:color w:val="auto"/>
              </w:rPr>
              <w:t>Interest expense on:</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Interest-bearing demand deposits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Savings deposits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Time deposits &gt;=$100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160"/>
              <w:spacing w:after="0"/>
              <w:rPr>
                <w:sz w:val="20"/>
                <w:szCs w:val="20"/>
                <w:color w:val="auto"/>
              </w:rPr>
            </w:pPr>
            <w:r>
              <w:rPr>
                <w:rFonts w:ascii="Arial" w:cs="Arial" w:eastAsia="Arial" w:hAnsi="Arial"/>
                <w:sz w:val="18"/>
                <w:szCs w:val="18"/>
                <w:color w:val="auto"/>
              </w:rPr>
              <w:t>Other time deposits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64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ind w:left="340" w:hanging="332"/>
        <w:spacing w:after="0" w:line="22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First Half of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Credit Losses and Allowance for Unfunded Commitments</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recorded a release of credit losses and off-balance sheet credit exposures of $610,000 in the Second Quarter of 2021 and a provision for loan losses of $400,000 in the Second Quarter of 2020. The Company recorded a release of credit losses and off-balance sheet credit exposures of $1,210,000 in the First Half of 2021 and a provision for loan losses of $725,000 in the First Half of 2020. The release of credit losses in the First Half of 2021 was primarily due to improved economic conditions and the removal of specific allowance for credit loss allocations on two impaired loans, The amount of the (release of) provision for credit losses was derived from the Company’s</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quarterly Current Expected Credit Loss (“CECL”) model. The amount of the (release of) provision for credit losses will fluctuate as determined by these quarterly analyses. The Company had no net loan recoveries in the Second Quarter of 2021 and $3,000 in the Second Quarter of 2020. The Company had net loan recoveries of $17,000 and $11,000 in the First Half of 2021 and the First Half of 2020, respectively.</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ACL was $11,171,000 at June 30, 2021 compared to $11,944,000 at December 31, 2020. The ACL represented 1.28% of outstanding loans at June 30, 2021 and 1.34% of outstanding loans at December 31, 2020. Excluding PPP loans, the ACL represented 1.37% of total loans at June 30, 2021 and 1.53% of total loans at December 31, 2020. The allowance for unfunded commitments was $147,000 at June 30, 2021 and $567,000 at December 31, 2020. There were no nonperforming loans outstanding at June 30, 2021 or December 31, 2020.</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also utilizes ratio analysis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Credit Loss Experience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(release of) provision for credit losses and analysis of the ACL: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Second Quarter of</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First Half of</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Allowance for credit/loan losses at beginning of period</w:t>
            </w:r>
          </w:p>
        </w:tc>
        <w:tc>
          <w:tcPr>
            <w:tcW w:w="3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11,721</w:t>
            </w:r>
          </w:p>
        </w:tc>
        <w:tc>
          <w:tcPr>
            <w:tcW w:w="4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10,889</w:t>
            </w:r>
          </w:p>
        </w:tc>
        <w:tc>
          <w:tcPr>
            <w:tcW w:w="4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11,944</w:t>
            </w:r>
          </w:p>
        </w:tc>
        <w:tc>
          <w:tcPr>
            <w:tcW w:w="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10,556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(Release of) provision for credit/loan losses</w:t>
            </w: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(790)</w:t>
            </w: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Loans charged off</w:t>
            </w: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Recoveries on loans previously charged off</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5"/>
        </w:trPr>
        <w:tc>
          <w:tcPr>
            <w:tcW w:w="5860" w:type="dxa"/>
            <w:vAlign w:val="bottom"/>
          </w:tcPr>
          <w:p>
            <w:pPr>
              <w:spacing w:after="0" w:line="195" w:lineRule="exact"/>
              <w:rPr>
                <w:sz w:val="20"/>
                <w:szCs w:val="20"/>
                <w:color w:val="auto"/>
              </w:rPr>
            </w:pPr>
            <w:r>
              <w:rPr>
                <w:rFonts w:ascii="Arial" w:cs="Arial" w:eastAsia="Arial" w:hAnsi="Arial"/>
                <w:sz w:val="18"/>
                <w:szCs w:val="18"/>
                <w:color w:val="auto"/>
              </w:rPr>
              <w:t>Net recoveries</w:t>
            </w:r>
          </w:p>
        </w:tc>
        <w:tc>
          <w:tcPr>
            <w:tcW w:w="360" w:type="dxa"/>
            <w:vAlign w:val="bottom"/>
          </w:tcPr>
          <w:p>
            <w:pPr>
              <w:spacing w:after="0"/>
              <w:rPr>
                <w:sz w:val="16"/>
                <w:szCs w:val="16"/>
                <w:color w:val="auto"/>
              </w:rPr>
            </w:pPr>
          </w:p>
        </w:tc>
        <w:tc>
          <w:tcPr>
            <w:tcW w:w="10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6"/>
                <w:szCs w:val="16"/>
                <w:color w:val="auto"/>
              </w:rPr>
            </w:pPr>
          </w:p>
        </w:tc>
        <w:tc>
          <w:tcPr>
            <w:tcW w:w="8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w:t>
            </w:r>
          </w:p>
        </w:tc>
        <w:tc>
          <w:tcPr>
            <w:tcW w:w="420" w:type="dxa"/>
            <w:vAlign w:val="bottom"/>
          </w:tcPr>
          <w:p>
            <w:pPr>
              <w:spacing w:after="0"/>
              <w:rPr>
                <w:sz w:val="16"/>
                <w:szCs w:val="16"/>
                <w:color w:val="auto"/>
              </w:rPr>
            </w:pPr>
          </w:p>
        </w:tc>
        <w:tc>
          <w:tcPr>
            <w:tcW w:w="11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17</w:t>
            </w:r>
          </w:p>
        </w:tc>
        <w:tc>
          <w:tcPr>
            <w:tcW w:w="460" w:type="dxa"/>
            <w:vAlign w:val="bottom"/>
          </w:tcPr>
          <w:p>
            <w:pPr>
              <w:spacing w:after="0"/>
              <w:rPr>
                <w:sz w:val="16"/>
                <w:szCs w:val="16"/>
                <w:color w:val="auto"/>
              </w:rPr>
            </w:pPr>
          </w:p>
        </w:tc>
        <w:tc>
          <w:tcPr>
            <w:tcW w:w="7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credit/loan losses at end of period</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11,171</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11,292</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11,171</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860" w:type="dxa"/>
            <w:vAlign w:val="bottom"/>
          </w:tcPr>
          <w:p>
            <w:pPr>
              <w:spacing w:after="0" w:line="201" w:lineRule="exact"/>
              <w:rPr>
                <w:sz w:val="20"/>
                <w:szCs w:val="20"/>
                <w:color w:val="auto"/>
              </w:rPr>
            </w:pPr>
            <w:r>
              <w:rPr>
                <w:rFonts w:ascii="Arial" w:cs="Arial" w:eastAsia="Arial" w:hAnsi="Arial"/>
                <w:sz w:val="18"/>
                <w:szCs w:val="18"/>
                <w:color w:val="auto"/>
              </w:rPr>
              <w:t>Allowance for unfunded commitments at beginning of Period</w:t>
            </w:r>
          </w:p>
        </w:tc>
        <w:tc>
          <w:tcPr>
            <w:tcW w:w="3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207</w:t>
            </w:r>
          </w:p>
        </w:tc>
        <w:tc>
          <w:tcPr>
            <w:tcW w:w="4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567</w:t>
            </w:r>
          </w:p>
        </w:tc>
        <w:tc>
          <w:tcPr>
            <w:tcW w:w="4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(Release of) provision for credit losses</w:t>
            </w:r>
          </w:p>
        </w:tc>
        <w:tc>
          <w:tcPr>
            <w:tcW w:w="3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(420)</w:t>
            </w:r>
          </w:p>
        </w:tc>
        <w:tc>
          <w:tcPr>
            <w:tcW w:w="4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Allowance for unfunded commitments at end of period</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147</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147</w:t>
            </w:r>
          </w:p>
        </w:tc>
        <w:tc>
          <w:tcPr>
            <w:tcW w:w="4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5860" w:type="dxa"/>
            <w:vAlign w:val="bottom"/>
          </w:tcPr>
          <w:p>
            <w:pPr>
              <w:spacing w:after="0"/>
              <w:rPr>
                <w:sz w:val="20"/>
                <w:szCs w:val="20"/>
                <w:color w:val="auto"/>
              </w:rPr>
            </w:pPr>
            <w:r>
              <w:rPr>
                <w:rFonts w:ascii="Arial" w:cs="Arial" w:eastAsia="Arial" w:hAnsi="Arial"/>
                <w:sz w:val="18"/>
                <w:szCs w:val="18"/>
                <w:color w:val="auto"/>
              </w:rPr>
              <w:t>Loans outstanding:</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160"/>
              <w:spacing w:after="0"/>
              <w:rPr>
                <w:sz w:val="20"/>
                <w:szCs w:val="20"/>
                <w:color w:val="auto"/>
              </w:rPr>
            </w:pPr>
            <w:r>
              <w:rPr>
                <w:rFonts w:ascii="Arial" w:cs="Arial" w:eastAsia="Arial" w:hAnsi="Arial"/>
                <w:sz w:val="18"/>
                <w:szCs w:val="18"/>
                <w:color w:val="auto"/>
              </w:rPr>
              <w:t>Average</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901,619</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964,060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891,477</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881,781</w:t>
            </w:r>
          </w:p>
        </w:tc>
        <w:tc>
          <w:tcPr>
            <w:tcW w:w="0" w:type="dxa"/>
            <w:vAlign w:val="bottom"/>
          </w:tcPr>
          <w:p>
            <w:pPr>
              <w:spacing w:after="0"/>
              <w:rPr>
                <w:sz w:val="1"/>
                <w:szCs w:val="1"/>
                <w:color w:val="auto"/>
              </w:rPr>
            </w:pPr>
          </w:p>
        </w:tc>
      </w:tr>
      <w:tr>
        <w:trPr>
          <w:trHeight w:val="212"/>
        </w:trPr>
        <w:tc>
          <w:tcPr>
            <w:tcW w:w="5860" w:type="dxa"/>
            <w:vAlign w:val="bottom"/>
          </w:tcPr>
          <w:p>
            <w:pPr>
              <w:ind w:left="160"/>
              <w:spacing w:after="0"/>
              <w:rPr>
                <w:sz w:val="20"/>
                <w:szCs w:val="20"/>
                <w:color w:val="auto"/>
              </w:rPr>
            </w:pPr>
            <w:r>
              <w:rPr>
                <w:rFonts w:ascii="Arial" w:cs="Arial" w:eastAsia="Arial" w:hAnsi="Arial"/>
                <w:sz w:val="18"/>
                <w:szCs w:val="18"/>
                <w:color w:val="auto"/>
              </w:rPr>
              <w:t>June 30</w:t>
            </w: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871,020</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963,726</w:t>
            </w:r>
          </w:p>
        </w:tc>
        <w:tc>
          <w:tcPr>
            <w:tcW w:w="42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871,020</w:t>
            </w: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963,726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7"/>
                <w:szCs w:val="17"/>
                <w:color w:val="auto"/>
              </w:rPr>
              <w:t>Ratio of ACL to loans outstanding:</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tcPr>
          <w:p>
            <w:pPr>
              <w:ind w:left="160"/>
              <w:spacing w:after="0"/>
              <w:rPr>
                <w:sz w:val="20"/>
                <w:szCs w:val="20"/>
                <w:color w:val="auto"/>
              </w:rPr>
            </w:pPr>
            <w:r>
              <w:rPr>
                <w:rFonts w:ascii="Arial" w:cs="Arial" w:eastAsia="Arial" w:hAnsi="Arial"/>
                <w:sz w:val="18"/>
                <w:szCs w:val="18"/>
                <w:color w:val="auto"/>
              </w:rPr>
              <w:t>Average</w:t>
            </w:r>
          </w:p>
        </w:tc>
        <w:tc>
          <w:tcPr>
            <w:tcW w:w="3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June 30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June 30, 2021 and June 30,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Total operating expenses for the Second Quarter of 2021 were up 8.9%, or $2,446,000, compared to the Second Quarter of 2020 as personnel expense increased as a result of the increase in payment processing volumes.</w:t>
      </w:r>
    </w:p>
    <w:p>
      <w:pPr>
        <w:jc w:val="both"/>
        <w:spacing w:after="0" w:line="259" w:lineRule="auto"/>
        <w:rPr>
          <w:sz w:val="20"/>
          <w:szCs w:val="20"/>
          <w:color w:val="auto"/>
        </w:rPr>
      </w:pPr>
      <w:r>
        <w:rPr>
          <w:rFonts w:ascii="Arial" w:cs="Arial" w:eastAsia="Arial" w:hAnsi="Arial"/>
          <w:sz w:val="18"/>
          <w:szCs w:val="18"/>
          <w:color w:val="auto"/>
        </w:rPr>
        <w:t>Total operating expenses for the First Half of 2021 were up $2,042,000, or 3.6%, compared to the First Half of 2020, also due to the increase in payment processing volumes.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assets at June 30, 2021 were $2,272,333,000, an increase of $69,098,000, or 3.1%, from December 31, 2020. The Company increased the investment securities portfolio $149,321,000, or 41.7%, during the period in an effort to increase the yield on interest-earning assets. The increase in investment securities was partially offset by decreases</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cash and cash equivalents of $48,947,000, and payments in excess of funding of $10,301,000. Changes in cash and cash equivalents reflect the Company’s daily liquidity position and are affected by the changes in the other asset balances and changes in deposit and accounts and drafts payable balances.</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liabilities at June 30, 2021 were $2,011,566,000, an increase of $69,491,000, or 3.6%, from December 31, 2020. Total deposits at June 30, 2021 were $1,015,943,000, a decrease of $34,913,000, or 3.3%, from December 31, 2020. Accounts and drafts payable at June 30, 2021 were $939,570,000, an increase of $104,184,000, or 12.5%, from December 31, 2020, reflecting an increase in both transportation and facility-related dollar volumes.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shareholders’ equity at June 30, 2021 was $260,767,000, a $393,000, or 0.2%, decrease from December 31, 2020. Total shareholders’ equity decreased primarily due to dividends paid of $7,761,000, share repurchases of $5,260,000 and an other comprehensive loss of $2,030,000, partially offset by net income of $14,097,000.</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balance of liquid assets consists of cash and cash equivalents, which include cash and due from banks, interest-bearing deposits in other financial institutions, federal funds sold and money market funds, and was $621,581,000 at June 30, 2021, a decrease of $48,947,000, or 7.3%, from December 31, 2020. At June 30, 2021, these assets represented 27.4% of total assets. These funds are the Company’s and its subsidiaries’ primary source of liquidity to meet future expected and unexpected loan demand, depositor withdrawals or reductions in accounts and drafts payable.</w:t>
      </w:r>
    </w:p>
    <w:p>
      <w:pPr>
        <w:spacing w:after="0" w:line="17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$507,047,000 at June 30, 2021, an increase of $149,321,000 from December 31, 2020. These assets represented 22.3% of total assets at June 30, 2021. Of this total, 69% were state and political subdivision securities. Of the total portfolio, 11.5% mature in one year, 19.8% mature in one to five years, and 68.7% mature in five or more years</w:t>
      </w:r>
      <w:r>
        <w:rPr>
          <w:rFonts w:ascii="Arial" w:cs="Arial" w:eastAsia="Arial" w:hAnsi="Arial"/>
          <w:sz w:val="16"/>
          <w:szCs w:val="16"/>
          <w:i w:val="1"/>
          <w:iCs w:val="1"/>
          <w:color w:val="auto"/>
        </w:rPr>
        <w:t>.</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$83,000,000 at the following banks: US Bank, $20,000,000; UMB Bank, $20,000,000; Wells Fargo Bank, $15,000,000; PNC Bank, $12,000,000; Frost National Bank, $10,000,000; and JPM Chase Bank, $6,000,000. The Bank also has secured lines of credit with the Federal Home Loan Bank of $208,132,000 collateralized by commercial mortgage loans. The Company also has secured lines of credit with UMB Bank of $75,000,000 and First Horizon Bank of $75,000,000 collateralized by state and political subdivision securities. There were no amounts outstanding under any line of credit as of June 30, 2021 or December 31, 2020.</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lines of credit discussed above, as of April 21, 2020 the Bank was approved for the Federal Reserve’s Paycheck Protection Program Lending Facility. The Bank can receive non-recourse loans with the previously mentioned PPP loans pledged as collateral. The Bank can borrow an amount up to 100% of the amount of the PPP loans, which was $56,642,000 as of June 30, 2021.</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$31,779,000 of CDARS deposits and interest-bearing demand deposits include $142,344,000 of ICS deposits. These programs offer the Bank’s customers the ability to maximize Federal Deposit Insurance Corporation (“FDIC”) insurance coverage. The Company uses these programs to retain or attract deposits from existing customers.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flows provided by operating activities were $21,759,000 for the First Half of 2021, compared to $32,655,000 for the First Half of 2020, a decrease of $10,896,000.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activity than the period-end balances used in the statements of cash flows. Management anticipates that cash and cash equivalents, maturing investments and cash from operations will continue to be sufficient to fund the Company’s operations and capital expenditures in 2021, which are estimated to range from $4 million to $6 million.</w:t>
      </w:r>
    </w:p>
    <w:p>
      <w:pPr>
        <w:spacing w:after="0" w:line="182"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 For a discussion of trends and impacts relating to COVID-19, refer to Note 1 “Basis of Presentation.”</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For a discussion of trends and impacts relating to COVID-19, refer to Note 1 “Basis of Presentation.” Lower levels of economic activity, such as those experienced by the Company as a result of COVID-19 and governmental actions related thereto, decrease both fee income and balances of accounts and drafts payable.</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For a discussion of trends and impacts relating to COVID-19, refer to Note 1 “Basis of Presentation.”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8.0%, and a 4.0% Tier 1 capital to total assets leverage ratio.</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require banking organizations, like Cass, to maintain:</w:t>
      </w:r>
    </w:p>
    <w:p>
      <w:pPr>
        <w:spacing w:after="0" w:line="224" w:lineRule="exact"/>
        <w:rPr>
          <w:sz w:val="20"/>
          <w:szCs w:val="20"/>
          <w:color w:val="auto"/>
        </w:rPr>
      </w:pPr>
    </w:p>
    <w:p>
      <w:pPr>
        <w:ind w:left="660" w:hanging="32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ratio of common equity Tier 1 capital to risk-weighted assets of at least 4.5%, plus a 2.5% capital conservation buffer;</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ratio of Tier 1 capital to risk-weighted assets of at least 6.0%, plus a 2.5% capital conservation buffer;</w:t>
      </w:r>
    </w:p>
    <w:p>
      <w:pPr>
        <w:spacing w:after="0" w:line="8" w:lineRule="exact"/>
        <w:rPr>
          <w:rFonts w:ascii="Arial" w:cs="Arial" w:eastAsia="Arial" w:hAnsi="Arial"/>
          <w:sz w:val="18"/>
          <w:szCs w:val="18"/>
          <w:color w:val="auto"/>
        </w:rPr>
      </w:pPr>
    </w:p>
    <w:p>
      <w:pPr>
        <w:ind w:left="660" w:hanging="329"/>
        <w:spacing w:after="0" w:line="24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ratio of total capital (that is, Tier 1 plus Tier 2 capital) to risk-weighted assets of at least 8.0%, plus the 2.5% capital conservation buffer; and</w:t>
      </w:r>
    </w:p>
    <w:p>
      <w:pPr>
        <w:spacing w:after="0" w:line="1" w:lineRule="exact"/>
        <w:rPr>
          <w:rFonts w:ascii="Arial" w:cs="Arial" w:eastAsia="Arial" w:hAnsi="Arial"/>
          <w:sz w:val="18"/>
          <w:szCs w:val="18"/>
          <w:color w:val="auto"/>
        </w:rPr>
      </w:pPr>
    </w:p>
    <w:p>
      <w:pPr>
        <w:ind w:left="660" w:hanging="32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minimum leverage ratio of 4.0%, calculated as the ratio of Tier 1 capital to adjusted average consolidated assets.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80" w:type="dxa"/>
            <w:vAlign w:val="bottom"/>
            <w:gridSpan w:val="2"/>
          </w:tcPr>
          <w:p>
            <w:pPr>
              <w:ind w:left="360"/>
              <w:spacing w:after="0"/>
              <w:rPr>
                <w:sz w:val="20"/>
                <w:szCs w:val="20"/>
                <w:color w:val="auto"/>
              </w:rPr>
            </w:pPr>
            <w:r>
              <w:rPr>
                <w:rFonts w:ascii="Arial" w:cs="Arial" w:eastAsia="Arial" w:hAnsi="Arial"/>
                <w:sz w:val="18"/>
                <w:szCs w:val="18"/>
                <w:b w:val="1"/>
                <w:bCs w:val="1"/>
                <w:color w:val="auto"/>
              </w:rPr>
              <w:t>June 30, 2021</w:t>
            </w:r>
          </w:p>
        </w:tc>
        <w:tc>
          <w:tcPr>
            <w:tcW w:w="400" w:type="dxa"/>
            <w:vAlign w:val="bottom"/>
          </w:tcPr>
          <w:p>
            <w:pPr>
              <w:spacing w:after="0"/>
              <w:rPr>
                <w:sz w:val="17"/>
                <w:szCs w:val="17"/>
                <w:color w:val="auto"/>
              </w:rPr>
            </w:pPr>
          </w:p>
        </w:tc>
        <w:tc>
          <w:tcPr>
            <w:tcW w:w="188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w w:val="97"/>
              </w:rPr>
              <w:t>December 31, 2020</w:t>
            </w:r>
          </w:p>
        </w:tc>
      </w:tr>
      <w:tr>
        <w:trPr>
          <w:trHeight w:val="224"/>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700" w:type="dxa"/>
            <w:vAlign w:val="bottom"/>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318"/>
              <w:spacing w:after="0"/>
              <w:rPr>
                <w:sz w:val="20"/>
                <w:szCs w:val="20"/>
                <w:color w:val="auto"/>
              </w:rPr>
            </w:pPr>
            <w:r>
              <w:rPr>
                <w:rFonts w:ascii="Arial" w:cs="Arial" w:eastAsia="Arial" w:hAnsi="Arial"/>
                <w:sz w:val="18"/>
                <w:szCs w:val="18"/>
                <w:b w:val="1"/>
                <w:bCs w:val="1"/>
                <w:color w:val="auto"/>
              </w:rPr>
              <w:t>Ratio</w:t>
            </w:r>
          </w:p>
        </w:tc>
        <w:tc>
          <w:tcPr>
            <w:tcW w:w="400" w:type="dxa"/>
            <w:vAlign w:val="bottom"/>
          </w:tcPr>
          <w:p>
            <w:pPr>
              <w:spacing w:after="0"/>
              <w:rPr>
                <w:sz w:val="19"/>
                <w:szCs w:val="19"/>
                <w:color w:val="auto"/>
              </w:rPr>
            </w:pPr>
          </w:p>
        </w:tc>
        <w:tc>
          <w:tcPr>
            <w:tcW w:w="1100" w:type="dxa"/>
            <w:vAlign w:val="bottom"/>
          </w:tcPr>
          <w:p>
            <w:pPr>
              <w:jc w:val="right"/>
              <w:ind w:right="337"/>
              <w:spacing w:after="0"/>
              <w:rPr>
                <w:sz w:val="20"/>
                <w:szCs w:val="20"/>
                <w:color w:val="auto"/>
              </w:rPr>
            </w:pPr>
            <w:r>
              <w:rPr>
                <w:rFonts w:ascii="Arial" w:cs="Arial" w:eastAsia="Arial" w:hAnsi="Arial"/>
                <w:sz w:val="18"/>
                <w:szCs w:val="18"/>
                <w:b w:val="1"/>
                <w:bCs w:val="1"/>
                <w:color w:val="auto"/>
                <w:w w:val="97"/>
              </w:rPr>
              <w:t>Amount</w:t>
            </w:r>
          </w:p>
        </w:tc>
        <w:tc>
          <w:tcPr>
            <w:tcW w:w="780" w:type="dxa"/>
            <w:vAlign w:val="bottom"/>
          </w:tcPr>
          <w:p>
            <w:pPr>
              <w:jc w:val="right"/>
              <w:ind w:right="38"/>
              <w:spacing w:after="0"/>
              <w:rPr>
                <w:sz w:val="20"/>
                <w:szCs w:val="20"/>
                <w:color w:val="auto"/>
              </w:rPr>
            </w:pPr>
            <w:r>
              <w:rPr>
                <w:rFonts w:ascii="Arial" w:cs="Arial" w:eastAsia="Arial" w:hAnsi="Arial"/>
                <w:sz w:val="18"/>
                <w:szCs w:val="18"/>
                <w:b w:val="1"/>
                <w:bCs w:val="1"/>
                <w:color w:val="auto"/>
              </w:rPr>
              <w:t>Ratio</w:t>
            </w:r>
          </w:p>
        </w:tc>
      </w:tr>
      <w:tr>
        <w:trPr>
          <w:trHeight w:val="206"/>
        </w:trPr>
        <w:tc>
          <w:tcPr>
            <w:tcW w:w="5080" w:type="dxa"/>
            <w:vAlign w:val="bottom"/>
          </w:tcPr>
          <w:p>
            <w:pPr>
              <w:spacing w:after="0"/>
              <w:rPr>
                <w:sz w:val="20"/>
                <w:szCs w:val="20"/>
                <w:color w:val="auto"/>
              </w:rPr>
            </w:pPr>
            <w:r>
              <w:rPr>
                <w:rFonts w:ascii="Arial" w:cs="Arial" w:eastAsia="Arial" w:hAnsi="Arial"/>
                <w:sz w:val="16"/>
                <w:szCs w:val="16"/>
                <w:color w:val="auto"/>
              </w:rPr>
              <w:t>Total capital (to risk-weighted assets)</w:t>
            </w: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5080" w:type="dxa"/>
            <w:vAlign w:val="bottom"/>
          </w:tcPr>
          <w:p>
            <w:pPr>
              <w:ind w:left="160"/>
              <w:spacing w:after="0"/>
              <w:rPr>
                <w:sz w:val="20"/>
                <w:szCs w:val="20"/>
                <w:color w:val="auto"/>
              </w:rPr>
            </w:pPr>
            <w:r>
              <w:rPr>
                <w:rFonts w:ascii="Arial" w:cs="Arial" w:eastAsia="Arial" w:hAnsi="Arial"/>
                <w:sz w:val="16"/>
                <w:szCs w:val="16"/>
                <w:color w:val="auto"/>
              </w:rPr>
              <w:t>Cass Information Systems, Inc.</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360"/>
              <w:spacing w:after="0"/>
              <w:rPr>
                <w:sz w:val="20"/>
                <w:szCs w:val="20"/>
                <w:color w:val="auto"/>
              </w:rPr>
            </w:pPr>
            <w:r>
              <w:rPr>
                <w:rFonts w:ascii="Arial" w:cs="Arial" w:eastAsia="Arial" w:hAnsi="Arial"/>
                <w:sz w:val="16"/>
                <w:szCs w:val="16"/>
                <w:color w:val="auto"/>
              </w:rPr>
              <w:t>256,648</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19.90%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255,332</w:t>
            </w:r>
          </w:p>
        </w:tc>
        <w:tc>
          <w:tcPr>
            <w:tcW w:w="780" w:type="dxa"/>
            <w:vAlign w:val="bottom"/>
          </w:tcPr>
          <w:p>
            <w:pPr>
              <w:jc w:val="right"/>
              <w:spacing w:after="0"/>
              <w:rPr>
                <w:sz w:val="20"/>
                <w:szCs w:val="20"/>
                <w:color w:val="auto"/>
              </w:rPr>
            </w:pPr>
            <w:r>
              <w:rPr>
                <w:rFonts w:ascii="Arial" w:cs="Arial" w:eastAsia="Arial" w:hAnsi="Arial"/>
                <w:sz w:val="16"/>
                <w:szCs w:val="16"/>
                <w:color w:val="auto"/>
              </w:rPr>
              <w:t>21.41%</w:t>
            </w:r>
          </w:p>
        </w:tc>
      </w:tr>
      <w:tr>
        <w:trPr>
          <w:trHeight w:val="215"/>
        </w:trPr>
        <w:tc>
          <w:tcPr>
            <w:tcW w:w="5080" w:type="dxa"/>
            <w:vAlign w:val="bottom"/>
          </w:tcPr>
          <w:p>
            <w:pPr>
              <w:ind w:left="160"/>
              <w:spacing w:after="0"/>
              <w:rPr>
                <w:sz w:val="20"/>
                <w:szCs w:val="20"/>
                <w:color w:val="auto"/>
              </w:rPr>
            </w:pPr>
            <w:r>
              <w:rPr>
                <w:rFonts w:ascii="Arial" w:cs="Arial" w:eastAsia="Arial" w:hAnsi="Arial"/>
                <w:sz w:val="16"/>
                <w:szCs w:val="16"/>
                <w:color w:val="auto"/>
              </w:rPr>
              <w:t>Cass Commercial Bank</w:t>
            </w:r>
          </w:p>
        </w:tc>
        <w:tc>
          <w:tcPr>
            <w:tcW w:w="170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Arial" w:cs="Arial" w:eastAsia="Arial" w:hAnsi="Arial"/>
                <w:sz w:val="16"/>
                <w:szCs w:val="16"/>
                <w:color w:val="auto"/>
              </w:rPr>
              <w:t>180,343</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22.22%</w:t>
            </w:r>
          </w:p>
        </w:tc>
        <w:tc>
          <w:tcPr>
            <w:tcW w:w="400" w:type="dxa"/>
            <w:vAlign w:val="bottom"/>
          </w:tcPr>
          <w:p>
            <w:pPr>
              <w:spacing w:after="0"/>
              <w:rPr>
                <w:sz w:val="18"/>
                <w:szCs w:val="18"/>
                <w:color w:val="auto"/>
              </w:rPr>
            </w:pP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171,298</w:t>
            </w:r>
          </w:p>
        </w:tc>
        <w:tc>
          <w:tcPr>
            <w:tcW w:w="780" w:type="dxa"/>
            <w:vAlign w:val="bottom"/>
          </w:tcPr>
          <w:p>
            <w:pPr>
              <w:jc w:val="right"/>
              <w:spacing w:after="0"/>
              <w:rPr>
                <w:sz w:val="20"/>
                <w:szCs w:val="20"/>
                <w:color w:val="auto"/>
              </w:rPr>
            </w:pPr>
            <w:r>
              <w:rPr>
                <w:rFonts w:ascii="Arial" w:cs="Arial" w:eastAsia="Arial" w:hAnsi="Arial"/>
                <w:sz w:val="16"/>
                <w:szCs w:val="16"/>
                <w:color w:val="auto"/>
              </w:rPr>
              <w:t>21.46%</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Common equity tier I capital (to risk-weighted assets)</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5080" w:type="dxa"/>
            <w:vAlign w:val="bottom"/>
          </w:tcPr>
          <w:p>
            <w:pPr>
              <w:ind w:left="160"/>
              <w:spacing w:after="0"/>
              <w:rPr>
                <w:sz w:val="20"/>
                <w:szCs w:val="20"/>
                <w:color w:val="auto"/>
              </w:rPr>
            </w:pPr>
            <w:r>
              <w:rPr>
                <w:rFonts w:ascii="Arial" w:cs="Arial" w:eastAsia="Arial" w:hAnsi="Arial"/>
                <w:sz w:val="16"/>
                <w:szCs w:val="16"/>
                <w:color w:val="auto"/>
              </w:rPr>
              <w:t>Cass Information Systems, Inc.</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360"/>
              <w:spacing w:after="0"/>
              <w:rPr>
                <w:sz w:val="20"/>
                <w:szCs w:val="20"/>
                <w:color w:val="auto"/>
              </w:rPr>
            </w:pPr>
            <w:r>
              <w:rPr>
                <w:rFonts w:ascii="Arial" w:cs="Arial" w:eastAsia="Arial" w:hAnsi="Arial"/>
                <w:sz w:val="16"/>
                <w:szCs w:val="16"/>
                <w:color w:val="auto"/>
              </w:rPr>
              <w:t>245,477</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19.04%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243,388</w:t>
            </w:r>
          </w:p>
        </w:tc>
        <w:tc>
          <w:tcPr>
            <w:tcW w:w="78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215"/>
        </w:trPr>
        <w:tc>
          <w:tcPr>
            <w:tcW w:w="5080" w:type="dxa"/>
            <w:vAlign w:val="bottom"/>
          </w:tcPr>
          <w:p>
            <w:pPr>
              <w:ind w:left="160"/>
              <w:spacing w:after="0"/>
              <w:rPr>
                <w:sz w:val="20"/>
                <w:szCs w:val="20"/>
                <w:color w:val="auto"/>
              </w:rPr>
            </w:pPr>
            <w:r>
              <w:rPr>
                <w:rFonts w:ascii="Arial" w:cs="Arial" w:eastAsia="Arial" w:hAnsi="Arial"/>
                <w:sz w:val="16"/>
                <w:szCs w:val="16"/>
                <w:color w:val="auto"/>
              </w:rPr>
              <w:t>Cass Commercial Bank</w:t>
            </w:r>
          </w:p>
        </w:tc>
        <w:tc>
          <w:tcPr>
            <w:tcW w:w="170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Arial" w:cs="Arial" w:eastAsia="Arial" w:hAnsi="Arial"/>
                <w:sz w:val="16"/>
                <w:szCs w:val="16"/>
                <w:color w:val="auto"/>
              </w:rPr>
              <w:t>170,195</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20.97%</w:t>
            </w:r>
          </w:p>
        </w:tc>
        <w:tc>
          <w:tcPr>
            <w:tcW w:w="400" w:type="dxa"/>
            <w:vAlign w:val="bottom"/>
          </w:tcPr>
          <w:p>
            <w:pPr>
              <w:spacing w:after="0"/>
              <w:rPr>
                <w:sz w:val="18"/>
                <w:szCs w:val="18"/>
                <w:color w:val="auto"/>
              </w:rPr>
            </w:pP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161,300</w:t>
            </w:r>
          </w:p>
        </w:tc>
        <w:tc>
          <w:tcPr>
            <w:tcW w:w="78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06"/>
        </w:trPr>
        <w:tc>
          <w:tcPr>
            <w:tcW w:w="5080" w:type="dxa"/>
            <w:vAlign w:val="bottom"/>
          </w:tcPr>
          <w:p>
            <w:pPr>
              <w:spacing w:after="0"/>
              <w:rPr>
                <w:sz w:val="20"/>
                <w:szCs w:val="20"/>
                <w:color w:val="auto"/>
              </w:rPr>
            </w:pPr>
            <w:r>
              <w:rPr>
                <w:rFonts w:ascii="Arial" w:cs="Arial" w:eastAsia="Arial" w:hAnsi="Arial"/>
                <w:sz w:val="16"/>
                <w:szCs w:val="16"/>
                <w:color w:val="auto"/>
              </w:rPr>
              <w:t>Tier I capital (to risk-weighted assets)</w:t>
            </w: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5080" w:type="dxa"/>
            <w:vAlign w:val="bottom"/>
          </w:tcPr>
          <w:p>
            <w:pPr>
              <w:ind w:left="160"/>
              <w:spacing w:after="0"/>
              <w:rPr>
                <w:sz w:val="20"/>
                <w:szCs w:val="20"/>
                <w:color w:val="auto"/>
              </w:rPr>
            </w:pPr>
            <w:r>
              <w:rPr>
                <w:rFonts w:ascii="Arial" w:cs="Arial" w:eastAsia="Arial" w:hAnsi="Arial"/>
                <w:sz w:val="16"/>
                <w:szCs w:val="16"/>
                <w:color w:val="auto"/>
              </w:rPr>
              <w:t>Cass Information Systems, Inc.</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360"/>
              <w:spacing w:after="0"/>
              <w:rPr>
                <w:sz w:val="20"/>
                <w:szCs w:val="20"/>
                <w:color w:val="auto"/>
              </w:rPr>
            </w:pPr>
            <w:r>
              <w:rPr>
                <w:rFonts w:ascii="Arial" w:cs="Arial" w:eastAsia="Arial" w:hAnsi="Arial"/>
                <w:sz w:val="16"/>
                <w:szCs w:val="16"/>
                <w:color w:val="auto"/>
              </w:rPr>
              <w:t>245,477</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19.04%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243,388</w:t>
            </w:r>
          </w:p>
        </w:tc>
        <w:tc>
          <w:tcPr>
            <w:tcW w:w="78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215"/>
        </w:trPr>
        <w:tc>
          <w:tcPr>
            <w:tcW w:w="5080" w:type="dxa"/>
            <w:vAlign w:val="bottom"/>
          </w:tcPr>
          <w:p>
            <w:pPr>
              <w:ind w:left="160"/>
              <w:spacing w:after="0"/>
              <w:rPr>
                <w:sz w:val="20"/>
                <w:szCs w:val="20"/>
                <w:color w:val="auto"/>
              </w:rPr>
            </w:pPr>
            <w:r>
              <w:rPr>
                <w:rFonts w:ascii="Arial" w:cs="Arial" w:eastAsia="Arial" w:hAnsi="Arial"/>
                <w:sz w:val="16"/>
                <w:szCs w:val="16"/>
                <w:color w:val="auto"/>
              </w:rPr>
              <w:t>Cass Commercial Bank</w:t>
            </w:r>
          </w:p>
        </w:tc>
        <w:tc>
          <w:tcPr>
            <w:tcW w:w="170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Arial" w:cs="Arial" w:eastAsia="Arial" w:hAnsi="Arial"/>
                <w:sz w:val="16"/>
                <w:szCs w:val="16"/>
                <w:color w:val="auto"/>
              </w:rPr>
              <w:t>170,195</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20.97%</w:t>
            </w:r>
          </w:p>
        </w:tc>
        <w:tc>
          <w:tcPr>
            <w:tcW w:w="400" w:type="dxa"/>
            <w:vAlign w:val="bottom"/>
          </w:tcPr>
          <w:p>
            <w:pPr>
              <w:spacing w:after="0"/>
              <w:rPr>
                <w:sz w:val="18"/>
                <w:szCs w:val="18"/>
                <w:color w:val="auto"/>
              </w:rPr>
            </w:pP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161,300</w:t>
            </w:r>
          </w:p>
        </w:tc>
        <w:tc>
          <w:tcPr>
            <w:tcW w:w="78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Tier I capital (to leverage assets)</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5080" w:type="dxa"/>
            <w:vAlign w:val="bottom"/>
          </w:tcPr>
          <w:p>
            <w:pPr>
              <w:ind w:left="160"/>
              <w:spacing w:after="0"/>
              <w:rPr>
                <w:sz w:val="20"/>
                <w:szCs w:val="20"/>
                <w:color w:val="auto"/>
              </w:rPr>
            </w:pPr>
            <w:r>
              <w:rPr>
                <w:rFonts w:ascii="Arial" w:cs="Arial" w:eastAsia="Arial" w:hAnsi="Arial"/>
                <w:sz w:val="16"/>
                <w:szCs w:val="16"/>
                <w:color w:val="auto"/>
              </w:rPr>
              <w:t>Cass Information Systems, Inc.</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360"/>
              <w:spacing w:after="0"/>
              <w:rPr>
                <w:sz w:val="20"/>
                <w:szCs w:val="20"/>
                <w:color w:val="auto"/>
              </w:rPr>
            </w:pPr>
            <w:r>
              <w:rPr>
                <w:rFonts w:ascii="Arial" w:cs="Arial" w:eastAsia="Arial" w:hAnsi="Arial"/>
                <w:sz w:val="16"/>
                <w:szCs w:val="16"/>
                <w:color w:val="auto"/>
              </w:rPr>
              <w:t>245,477</w:t>
            </w:r>
          </w:p>
        </w:tc>
        <w:tc>
          <w:tcPr>
            <w:tcW w:w="1060" w:type="dxa"/>
            <w:vAlign w:val="bottom"/>
          </w:tcPr>
          <w:p>
            <w:pPr>
              <w:jc w:val="right"/>
              <w:ind w:right="198"/>
              <w:spacing w:after="0"/>
              <w:rPr>
                <w:sz w:val="20"/>
                <w:szCs w:val="20"/>
                <w:color w:val="auto"/>
              </w:rPr>
            </w:pPr>
            <w:r>
              <w:rPr>
                <w:rFonts w:ascii="Arial" w:cs="Arial" w:eastAsia="Arial" w:hAnsi="Arial"/>
                <w:sz w:val="16"/>
                <w:szCs w:val="16"/>
                <w:color w:val="auto"/>
              </w:rPr>
              <w:t>10.86%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7"/>
              <w:spacing w:after="0"/>
              <w:rPr>
                <w:sz w:val="20"/>
                <w:szCs w:val="20"/>
                <w:color w:val="auto"/>
              </w:rPr>
            </w:pPr>
            <w:r>
              <w:rPr>
                <w:rFonts w:ascii="Arial" w:cs="Arial" w:eastAsia="Arial" w:hAnsi="Arial"/>
                <w:sz w:val="16"/>
                <w:szCs w:val="16"/>
                <w:color w:val="auto"/>
              </w:rPr>
              <w:t>243,388</w:t>
            </w:r>
          </w:p>
        </w:tc>
        <w:tc>
          <w:tcPr>
            <w:tcW w:w="780" w:type="dxa"/>
            <w:vAlign w:val="bottom"/>
          </w:tcPr>
          <w:p>
            <w:pPr>
              <w:jc w:val="right"/>
              <w:spacing w:after="0"/>
              <w:rPr>
                <w:sz w:val="20"/>
                <w:szCs w:val="20"/>
                <w:color w:val="auto"/>
              </w:rPr>
            </w:pPr>
            <w:r>
              <w:rPr>
                <w:rFonts w:ascii="Arial" w:cs="Arial" w:eastAsia="Arial" w:hAnsi="Arial"/>
                <w:sz w:val="16"/>
                <w:szCs w:val="16"/>
                <w:color w:val="auto"/>
              </w:rPr>
              <w:t>11.52%</w:t>
            </w:r>
          </w:p>
        </w:tc>
      </w:tr>
      <w:tr>
        <w:trPr>
          <w:trHeight w:val="222"/>
        </w:trPr>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Cass Commercial Bank</w:t>
            </w:r>
          </w:p>
        </w:tc>
        <w:tc>
          <w:tcPr>
            <w:tcW w:w="1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170,195</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13.60%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color w:val="auto"/>
              </w:rPr>
              <w:t>161,300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is effective for fiscal periods beginning after December 15, 2019. The CARES Act was signed into law on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27, 2020 and included provisions that temporarily delayed the required implementation date of ASU 2016-13 to the earlier of the end of the national pandemic or December 31, 2020. The Consolidated Appropriations Act was signed into law on December 27, 2020 and extended the deferral of required implementation of ASU 2016-13 to the earlier of the first day of a company’s fiscal year that begins after the date the COVID-19 national emergency comes to an end or January 1, 2022. The</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Company elected to defer the adoption of ASU 2016-13 until December 31, 2020 with an effective date of January 1, 2020.</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ASU required measurement and recognition of expected credit losses for financial instruments held, as applicable, which include allowances for credit losses expected over the life of the portfolio, rather than incurred losses, which include allowances for current probable and estimable losses within the portfolio. Under this standard, the Company is required to hold an allowance equal to the expected life-of-loan losses on the loan portfolio. It also applies to off-balance sheet credit exposures such as loan commitments, standby letters of credit and other similar instruments. In addition, ASU 2016-13 made changes to the accounting for available-for-sale debt securities.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ASU 2016-13 using a modified retrospective approach. Results for annual reporting periods beginning after January 1, 2020 are presented under ASU 2016-13 while prior period amounts continue to be reported in accordance with previously applicable GAAP. Results for quarterly reporting periods beginning after December 31, 2020 in the Company’s Form 10-Q will be presented under ASU 2016-13 while prior quarterly period amounts continue to be reported in accordance with previously applicable GAAP. Upon adoption on January 1, 2020, the Company recognized increases of $723,000 in the allowance for credit losses and $402,000 in the reserve for unfunded commitments, with a corresponding reduction to retained earnings, net of tax, of $856,000. No credit loss allowance was required upon adoption for the investment securities portfolio.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The following table illustrates the impact of the adoption of ASU 2016-13:</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4"/>
              </w:rPr>
              <w:t>Impact of</w:t>
            </w:r>
          </w:p>
        </w:tc>
        <w:tc>
          <w:tcPr>
            <w:tcW w:w="300" w:type="dxa"/>
            <w:vAlign w:val="bottom"/>
          </w:tcPr>
          <w:p>
            <w:pPr>
              <w:spacing w:after="0"/>
              <w:rPr>
                <w:sz w:val="16"/>
                <w:szCs w:val="16"/>
                <w:color w:val="auto"/>
              </w:rPr>
            </w:pPr>
          </w:p>
        </w:tc>
        <w:tc>
          <w:tcPr>
            <w:tcW w:w="12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As Reported</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December</w:t>
            </w:r>
          </w:p>
        </w:tc>
        <w:tc>
          <w:tcPr>
            <w:tcW w:w="30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ASU 2016-13</w:t>
            </w:r>
          </w:p>
        </w:tc>
        <w:tc>
          <w:tcPr>
            <w:tcW w:w="3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Under ASU</w:t>
            </w:r>
          </w:p>
        </w:tc>
        <w:tc>
          <w:tcPr>
            <w:tcW w:w="0" w:type="dxa"/>
            <w:vAlign w:val="bottom"/>
          </w:tcPr>
          <w:p>
            <w:pPr>
              <w:spacing w:after="0"/>
              <w:rPr>
                <w:sz w:val="1"/>
                <w:szCs w:val="1"/>
                <w:color w:val="auto"/>
              </w:rPr>
            </w:pPr>
          </w:p>
        </w:tc>
      </w:t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31, 2019</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Adoption</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2016-13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520" w:type="dxa"/>
            <w:vAlign w:val="bottom"/>
          </w:tcPr>
          <w:p>
            <w:pPr>
              <w:spacing w:after="0" w:line="195"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8"/>
                <w:szCs w:val="18"/>
                <w:color w:val="auto"/>
              </w:rPr>
              <w:t>Allowance for credit/loan losses 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10,556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420"/>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4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2,298</w:t>
            </w:r>
          </w:p>
        </w:tc>
        <w:tc>
          <w:tcPr>
            <w:tcW w:w="3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40"/>
              <w:spacing w:after="0"/>
              <w:rPr>
                <w:sz w:val="20"/>
                <w:szCs w:val="20"/>
                <w:color w:val="auto"/>
              </w:rPr>
            </w:pPr>
            <w:r>
              <w:rPr>
                <w:rFonts w:ascii="Arial" w:cs="Arial" w:eastAsia="Arial" w:hAnsi="Arial"/>
                <w:sz w:val="18"/>
                <w:szCs w:val="18"/>
                <w:color w:val="auto"/>
              </w:rPr>
              <w:t>Reserve for unfunded commitments</w:t>
            </w:r>
          </w:p>
        </w:tc>
        <w:tc>
          <w:tcPr>
            <w:tcW w:w="2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90,341</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(856)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89,485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in the Company’s Annual Report on Form 10-K for the year ended December 31, 2020,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 from an immediate and sustained parallel change in interest rates of 200 basis points. The economic impact of the COVID-19 pandemic has introduced significant uncertainty and market volatility, which may result in the deterioration of the Company’s risk position since December 31, 2020.</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Second Quarter of 2020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7"/>
          <w:szCs w:val="17"/>
          <w:color w:val="auto"/>
        </w:rPr>
        <w:t>OTHER INFORMATION</w:t>
      </w: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in Part I, Item 1A of its Annual Report on Form 10-K for the year ended December 31, 2020, a description of certain risks and uncertainties that could affect the Company’s business, future performance or financial condition (the “Risk Factors”). There are no material changes to the Risk Factors as disclosed in the Company’s 2020 Annual Report on Form 10-K.</w:t>
      </w:r>
    </w:p>
    <w:p>
      <w:pPr>
        <w:spacing w:after="0" w:line="3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3" w:lineRule="exact"/>
        <w:rPr>
          <w:sz w:val="20"/>
          <w:szCs w:val="20"/>
          <w:color w:val="auto"/>
        </w:rPr>
      </w:pPr>
    </w:p>
    <w:p>
      <w:pPr>
        <w:ind w:left="1300" w:right="420"/>
        <w:spacing w:after="0" w:line="249" w:lineRule="auto"/>
        <w:rPr>
          <w:sz w:val="20"/>
          <w:szCs w:val="20"/>
          <w:color w:val="auto"/>
        </w:rPr>
      </w:pPr>
      <w:r>
        <w:rPr>
          <w:rFonts w:ascii="Arial" w:cs="Arial" w:eastAsia="Arial" w:hAnsi="Arial"/>
          <w:sz w:val="18"/>
          <w:szCs w:val="18"/>
          <w:color w:val="auto"/>
        </w:rPr>
        <w:t>During the three months ended June 30, 2021, the Company repurchased a total of 89,010 shares of its common stock pursuant to its treasury stock buyback program, as follows:</w:t>
      </w:r>
    </w:p>
    <w:tbl>
      <w:tblPr>
        <w:tblLayout w:type="fixed"/>
        <w:tblInd w:w="1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jc w:val="center"/>
              <w:ind w:right="73"/>
              <w:spacing w:after="0" w:line="203" w:lineRule="exact"/>
              <w:rPr>
                <w:sz w:val="20"/>
                <w:szCs w:val="20"/>
                <w:color w:val="auto"/>
              </w:rPr>
            </w:pPr>
            <w:r>
              <w:rPr>
                <w:rFonts w:ascii="Arial" w:cs="Arial" w:eastAsia="Arial" w:hAnsi="Arial"/>
                <w:sz w:val="18"/>
                <w:szCs w:val="18"/>
                <w:b w:val="1"/>
                <w:bCs w:val="1"/>
                <w:color w:val="auto"/>
                <w:w w:val="93"/>
              </w:rPr>
              <w:t>Total Number</w:t>
            </w:r>
          </w:p>
        </w:tc>
        <w:tc>
          <w:tcPr>
            <w:tcW w:w="136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6"/>
              </w:rPr>
              <w:t>Maximum</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87"/>
              </w:rPr>
              <w:t>of Shares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85"/>
              </w:rPr>
              <w:t>Purchased as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that</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91"/>
              </w:rPr>
              <w:t>Part of</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jc w:val="center"/>
              <w:ind w:left="315"/>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92"/>
              </w:rPr>
              <w:t>Publicly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jc w:val="center"/>
              <w:ind w:left="315"/>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88"/>
              </w:rPr>
              <w:t>Announced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60" w:type="dxa"/>
            <w:vAlign w:val="bottom"/>
          </w:tcPr>
          <w:p>
            <w:pPr>
              <w:jc w:val="center"/>
              <w:ind w:left="315"/>
              <w:spacing w:after="0"/>
              <w:rPr>
                <w:sz w:val="20"/>
                <w:szCs w:val="20"/>
                <w:color w:val="auto"/>
              </w:rPr>
            </w:pPr>
            <w:r>
              <w:rPr>
                <w:rFonts w:ascii="Arial" w:cs="Arial" w:eastAsia="Arial" w:hAnsi="Arial"/>
                <w:sz w:val="18"/>
                <w:szCs w:val="18"/>
                <w:b w:val="1"/>
                <w:bCs w:val="1"/>
                <w:color w:val="auto"/>
                <w:w w:val="86"/>
              </w:rPr>
              <w:t>Shares</w:t>
            </w:r>
          </w:p>
        </w:tc>
        <w:tc>
          <w:tcPr>
            <w:tcW w:w="1640" w:type="dxa"/>
            <w:vAlign w:val="bottom"/>
          </w:tcPr>
          <w:p>
            <w:pPr>
              <w:jc w:val="right"/>
              <w:ind w:right="256"/>
              <w:spacing w:after="0"/>
              <w:rPr>
                <w:sz w:val="20"/>
                <w:szCs w:val="20"/>
                <w:color w:val="auto"/>
              </w:rPr>
            </w:pPr>
            <w:r>
              <w:rPr>
                <w:rFonts w:ascii="Arial" w:cs="Arial" w:eastAsia="Arial" w:hAnsi="Arial"/>
                <w:sz w:val="18"/>
                <w:szCs w:val="18"/>
                <w:b w:val="1"/>
                <w:bCs w:val="1"/>
                <w:color w:val="auto"/>
              </w:rPr>
              <w:t>Average Price</w:t>
            </w:r>
          </w:p>
        </w:tc>
        <w:tc>
          <w:tcPr>
            <w:tcW w:w="1680" w:type="dxa"/>
            <w:vAlign w:val="bottom"/>
          </w:tcPr>
          <w:p>
            <w:pPr>
              <w:jc w:val="center"/>
              <w:ind w:right="33"/>
              <w:spacing w:after="0"/>
              <w:rPr>
                <w:sz w:val="20"/>
                <w:szCs w:val="20"/>
                <w:color w:val="auto"/>
              </w:rPr>
            </w:pPr>
            <w:r>
              <w:rPr>
                <w:rFonts w:ascii="Arial" w:cs="Arial" w:eastAsia="Arial" w:hAnsi="Arial"/>
                <w:sz w:val="18"/>
                <w:szCs w:val="18"/>
                <w:b w:val="1"/>
                <w:bCs w:val="1"/>
                <w:color w:val="auto"/>
                <w:w w:val="90"/>
              </w:rPr>
              <w:t>Plans or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r>
      <w:tr>
        <w:trPr>
          <w:trHeight w:val="269"/>
        </w:trPr>
        <w:tc>
          <w:tcPr>
            <w:tcW w:w="20" w:type="dxa"/>
            <w:vAlign w:val="bottom"/>
          </w:tcPr>
          <w:p>
            <w:pPr>
              <w:spacing w:after="0"/>
              <w:rPr>
                <w:sz w:val="23"/>
                <w:szCs w:val="23"/>
                <w:color w:val="auto"/>
              </w:rPr>
            </w:pPr>
          </w:p>
        </w:tc>
        <w:tc>
          <w:tcPr>
            <w:tcW w:w="280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Period</w:t>
            </w:r>
          </w:p>
        </w:tc>
        <w:tc>
          <w:tcPr>
            <w:tcW w:w="216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b w:val="1"/>
                <w:bCs w:val="1"/>
                <w:color w:val="auto"/>
                <w:w w:val="86"/>
              </w:rPr>
              <w:t>Purchased</w:t>
            </w:r>
          </w:p>
        </w:tc>
        <w:tc>
          <w:tcPr>
            <w:tcW w:w="16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Paid per Share</w:t>
            </w:r>
          </w:p>
        </w:tc>
        <w:tc>
          <w:tcPr>
            <w:tcW w:w="1680" w:type="dxa"/>
            <w:vAlign w:val="bottom"/>
            <w:tcBorders>
              <w:bottom w:val="single" w:sz="8" w:color="auto"/>
            </w:tcBorders>
          </w:tcPr>
          <w:p>
            <w:pPr>
              <w:jc w:val="center"/>
              <w:ind w:right="33"/>
              <w:spacing w:after="0" w:line="269"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9"/>
                <w:szCs w:val="29"/>
                <w:b w:val="1"/>
                <w:bCs w:val="1"/>
                <w:color w:val="auto"/>
                <w:w w:val="88"/>
                <w:vertAlign w:val="superscript"/>
              </w:rPr>
              <w:t>1</w:t>
            </w:r>
          </w:p>
        </w:tc>
        <w:tc>
          <w:tcPr>
            <w:tcW w:w="136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b w:val="1"/>
                <w:bCs w:val="1"/>
                <w:color w:val="auto"/>
                <w:w w:val="88"/>
              </w:rPr>
              <w:t>Programs</w:t>
            </w:r>
          </w:p>
        </w:tc>
      </w:tr>
      <w:tr>
        <w:trPr>
          <w:trHeight w:val="199"/>
        </w:trPr>
        <w:tc>
          <w:tcPr>
            <w:tcW w:w="2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April 1, 2021 – April 30, 2021</w:t>
            </w:r>
          </w:p>
        </w:tc>
        <w:tc>
          <w:tcPr>
            <w:tcW w:w="2160" w:type="dxa"/>
            <w:vAlign w:val="bottom"/>
          </w:tcPr>
          <w:p>
            <w:pPr>
              <w:jc w:val="right"/>
              <w:ind w:right="135"/>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36"/>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3"/>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434,622</w:t>
            </w:r>
          </w:p>
        </w:tc>
      </w:tr>
      <w:tr>
        <w:trPr>
          <w:trHeight w:val="206"/>
        </w:trPr>
        <w:tc>
          <w:tcPr>
            <w:tcW w:w="2820" w:type="dxa"/>
            <w:vAlign w:val="bottom"/>
            <w:gridSpan w:val="2"/>
          </w:tcPr>
          <w:p>
            <w:pPr>
              <w:spacing w:after="0"/>
              <w:rPr>
                <w:sz w:val="20"/>
                <w:szCs w:val="20"/>
                <w:color w:val="auto"/>
              </w:rPr>
            </w:pPr>
            <w:r>
              <w:rPr>
                <w:rFonts w:ascii="Arial" w:cs="Arial" w:eastAsia="Arial" w:hAnsi="Arial"/>
                <w:sz w:val="16"/>
                <w:szCs w:val="16"/>
                <w:color w:val="auto"/>
              </w:rPr>
              <w:t>May 1, 2021– May 31, 2021</w:t>
            </w:r>
          </w:p>
        </w:tc>
        <w:tc>
          <w:tcPr>
            <w:tcW w:w="2160" w:type="dxa"/>
            <w:vAlign w:val="bottom"/>
          </w:tcPr>
          <w:p>
            <w:pPr>
              <w:jc w:val="right"/>
              <w:ind w:right="135"/>
              <w:spacing w:after="0"/>
              <w:rPr>
                <w:sz w:val="20"/>
                <w:szCs w:val="20"/>
                <w:color w:val="auto"/>
              </w:rPr>
            </w:pPr>
            <w:r>
              <w:rPr>
                <w:rFonts w:ascii="Arial" w:cs="Arial" w:eastAsia="Arial" w:hAnsi="Arial"/>
                <w:sz w:val="16"/>
                <w:szCs w:val="16"/>
                <w:color w:val="auto"/>
              </w:rPr>
              <w:t>59,092</w:t>
            </w:r>
          </w:p>
        </w:tc>
        <w:tc>
          <w:tcPr>
            <w:tcW w:w="1640" w:type="dxa"/>
            <w:vAlign w:val="bottom"/>
          </w:tcPr>
          <w:p>
            <w:pPr>
              <w:jc w:val="right"/>
              <w:ind w:right="136"/>
              <w:spacing w:after="0"/>
              <w:rPr>
                <w:sz w:val="20"/>
                <w:szCs w:val="20"/>
                <w:color w:val="auto"/>
              </w:rPr>
            </w:pPr>
            <w:r>
              <w:rPr>
                <w:rFonts w:ascii="Arial" w:cs="Arial" w:eastAsia="Arial" w:hAnsi="Arial"/>
                <w:sz w:val="16"/>
                <w:szCs w:val="16"/>
                <w:color w:val="auto"/>
              </w:rPr>
              <w:t>44.78</w:t>
            </w:r>
          </w:p>
        </w:tc>
        <w:tc>
          <w:tcPr>
            <w:tcW w:w="1680" w:type="dxa"/>
            <w:vAlign w:val="bottom"/>
          </w:tcPr>
          <w:p>
            <w:pPr>
              <w:jc w:val="right"/>
              <w:ind w:right="193"/>
              <w:spacing w:after="0"/>
              <w:rPr>
                <w:sz w:val="20"/>
                <w:szCs w:val="20"/>
                <w:color w:val="auto"/>
              </w:rPr>
            </w:pPr>
            <w:r>
              <w:rPr>
                <w:rFonts w:ascii="Arial" w:cs="Arial" w:eastAsia="Arial" w:hAnsi="Arial"/>
                <w:sz w:val="16"/>
                <w:szCs w:val="16"/>
                <w:color w:val="auto"/>
              </w:rPr>
              <w:t>59,092</w:t>
            </w:r>
          </w:p>
        </w:tc>
        <w:tc>
          <w:tcPr>
            <w:tcW w:w="1360" w:type="dxa"/>
            <w:vAlign w:val="bottom"/>
          </w:tcPr>
          <w:p>
            <w:pPr>
              <w:jc w:val="right"/>
              <w:spacing w:after="0"/>
              <w:rPr>
                <w:sz w:val="20"/>
                <w:szCs w:val="20"/>
                <w:color w:val="auto"/>
              </w:rPr>
            </w:pPr>
            <w:r>
              <w:rPr>
                <w:rFonts w:ascii="Arial" w:cs="Arial" w:eastAsia="Arial" w:hAnsi="Arial"/>
                <w:sz w:val="16"/>
                <w:szCs w:val="16"/>
                <w:color w:val="auto"/>
              </w:rPr>
              <w:t>375,530</w:t>
            </w:r>
          </w:p>
        </w:tc>
      </w:tr>
      <w:tr>
        <w:trPr>
          <w:trHeight w:val="22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June 1, 2021 – June 30, 2021</w:t>
            </w:r>
          </w:p>
        </w:tc>
        <w:tc>
          <w:tcPr>
            <w:tcW w:w="21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color w:val="auto"/>
              </w:rPr>
              <w:t>29,918</w:t>
            </w:r>
          </w:p>
        </w:tc>
        <w:tc>
          <w:tcPr>
            <w:tcW w:w="164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color w:val="auto"/>
              </w:rPr>
              <w:t>45.25</w:t>
            </w: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color w:val="auto"/>
              </w:rPr>
              <w:t>29,918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345,612</w:t>
            </w:r>
          </w:p>
        </w:tc>
      </w:tr>
      <w:tr>
        <w:trPr>
          <w:trHeight w:val="206"/>
        </w:trPr>
        <w:tc>
          <w:tcPr>
            <w:tcW w:w="2820" w:type="dxa"/>
            <w:vAlign w:val="bottom"/>
            <w:gridSpan w:val="2"/>
          </w:tcPr>
          <w:p>
            <w:pPr>
              <w:spacing w:after="0"/>
              <w:rPr>
                <w:sz w:val="20"/>
                <w:szCs w:val="20"/>
                <w:color w:val="auto"/>
              </w:rPr>
            </w:pPr>
            <w:r>
              <w:rPr>
                <w:rFonts w:ascii="Arial" w:cs="Arial" w:eastAsia="Arial" w:hAnsi="Arial"/>
                <w:sz w:val="16"/>
                <w:szCs w:val="16"/>
                <w:color w:val="auto"/>
              </w:rPr>
              <w:t>Total</w:t>
            </w:r>
          </w:p>
        </w:tc>
        <w:tc>
          <w:tcPr>
            <w:tcW w:w="2160" w:type="dxa"/>
            <w:vAlign w:val="bottom"/>
          </w:tcPr>
          <w:p>
            <w:pPr>
              <w:jc w:val="right"/>
              <w:ind w:right="135"/>
              <w:spacing w:after="0"/>
              <w:rPr>
                <w:sz w:val="20"/>
                <w:szCs w:val="20"/>
                <w:color w:val="auto"/>
              </w:rPr>
            </w:pPr>
            <w:r>
              <w:rPr>
                <w:rFonts w:ascii="Arial" w:cs="Arial" w:eastAsia="Arial" w:hAnsi="Arial"/>
                <w:sz w:val="16"/>
                <w:szCs w:val="16"/>
                <w:color w:val="auto"/>
              </w:rPr>
              <w:t>89,010</w:t>
            </w:r>
          </w:p>
        </w:tc>
        <w:tc>
          <w:tcPr>
            <w:tcW w:w="1640" w:type="dxa"/>
            <w:vAlign w:val="bottom"/>
          </w:tcPr>
          <w:p>
            <w:pPr>
              <w:jc w:val="right"/>
              <w:ind w:right="136"/>
              <w:spacing w:after="0"/>
              <w:rPr>
                <w:sz w:val="20"/>
                <w:szCs w:val="20"/>
                <w:color w:val="auto"/>
              </w:rPr>
            </w:pPr>
            <w:r>
              <w:rPr>
                <w:rFonts w:ascii="Arial" w:cs="Arial" w:eastAsia="Arial" w:hAnsi="Arial"/>
                <w:sz w:val="16"/>
                <w:szCs w:val="16"/>
                <w:color w:val="auto"/>
              </w:rPr>
              <w:t>44.94</w:t>
            </w:r>
          </w:p>
        </w:tc>
        <w:tc>
          <w:tcPr>
            <w:tcW w:w="1680" w:type="dxa"/>
            <w:vAlign w:val="bottom"/>
          </w:tcPr>
          <w:p>
            <w:pPr>
              <w:jc w:val="right"/>
              <w:ind w:right="193"/>
              <w:spacing w:after="0"/>
              <w:rPr>
                <w:sz w:val="20"/>
                <w:szCs w:val="20"/>
                <w:color w:val="auto"/>
              </w:rPr>
            </w:pPr>
            <w:r>
              <w:rPr>
                <w:rFonts w:ascii="Arial" w:cs="Arial" w:eastAsia="Arial" w:hAnsi="Arial"/>
                <w:sz w:val="16"/>
                <w:szCs w:val="16"/>
                <w:color w:val="auto"/>
              </w:rPr>
              <w:t>89,010</w:t>
            </w:r>
          </w:p>
        </w:tc>
        <w:tc>
          <w:tcPr>
            <w:tcW w:w="1360" w:type="dxa"/>
            <w:vAlign w:val="bottom"/>
          </w:tcPr>
          <w:p>
            <w:pPr>
              <w:jc w:val="right"/>
              <w:spacing w:after="0"/>
              <w:rPr>
                <w:sz w:val="20"/>
                <w:szCs w:val="20"/>
                <w:color w:val="auto"/>
              </w:rPr>
            </w:pPr>
            <w:r>
              <w:rPr>
                <w:rFonts w:ascii="Arial" w:cs="Arial" w:eastAsia="Arial" w:hAnsi="Arial"/>
                <w:sz w:val="16"/>
                <w:szCs w:val="16"/>
                <w:color w:val="auto"/>
              </w:rPr>
              <w:t>345,612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5715</wp:posOffset>
            </wp:positionV>
            <wp:extent cx="61321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32195" cy="8255"/>
                    </a:xfrm>
                    <a:prstGeom prst="rect">
                      <a:avLst/>
                    </a:prstGeom>
                    <a:noFill/>
                  </pic:spPr>
                </pic:pic>
              </a:graphicData>
            </a:graphic>
          </wp:anchor>
        </w:drawing>
      </w:r>
    </w:p>
    <w:p>
      <w:pPr>
        <w:ind w:left="1620" w:right="1020" w:hanging="319"/>
        <w:spacing w:after="0" w:line="317" w:lineRule="auto"/>
        <w:tabs>
          <w:tab w:leader="none" w:pos="1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repurchases made during the quarter ended June 30, 2021 were made pursuant to the treasury stock buyback program, which was authorized by the Board of Directors on October 17, 2011 and announced by the Company on October 20, 2011. The program, as modified by the Board of Directors on October 20, 2014, provides that the Company may repurchase up to an aggregate of 500,000 shares of common stock and has no expiration date. The program is periodically modified by the Board of Directors and was most recently modified on October 20, 2020 to restore the aggregate number of shares available for repurchase to 500,000.</w:t>
      </w: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3" w:lineRule="exact"/>
        <w:rPr>
          <w:sz w:val="20"/>
          <w:szCs w:val="20"/>
          <w:color w:val="auto"/>
        </w:rPr>
      </w:pPr>
    </w:p>
    <w:p>
      <w:pPr>
        <w:ind w:left="1940" w:hanging="639"/>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8" w:lineRule="exact"/>
        <w:rPr>
          <w:rFonts w:ascii="Arial" w:cs="Arial" w:eastAsia="Arial" w:hAnsi="Arial"/>
          <w:sz w:val="18"/>
          <w:szCs w:val="18"/>
          <w:color w:val="auto"/>
        </w:rPr>
      </w:pPr>
    </w:p>
    <w:p>
      <w:pPr>
        <w:ind w:left="1940" w:right="20" w:hanging="639"/>
        <w:spacing w:after="0" w:line="259" w:lineRule="auto"/>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Second Quarter of 2021.</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224" w:lineRule="exact"/>
        <w:rPr>
          <w:sz w:val="20"/>
          <w:szCs w:val="20"/>
          <w:color w:val="auto"/>
        </w:rPr>
      </w:pPr>
    </w:p>
    <w:p>
      <w:pPr>
        <w:ind w:left="13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 31.1 Certification Pursuant to Section 302 of the Sarbanes-Oxley Act of 2002.</w:t>
        </w:r>
      </w:hyperlink>
    </w:p>
    <w:p>
      <w:pPr>
        <w:spacing w:after="0" w:line="224" w:lineRule="exact"/>
        <w:rPr>
          <w:sz w:val="20"/>
          <w:szCs w:val="20"/>
          <w:color w:val="auto"/>
        </w:rPr>
      </w:pPr>
    </w:p>
    <w:p>
      <w:pPr>
        <w:ind w:left="13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 31.2 Certification Pursuant to Section 302 of the Sarbanes-Oxley Act of 2002.</w:t>
        </w:r>
      </w:hyperlink>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1" w:lineRule="exact"/>
        <w:rPr>
          <w:sz w:val="20"/>
          <w:szCs w:val="20"/>
          <w:color w:val="auto"/>
        </w:rPr>
      </w:pPr>
    </w:p>
    <w:p>
      <w:pPr>
        <w:ind w:left="130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Exhibit 32.1 Certification Pursuant to 18 U.S.C. Section 1350, as Adopted Pursuant to Section 906 of the Sarbanes-Oxley Act of 2002.</w:t>
        </w:r>
      </w:hyperlink>
    </w:p>
    <w:p>
      <w:pPr>
        <w:spacing w:after="0" w:line="247" w:lineRule="exact"/>
        <w:rPr>
          <w:sz w:val="20"/>
          <w:szCs w:val="20"/>
          <w:color w:val="auto"/>
        </w:rPr>
      </w:pPr>
    </w:p>
    <w:p>
      <w:pPr>
        <w:ind w:left="130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Exhibit 32.2 Certification Pursuant to 18 U.S.C. Section 1350, as Adopted Pursuant to Section 906 of the Sarbanes-Oxley Act of 2002.</w:t>
        </w:r>
      </w:hyperlink>
    </w:p>
    <w:p>
      <w:pPr>
        <w:spacing w:after="0" w:line="247" w:lineRule="exact"/>
        <w:rPr>
          <w:sz w:val="20"/>
          <w:szCs w:val="20"/>
          <w:color w:val="auto"/>
        </w:rPr>
      </w:pPr>
    </w:p>
    <w:p>
      <w:pPr>
        <w:ind w:left="1300"/>
        <w:spacing w:after="0" w:line="276"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020"/>
          </w:cols>
          <w:pgMar w:left="320" w:top="646"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280" w:firstLine="646"/>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7640" w:type="dxa"/>
            <w:vAlign w:val="bottom"/>
            <w:gridSpan w:val="2"/>
          </w:tcPr>
          <w:p>
            <w:pPr>
              <w:ind w:left="1920"/>
              <w:spacing w:after="0"/>
              <w:rPr>
                <w:sz w:val="20"/>
                <w:szCs w:val="20"/>
                <w:color w:val="auto"/>
              </w:rPr>
            </w:pPr>
            <w:r>
              <w:rPr>
                <w:rFonts w:ascii="Arial" w:cs="Arial" w:eastAsia="Arial" w:hAnsi="Arial"/>
                <w:sz w:val="18"/>
                <w:szCs w:val="18"/>
                <w:color w:val="auto"/>
              </w:rPr>
              <w:t>CASS INFORMATION SYSTEMS, INC.</w:t>
            </w:r>
          </w:p>
        </w:tc>
      </w:tr>
      <w:tr>
        <w:trPr>
          <w:trHeight w:val="431"/>
        </w:trPr>
        <w:tc>
          <w:tcPr>
            <w:tcW w:w="3600" w:type="dxa"/>
            <w:vAlign w:val="bottom"/>
          </w:tcPr>
          <w:p>
            <w:pPr>
              <w:spacing w:after="0"/>
              <w:rPr>
                <w:sz w:val="20"/>
                <w:szCs w:val="20"/>
                <w:color w:val="auto"/>
              </w:rPr>
            </w:pPr>
            <w:r>
              <w:rPr>
                <w:rFonts w:ascii="Arial" w:cs="Arial" w:eastAsia="Arial" w:hAnsi="Arial"/>
                <w:sz w:val="18"/>
                <w:szCs w:val="18"/>
                <w:color w:val="auto"/>
              </w:rPr>
              <w:t>DATE: August 5, 2021</w:t>
            </w:r>
          </w:p>
        </w:tc>
        <w:tc>
          <w:tcPr>
            <w:tcW w:w="23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Eric H. Brunngraber</w:t>
            </w:r>
          </w:p>
        </w:tc>
      </w:tr>
      <w:tr>
        <w:trPr>
          <w:trHeight w:val="195"/>
        </w:trPr>
        <w:tc>
          <w:tcPr>
            <w:tcW w:w="3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60" w:type="dxa"/>
            <w:vAlign w:val="bottom"/>
          </w:tcPr>
          <w:p>
            <w:pPr>
              <w:jc w:val="center"/>
              <w:spacing w:after="0" w:line="195" w:lineRule="exact"/>
              <w:rPr>
                <w:sz w:val="20"/>
                <w:szCs w:val="20"/>
                <w:color w:val="auto"/>
              </w:rPr>
            </w:pPr>
            <w:r>
              <w:rPr>
                <w:rFonts w:ascii="Arial" w:cs="Arial" w:eastAsia="Arial" w:hAnsi="Arial"/>
                <w:sz w:val="18"/>
                <w:szCs w:val="18"/>
                <w:color w:val="auto"/>
                <w:w w:val="91"/>
              </w:rPr>
              <w:t>Eric H. Brunngraber</w:t>
            </w:r>
          </w:p>
        </w:tc>
      </w:tr>
      <w:tr>
        <w:trPr>
          <w:trHeight w:val="215"/>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30"/>
        </w:trPr>
        <w:tc>
          <w:tcPr>
            <w:tcW w:w="3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862"/>
        </w:trPr>
        <w:tc>
          <w:tcPr>
            <w:tcW w:w="3600" w:type="dxa"/>
            <w:vAlign w:val="bottom"/>
          </w:tcPr>
          <w:p>
            <w:pPr>
              <w:spacing w:after="0"/>
              <w:rPr>
                <w:sz w:val="20"/>
                <w:szCs w:val="20"/>
                <w:color w:val="auto"/>
              </w:rPr>
            </w:pPr>
            <w:r>
              <w:rPr>
                <w:rFonts w:ascii="Arial" w:cs="Arial" w:eastAsia="Arial" w:hAnsi="Arial"/>
                <w:sz w:val="18"/>
                <w:szCs w:val="18"/>
                <w:color w:val="auto"/>
              </w:rPr>
              <w:t>DATE: August 5, 2021</w:t>
            </w:r>
          </w:p>
        </w:tc>
        <w:tc>
          <w:tcPr>
            <w:tcW w:w="2380" w:type="dxa"/>
            <w:vAlign w:val="bottom"/>
          </w:tcPr>
          <w:p>
            <w:pPr>
              <w:ind w:left="192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0</wp:posOffset>
            </wp:positionV>
            <wp:extent cx="33439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43910" cy="8255"/>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8"/>
          <w:szCs w:val="18"/>
          <w:color w:val="auto"/>
        </w:rPr>
        <w:t>Michael J. Normile</w:t>
      </w:r>
    </w:p>
    <w:p>
      <w:pPr>
        <w:spacing w:after="0" w:line="2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9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4"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4" w:lineRule="exact"/>
        <w:rPr>
          <w:rFonts w:ascii="Arial" w:cs="Arial" w:eastAsia="Arial" w:hAnsi="Arial"/>
          <w:sz w:val="18"/>
          <w:szCs w:val="18"/>
          <w:color w:val="auto"/>
        </w:rPr>
      </w:pPr>
    </w:p>
    <w:p>
      <w:pPr>
        <w:jc w:val="both"/>
        <w:ind w:left="260" w:hanging="252"/>
        <w:spacing w:after="0" w:line="341"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6"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hanging="249"/>
        <w:spacing w:after="0" w:line="263"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hanging="249"/>
        <w:spacing w:after="0" w:line="263"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hanging="249"/>
        <w:spacing w:after="0" w:line="306" w:lineRule="auto"/>
        <w:tabs>
          <w:tab w:leader="none" w:pos="5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7"/>
          <w:szCs w:val="17"/>
          <w:color w:val="auto"/>
        </w:rPr>
      </w:pPr>
    </w:p>
    <w:p>
      <w:pPr>
        <w:jc w:val="both"/>
        <w:ind w:left="580" w:hanging="249"/>
        <w:spacing w:after="0" w:line="263"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6"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580" w:hanging="249"/>
        <w:spacing w:after="0" w:line="276"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hanging="249"/>
        <w:spacing w:after="0" w:line="276"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5080</wp:posOffset>
            </wp:positionV>
            <wp:extent cx="2352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52040" cy="8255"/>
                    </a:xfrm>
                    <a:prstGeom prst="rect">
                      <a:avLst/>
                    </a:prstGeom>
                    <a:noFill/>
                  </pic:spPr>
                </pic:pic>
              </a:graphicData>
            </a:graphic>
          </wp:anchor>
        </w:drawing>
      </w:r>
    </w:p>
    <w:p>
      <w:pPr>
        <w:ind w:left="7540"/>
        <w:spacing w:after="0"/>
        <w:rPr>
          <w:sz w:val="20"/>
          <w:szCs w:val="20"/>
          <w:color w:val="auto"/>
        </w:rPr>
      </w:pPr>
      <w:r>
        <w:rPr>
          <w:rFonts w:ascii="Arial" w:cs="Arial" w:eastAsia="Arial" w:hAnsi="Arial"/>
          <w:sz w:val="18"/>
          <w:szCs w:val="18"/>
          <w:color w:val="auto"/>
        </w:rPr>
        <w:t>Eric H. Brunngraber</w:t>
      </w:r>
    </w:p>
    <w:p>
      <w:pPr>
        <w:spacing w:after="0" w:line="2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Chairman, President, and Chief</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Executive Officer)</w:t>
      </w: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Michael J. Normile, certify that:</w:t>
      </w:r>
    </w:p>
    <w:p>
      <w:pPr>
        <w:spacing w:after="0" w:line="224"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3" w:lineRule="exact"/>
        <w:rPr>
          <w:rFonts w:ascii="Arial" w:cs="Arial" w:eastAsia="Arial" w:hAnsi="Arial"/>
          <w:sz w:val="18"/>
          <w:szCs w:val="18"/>
          <w:color w:val="auto"/>
        </w:rPr>
      </w:pPr>
    </w:p>
    <w:p>
      <w:pPr>
        <w:jc w:val="both"/>
        <w:ind w:left="260" w:hanging="252"/>
        <w:spacing w:after="0" w:line="341"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hanging="252"/>
        <w:spacing w:after="0" w:line="276"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hanging="249"/>
        <w:spacing w:after="0" w:line="263" w:lineRule="auto"/>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hanging="249"/>
        <w:spacing w:after="0" w:line="263" w:lineRule="auto"/>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hanging="249"/>
        <w:spacing w:after="0" w:line="306" w:lineRule="auto"/>
        <w:tabs>
          <w:tab w:leader="none" w:pos="5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7"/>
          <w:szCs w:val="17"/>
          <w:color w:val="auto"/>
        </w:rPr>
      </w:pPr>
    </w:p>
    <w:p>
      <w:pPr>
        <w:jc w:val="both"/>
        <w:ind w:left="580" w:hanging="249"/>
        <w:spacing w:after="0" w:line="263" w:lineRule="auto"/>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hanging="252"/>
        <w:spacing w:after="0" w:line="306"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17"/>
          <w:szCs w:val="17"/>
          <w:color w:val="auto"/>
        </w:rPr>
      </w:pPr>
    </w:p>
    <w:p>
      <w:pPr>
        <w:ind w:left="660" w:hanging="329"/>
        <w:spacing w:after="0" w:line="276"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9"/>
        <w:spacing w:after="0" w:line="276"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5080</wp:posOffset>
            </wp:positionV>
            <wp:extent cx="256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Michael J. Normile</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2021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66" w:lineRule="exact"/>
        <w:rPr>
          <w:sz w:val="20"/>
          <w:szCs w:val="20"/>
          <w:color w:val="auto"/>
        </w:rPr>
      </w:pPr>
    </w:p>
    <w:p>
      <w:pPr>
        <w:ind w:left="980" w:hanging="32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980" w:right="620" w:hanging="326"/>
        <w:spacing w:after="0" w:line="27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14605</wp:posOffset>
            </wp:positionV>
            <wp:extent cx="24206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Eric H. Brunngraber</w:t>
      </w:r>
    </w:p>
    <w:p>
      <w:pPr>
        <w:spacing w:after="0" w:line="2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Chairman, President, and Chief Executive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August 5, 2021</w:t>
      </w:r>
    </w:p>
    <w:p>
      <w:pPr>
        <w:spacing w:after="0" w:line="200" w:lineRule="exact"/>
        <w:rPr>
          <w:sz w:val="20"/>
          <w:szCs w:val="20"/>
          <w:color w:val="auto"/>
        </w:rPr>
      </w:pPr>
    </w:p>
    <w:p>
      <w:pPr>
        <w:spacing w:after="0" w:line="225"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6"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2021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66" w:lineRule="exact"/>
        <w:rPr>
          <w:sz w:val="20"/>
          <w:szCs w:val="20"/>
          <w:color w:val="auto"/>
        </w:rPr>
      </w:pPr>
    </w:p>
    <w:p>
      <w:pPr>
        <w:ind w:left="980" w:hanging="32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980" w:right="620" w:hanging="326"/>
        <w:spacing w:after="0" w:line="27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14605</wp:posOffset>
            </wp:positionV>
            <wp:extent cx="2565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J. Normile</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August 5, 2021</w:t>
      </w:r>
    </w:p>
    <w:p>
      <w:pPr>
        <w:spacing w:after="0" w:line="200" w:lineRule="exact"/>
        <w:rPr>
          <w:sz w:val="20"/>
          <w:szCs w:val="20"/>
          <w:color w:val="auto"/>
        </w:rPr>
      </w:pPr>
    </w:p>
    <w:p>
      <w:pPr>
        <w:spacing w:after="0" w:line="225"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2021-08-05T14:16:45Z</dcterms:created>
  <dcterms:modified xsi:type="dcterms:W3CDTF">2021-08-05T14:16:45Z</dcterms:modified>
</cp:coreProperties>
</file>