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left"/>
        <w:rPr/>
      </w:pPr>
      <w:hyperlink w:anchor="i6c4b0e535bdf4b388323ae8e08430aa2_7">
        <w:r>
          <w:rPr>
            <w:rStyle w:val="InternetLink"/>
            <w:rFonts w:ascii="Times New Roman;sans-serif" w:hAnsi="Times New Roman;sans-serif"/>
            <w:b/>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AND EXCHANGE COMMISSION</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WASHINGTON, DC 20549</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bidi w:val="0"/>
        <w:spacing w:lineRule="auto" w:line="276" w:before="60" w:after="283"/>
        <w:jc w:val="center"/>
        <w:rPr>
          <w:rFonts w:ascii="Times New Roman;sans-serif" w:hAnsi="Times New Roman;sans-serif"/>
          <w:b/>
          <w:color w:val="000000"/>
          <w:sz w:val="24"/>
        </w:rPr>
      </w:pPr>
      <w:r>
        <w:rPr>
          <w:rFonts w:ascii="Times New Roman;sans-serif" w:hAnsi="Times New Roman;sans-serif"/>
          <w:b/>
          <w:color w:val="000000"/>
          <w:sz w:val="24"/>
        </w:rPr>
        <w:t>FORM 10-Q</w:t>
      </w:r>
    </w:p>
    <w:tbl>
      <w:tblPr>
        <w:tblW w:w="10034" w:type="dxa"/>
        <w:jc w:val="left"/>
        <w:tblInd w:w="0" w:type="dxa"/>
        <w:tblLayout w:type="fixed"/>
        <w:tblCellMar>
          <w:top w:w="28" w:type="dxa"/>
          <w:left w:w="28" w:type="dxa"/>
          <w:bottom w:w="28" w:type="dxa"/>
          <w:right w:w="28" w:type="dxa"/>
        </w:tblCellMar>
      </w:tblPr>
      <w:tblGrid>
        <w:gridCol w:w="190"/>
        <w:gridCol w:w="167"/>
        <w:gridCol w:w="167"/>
        <w:gridCol w:w="2786"/>
        <w:gridCol w:w="2786"/>
        <w:gridCol w:w="3938"/>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38"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 xml:space="preserve">x </w:t>
            </w:r>
          </w:p>
        </w:tc>
        <w:tc>
          <w:tcPr>
            <w:tcW w:w="95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QUARTERLY REPORT PURSUANT TO SECTION 13 or 15(d) OF THE SECURITIES EXCHANGE ACT OF 1934 </w:t>
            </w:r>
          </w:p>
        </w:tc>
      </w:tr>
      <w:tr>
        <w:trPr/>
        <w:tc>
          <w:tcPr>
            <w:tcW w:w="1003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 xml:space="preserve">For the quarterly period ended </w:t>
            </w:r>
            <w:r>
              <w:rPr>
                <w:rFonts w:ascii="Times New Roman;sans-serif" w:hAnsi="Times New Roman;sans-serif"/>
                <w:b w:val="false"/>
                <w:color w:val="000000"/>
                <w:sz w:val="20"/>
                <w:u w:val="single"/>
              </w:rPr>
              <w:t>September 30, 2024</w:t>
            </w:r>
          </w:p>
        </w:tc>
      </w:tr>
      <w:tr>
        <w:trPr/>
        <w:tc>
          <w:tcPr>
            <w:tcW w:w="1003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4" w:type="dxa"/>
            <w:gridSpan w:val="6"/>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OR </w:t>
            </w:r>
          </w:p>
        </w:tc>
      </w:tr>
      <w:tr>
        <w:trPr/>
        <w:tc>
          <w:tcPr>
            <w:tcW w:w="1003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5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TRANSITION REPORT PURSUANT TO SECTION 13 OR 15(d) OF THE SECURITIES EXCHANGE ACT OF 1934 </w:t>
            </w:r>
          </w:p>
        </w:tc>
      </w:tr>
      <w:tr>
        <w:trPr/>
        <w:tc>
          <w:tcPr>
            <w:tcW w:w="1003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__________ to __________</w:t>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Commission File No. 000-20827</w:t>
      </w:r>
    </w:p>
    <w:p>
      <w:pPr>
        <w:pStyle w:val="TextBody"/>
        <w:bidi w:val="0"/>
        <w:spacing w:lineRule="auto" w:line="288" w:before="120" w:after="283"/>
        <w:jc w:val="center"/>
        <w:rPr>
          <w:rFonts w:ascii="Arial;sans-serif" w:hAnsi="Arial;sans-serif"/>
          <w:b w:val="false"/>
          <w:color w:val="000000"/>
          <w:sz w:val="24"/>
        </w:rPr>
      </w:pPr>
      <w:r>
        <w:rPr>
          <w:rFonts w:ascii="Arial;sans-serif" w:hAnsi="Arial;sans-serif"/>
          <w:b w:val="false"/>
          <w:color w:val="000000"/>
          <w:sz w:val="24"/>
        </w:rPr>
        <w:t>____________________</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CASS INFORMATION SYSTEMS, INC.</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7108" w:type="dxa"/>
        <w:jc w:val="center"/>
        <w:tblInd w:w="0" w:type="dxa"/>
        <w:tblLayout w:type="fixed"/>
        <w:tblCellMar>
          <w:top w:w="28" w:type="dxa"/>
          <w:left w:w="28" w:type="dxa"/>
          <w:bottom w:w="28" w:type="dxa"/>
          <w:right w:w="28" w:type="dxa"/>
        </w:tblCellMar>
      </w:tblPr>
      <w:tblGrid>
        <w:gridCol w:w="1458"/>
        <w:gridCol w:w="1281"/>
        <w:gridCol w:w="1295"/>
        <w:gridCol w:w="897"/>
        <w:gridCol w:w="897"/>
        <w:gridCol w:w="1280"/>
      </w:tblGrid>
      <w:tr>
        <w:trPr/>
        <w:tc>
          <w:tcPr>
            <w:tcW w:w="1458"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Missouri</w:t>
            </w:r>
          </w:p>
        </w:tc>
        <w:tc>
          <w:tcPr>
            <w:tcW w:w="30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43-1265338</w:t>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(State or other jurisdiction of incorporation or </w:t>
              <w:br/>
              <w:t xml:space="preserve">organization) </w:t>
            </w:r>
          </w:p>
        </w:tc>
        <w:tc>
          <w:tcPr>
            <w:tcW w:w="30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(I.R.S. Employer Identification No.) </w:t>
            </w:r>
          </w:p>
        </w:tc>
      </w:tr>
      <w:tr>
        <w:trPr/>
        <w:tc>
          <w:tcPr>
            <w:tcW w:w="403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12444 Powerscourt Drive, Suite 550</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St. Louis, Missouri</w:t>
            </w:r>
          </w:p>
        </w:tc>
        <w:tc>
          <w:tcPr>
            <w:tcW w:w="30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63131</w:t>
            </w:r>
          </w:p>
        </w:tc>
      </w:tr>
      <w:tr>
        <w:trPr/>
        <w:tc>
          <w:tcPr>
            <w:tcW w:w="40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(Address of principal executive offices) </w:t>
            </w:r>
          </w:p>
        </w:tc>
        <w:tc>
          <w:tcPr>
            <w:tcW w:w="30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(Zip Code) </w:t>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(314) 506-5500</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557" w:type="dxa"/>
        <w:jc w:val="center"/>
        <w:tblInd w:w="0" w:type="dxa"/>
        <w:tblLayout w:type="fixed"/>
        <w:tblCellMar>
          <w:top w:w="28" w:type="dxa"/>
          <w:left w:w="28" w:type="dxa"/>
          <w:bottom w:w="28" w:type="dxa"/>
          <w:right w:w="28" w:type="dxa"/>
        </w:tblCellMar>
      </w:tblPr>
      <w:tblGrid>
        <w:gridCol w:w="955"/>
        <w:gridCol w:w="836"/>
        <w:gridCol w:w="848"/>
        <w:gridCol w:w="109"/>
        <w:gridCol w:w="109"/>
        <w:gridCol w:w="109"/>
        <w:gridCol w:w="504"/>
        <w:gridCol w:w="504"/>
        <w:gridCol w:w="506"/>
        <w:gridCol w:w="109"/>
        <w:gridCol w:w="109"/>
        <w:gridCol w:w="109"/>
        <w:gridCol w:w="1098"/>
        <w:gridCol w:w="1098"/>
        <w:gridCol w:w="1554"/>
      </w:tblGrid>
      <w:tr>
        <w:trPr/>
        <w:tc>
          <w:tcPr>
            <w:tcW w:w="955"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Title of each class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Trading symbols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Name of each exchange on which registered </w:t>
            </w:r>
          </w:p>
        </w:tc>
      </w:tr>
      <w:tr>
        <w:trPr/>
        <w:tc>
          <w:tcPr>
            <w:tcW w:w="2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par value $.50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CASS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Nasdaq Global Select Market </w:t>
            </w:r>
          </w:p>
        </w:tc>
      </w:tr>
    </w:tbl>
    <w:p>
      <w:pPr>
        <w:pStyle w:val="TextBody"/>
        <w:bidi w:val="0"/>
        <w:spacing w:lineRule="auto" w:line="288" w:before="120" w:after="283"/>
        <w:ind w:left="0" w:right="0" w:firstLine="360"/>
        <w:jc w:val="center"/>
        <w:rPr>
          <w:rFonts w:ascii="Arial;sans-serif" w:hAnsi="Arial;sans-serif"/>
          <w:b w:val="false"/>
          <w:color w:val="000000"/>
          <w:sz w:val="24"/>
        </w:rPr>
      </w:pPr>
      <w:r>
        <w:rPr>
          <w:rFonts w:ascii="Arial;sans-serif" w:hAnsi="Arial;sans-serif"/>
          <w:b w:val="false"/>
          <w:color w:val="000000"/>
          <w:sz w:val="24"/>
        </w:rPr>
        <w:t>____________________</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8516" w:type="dxa"/>
        <w:jc w:val="center"/>
        <w:tblInd w:w="0" w:type="dxa"/>
        <w:tblLayout w:type="fixed"/>
        <w:tblCellMar>
          <w:top w:w="28" w:type="dxa"/>
          <w:left w:w="28" w:type="dxa"/>
          <w:bottom w:w="28" w:type="dxa"/>
          <w:right w:w="28" w:type="dxa"/>
        </w:tblCellMar>
      </w:tblPr>
      <w:tblGrid>
        <w:gridCol w:w="743"/>
        <w:gridCol w:w="654"/>
        <w:gridCol w:w="658"/>
        <w:gridCol w:w="109"/>
        <w:gridCol w:w="109"/>
        <w:gridCol w:w="109"/>
        <w:gridCol w:w="824"/>
        <w:gridCol w:w="824"/>
        <w:gridCol w:w="827"/>
        <w:gridCol w:w="160"/>
        <w:gridCol w:w="160"/>
        <w:gridCol w:w="160"/>
        <w:gridCol w:w="809"/>
        <w:gridCol w:w="809"/>
        <w:gridCol w:w="812"/>
        <w:gridCol w:w="109"/>
        <w:gridCol w:w="109"/>
        <w:gridCol w:w="531"/>
      </w:tblGrid>
      <w:tr>
        <w:trPr/>
        <w:tc>
          <w:tcPr>
            <w:tcW w:w="74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ind w:left="0" w:right="0" w:firstLine="400"/>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47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Accelerated Filer </w:t>
            </w:r>
          </w:p>
        </w:tc>
        <w:tc>
          <w:tcPr>
            <w:tcW w:w="480"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Wingdings;sans-serif" w:hAnsi="Wingdings;sans-serif"/>
                <w:b w:val="false"/>
                <w:color w:val="000000"/>
                <w:sz w:val="20"/>
              </w:rPr>
              <w:t>x</w:t>
            </w:r>
            <w:r>
              <w:rPr>
                <w:color w:val="000000"/>
              </w:rPr>
              <w:t xml:space="preserve"> </w:t>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4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Smaller Reporting Company </w:t>
            </w:r>
          </w:p>
        </w:tc>
        <w:tc>
          <w:tcPr>
            <w:tcW w:w="4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 xml:space="preserve">o </w:t>
            </w:r>
          </w:p>
        </w:tc>
        <w:tc>
          <w:tcPr>
            <w:tcW w:w="24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Emerging Growth Company </w:t>
            </w:r>
          </w:p>
        </w:tc>
        <w:tc>
          <w:tcPr>
            <w:tcW w:w="7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w:t>
      </w:r>
    </w:p>
    <w:p>
      <w:pPr>
        <w:pStyle w:val="TextBody"/>
        <w:bidi w:val="0"/>
        <w:spacing w:lineRule="auto" w:line="288" w:before="200" w:after="283"/>
        <w:ind w:left="0" w:right="0" w:firstLine="720"/>
        <w:jc w:val="left"/>
        <w:rPr/>
      </w:pPr>
      <w:r>
        <w:rPr>
          <w:rFonts w:ascii="Times New Roman;sans-serif" w:hAnsi="Times New Roman;sans-serif"/>
          <w:b w:val="false"/>
          <w:color w:val="000000"/>
          <w:sz w:val="20"/>
        </w:rPr>
        <w:t>Yes     ☐                 No    </w:t>
      </w:r>
      <w:r>
        <w:rPr>
          <w:rFonts w:ascii="Wingdings;sans-serif" w:hAnsi="Wingdings;sans-serif"/>
          <w:b w:val="false"/>
          <w:color w:val="000000"/>
          <w:sz w:val="20"/>
        </w:rPr>
        <w:t>x</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shares outstanding of the registrant's only class of common stock as of November 7, 2024: Common stock, par value $.50 per share – 13,569,245 shares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76" w:before="0" w:after="0"/>
        <w:jc w:val="left"/>
        <w:rPr/>
      </w:pPr>
      <w:hyperlink w:anchor="i6c4b0e535bdf4b388323ae8e08430aa2_7">
        <w:r>
          <w:rPr>
            <w:rStyle w:val="InternetLink"/>
            <w:rFonts w:ascii="Times New Roman;sans-serif" w:hAnsi="Times New Roman;sans-serif"/>
            <w:b/>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502"/>
        <w:gridCol w:w="407"/>
        <w:gridCol w:w="407"/>
        <w:gridCol w:w="2846"/>
        <w:gridCol w:w="2822"/>
        <w:gridCol w:w="2847"/>
        <w:gridCol w:w="109"/>
        <w:gridCol w:w="109"/>
        <w:gridCol w:w="156"/>
      </w:tblGrid>
      <w:tr>
        <w:trPr/>
        <w:tc>
          <w:tcPr>
            <w:tcW w:w="502"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846" w:type="dxa"/>
            <w:tcBorders/>
            <w:vAlign w:val="center"/>
          </w:tcPr>
          <w:p>
            <w:pPr>
              <w:pStyle w:val="TableContents"/>
              <w:bidi w:val="0"/>
              <w:spacing w:before="0" w:after="283"/>
              <w:jc w:val="left"/>
              <w:rPr>
                <w:sz w:val="4"/>
                <w:szCs w:val="4"/>
              </w:rPr>
            </w:pPr>
            <w:r>
              <w:rPr>
                <w:sz w:val="4"/>
                <w:szCs w:val="4"/>
              </w:rPr>
            </w:r>
          </w:p>
        </w:tc>
        <w:tc>
          <w:tcPr>
            <w:tcW w:w="2822" w:type="dxa"/>
            <w:tcBorders/>
            <w:vAlign w:val="center"/>
          </w:tcPr>
          <w:p>
            <w:pPr>
              <w:pStyle w:val="TableContents"/>
              <w:bidi w:val="0"/>
              <w:spacing w:before="0" w:after="283"/>
              <w:jc w:val="left"/>
              <w:rPr>
                <w:sz w:val="4"/>
                <w:szCs w:val="4"/>
              </w:rPr>
            </w:pPr>
            <w:r>
              <w:rPr>
                <w:sz w:val="4"/>
                <w:szCs w:val="4"/>
              </w:rPr>
            </w:r>
          </w:p>
        </w:tc>
        <w:tc>
          <w:tcPr>
            <w:tcW w:w="2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6"/>
            <w:tcBorders/>
            <w:tcMar>
              <w:top w:w="0" w:type="dxa"/>
              <w:left w:w="0" w:type="dxa"/>
              <w:bottom w:w="0" w:type="dxa"/>
              <w:right w:w="0" w:type="dxa"/>
            </w:tcMar>
            <w:vAlign w:val="center"/>
          </w:tcPr>
          <w:p>
            <w:pPr>
              <w:pStyle w:val="TableContents"/>
              <w:bidi w:val="0"/>
              <w:spacing w:lineRule="auto" w:line="273" w:before="0" w:after="0"/>
              <w:jc w:val="left"/>
              <w:rPr/>
            </w:pPr>
            <w:hyperlink w:anchor="i6c4b0e535bdf4b388323ae8e08430aa2_10">
              <w:r>
                <w:rPr>
                  <w:rStyle w:val="InternetLink"/>
                  <w:rFonts w:ascii="Times New Roman;sans-serif" w:hAnsi="Times New Roman;sans-serif"/>
                  <w:b/>
                  <w:color w:val="0000FF"/>
                  <w:sz w:val="20"/>
                  <w:u w:val="single"/>
                </w:rPr>
                <w:t>PART I – Financial Information</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lineRule="auto" w:line="273" w:before="0" w:after="0"/>
              <w:ind w:left="0" w:right="0" w:firstLine="300"/>
              <w:jc w:val="left"/>
              <w:rPr/>
            </w:pPr>
            <w:hyperlink w:anchor="i6c4b0e535bdf4b388323ae8e08430aa2_13">
              <w:r>
                <w:rPr>
                  <w:rStyle w:val="InternetLink"/>
                  <w:rFonts w:ascii="Times New Roman;sans-serif" w:hAnsi="Times New Roman;sans-serif"/>
                  <w:b w:val="false"/>
                  <w:color w:val="0000FF"/>
                  <w:sz w:val="20"/>
                  <w:u w:val="single"/>
                </w:rPr>
                <w:t>Item 1.</w:t>
              </w:r>
            </w:hyperlink>
          </w:p>
        </w:tc>
        <w:tc>
          <w:tcPr>
            <w:tcW w:w="85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c4b0e535bdf4b388323ae8e08430aa2_13">
              <w:r>
                <w:rPr>
                  <w:rStyle w:val="InternetLink"/>
                  <w:rFonts w:ascii="Times New Roman;sans-serif" w:hAnsi="Times New Roman;sans-serif"/>
                  <w:b w:val="false"/>
                  <w:color w:val="0000FF"/>
                  <w:sz w:val="20"/>
                  <w:u w:val="single"/>
                </w:rPr>
                <w:t>FINANCIAL STATEMENTS</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5" w:type="dxa"/>
            <w:gridSpan w:val="3"/>
            <w:tcBorders/>
            <w:tcMar>
              <w:top w:w="0" w:type="dxa"/>
              <w:left w:w="0" w:type="dxa"/>
              <w:bottom w:w="0" w:type="dxa"/>
              <w:right w:w="0" w:type="dxa"/>
            </w:tcMar>
            <w:vAlign w:val="center"/>
          </w:tcPr>
          <w:p>
            <w:pPr>
              <w:pStyle w:val="TableContents"/>
              <w:bidi w:val="0"/>
              <w:spacing w:lineRule="auto" w:line="288" w:before="0" w:after="260"/>
              <w:ind w:left="0" w:right="0" w:hanging="180"/>
              <w:jc w:val="left"/>
              <w:rPr/>
            </w:pPr>
            <w:hyperlink w:anchor="i6c4b0e535bdf4b388323ae8e08430aa2_16">
              <w:r>
                <w:rPr>
                  <w:rStyle w:val="InternetLink"/>
                  <w:rFonts w:ascii="Times New Roman;sans-serif" w:hAnsi="Times New Roman;sans-serif"/>
                  <w:b w:val="false"/>
                  <w:color w:val="000080"/>
                  <w:sz w:val="20"/>
                  <w:u w:val="single"/>
                </w:rPr>
                <w:t xml:space="preserve">Consolidated Balance Sheets </w:t>
              </w:r>
            </w:hyperlink>
            <w:hyperlink w:anchor="i6c4b0e535bdf4b388323ae8e08430aa2_16">
              <w:r>
                <w:rPr>
                  <w:rStyle w:val="InternetLink"/>
                  <w:rFonts w:ascii="Times New Roman;sans-serif" w:hAnsi="Times New Roman;sans-serif"/>
                  <w:b w:val="false"/>
                  <w:color w:val="000080"/>
                  <w:sz w:val="20"/>
                  <w:u w:val="single"/>
                </w:rPr>
                <w:t>September</w:t>
              </w:r>
            </w:hyperlink>
            <w:hyperlink w:anchor="i6c4b0e535bdf4b388323ae8e08430aa2_16">
              <w:r>
                <w:rPr>
                  <w:rStyle w:val="InternetLink"/>
                  <w:rFonts w:ascii="Times New Roman;sans-serif" w:hAnsi="Times New Roman;sans-serif"/>
                  <w:b w:val="false"/>
                  <w:color w:val="000080"/>
                  <w:sz w:val="20"/>
                  <w:u w:val="single"/>
                </w:rPr>
                <w:t xml:space="preserve"> 30, 2024 (unaudited) and December 31, 2023</w:t>
              </w:r>
            </w:hyperlink>
          </w:p>
        </w:tc>
        <w:tc>
          <w:tcPr>
            <w:tcW w:w="37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6c4b0e535bdf4b388323ae8e08430aa2_16">
              <w:r>
                <w:rPr>
                  <w:rStyle w:val="InternetLink"/>
                  <w:rFonts w:ascii="Times New Roman;sans-serif" w:hAnsi="Times New Roman;sans-serif"/>
                  <w:b w:val="false"/>
                  <w:color w:val="0000FF"/>
                  <w:sz w:val="20"/>
                  <w:u w:val="single"/>
                </w:rPr>
                <w:t>3</w:t>
              </w:r>
            </w:hyperlink>
          </w:p>
        </w:tc>
      </w:tr>
      <w:tr>
        <w:trPr/>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5" w:type="dxa"/>
            <w:gridSpan w:val="3"/>
            <w:tcBorders/>
            <w:tcMar>
              <w:top w:w="0" w:type="dxa"/>
              <w:left w:w="0" w:type="dxa"/>
              <w:bottom w:w="0" w:type="dxa"/>
              <w:right w:w="0" w:type="dxa"/>
            </w:tcMar>
            <w:vAlign w:val="center"/>
          </w:tcPr>
          <w:p>
            <w:pPr>
              <w:pStyle w:val="TableContents"/>
              <w:bidi w:val="0"/>
              <w:spacing w:lineRule="auto" w:line="276" w:before="0" w:after="260"/>
              <w:ind w:left="0" w:right="0" w:hanging="180"/>
              <w:jc w:val="left"/>
              <w:rPr/>
            </w:pPr>
            <w:hyperlink w:anchor="i6c4b0e535bdf4b388323ae8e08430aa2_19">
              <w:r>
                <w:rPr>
                  <w:rStyle w:val="InternetLink"/>
                  <w:rFonts w:ascii="Times New Roman;sans-serif" w:hAnsi="Times New Roman;sans-serif"/>
                  <w:b w:val="false"/>
                  <w:color w:val="000080"/>
                  <w:sz w:val="20"/>
                  <w:u w:val="single"/>
                </w:rPr>
                <w:t xml:space="preserve">Consolidated Statements of Income Three and </w:t>
              </w:r>
            </w:hyperlink>
            <w:hyperlink w:anchor="i6c4b0e535bdf4b388323ae8e08430aa2_19">
              <w:r>
                <w:rPr>
                  <w:rStyle w:val="InternetLink"/>
                  <w:rFonts w:ascii="Times New Roman;sans-serif" w:hAnsi="Times New Roman;sans-serif"/>
                  <w:b w:val="false"/>
                  <w:color w:val="000080"/>
                  <w:sz w:val="20"/>
                  <w:u w:val="single"/>
                </w:rPr>
                <w:t>Nine</w:t>
              </w:r>
            </w:hyperlink>
            <w:hyperlink w:anchor="i6c4b0e535bdf4b388323ae8e08430aa2_19">
              <w:r>
                <w:rPr>
                  <w:rStyle w:val="InternetLink"/>
                  <w:rFonts w:ascii="Times New Roman;sans-serif" w:hAnsi="Times New Roman;sans-serif"/>
                  <w:b w:val="false"/>
                  <w:color w:val="000080"/>
                  <w:sz w:val="20"/>
                  <w:u w:val="single"/>
                </w:rPr>
                <w:t xml:space="preserve"> </w:t>
              </w:r>
            </w:hyperlink>
            <w:hyperlink w:anchor="i6c4b0e535bdf4b388323ae8e08430aa2_19">
              <w:r>
                <w:rPr>
                  <w:rStyle w:val="InternetLink"/>
                  <w:rFonts w:ascii="Times New Roman;sans-serif" w:hAnsi="Times New Roman;sans-serif"/>
                  <w:b w:val="false"/>
                  <w:color w:val="000080"/>
                  <w:sz w:val="20"/>
                  <w:u w:val="single"/>
                </w:rPr>
                <w:t>Month</w:t>
              </w:r>
            </w:hyperlink>
            <w:hyperlink w:anchor="i6c4b0e535bdf4b388323ae8e08430aa2_19">
              <w:r>
                <w:rPr>
                  <w:rStyle w:val="InternetLink"/>
                  <w:rFonts w:ascii="Times New Roman;sans-serif" w:hAnsi="Times New Roman;sans-serif"/>
                  <w:b w:val="false"/>
                  <w:color w:val="000080"/>
                  <w:sz w:val="20"/>
                  <w:u w:val="single"/>
                </w:rPr>
                <w:t xml:space="preserve">s </w:t>
              </w:r>
            </w:hyperlink>
            <w:hyperlink w:anchor="i6c4b0e535bdf4b388323ae8e08430aa2_19">
              <w:r>
                <w:rPr>
                  <w:rStyle w:val="InternetLink"/>
                  <w:rFonts w:ascii="Times New Roman;sans-serif" w:hAnsi="Times New Roman;sans-serif"/>
                  <w:b w:val="false"/>
                  <w:color w:val="000080"/>
                  <w:sz w:val="20"/>
                  <w:u w:val="single"/>
                </w:rPr>
                <w:t xml:space="preserve">Ended </w:t>
              </w:r>
            </w:hyperlink>
            <w:hyperlink w:anchor="i6c4b0e535bdf4b388323ae8e08430aa2_19">
              <w:r>
                <w:rPr>
                  <w:rStyle w:val="InternetLink"/>
                  <w:rFonts w:ascii="Times New Roman;sans-serif" w:hAnsi="Times New Roman;sans-serif"/>
                  <w:b w:val="false"/>
                  <w:color w:val="000080"/>
                  <w:sz w:val="20"/>
                  <w:u w:val="single"/>
                </w:rPr>
                <w:t>September</w:t>
              </w:r>
            </w:hyperlink>
            <w:hyperlink w:anchor="i6c4b0e535bdf4b388323ae8e08430aa2_19">
              <w:r>
                <w:rPr>
                  <w:rStyle w:val="InternetLink"/>
                  <w:rFonts w:ascii="Times New Roman;sans-serif" w:hAnsi="Times New Roman;sans-serif"/>
                  <w:b w:val="false"/>
                  <w:color w:val="000080"/>
                  <w:sz w:val="20"/>
                  <w:u w:val="single"/>
                </w:rPr>
                <w:t xml:space="preserve"> 30, 2024 and 2023 (unaudited)</w:t>
              </w:r>
            </w:hyperlink>
          </w:p>
        </w:tc>
        <w:tc>
          <w:tcPr>
            <w:tcW w:w="3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6c4b0e535bdf4b388323ae8e08430aa2_19">
              <w:r>
                <w:rPr>
                  <w:rStyle w:val="InternetLink"/>
                  <w:rFonts w:ascii="Times New Roman;sans-serif" w:hAnsi="Times New Roman;sans-serif"/>
                  <w:b w:val="false"/>
                  <w:color w:val="0000FF"/>
                  <w:sz w:val="20"/>
                  <w:u w:val="single"/>
                </w:rPr>
                <w:t>4</w:t>
              </w:r>
            </w:hyperlink>
          </w:p>
        </w:tc>
      </w:tr>
      <w:tr>
        <w:trPr/>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5" w:type="dxa"/>
            <w:gridSpan w:val="3"/>
            <w:tcBorders/>
            <w:tcMar>
              <w:top w:w="0" w:type="dxa"/>
              <w:left w:w="0" w:type="dxa"/>
              <w:bottom w:w="0" w:type="dxa"/>
              <w:right w:w="0" w:type="dxa"/>
            </w:tcMar>
            <w:vAlign w:val="center"/>
          </w:tcPr>
          <w:p>
            <w:pPr>
              <w:pStyle w:val="TableContents"/>
              <w:bidi w:val="0"/>
              <w:spacing w:lineRule="auto" w:line="276" w:before="0" w:after="260"/>
              <w:ind w:left="0" w:right="0" w:hanging="180"/>
              <w:jc w:val="left"/>
              <w:rPr/>
            </w:pPr>
            <w:hyperlink w:anchor="i6c4b0e535bdf4b388323ae8e08430aa2_22">
              <w:r>
                <w:rPr>
                  <w:rStyle w:val="InternetLink"/>
                  <w:rFonts w:ascii="Times New Roman;sans-serif" w:hAnsi="Times New Roman;sans-serif"/>
                  <w:b w:val="false"/>
                  <w:color w:val="000080"/>
                  <w:sz w:val="20"/>
                  <w:u w:val="single"/>
                </w:rPr>
                <w:t xml:space="preserve">Consolidated Statements of Comprehensive Income Three and </w:t>
              </w:r>
            </w:hyperlink>
            <w:hyperlink w:anchor="i6c4b0e535bdf4b388323ae8e08430aa2_22">
              <w:r>
                <w:rPr>
                  <w:rStyle w:val="InternetLink"/>
                  <w:rFonts w:ascii="Times New Roman;sans-serif" w:hAnsi="Times New Roman;sans-serif"/>
                  <w:b w:val="false"/>
                  <w:color w:val="000080"/>
                  <w:sz w:val="20"/>
                  <w:u w:val="single"/>
                </w:rPr>
                <w:t>Nine</w:t>
              </w:r>
            </w:hyperlink>
            <w:hyperlink w:anchor="i6c4b0e535bdf4b388323ae8e08430aa2_22">
              <w:r>
                <w:rPr>
                  <w:rStyle w:val="InternetLink"/>
                  <w:rFonts w:ascii="Times New Roman;sans-serif" w:hAnsi="Times New Roman;sans-serif"/>
                  <w:b w:val="false"/>
                  <w:color w:val="000080"/>
                  <w:sz w:val="20"/>
                  <w:u w:val="single"/>
                </w:rPr>
                <w:t xml:space="preserve"> </w:t>
              </w:r>
            </w:hyperlink>
            <w:hyperlink w:anchor="i6c4b0e535bdf4b388323ae8e08430aa2_22">
              <w:r>
                <w:rPr>
                  <w:rStyle w:val="InternetLink"/>
                  <w:rFonts w:ascii="Times New Roman;sans-serif" w:hAnsi="Times New Roman;sans-serif"/>
                  <w:b w:val="false"/>
                  <w:color w:val="000080"/>
                  <w:sz w:val="20"/>
                  <w:u w:val="single"/>
                </w:rPr>
                <w:t>Mont</w:t>
              </w:r>
            </w:hyperlink>
            <w:hyperlink w:anchor="i6c4b0e535bdf4b388323ae8e08430aa2_22">
              <w:r>
                <w:rPr>
                  <w:rStyle w:val="InternetLink"/>
                  <w:rFonts w:ascii="Times New Roman;sans-serif" w:hAnsi="Times New Roman;sans-serif"/>
                  <w:b w:val="false"/>
                  <w:color w:val="000080"/>
                  <w:sz w:val="20"/>
                  <w:u w:val="single"/>
                </w:rPr>
                <w:t>hs</w:t>
              </w:r>
            </w:hyperlink>
            <w:hyperlink w:anchor="i6c4b0e535bdf4b388323ae8e08430aa2_22">
              <w:r>
                <w:rPr>
                  <w:rStyle w:val="InternetLink"/>
                  <w:rFonts w:ascii="Times New Roman;sans-serif" w:hAnsi="Times New Roman;sans-serif"/>
                  <w:b w:val="false"/>
                  <w:color w:val="000080"/>
                  <w:sz w:val="20"/>
                  <w:u w:val="single"/>
                </w:rPr>
                <w:t xml:space="preserve"> Ended</w:t>
              </w:r>
            </w:hyperlink>
            <w:hyperlink w:anchor="i6c4b0e535bdf4b388323ae8e08430aa2_22">
              <w:r>
                <w:rPr>
                  <w:rStyle w:val="InternetLink"/>
                  <w:rFonts w:ascii="Times New Roman;sans-serif" w:hAnsi="Times New Roman;sans-serif"/>
                  <w:b w:val="false"/>
                  <w:color w:val="000080"/>
                  <w:sz w:val="20"/>
                  <w:u w:val="single"/>
                </w:rPr>
                <w:t xml:space="preserve"> September</w:t>
              </w:r>
            </w:hyperlink>
            <w:hyperlink w:anchor="i6c4b0e535bdf4b388323ae8e08430aa2_22">
              <w:r>
                <w:rPr>
                  <w:rStyle w:val="InternetLink"/>
                  <w:rFonts w:ascii="Times New Roman;sans-serif" w:hAnsi="Times New Roman;sans-serif"/>
                  <w:b w:val="false"/>
                  <w:color w:val="000080"/>
                  <w:sz w:val="20"/>
                  <w:u w:val="single"/>
                </w:rPr>
                <w:t xml:space="preserve"> 30, 2024 and 2023 (unaudited)</w:t>
              </w:r>
            </w:hyperlink>
          </w:p>
        </w:tc>
        <w:tc>
          <w:tcPr>
            <w:tcW w:w="3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6c4b0e535bdf4b388323ae8e08430aa2_22">
              <w:r>
                <w:rPr>
                  <w:rStyle w:val="InternetLink"/>
                  <w:rFonts w:ascii="Times New Roman;sans-serif" w:hAnsi="Times New Roman;sans-serif"/>
                  <w:b w:val="false"/>
                  <w:color w:val="0000FF"/>
                  <w:sz w:val="20"/>
                  <w:u w:val="single"/>
                </w:rPr>
                <w:t>5</w:t>
              </w:r>
            </w:hyperlink>
          </w:p>
        </w:tc>
      </w:tr>
      <w:tr>
        <w:trPr/>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5" w:type="dxa"/>
            <w:gridSpan w:val="3"/>
            <w:tcBorders/>
            <w:tcMar>
              <w:top w:w="0" w:type="dxa"/>
              <w:left w:w="0" w:type="dxa"/>
              <w:bottom w:w="0" w:type="dxa"/>
              <w:right w:w="0" w:type="dxa"/>
            </w:tcMar>
            <w:vAlign w:val="center"/>
          </w:tcPr>
          <w:p>
            <w:pPr>
              <w:pStyle w:val="TableContents"/>
              <w:bidi w:val="0"/>
              <w:spacing w:lineRule="auto" w:line="276" w:before="0" w:after="260"/>
              <w:ind w:left="0" w:right="0" w:hanging="180"/>
              <w:jc w:val="left"/>
              <w:rPr/>
            </w:pPr>
            <w:hyperlink w:anchor="i6c4b0e535bdf4b388323ae8e08430aa2_25">
              <w:r>
                <w:rPr>
                  <w:rStyle w:val="InternetLink"/>
                  <w:rFonts w:ascii="Times New Roman;sans-serif" w:hAnsi="Times New Roman;sans-serif"/>
                  <w:b w:val="false"/>
                  <w:color w:val="000080"/>
                  <w:sz w:val="20"/>
                  <w:u w:val="single"/>
                </w:rPr>
                <w:t xml:space="preserve">Consolidated Statements of Cash Flows </w:t>
              </w:r>
            </w:hyperlink>
            <w:hyperlink w:anchor="i6c4b0e535bdf4b388323ae8e08430aa2_25">
              <w:r>
                <w:rPr>
                  <w:rStyle w:val="InternetLink"/>
                  <w:rFonts w:ascii="Times New Roman;sans-serif" w:hAnsi="Times New Roman;sans-serif"/>
                  <w:b w:val="false"/>
                  <w:color w:val="000080"/>
                  <w:sz w:val="20"/>
                  <w:u w:val="single"/>
                </w:rPr>
                <w:t>Nine</w:t>
              </w:r>
            </w:hyperlink>
            <w:hyperlink w:anchor="i6c4b0e535bdf4b388323ae8e08430aa2_25">
              <w:r>
                <w:rPr>
                  <w:rStyle w:val="InternetLink"/>
                  <w:rFonts w:ascii="Times New Roman;sans-serif" w:hAnsi="Times New Roman;sans-serif"/>
                  <w:b w:val="false"/>
                  <w:color w:val="000080"/>
                  <w:sz w:val="20"/>
                  <w:u w:val="single"/>
                </w:rPr>
                <w:t xml:space="preserve"> </w:t>
              </w:r>
            </w:hyperlink>
            <w:hyperlink w:anchor="i6c4b0e535bdf4b388323ae8e08430aa2_25">
              <w:r>
                <w:rPr>
                  <w:rStyle w:val="InternetLink"/>
                  <w:rFonts w:ascii="Times New Roman;sans-serif" w:hAnsi="Times New Roman;sans-serif"/>
                  <w:b w:val="false"/>
                  <w:color w:val="000080"/>
                  <w:sz w:val="20"/>
                  <w:u w:val="single"/>
                </w:rPr>
                <w:t>Month</w:t>
              </w:r>
            </w:hyperlink>
            <w:hyperlink w:anchor="i6c4b0e535bdf4b388323ae8e08430aa2_25">
              <w:r>
                <w:rPr>
                  <w:rStyle w:val="InternetLink"/>
                  <w:rFonts w:ascii="Times New Roman;sans-serif" w:hAnsi="Times New Roman;sans-serif"/>
                  <w:b w:val="false"/>
                  <w:color w:val="000080"/>
                  <w:sz w:val="20"/>
                  <w:u w:val="single"/>
                </w:rPr>
                <w:t>s</w:t>
              </w:r>
            </w:hyperlink>
            <w:hyperlink w:anchor="i6c4b0e535bdf4b388323ae8e08430aa2_25">
              <w:r>
                <w:rPr>
                  <w:rStyle w:val="InternetLink"/>
                  <w:rFonts w:ascii="Times New Roman;sans-serif" w:hAnsi="Times New Roman;sans-serif"/>
                  <w:b w:val="false"/>
                  <w:color w:val="000080"/>
                  <w:sz w:val="20"/>
                  <w:u w:val="single"/>
                </w:rPr>
                <w:t xml:space="preserve"> Ended </w:t>
              </w:r>
            </w:hyperlink>
            <w:hyperlink w:anchor="i6c4b0e535bdf4b388323ae8e08430aa2_25">
              <w:r>
                <w:rPr>
                  <w:rStyle w:val="InternetLink"/>
                  <w:rFonts w:ascii="Times New Roman;sans-serif" w:hAnsi="Times New Roman;sans-serif"/>
                  <w:b w:val="false"/>
                  <w:color w:val="000080"/>
                  <w:sz w:val="20"/>
                  <w:u w:val="single"/>
                </w:rPr>
                <w:t>September</w:t>
              </w:r>
            </w:hyperlink>
            <w:hyperlink w:anchor="i6c4b0e535bdf4b388323ae8e08430aa2_25">
              <w:r>
                <w:rPr>
                  <w:rStyle w:val="InternetLink"/>
                  <w:rFonts w:ascii="Times New Roman;sans-serif" w:hAnsi="Times New Roman;sans-serif"/>
                  <w:b w:val="false"/>
                  <w:color w:val="000080"/>
                  <w:sz w:val="20"/>
                  <w:u w:val="single"/>
                </w:rPr>
                <w:t xml:space="preserve"> 30, 2024 and 2023 (unaudited)</w:t>
              </w:r>
            </w:hyperlink>
          </w:p>
        </w:tc>
        <w:tc>
          <w:tcPr>
            <w:tcW w:w="3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6c4b0e535bdf4b388323ae8e08430aa2_25">
              <w:r>
                <w:rPr>
                  <w:rStyle w:val="InternetLink"/>
                  <w:rFonts w:ascii="Times New Roman;sans-serif" w:hAnsi="Times New Roman;sans-serif"/>
                  <w:b w:val="false"/>
                  <w:color w:val="0000FF"/>
                  <w:sz w:val="20"/>
                  <w:u w:val="single"/>
                </w:rPr>
                <w:t>6</w:t>
              </w:r>
            </w:hyperlink>
          </w:p>
        </w:tc>
      </w:tr>
      <w:tr>
        <w:trPr/>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5" w:type="dxa"/>
            <w:gridSpan w:val="3"/>
            <w:tcBorders/>
            <w:tcMar>
              <w:top w:w="0" w:type="dxa"/>
              <w:left w:w="0" w:type="dxa"/>
              <w:bottom w:w="0" w:type="dxa"/>
              <w:right w:w="0" w:type="dxa"/>
            </w:tcMar>
            <w:vAlign w:val="center"/>
          </w:tcPr>
          <w:p>
            <w:pPr>
              <w:pStyle w:val="TableContents"/>
              <w:bidi w:val="0"/>
              <w:spacing w:lineRule="auto" w:line="276" w:before="0" w:after="260"/>
              <w:ind w:left="0" w:right="0" w:hanging="180"/>
              <w:jc w:val="left"/>
              <w:rPr/>
            </w:pPr>
            <w:hyperlink w:anchor="i6c4b0e535bdf4b388323ae8e08430aa2_31">
              <w:r>
                <w:rPr>
                  <w:rStyle w:val="InternetLink"/>
                  <w:rFonts w:ascii="Times New Roman;sans-serif" w:hAnsi="Times New Roman;sans-serif"/>
                  <w:b w:val="false"/>
                  <w:color w:val="000080"/>
                  <w:sz w:val="20"/>
                  <w:u w:val="single"/>
                </w:rPr>
                <w:t xml:space="preserve">Consolidated Statements of Shareholders’ Equity Three and </w:t>
              </w:r>
            </w:hyperlink>
            <w:hyperlink w:anchor="i6c4b0e535bdf4b388323ae8e08430aa2_31">
              <w:r>
                <w:rPr>
                  <w:rStyle w:val="InternetLink"/>
                  <w:rFonts w:ascii="Times New Roman;sans-serif" w:hAnsi="Times New Roman;sans-serif"/>
                  <w:b w:val="false"/>
                  <w:color w:val="000080"/>
                  <w:sz w:val="20"/>
                  <w:u w:val="single"/>
                </w:rPr>
                <w:t>Nine</w:t>
              </w:r>
            </w:hyperlink>
            <w:hyperlink w:anchor="i6c4b0e535bdf4b388323ae8e08430aa2_31">
              <w:r>
                <w:rPr>
                  <w:rStyle w:val="InternetLink"/>
                  <w:rFonts w:ascii="Times New Roman;sans-serif" w:hAnsi="Times New Roman;sans-serif"/>
                  <w:b w:val="false"/>
                  <w:color w:val="000080"/>
                  <w:sz w:val="20"/>
                  <w:u w:val="single"/>
                </w:rPr>
                <w:t xml:space="preserve"> </w:t>
              </w:r>
            </w:hyperlink>
            <w:hyperlink w:anchor="i6c4b0e535bdf4b388323ae8e08430aa2_31">
              <w:r>
                <w:rPr>
                  <w:rStyle w:val="InternetLink"/>
                  <w:rFonts w:ascii="Times New Roman;sans-serif" w:hAnsi="Times New Roman;sans-serif"/>
                  <w:b w:val="false"/>
                  <w:color w:val="000080"/>
                  <w:sz w:val="20"/>
                  <w:u w:val="single"/>
                </w:rPr>
                <w:t>Month</w:t>
              </w:r>
            </w:hyperlink>
            <w:hyperlink w:anchor="i6c4b0e535bdf4b388323ae8e08430aa2_31">
              <w:r>
                <w:rPr>
                  <w:rStyle w:val="InternetLink"/>
                  <w:rFonts w:ascii="Times New Roman;sans-serif" w:hAnsi="Times New Roman;sans-serif"/>
                  <w:b w:val="false"/>
                  <w:color w:val="000080"/>
                  <w:sz w:val="20"/>
                  <w:u w:val="single"/>
                </w:rPr>
                <w:t xml:space="preserve">s </w:t>
              </w:r>
            </w:hyperlink>
            <w:hyperlink w:anchor="i6c4b0e535bdf4b388323ae8e08430aa2_31">
              <w:r>
                <w:rPr>
                  <w:rStyle w:val="InternetLink"/>
                  <w:rFonts w:ascii="Times New Roman;sans-serif" w:hAnsi="Times New Roman;sans-serif"/>
                  <w:b w:val="false"/>
                  <w:color w:val="000080"/>
                  <w:sz w:val="20"/>
                  <w:u w:val="single"/>
                </w:rPr>
                <w:t>Ended</w:t>
              </w:r>
            </w:hyperlink>
            <w:hyperlink w:anchor="i6c4b0e535bdf4b388323ae8e08430aa2_31">
              <w:r>
                <w:rPr>
                  <w:rStyle w:val="InternetLink"/>
                  <w:rFonts w:ascii="Times New Roman;sans-serif" w:hAnsi="Times New Roman;sans-serif"/>
                  <w:b w:val="false"/>
                  <w:color w:val="000080"/>
                  <w:sz w:val="20"/>
                  <w:u w:val="single"/>
                </w:rPr>
                <w:t xml:space="preserve"> September</w:t>
              </w:r>
            </w:hyperlink>
            <w:hyperlink w:anchor="i6c4b0e535bdf4b388323ae8e08430aa2_31">
              <w:r>
                <w:rPr>
                  <w:rStyle w:val="InternetLink"/>
                  <w:rFonts w:ascii="Times New Roman;sans-serif" w:hAnsi="Times New Roman;sans-serif"/>
                  <w:b w:val="false"/>
                  <w:color w:val="000080"/>
                  <w:sz w:val="20"/>
                  <w:u w:val="single"/>
                </w:rPr>
                <w:t xml:space="preserve"> 30, 2024 and 2023 (unaudited)</w:t>
              </w:r>
            </w:hyperlink>
          </w:p>
        </w:tc>
        <w:tc>
          <w:tcPr>
            <w:tcW w:w="3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6c4b0e535bdf4b388323ae8e08430aa2_28">
              <w:r>
                <w:rPr>
                  <w:rStyle w:val="InternetLink"/>
                  <w:rFonts w:ascii="Times New Roman;sans-serif" w:hAnsi="Times New Roman;sans-serif"/>
                  <w:b w:val="false"/>
                  <w:color w:val="0000FF"/>
                  <w:sz w:val="20"/>
                  <w:u w:val="single"/>
                </w:rPr>
                <w:t>6</w:t>
              </w:r>
            </w:hyperlink>
          </w:p>
        </w:tc>
      </w:tr>
      <w:tr>
        <w:trPr/>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6c4b0e535bdf4b388323ae8e08430aa2_34">
              <w:r>
                <w:rPr>
                  <w:rStyle w:val="InternetLink"/>
                  <w:rFonts w:ascii="Times New Roman;sans-serif" w:hAnsi="Times New Roman;sans-serif"/>
                  <w:b w:val="false"/>
                  <w:color w:val="0000FF"/>
                  <w:sz w:val="20"/>
                  <w:u w:val="single"/>
                </w:rPr>
                <w:t>Notes to Consolidated Financial Statements (unaudited)</w:t>
              </w:r>
            </w:hyperlink>
          </w:p>
        </w:tc>
        <w:tc>
          <w:tcPr>
            <w:tcW w:w="3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6c4b0e535bdf4b388323ae8e08430aa2_34">
              <w:r>
                <w:rPr>
                  <w:rStyle w:val="InternetLink"/>
                  <w:rFonts w:ascii="Times New Roman;sans-serif" w:hAnsi="Times New Roman;sans-serif"/>
                  <w:b w:val="false"/>
                  <w:color w:val="0000FF"/>
                  <w:sz w:val="20"/>
                  <w:u w:val="single"/>
                </w:rPr>
                <w:t>9</w:t>
              </w:r>
            </w:hyperlink>
          </w:p>
        </w:tc>
      </w:tr>
      <w:tr>
        <w:trPr/>
        <w:tc>
          <w:tcPr>
            <w:tcW w:w="1316" w:type="dxa"/>
            <w:gridSpan w:val="3"/>
            <w:tcBorders/>
            <w:tcMar>
              <w:top w:w="0" w:type="dxa"/>
              <w:left w:w="0" w:type="dxa"/>
              <w:bottom w:w="0" w:type="dxa"/>
              <w:right w:w="0" w:type="dxa"/>
            </w:tcMar>
            <w:vAlign w:val="center"/>
          </w:tcPr>
          <w:p>
            <w:pPr>
              <w:pStyle w:val="TableContents"/>
              <w:bidi w:val="0"/>
              <w:spacing w:lineRule="auto" w:line="273" w:before="0" w:after="0"/>
              <w:ind w:left="0" w:right="0" w:hanging="900"/>
              <w:jc w:val="left"/>
              <w:rPr/>
            </w:pPr>
            <w:hyperlink w:anchor="i6c4b0e535bdf4b388323ae8e08430aa2_82">
              <w:r>
                <w:rPr>
                  <w:rStyle w:val="InternetLink"/>
                  <w:rFonts w:ascii="Times New Roman;sans-serif" w:hAnsi="Times New Roman;sans-serif"/>
                  <w:b w:val="false"/>
                  <w:color w:val="0000FF"/>
                  <w:sz w:val="20"/>
                  <w:u w:val="single"/>
                </w:rPr>
                <w:t>Item 2.</w:t>
              </w:r>
            </w:hyperlink>
          </w:p>
        </w:tc>
        <w:tc>
          <w:tcPr>
            <w:tcW w:w="851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6c4b0e535bdf4b388323ae8e08430aa2_82">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6c4b0e535bdf4b388323ae8e08430aa2_82">
              <w:r>
                <w:rPr>
                  <w:rStyle w:val="InternetLink"/>
                  <w:rFonts w:ascii="Times New Roman;sans-serif" w:hAnsi="Times New Roman;sans-serif"/>
                  <w:b w:val="false"/>
                  <w:color w:val="0000FF"/>
                  <w:sz w:val="20"/>
                  <w:u w:val="single"/>
                </w:rPr>
                <w:t>22</w:t>
              </w:r>
            </w:hyperlink>
          </w:p>
        </w:tc>
      </w:tr>
      <w:tr>
        <w:trPr/>
        <w:tc>
          <w:tcPr>
            <w:tcW w:w="1316" w:type="dxa"/>
            <w:gridSpan w:val="3"/>
            <w:tcBorders/>
            <w:tcMar>
              <w:top w:w="0" w:type="dxa"/>
              <w:left w:w="0" w:type="dxa"/>
              <w:bottom w:w="0" w:type="dxa"/>
              <w:right w:w="0" w:type="dxa"/>
            </w:tcMar>
            <w:vAlign w:val="center"/>
          </w:tcPr>
          <w:p>
            <w:pPr>
              <w:pStyle w:val="TableContents"/>
              <w:bidi w:val="0"/>
              <w:spacing w:lineRule="auto" w:line="273" w:before="0" w:after="0"/>
              <w:ind w:left="0" w:right="0" w:hanging="900"/>
              <w:jc w:val="left"/>
              <w:rPr/>
            </w:pPr>
            <w:hyperlink w:anchor="i6c4b0e535bdf4b388323ae8e08430aa2_133">
              <w:r>
                <w:rPr>
                  <w:rStyle w:val="InternetLink"/>
                  <w:rFonts w:ascii="Times New Roman;sans-serif" w:hAnsi="Times New Roman;sans-serif"/>
                  <w:b w:val="false"/>
                  <w:color w:val="0000FF"/>
                  <w:sz w:val="20"/>
                  <w:u w:val="single"/>
                </w:rPr>
                <w:t>Item 3.</w:t>
              </w:r>
            </w:hyperlink>
          </w:p>
        </w:tc>
        <w:tc>
          <w:tcPr>
            <w:tcW w:w="851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6c4b0e535bdf4b388323ae8e08430aa2_133">
              <w:r>
                <w:rPr>
                  <w:rStyle w:val="InternetLink"/>
                  <w:rFonts w:ascii="Times New Roman;sans-serif" w:hAnsi="Times New Roman;sans-serif"/>
                  <w:b w:val="false"/>
                  <w:color w:val="0000FF"/>
                  <w:sz w:val="20"/>
                  <w:u w:val="single"/>
                </w:rPr>
                <w:t>QUANTITATIVE AND QUALITATIVE DISCLOSURES ABOUT MARKET RISK</w:t>
              </w:r>
            </w:hyperlink>
          </w:p>
        </w:tc>
        <w:tc>
          <w:tcPr>
            <w:tcW w:w="3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6c4b0e535bdf4b388323ae8e08430aa2_133">
              <w:r>
                <w:rPr>
                  <w:rStyle w:val="InternetLink"/>
                  <w:rFonts w:ascii="Times New Roman;sans-serif" w:hAnsi="Times New Roman;sans-serif"/>
                  <w:b w:val="false"/>
                  <w:color w:val="0000FF"/>
                  <w:sz w:val="20"/>
                  <w:u w:val="single"/>
                </w:rPr>
                <w:t>35</w:t>
              </w:r>
            </w:hyperlink>
          </w:p>
        </w:tc>
      </w:tr>
      <w:tr>
        <w:trPr/>
        <w:tc>
          <w:tcPr>
            <w:tcW w:w="1316" w:type="dxa"/>
            <w:gridSpan w:val="3"/>
            <w:tcBorders/>
            <w:tcMar>
              <w:top w:w="0" w:type="dxa"/>
              <w:left w:w="0" w:type="dxa"/>
              <w:bottom w:w="0" w:type="dxa"/>
              <w:right w:w="0" w:type="dxa"/>
            </w:tcMar>
            <w:vAlign w:val="center"/>
          </w:tcPr>
          <w:p>
            <w:pPr>
              <w:pStyle w:val="TableContents"/>
              <w:bidi w:val="0"/>
              <w:spacing w:lineRule="auto" w:line="273" w:before="0" w:after="0"/>
              <w:ind w:left="0" w:right="0" w:hanging="900"/>
              <w:jc w:val="left"/>
              <w:rPr/>
            </w:pPr>
            <w:hyperlink w:anchor="i6c4b0e535bdf4b388323ae8e08430aa2_136">
              <w:r>
                <w:rPr>
                  <w:rStyle w:val="InternetLink"/>
                  <w:rFonts w:ascii="Times New Roman;sans-serif" w:hAnsi="Times New Roman;sans-serif"/>
                  <w:b w:val="false"/>
                  <w:color w:val="0000FF"/>
                  <w:sz w:val="20"/>
                  <w:u w:val="single"/>
                </w:rPr>
                <w:t>Item 4.</w:t>
              </w:r>
            </w:hyperlink>
          </w:p>
        </w:tc>
        <w:tc>
          <w:tcPr>
            <w:tcW w:w="851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6c4b0e535bdf4b388323ae8e08430aa2_136">
              <w:r>
                <w:rPr>
                  <w:rStyle w:val="InternetLink"/>
                  <w:rFonts w:ascii="Times New Roman;sans-serif" w:hAnsi="Times New Roman;sans-serif"/>
                  <w:b w:val="false"/>
                  <w:color w:val="0000FF"/>
                  <w:sz w:val="20"/>
                  <w:u w:val="single"/>
                </w:rPr>
                <w:t>CONTROLS AND PROCEDURES</w:t>
              </w:r>
            </w:hyperlink>
          </w:p>
        </w:tc>
        <w:tc>
          <w:tcPr>
            <w:tcW w:w="3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6c4b0e535bdf4b388323ae8e08430aa2_136">
              <w:r>
                <w:rPr>
                  <w:rStyle w:val="InternetLink"/>
                  <w:rFonts w:ascii="Times New Roman;sans-serif" w:hAnsi="Times New Roman;sans-serif"/>
                  <w:b w:val="false"/>
                  <w:color w:val="0000FF"/>
                  <w:sz w:val="20"/>
                  <w:u w:val="single"/>
                </w:rPr>
                <w:t>35</w:t>
              </w:r>
            </w:hyperlink>
          </w:p>
        </w:tc>
      </w:tr>
      <w:tr>
        <w:trPr/>
        <w:tc>
          <w:tcPr>
            <w:tcW w:w="9831" w:type="dxa"/>
            <w:gridSpan w:val="6"/>
            <w:tcBorders/>
            <w:tcMar>
              <w:top w:w="0" w:type="dxa"/>
              <w:left w:w="0" w:type="dxa"/>
              <w:bottom w:w="0" w:type="dxa"/>
              <w:right w:w="0" w:type="dxa"/>
            </w:tcMar>
            <w:vAlign w:val="center"/>
          </w:tcPr>
          <w:p>
            <w:pPr>
              <w:pStyle w:val="TableContents"/>
              <w:bidi w:val="0"/>
              <w:spacing w:lineRule="auto" w:line="273" w:before="0" w:after="0"/>
              <w:jc w:val="left"/>
              <w:rPr/>
            </w:pPr>
            <w:hyperlink w:anchor="i6c4b0e535bdf4b388323ae8e08430aa2_139">
              <w:r>
                <w:rPr>
                  <w:rStyle w:val="InternetLink"/>
                  <w:rFonts w:ascii="Times New Roman;sans-serif" w:hAnsi="Times New Roman;sans-serif"/>
                  <w:b/>
                  <w:color w:val="0000FF"/>
                  <w:sz w:val="20"/>
                  <w:u w:val="single"/>
                </w:rPr>
                <w:t>PART II – Other Information – Items 1. – 6.</w:t>
              </w:r>
            </w:hyperlink>
          </w:p>
        </w:tc>
        <w:tc>
          <w:tcPr>
            <w:tcW w:w="3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6c4b0e535bdf4b388323ae8e08430aa2_139">
              <w:r>
                <w:rPr>
                  <w:rStyle w:val="InternetLink"/>
                  <w:rFonts w:ascii="Times New Roman;sans-serif" w:hAnsi="Times New Roman;sans-serif"/>
                  <w:b w:val="false"/>
                  <w:color w:val="0000FF"/>
                  <w:sz w:val="20"/>
                  <w:u w:val="single"/>
                </w:rPr>
                <w:t>37</w:t>
              </w:r>
            </w:hyperlink>
          </w:p>
        </w:tc>
      </w:tr>
      <w:tr>
        <w:trPr/>
        <w:tc>
          <w:tcPr>
            <w:tcW w:w="9831" w:type="dxa"/>
            <w:gridSpan w:val="6"/>
            <w:tcBorders/>
            <w:tcMar>
              <w:top w:w="0" w:type="dxa"/>
              <w:left w:w="0" w:type="dxa"/>
              <w:bottom w:w="0" w:type="dxa"/>
              <w:right w:w="0" w:type="dxa"/>
            </w:tcMar>
            <w:vAlign w:val="center"/>
          </w:tcPr>
          <w:p>
            <w:pPr>
              <w:pStyle w:val="TableContents"/>
              <w:bidi w:val="0"/>
              <w:spacing w:lineRule="auto" w:line="273" w:before="0" w:after="0"/>
              <w:ind w:left="0" w:right="0" w:hanging="900"/>
              <w:jc w:val="left"/>
              <w:rPr/>
            </w:pPr>
            <w:hyperlink w:anchor="i6c4b0e535bdf4b388323ae8e08430aa2_163">
              <w:r>
                <w:rPr>
                  <w:rStyle w:val="InternetLink"/>
                  <w:rFonts w:ascii="Times New Roman;sans-serif" w:hAnsi="Times New Roman;sans-serif"/>
                  <w:b w:val="false"/>
                  <w:color w:val="0000FF"/>
                  <w:sz w:val="20"/>
                  <w:u w:val="single"/>
                </w:rPr>
                <w:t>SIGNATURES</w:t>
              </w:r>
            </w:hyperlink>
          </w:p>
        </w:tc>
        <w:tc>
          <w:tcPr>
            <w:tcW w:w="374"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6c4b0e535bdf4b388323ae8e08430aa2_163">
              <w:r>
                <w:rPr>
                  <w:rStyle w:val="InternetLink"/>
                  <w:rFonts w:ascii="Times New Roman;sans-serif" w:hAnsi="Times New Roman;sans-serif"/>
                  <w:b w:val="false"/>
                  <w:color w:val="0000FF"/>
                  <w:sz w:val="20"/>
                  <w:u w:val="single"/>
                </w:rPr>
                <w:t>39</w:t>
              </w:r>
            </w:hyperlink>
          </w:p>
        </w:tc>
      </w:tr>
    </w:tbl>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Forward-looking Statements - Factors That May Affect Future Results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report may contain or incorporate by reference forward-looking statements made pursuant to the safe harbor provisions of Section 27A of the Securities Act of 1933, as amended, and Section 21E of the Securities Exchange Act of 1934, as amended. Although we believe that, in making any such statements, our expectations are based on reasonable assumptions, forward-looking statements are not guarantees of future performance and involve risks, uncertainties, and other factors beyond our control, which may cause future performance to be materially different from expected performance summarized in the forward-looking statements. These risks, uncertainties and other factors are discussed in Part I, Item 1A, “Risk Factors” of the Company’s 2023 Annual Report on Form 10-K, filed with the Securities and Exchange Commission (“SEC”), which may be updated from time to time in our future filings with the SEC. We undertake no obligation to publicly update or revise any forward-looking statements to reflect changed assumptions, the occurrence of anticipated or unanticipated events, or changes to future results over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76" w:before="0" w:after="0"/>
        <w:jc w:val="left"/>
        <w:rPr/>
      </w:pPr>
      <w:hyperlink w:anchor="i6c4b0e535bdf4b388323ae8e08430aa2_7">
        <w:r>
          <w:rPr>
            <w:rStyle w:val="InternetLink"/>
            <w:rFonts w:ascii="Times New Roman;sans-serif" w:hAnsi="Times New Roman;sans-serif"/>
            <w:b/>
            <w:color w:val="0000FF"/>
            <w:sz w:val="20"/>
            <w:u w:val="single"/>
          </w:rPr>
          <w:t>Table of 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283"/>
        <w:jc w:val="center"/>
        <w:rPr>
          <w:rFonts w:ascii="Times New Roman;sans-serif" w:hAnsi="Times New Roman;sans-serif"/>
          <w:b/>
          <w:color w:val="000000"/>
          <w:sz w:val="20"/>
        </w:rPr>
      </w:pPr>
      <w:r>
        <w:rPr>
          <w:rFonts w:ascii="Times New Roman;sans-serif" w:hAnsi="Times New Roman;sans-serif"/>
          <w:b/>
          <w:color w:val="000000"/>
          <w:sz w:val="20"/>
        </w:rPr>
        <w:t>CASS INFORMATION SYSTEMS,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(Dollars in Thousands except Share and Per Share Data) </w:t>
      </w:r>
    </w:p>
    <w:tbl>
      <w:tblPr>
        <w:tblW w:w="10205" w:type="dxa"/>
        <w:jc w:val="left"/>
        <w:tblInd w:w="0" w:type="dxa"/>
        <w:tblLayout w:type="fixed"/>
        <w:tblCellMar>
          <w:top w:w="28" w:type="dxa"/>
          <w:left w:w="28" w:type="dxa"/>
          <w:bottom w:w="28" w:type="dxa"/>
          <w:right w:w="28" w:type="dxa"/>
        </w:tblCellMar>
      </w:tblPr>
      <w:tblGrid>
        <w:gridCol w:w="2496"/>
        <w:gridCol w:w="1934"/>
        <w:gridCol w:w="1681"/>
        <w:gridCol w:w="267"/>
        <w:gridCol w:w="1239"/>
        <w:gridCol w:w="139"/>
        <w:gridCol w:w="109"/>
        <w:gridCol w:w="109"/>
        <w:gridCol w:w="109"/>
        <w:gridCol w:w="211"/>
        <w:gridCol w:w="976"/>
        <w:gridCol w:w="935"/>
      </w:tblGrid>
      <w:tr>
        <w:trPr/>
        <w:tc>
          <w:tcPr>
            <w:tcW w:w="2496"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r>
      <w:tr>
        <w:trPr/>
        <w:tc>
          <w:tcPr>
            <w:tcW w:w="6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September 30, 2024 (Unaudited)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6111"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645"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61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due from banks </w:t>
            </w:r>
          </w:p>
        </w:tc>
        <w:tc>
          <w:tcPr>
            <w:tcW w:w="26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29,125 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20,908 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1"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50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201,431 </w:t>
            </w:r>
          </w:p>
        </w:tc>
        <w:tc>
          <w:tcPr>
            <w:tcW w:w="13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351,560 </w:t>
            </w:r>
          </w:p>
        </w:tc>
        <w:tc>
          <w:tcPr>
            <w:tcW w:w="935" w:type="dxa"/>
            <w:tcBorders/>
            <w:shd w:fill="B6B6B6"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61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w:t>
            </w:r>
          </w:p>
        </w:tc>
        <w:tc>
          <w:tcPr>
            <w:tcW w:w="15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230,556 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372,468 </w:t>
            </w:r>
          </w:p>
        </w:tc>
        <w:tc>
          <w:tcPr>
            <w:tcW w:w="9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1"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available-for-sale, at fair value </w:t>
            </w:r>
          </w:p>
        </w:tc>
        <w:tc>
          <w:tcPr>
            <w:tcW w:w="1506"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550,756 </w:t>
            </w:r>
          </w:p>
        </w:tc>
        <w:tc>
          <w:tcPr>
            <w:tcW w:w="13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627,117 </w:t>
            </w:r>
          </w:p>
        </w:tc>
        <w:tc>
          <w:tcPr>
            <w:tcW w:w="935"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1"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Loans </w:t>
            </w:r>
          </w:p>
        </w:tc>
        <w:tc>
          <w:tcPr>
            <w:tcW w:w="150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1,078,387 </w:t>
            </w:r>
          </w:p>
        </w:tc>
        <w:tc>
          <w:tcPr>
            <w:tcW w:w="13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1,014,318 </w:t>
            </w:r>
          </w:p>
        </w:tc>
        <w:tc>
          <w:tcPr>
            <w:tcW w:w="935" w:type="dxa"/>
            <w:tcBorders/>
            <w:shd w:fill="B6B6B6"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61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Less: Allowance for credit losses </w:t>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13,089 </w:t>
            </w:r>
          </w:p>
        </w:tc>
        <w:tc>
          <w:tcPr>
            <w:tcW w:w="935"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sz w:val="4"/>
                <w:szCs w:val="4"/>
              </w:rPr>
            </w:pPr>
            <w:r>
              <w:rPr>
                <w:sz w:val="4"/>
                <w:szCs w:val="4"/>
              </w:rPr>
            </w:r>
          </w:p>
        </w:tc>
      </w:tr>
      <w:tr>
        <w:trPr/>
        <w:tc>
          <w:tcPr>
            <w:tcW w:w="6111"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Loans, net </w:t>
            </w:r>
          </w:p>
        </w:tc>
        <w:tc>
          <w:tcPr>
            <w:tcW w:w="1506"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1,064,940 </w:t>
            </w:r>
          </w:p>
        </w:tc>
        <w:tc>
          <w:tcPr>
            <w:tcW w:w="13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1,001,229 </w:t>
            </w:r>
          </w:p>
        </w:tc>
        <w:tc>
          <w:tcPr>
            <w:tcW w:w="935"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Payments in advance of funding </w:t>
            </w:r>
          </w:p>
        </w:tc>
        <w:tc>
          <w:tcPr>
            <w:tcW w:w="15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207,202 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198,861 </w:t>
            </w:r>
          </w:p>
        </w:tc>
        <w:tc>
          <w:tcPr>
            <w:tcW w:w="9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1"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Premises and equipment, net </w:t>
            </w:r>
          </w:p>
        </w:tc>
        <w:tc>
          <w:tcPr>
            <w:tcW w:w="150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34,295 </w:t>
            </w:r>
          </w:p>
        </w:tc>
        <w:tc>
          <w:tcPr>
            <w:tcW w:w="13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30,093 </w:t>
            </w:r>
          </w:p>
        </w:tc>
        <w:tc>
          <w:tcPr>
            <w:tcW w:w="935"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Investment in bank-owned life insurance </w:t>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49,885 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49,159 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1"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w:t>
            </w:r>
          </w:p>
        </w:tc>
        <w:tc>
          <w:tcPr>
            <w:tcW w:w="150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17,309 </w:t>
            </w:r>
          </w:p>
        </w:tc>
        <w:tc>
          <w:tcPr>
            <w:tcW w:w="13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17,309 </w:t>
            </w:r>
          </w:p>
        </w:tc>
        <w:tc>
          <w:tcPr>
            <w:tcW w:w="935"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intangible assets, net </w:t>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1"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and drafts receivable from customers</w:t>
            </w:r>
          </w:p>
        </w:tc>
        <w:tc>
          <w:tcPr>
            <w:tcW w:w="150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30,892 </w:t>
            </w:r>
          </w:p>
        </w:tc>
        <w:tc>
          <w:tcPr>
            <w:tcW w:w="13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110,651 </w:t>
            </w:r>
          </w:p>
        </w:tc>
        <w:tc>
          <w:tcPr>
            <w:tcW w:w="935"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assets </w:t>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72,136 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68,390 </w:t>
            </w:r>
          </w:p>
        </w:tc>
        <w:tc>
          <w:tcPr>
            <w:tcW w:w="93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6111"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assets </w:t>
            </w:r>
          </w:p>
        </w:tc>
        <w:tc>
          <w:tcPr>
            <w:tcW w:w="267"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9"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2,260,760 </w:t>
            </w:r>
          </w:p>
        </w:tc>
        <w:tc>
          <w:tcPr>
            <w:tcW w:w="13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2,478,622 </w:t>
            </w:r>
          </w:p>
        </w:tc>
        <w:tc>
          <w:tcPr>
            <w:tcW w:w="935"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1"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Shareholders’ Equity</w:t>
            </w:r>
          </w:p>
        </w:tc>
        <w:tc>
          <w:tcPr>
            <w:tcW w:w="1645"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Liabilities:</w:t>
            </w:r>
          </w:p>
        </w:tc>
        <w:tc>
          <w:tcPr>
            <w:tcW w:w="1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1"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Deposits: </w:t>
            </w:r>
          </w:p>
        </w:tc>
        <w:tc>
          <w:tcPr>
            <w:tcW w:w="1645"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3"/>
            <w:tcBorders/>
            <w:shd w:fill="B6B6B6"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1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Noninterest-bearing </w:t>
            </w:r>
          </w:p>
        </w:tc>
        <w:tc>
          <w:tcPr>
            <w:tcW w:w="26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392,573 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524,359 </w:t>
            </w:r>
          </w:p>
        </w:tc>
        <w:tc>
          <w:tcPr>
            <w:tcW w:w="9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6111"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Interest-bearing </w:t>
            </w:r>
          </w:p>
        </w:tc>
        <w:tc>
          <w:tcPr>
            <w:tcW w:w="150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654,750 </w:t>
            </w:r>
          </w:p>
        </w:tc>
        <w:tc>
          <w:tcPr>
            <w:tcW w:w="13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616,455 </w:t>
            </w:r>
          </w:p>
        </w:tc>
        <w:tc>
          <w:tcPr>
            <w:tcW w:w="935" w:type="dxa"/>
            <w:tcBorders/>
            <w:shd w:fill="B6B6B6"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61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deposits </w:t>
            </w:r>
          </w:p>
        </w:tc>
        <w:tc>
          <w:tcPr>
            <w:tcW w:w="15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1,047,323 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1,140,814 </w:t>
            </w:r>
          </w:p>
        </w:tc>
        <w:tc>
          <w:tcPr>
            <w:tcW w:w="9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1"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and drafts payable </w:t>
            </w:r>
          </w:p>
        </w:tc>
        <w:tc>
          <w:tcPr>
            <w:tcW w:w="1506"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936,463 </w:t>
            </w:r>
          </w:p>
        </w:tc>
        <w:tc>
          <w:tcPr>
            <w:tcW w:w="13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1,071,369 </w:t>
            </w:r>
          </w:p>
        </w:tc>
        <w:tc>
          <w:tcPr>
            <w:tcW w:w="935"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liabilities </w:t>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39,327 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36,630 </w:t>
            </w:r>
          </w:p>
        </w:tc>
        <w:tc>
          <w:tcPr>
            <w:tcW w:w="93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6111"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liabilities </w:t>
            </w:r>
          </w:p>
        </w:tc>
        <w:tc>
          <w:tcPr>
            <w:tcW w:w="1506"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2,023,113 </w:t>
            </w:r>
          </w:p>
        </w:tc>
        <w:tc>
          <w:tcPr>
            <w:tcW w:w="13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2,248,813 </w:t>
            </w:r>
          </w:p>
        </w:tc>
        <w:tc>
          <w:tcPr>
            <w:tcW w:w="935"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1"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Shareholders’ Equity:</w:t>
            </w:r>
          </w:p>
        </w:tc>
        <w:tc>
          <w:tcPr>
            <w:tcW w:w="1645"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1"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Preferred stock, par value $.50 per share; 2,000,000 shares authorized and no shares issued </w:t>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1" w:type="dxa"/>
            <w:gridSpan w:val="3"/>
            <w:tcBorders/>
            <w:shd w:fill="B6B6B6"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par value $.50 per share; 40,000,000 shares authorized and 15,505,772 shares issued at September 30, 2024 and December 31, 2023; 13,582,282 and 13,582,375 shares outstanding at September 30, 2024 and December 31, 2023, respectively.</w:t>
            </w:r>
          </w:p>
        </w:tc>
        <w:tc>
          <w:tcPr>
            <w:tcW w:w="150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7,753 </w:t>
            </w:r>
          </w:p>
        </w:tc>
        <w:tc>
          <w:tcPr>
            <w:tcW w:w="13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7,753 </w:t>
            </w:r>
          </w:p>
        </w:tc>
        <w:tc>
          <w:tcPr>
            <w:tcW w:w="935"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 paid-in capital </w:t>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205,026 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208,007 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1"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Retained earnings </w:t>
            </w:r>
          </w:p>
        </w:tc>
        <w:tc>
          <w:tcPr>
            <w:tcW w:w="150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148,092 </w:t>
            </w:r>
          </w:p>
        </w:tc>
        <w:tc>
          <w:tcPr>
            <w:tcW w:w="13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145,782 </w:t>
            </w:r>
          </w:p>
        </w:tc>
        <w:tc>
          <w:tcPr>
            <w:tcW w:w="935"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1"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shares in treasury, at cost (1,923,490 shares at September 30, 2024 and 1,923,397 shares at December 31, 2023) </w:t>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(84,139)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(84,264)</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1"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50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(39,085)</w:t>
            </w:r>
          </w:p>
        </w:tc>
        <w:tc>
          <w:tcPr>
            <w:tcW w:w="13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(47,469)</w:t>
            </w:r>
          </w:p>
        </w:tc>
        <w:tc>
          <w:tcPr>
            <w:tcW w:w="935" w:type="dxa"/>
            <w:tcBorders/>
            <w:shd w:fill="B6B6B6"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61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shareholders’ equity </w:t>
            </w:r>
          </w:p>
        </w:tc>
        <w:tc>
          <w:tcPr>
            <w:tcW w:w="15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237,647 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229,809 </w:t>
            </w:r>
          </w:p>
        </w:tc>
        <w:tc>
          <w:tcPr>
            <w:tcW w:w="9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rPr/>
        <w:tc>
          <w:tcPr>
            <w:tcW w:w="6111"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liabilities and shareholders’ equity </w:t>
            </w:r>
          </w:p>
        </w:tc>
        <w:tc>
          <w:tcPr>
            <w:tcW w:w="267"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9"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2,260,760 </w:t>
            </w:r>
          </w:p>
        </w:tc>
        <w:tc>
          <w:tcPr>
            <w:tcW w:w="139"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2,478,622 </w:t>
            </w:r>
          </w:p>
        </w:tc>
        <w:tc>
          <w:tcPr>
            <w:tcW w:w="935"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76" w:before="0" w:after="0"/>
        <w:jc w:val="left"/>
        <w:rPr/>
      </w:pPr>
      <w:hyperlink w:anchor="i6c4b0e535bdf4b388323ae8e08430aa2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CASS INFORMATION SYSTEMS, INC. AND SUBSIDIARIES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INCOME</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(Dollars in Thousands except Per Share Data)</w:t>
      </w:r>
    </w:p>
    <w:tbl>
      <w:tblPr>
        <w:tblW w:w="10205" w:type="dxa"/>
        <w:jc w:val="left"/>
        <w:tblInd w:w="0" w:type="dxa"/>
        <w:tblLayout w:type="fixed"/>
        <w:tblCellMar>
          <w:top w:w="28" w:type="dxa"/>
          <w:left w:w="28" w:type="dxa"/>
          <w:bottom w:w="28" w:type="dxa"/>
          <w:right w:w="28" w:type="dxa"/>
        </w:tblCellMar>
      </w:tblPr>
      <w:tblGrid>
        <w:gridCol w:w="1648"/>
        <w:gridCol w:w="1391"/>
        <w:gridCol w:w="1397"/>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733"/>
      </w:tblGrid>
      <w:tr>
        <w:trPr/>
        <w:tc>
          <w:tcPr>
            <w:tcW w:w="1648"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r>
      <w:tr>
        <w:trPr/>
        <w:tc>
          <w:tcPr>
            <w:tcW w:w="4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443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4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Fee Revenue and Other Income:</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Processing fees</w:t>
            </w:r>
          </w:p>
        </w:tc>
        <w:tc>
          <w:tcPr>
            <w:tcW w:w="211"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20,053 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19,939 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62,409 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58,838 </w:t>
            </w:r>
          </w:p>
        </w:tc>
        <w:tc>
          <w:tcPr>
            <w:tcW w:w="733"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34,518 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4,158 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3,624 </w:t>
            </w:r>
          </w:p>
        </w:tc>
        <w:tc>
          <w:tcPr>
            <w:tcW w:w="733" w:type="dxa"/>
            <w:tcBorders/>
            <w:shd w:fill="B6B6B6"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44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fee revenue and other income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96,980 </w:t>
            </w:r>
          </w:p>
        </w:tc>
        <w:tc>
          <w:tcPr>
            <w:tcW w:w="7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Interest Income: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and fees on loans </w:t>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14,567 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12,863 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40,935 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38,029 </w:t>
            </w:r>
          </w:p>
        </w:tc>
        <w:tc>
          <w:tcPr>
            <w:tcW w:w="733"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and dividends on securities: </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4436"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Taxable </w:t>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3,114 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3,428 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10,118 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10,702 </w:t>
            </w:r>
          </w:p>
        </w:tc>
        <w:tc>
          <w:tcPr>
            <w:tcW w:w="733" w:type="dxa"/>
            <w:tcBorders/>
            <w:shd w:fill="B6B6B6"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44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Exempt from federal income taxes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3,161 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on federal funds sold and other short-term investments </w:t>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4,200 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3,934 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11,908 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9,147 </w:t>
            </w:r>
          </w:p>
        </w:tc>
        <w:tc>
          <w:tcPr>
            <w:tcW w:w="733" w:type="dxa"/>
            <w:tcBorders/>
            <w:shd w:fill="B6B6B6"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44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interest income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61,039 </w:t>
            </w:r>
          </w:p>
        </w:tc>
        <w:tc>
          <w:tcPr>
            <w:tcW w:w="7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Interest Expense: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on deposits </w:t>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5,155 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4,641 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15,645 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11,463 </w:t>
            </w:r>
          </w:p>
        </w:tc>
        <w:tc>
          <w:tcPr>
            <w:tcW w:w="733"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on short-term borrowings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73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4436"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interest expense </w:t>
            </w:r>
          </w:p>
        </w:tc>
        <w:tc>
          <w:tcPr>
            <w:tcW w:w="932"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5,156 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4,641 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15,646 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11,579 </w:t>
            </w:r>
          </w:p>
        </w:tc>
        <w:tc>
          <w:tcPr>
            <w:tcW w:w="733"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44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interest income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49,460 </w:t>
            </w:r>
          </w:p>
        </w:tc>
        <w:tc>
          <w:tcPr>
            <w:tcW w:w="7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 of) provision for credit losses</w:t>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w:t>
            </w:r>
          </w:p>
        </w:tc>
        <w:tc>
          <w:tcPr>
            <w:tcW w:w="733"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 after (release of) provision for credit losses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49,795 </w:t>
            </w:r>
          </w:p>
        </w:tc>
        <w:tc>
          <w:tcPr>
            <w:tcW w:w="7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rPr/>
        <w:tc>
          <w:tcPr>
            <w:tcW w:w="4436"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net revenue </w:t>
            </w:r>
          </w:p>
        </w:tc>
        <w:tc>
          <w:tcPr>
            <w:tcW w:w="932"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50,550 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49,223 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148,818 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146,775 </w:t>
            </w:r>
          </w:p>
        </w:tc>
        <w:tc>
          <w:tcPr>
            <w:tcW w:w="733"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w:t>
            </w:r>
          </w:p>
        </w:tc>
        <w:tc>
          <w:tcPr>
            <w:tcW w:w="104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Personnel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89,094 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Occupancy </w:t>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2,577 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2,670 </w:t>
            </w:r>
          </w:p>
        </w:tc>
        <w:tc>
          <w:tcPr>
            <w:tcW w:w="733"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Equipment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5,188 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Bad debt expense</w:t>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6,559 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7,847 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733"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intangible assets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operating expense </w:t>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7,292 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7,535 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23,075 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22,237 </w:t>
            </w:r>
          </w:p>
        </w:tc>
        <w:tc>
          <w:tcPr>
            <w:tcW w:w="733" w:type="dxa"/>
            <w:tcBorders/>
            <w:shd w:fill="B6B6B6"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44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operating expense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119,774 </w:t>
            </w:r>
          </w:p>
        </w:tc>
        <w:tc>
          <w:tcPr>
            <w:tcW w:w="7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rPr/>
        <w:tc>
          <w:tcPr>
            <w:tcW w:w="4436"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before income tax expense </w:t>
            </w:r>
          </w:p>
        </w:tc>
        <w:tc>
          <w:tcPr>
            <w:tcW w:w="932"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3,652 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9,160 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18,456 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27,001 </w:t>
            </w:r>
          </w:p>
        </w:tc>
        <w:tc>
          <w:tcPr>
            <w:tcW w:w="733"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5,352 </w:t>
            </w:r>
          </w:p>
        </w:tc>
        <w:tc>
          <w:tcPr>
            <w:tcW w:w="73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rPr/>
        <w:tc>
          <w:tcPr>
            <w:tcW w:w="4436"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7,394 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14,574 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21,649 </w:t>
            </w:r>
          </w:p>
        </w:tc>
        <w:tc>
          <w:tcPr>
            <w:tcW w:w="733"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earnings per share </w:t>
            </w:r>
          </w:p>
        </w:tc>
        <w:tc>
          <w:tcPr>
            <w:tcW w:w="211"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733"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earnings per share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76" w:before="0" w:after="0"/>
        <w:jc w:val="left"/>
        <w:rPr/>
      </w:pPr>
      <w:hyperlink w:anchor="i6c4b0e535bdf4b388323ae8e08430aa2_7">
        <w:r>
          <w:rPr>
            <w:rStyle w:val="InternetLink"/>
            <w:rFonts w:ascii="Times New Roman;sans-serif" w:hAnsi="Times New Roman;sans-serif"/>
            <w:b/>
            <w:color w:val="0000FF"/>
            <w:sz w:val="20"/>
            <w:u w:val="single"/>
          </w:rPr>
          <w:t>Table of Contents</w:t>
        </w:r>
      </w:hyperlink>
    </w:p>
    <w:p>
      <w:pPr>
        <w:pStyle w:val="TextBody"/>
        <w:bidi w:val="0"/>
        <w:spacing w:lineRule="auto" w:line="288" w:before="220" w:after="283"/>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CASS INFORMATION SYSTEMS,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(Dollars in Thousands) </w:t>
      </w:r>
    </w:p>
    <w:tbl>
      <w:tblPr>
        <w:tblW w:w="10205" w:type="dxa"/>
        <w:jc w:val="left"/>
        <w:tblInd w:w="0" w:type="dxa"/>
        <w:tblLayout w:type="fixed"/>
        <w:tblCellMar>
          <w:top w:w="28" w:type="dxa"/>
          <w:left w:w="28" w:type="dxa"/>
          <w:bottom w:w="28" w:type="dxa"/>
          <w:right w:w="28" w:type="dxa"/>
        </w:tblCellMar>
      </w:tblPr>
      <w:tblGrid>
        <w:gridCol w:w="1702"/>
        <w:gridCol w:w="1484"/>
        <w:gridCol w:w="1489"/>
        <w:gridCol w:w="211"/>
        <w:gridCol w:w="721"/>
        <w:gridCol w:w="109"/>
        <w:gridCol w:w="109"/>
        <w:gridCol w:w="109"/>
        <w:gridCol w:w="109"/>
        <w:gridCol w:w="211"/>
        <w:gridCol w:w="682"/>
        <w:gridCol w:w="109"/>
        <w:gridCol w:w="109"/>
        <w:gridCol w:w="109"/>
        <w:gridCol w:w="109"/>
        <w:gridCol w:w="211"/>
        <w:gridCol w:w="721"/>
        <w:gridCol w:w="109"/>
        <w:gridCol w:w="109"/>
        <w:gridCol w:w="109"/>
        <w:gridCol w:w="109"/>
        <w:gridCol w:w="211"/>
        <w:gridCol w:w="721"/>
        <w:gridCol w:w="533"/>
      </w:tblGrid>
      <w:tr>
        <w:trPr/>
        <w:tc>
          <w:tcPr>
            <w:tcW w:w="1702"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r>
      <w:tr>
        <w:trPr/>
        <w:tc>
          <w:tcPr>
            <w:tcW w:w="4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4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6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color w:val="000000"/>
                <w:sz w:val="20"/>
              </w:rPr>
              <w:t>Comprehensive Income (Loss)</w:t>
            </w:r>
            <w:r>
              <w:rPr>
                <w:rFonts w:ascii="Times New Roman;sans-serif" w:hAnsi="Times New Roman;sans-serif"/>
                <w:b w:val="false"/>
                <w:color w:val="000000"/>
                <w:sz w:val="20"/>
              </w:rPr>
              <w:t xml:space="preserve">: </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211"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2"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7,394 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14,574 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21,649 </w:t>
            </w:r>
          </w:p>
        </w:tc>
        <w:tc>
          <w:tcPr>
            <w:tcW w:w="533"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comprehensive income (loss): </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675" w:type="dxa"/>
            <w:gridSpan w:val="3"/>
            <w:tcBorders/>
            <w:shd w:fill="B6B6B6"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unrealized gain (loss) on securities available-for-sale </w:t>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13,624 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(13,659)</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10,938 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(10,105)</w:t>
            </w:r>
          </w:p>
        </w:tc>
        <w:tc>
          <w:tcPr>
            <w:tcW w:w="533" w:type="dxa"/>
            <w:tcBorders/>
            <w:shd w:fill="B6B6B6"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46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Tax effect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2,405 </w:t>
            </w:r>
          </w:p>
        </w:tc>
        <w:tc>
          <w:tcPr>
            <w:tcW w:w="533"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675" w:type="dxa"/>
            <w:gridSpan w:val="3"/>
            <w:tcBorders/>
            <w:shd w:fill="B6B6B6"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Reclassification adjustments for losses included in net income </w:t>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533" w:type="dxa"/>
            <w:tcBorders/>
            <w:shd w:fill="B6B6B6"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46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Tax effect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533"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675" w:type="dxa"/>
            <w:gridSpan w:val="3"/>
            <w:tcBorders/>
            <w:shd w:fill="B6B6B6"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translation adjustments </w:t>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533"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income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14,050 </w:t>
            </w:r>
          </w:p>
        </w:tc>
        <w:tc>
          <w:tcPr>
            <w:tcW w:w="5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76" w:before="0" w:after="0"/>
        <w:jc w:val="left"/>
        <w:rPr/>
      </w:pPr>
      <w:hyperlink w:anchor="i6c4b0e535bdf4b388323ae8e08430aa2_7">
        <w:r>
          <w:rPr>
            <w:rStyle w:val="InternetLink"/>
            <w:rFonts w:ascii="Times New Roman;sans-serif" w:hAnsi="Times New Roman;sans-serif"/>
            <w:b/>
            <w:color w:val="0000FF"/>
            <w:sz w:val="20"/>
            <w:u w:val="single"/>
          </w:rPr>
          <w:t>Table of Contents</w:t>
        </w:r>
      </w:hyperlink>
    </w:p>
    <w:p>
      <w:pPr>
        <w:pStyle w:val="TextBody"/>
        <w:bidi w:val="0"/>
        <w:spacing w:lineRule="auto" w:line="288" w:before="220" w:after="283"/>
        <w:jc w:val="center"/>
        <w:rPr>
          <w:rFonts w:ascii="Times New Roman;sans-serif" w:hAnsi="Times New Roman;sans-serif"/>
          <w:b/>
          <w:color w:val="000000"/>
          <w:sz w:val="20"/>
        </w:rPr>
      </w:pPr>
      <w:r>
        <w:rPr>
          <w:rFonts w:ascii="Times New Roman;sans-serif" w:hAnsi="Times New Roman;sans-serif"/>
          <w:b/>
          <w:color w:val="000000"/>
          <w:sz w:val="20"/>
        </w:rPr>
        <w:t>CASS INFORMATION SYSTEMS,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(Dollars in Thousands)</w:t>
      </w:r>
    </w:p>
    <w:tbl>
      <w:tblPr>
        <w:tblW w:w="10006" w:type="dxa"/>
        <w:jc w:val="center"/>
        <w:tblInd w:w="0" w:type="dxa"/>
        <w:tblLayout w:type="fixed"/>
        <w:tblCellMar>
          <w:top w:w="28" w:type="dxa"/>
          <w:left w:w="28" w:type="dxa"/>
          <w:bottom w:w="28" w:type="dxa"/>
          <w:right w:w="28" w:type="dxa"/>
        </w:tblCellMar>
      </w:tblPr>
      <w:tblGrid>
        <w:gridCol w:w="2451"/>
        <w:gridCol w:w="2150"/>
        <w:gridCol w:w="2164"/>
        <w:gridCol w:w="211"/>
        <w:gridCol w:w="826"/>
        <w:gridCol w:w="109"/>
        <w:gridCol w:w="109"/>
        <w:gridCol w:w="109"/>
        <w:gridCol w:w="109"/>
        <w:gridCol w:w="211"/>
        <w:gridCol w:w="826"/>
        <w:gridCol w:w="731"/>
      </w:tblGrid>
      <w:tr>
        <w:trPr/>
        <w:tc>
          <w:tcPr>
            <w:tcW w:w="2451"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6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6765"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146"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21,649 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Adjustments to reconcile net income to net cash provided by operating activities: </w:t>
            </w:r>
          </w:p>
        </w:tc>
        <w:tc>
          <w:tcPr>
            <w:tcW w:w="114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B6B6B6"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585 </w:t>
            </w:r>
          </w:p>
        </w:tc>
        <w:tc>
          <w:tcPr>
            <w:tcW w:w="7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676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amortization of premium/discount on investment securities</w:t>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3,378 </w:t>
            </w:r>
          </w:p>
        </w:tc>
        <w:tc>
          <w:tcPr>
            <w:tcW w:w="731" w:type="dxa"/>
            <w:tcBorders/>
            <w:shd w:fill="B6B6B6"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3,061 </w:t>
            </w:r>
          </w:p>
        </w:tc>
        <w:tc>
          <w:tcPr>
            <w:tcW w:w="7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676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Losses on sales of securities </w:t>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731" w:type="dxa"/>
            <w:tcBorders/>
            <w:shd w:fill="B6B6B6"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compensation expense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3,797 </w:t>
            </w:r>
          </w:p>
        </w:tc>
        <w:tc>
          <w:tcPr>
            <w:tcW w:w="7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676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(release of) credit losses</w:t>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w:t>
            </w:r>
          </w:p>
        </w:tc>
        <w:tc>
          <w:tcPr>
            <w:tcW w:w="73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ind w:left="0" w:right="0" w:firstLine="400"/>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current income tax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w:t>
            </w:r>
          </w:p>
        </w:tc>
        <w:tc>
          <w:tcPr>
            <w:tcW w:w="7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676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Increase in pension liability </w:t>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731" w:type="dxa"/>
            <w:tcBorders/>
            <w:shd w:fill="B6B6B6"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Increase in accounts receivable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w:t>
            </w:r>
          </w:p>
        </w:tc>
        <w:tc>
          <w:tcPr>
            <w:tcW w:w="7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676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operating activities, net </w:t>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w:t>
            </w:r>
          </w:p>
        </w:tc>
        <w:tc>
          <w:tcPr>
            <w:tcW w:w="731" w:type="dxa"/>
            <w:tcBorders/>
            <w:shd w:fill="B6B6B6"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operating activities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29,366 </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Proceeds from sales of securities available-for-sale </w:t>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24,985 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111,053 </w:t>
            </w:r>
          </w:p>
        </w:tc>
        <w:tc>
          <w:tcPr>
            <w:tcW w:w="73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Proceeds from maturities of securities available-for-sale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29,410 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Purchase of securities available-for-sale </w:t>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(71,121)</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(15,332)</w:t>
            </w:r>
          </w:p>
        </w:tc>
        <w:tc>
          <w:tcPr>
            <w:tcW w:w="73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(increase) decrease in loans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43,286 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payments in advance of funding</w:t>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(8,341)</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35,188 </w:t>
            </w:r>
          </w:p>
        </w:tc>
        <w:tc>
          <w:tcPr>
            <w:tcW w:w="73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Purchases of premises and equipment, net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(9,360)</w:t>
            </w:r>
          </w:p>
        </w:tc>
        <w:tc>
          <w:tcPr>
            <w:tcW w:w="7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676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investing activities </w:t>
            </w:r>
          </w:p>
        </w:tc>
        <w:tc>
          <w:tcPr>
            <w:tcW w:w="1037"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4,124 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194,245 </w:t>
            </w:r>
          </w:p>
        </w:tc>
        <w:tc>
          <w:tcPr>
            <w:tcW w:w="731"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decrease in noninterest-bearing demand deposits </w:t>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(131,786)</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(131,465)</w:t>
            </w:r>
          </w:p>
        </w:tc>
        <w:tc>
          <w:tcPr>
            <w:tcW w:w="73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increase in interest-bearing demand and savings deposits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15,304 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increase in time deposits </w:t>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4,655 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36,286 </w:t>
            </w:r>
          </w:p>
        </w:tc>
        <w:tc>
          <w:tcPr>
            <w:tcW w:w="73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accounts and drafts receivable from customers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67,069 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accounts and drafts payable</w:t>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(134,906)</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14,624 </w:t>
            </w:r>
          </w:p>
        </w:tc>
        <w:tc>
          <w:tcPr>
            <w:tcW w:w="73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dividends paid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(11,887)</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Purchase of common shares for treasury </w:t>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(3,705)</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(5,212)</w:t>
            </w:r>
          </w:p>
        </w:tc>
        <w:tc>
          <w:tcPr>
            <w:tcW w:w="73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financing activities, net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w:t>
            </w:r>
          </w:p>
        </w:tc>
        <w:tc>
          <w:tcPr>
            <w:tcW w:w="73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rPr/>
        <w:tc>
          <w:tcPr>
            <w:tcW w:w="676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financing activities </w:t>
            </w:r>
          </w:p>
        </w:tc>
        <w:tc>
          <w:tcPr>
            <w:tcW w:w="1037"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(166,355)</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(16,118)</w:t>
            </w:r>
          </w:p>
        </w:tc>
        <w:tc>
          <w:tcPr>
            <w:tcW w:w="731"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(decrease) increase in cash and cash equivalents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207,493 </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at beginning of period </w:t>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372,468 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200,942 </w:t>
            </w:r>
          </w:p>
        </w:tc>
        <w:tc>
          <w:tcPr>
            <w:tcW w:w="73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at end of period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408,435 </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Supplemental information: </w:t>
            </w:r>
          </w:p>
        </w:tc>
        <w:tc>
          <w:tcPr>
            <w:tcW w:w="114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B6B6B6"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paid for interest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11,049 </w:t>
            </w:r>
          </w:p>
        </w:tc>
        <w:tc>
          <w:tcPr>
            <w:tcW w:w="7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676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paid for income taxes </w:t>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4,095 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6,775 </w:t>
            </w:r>
          </w:p>
        </w:tc>
        <w:tc>
          <w:tcPr>
            <w:tcW w:w="73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76" w:before="0" w:after="0"/>
        <w:jc w:val="left"/>
        <w:rPr/>
      </w:pPr>
      <w:hyperlink w:anchor="i6c4b0e535bdf4b388323ae8e08430aa2_7">
        <w:r>
          <w:rPr>
            <w:rStyle w:val="InternetLink"/>
            <w:rFonts w:ascii="Times New Roman;sans-serif" w:hAnsi="Times New Roman;sans-serif"/>
            <w:b/>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CASS INFORMATION SYSTEMS,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SHAREHOLDERS’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2024 AND 2023</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(Dollars in Thousands except per share data) </w:t>
      </w:r>
    </w:p>
    <w:tbl>
      <w:tblPr>
        <w:tblW w:w="10205" w:type="dxa"/>
        <w:jc w:val="left"/>
        <w:tblInd w:w="0" w:type="dxa"/>
        <w:tblLayout w:type="fixed"/>
        <w:tblCellMar>
          <w:top w:w="28" w:type="dxa"/>
          <w:left w:w="28" w:type="dxa"/>
          <w:bottom w:w="28" w:type="dxa"/>
          <w:right w:w="28" w:type="dxa"/>
        </w:tblCellMar>
      </w:tblPr>
      <w:tblGrid>
        <w:gridCol w:w="918"/>
        <w:gridCol w:w="372"/>
        <w:gridCol w:w="374"/>
        <w:gridCol w:w="211"/>
        <w:gridCol w:w="616"/>
        <w:gridCol w:w="109"/>
        <w:gridCol w:w="109"/>
        <w:gridCol w:w="109"/>
        <w:gridCol w:w="109"/>
        <w:gridCol w:w="211"/>
        <w:gridCol w:w="826"/>
        <w:gridCol w:w="109"/>
        <w:gridCol w:w="109"/>
        <w:gridCol w:w="109"/>
        <w:gridCol w:w="109"/>
        <w:gridCol w:w="211"/>
        <w:gridCol w:w="826"/>
        <w:gridCol w:w="109"/>
        <w:gridCol w:w="109"/>
        <w:gridCol w:w="109"/>
        <w:gridCol w:w="109"/>
        <w:gridCol w:w="211"/>
        <w:gridCol w:w="739"/>
        <w:gridCol w:w="109"/>
        <w:gridCol w:w="109"/>
        <w:gridCol w:w="109"/>
        <w:gridCol w:w="109"/>
        <w:gridCol w:w="284"/>
        <w:gridCol w:w="993"/>
        <w:gridCol w:w="149"/>
        <w:gridCol w:w="109"/>
        <w:gridCol w:w="109"/>
        <w:gridCol w:w="109"/>
        <w:gridCol w:w="211"/>
        <w:gridCol w:w="826"/>
        <w:gridCol w:w="156"/>
      </w:tblGrid>
      <w:tr>
        <w:trPr/>
        <w:tc>
          <w:tcPr>
            <w:tcW w:w="918"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664"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June 30, 2023</w:t>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7,753 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206,734 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137,996 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(80,943)</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(56,394)</w:t>
            </w:r>
          </w:p>
        </w:tc>
        <w:tc>
          <w:tcPr>
            <w:tcW w:w="14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215,146 </w:t>
            </w:r>
          </w:p>
        </w:tc>
        <w:tc>
          <w:tcPr>
            <w:tcW w:w="156"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B6B6B6"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dividends ($0.29 per share) </w:t>
            </w:r>
          </w:p>
        </w:tc>
        <w:tc>
          <w:tcPr>
            <w:tcW w:w="93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(3,946)</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(3,946)</w:t>
            </w:r>
          </w:p>
        </w:tc>
        <w:tc>
          <w:tcPr>
            <w:tcW w:w="15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Issuance of 1,685 common shares pursuant to stock-based compensation plans, net </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664"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compensation expense </w:t>
            </w:r>
          </w:p>
        </w:tc>
        <w:tc>
          <w:tcPr>
            <w:tcW w:w="93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15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73,272 common shares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93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(10,526)</w:t>
            </w:r>
          </w:p>
        </w:tc>
        <w:tc>
          <w:tcPr>
            <w:tcW w:w="14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(10,526)</w:t>
            </w:r>
          </w:p>
        </w:tc>
        <w:tc>
          <w:tcPr>
            <w:tcW w:w="15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Balance, September 30, 2023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(66,920)</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206,236 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June 30, 2024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(49,638)</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93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2,938 </w:t>
            </w:r>
          </w:p>
        </w:tc>
        <w:tc>
          <w:tcPr>
            <w:tcW w:w="15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dividends ($0.30 per share) </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B6B6B6"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Issuance of 1,505 common shares pursuant to stock-based compensation plans, net </w:t>
            </w:r>
          </w:p>
        </w:tc>
        <w:tc>
          <w:tcPr>
            <w:tcW w:w="93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5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compensation expense </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B6B6B6"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Purchase of 64,471 common shares </w:t>
            </w:r>
          </w:p>
        </w:tc>
        <w:tc>
          <w:tcPr>
            <w:tcW w:w="93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w:t>
            </w:r>
          </w:p>
        </w:tc>
        <w:tc>
          <w:tcPr>
            <w:tcW w:w="15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gain</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B6B6B6"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Balance, September 30, 2024 </w:t>
            </w:r>
          </w:p>
        </w:tc>
        <w:tc>
          <w:tcPr>
            <w:tcW w:w="211"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7,753 </w:t>
            </w:r>
          </w:p>
        </w:tc>
        <w:tc>
          <w:tcPr>
            <w:tcW w:w="109"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205,026 </w:t>
            </w:r>
          </w:p>
        </w:tc>
        <w:tc>
          <w:tcPr>
            <w:tcW w:w="109"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148,092 </w:t>
            </w:r>
          </w:p>
        </w:tc>
        <w:tc>
          <w:tcPr>
            <w:tcW w:w="109"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(84,139)</w:t>
            </w:r>
          </w:p>
        </w:tc>
        <w:tc>
          <w:tcPr>
            <w:tcW w:w="109"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(39,085)</w:t>
            </w:r>
          </w:p>
        </w:tc>
        <w:tc>
          <w:tcPr>
            <w:tcW w:w="149"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237,647 </w:t>
            </w:r>
          </w:p>
        </w:tc>
        <w:tc>
          <w:tcPr>
            <w:tcW w:w="156"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76" w:before="0" w:after="0"/>
        <w:jc w:val="left"/>
        <w:rPr/>
      </w:pPr>
      <w:hyperlink w:anchor="i6c4b0e535bdf4b388323ae8e08430aa2_7">
        <w:r>
          <w:rPr>
            <w:rStyle w:val="InternetLink"/>
            <w:rFonts w:ascii="Times New Roman;sans-serif" w:hAnsi="Times New Roman;sans-serif"/>
            <w:b/>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CASS INFORMATION SYSTEMS,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SHAREHOLDERS’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 2024 AND 2023</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(Dollars in Thousands except per share data) </w:t>
      </w:r>
    </w:p>
    <w:tbl>
      <w:tblPr>
        <w:tblW w:w="10205" w:type="dxa"/>
        <w:jc w:val="left"/>
        <w:tblInd w:w="0" w:type="dxa"/>
        <w:tblLayout w:type="fixed"/>
        <w:tblCellMar>
          <w:top w:w="28" w:type="dxa"/>
          <w:left w:w="28" w:type="dxa"/>
          <w:bottom w:w="28" w:type="dxa"/>
          <w:right w:w="28" w:type="dxa"/>
        </w:tblCellMar>
      </w:tblPr>
      <w:tblGrid>
        <w:gridCol w:w="919"/>
        <w:gridCol w:w="372"/>
        <w:gridCol w:w="373"/>
        <w:gridCol w:w="211"/>
        <w:gridCol w:w="616"/>
        <w:gridCol w:w="109"/>
        <w:gridCol w:w="109"/>
        <w:gridCol w:w="109"/>
        <w:gridCol w:w="109"/>
        <w:gridCol w:w="211"/>
        <w:gridCol w:w="826"/>
        <w:gridCol w:w="109"/>
        <w:gridCol w:w="109"/>
        <w:gridCol w:w="109"/>
        <w:gridCol w:w="109"/>
        <w:gridCol w:w="211"/>
        <w:gridCol w:w="826"/>
        <w:gridCol w:w="109"/>
        <w:gridCol w:w="109"/>
        <w:gridCol w:w="109"/>
        <w:gridCol w:w="109"/>
        <w:gridCol w:w="211"/>
        <w:gridCol w:w="739"/>
        <w:gridCol w:w="109"/>
        <w:gridCol w:w="109"/>
        <w:gridCol w:w="109"/>
        <w:gridCol w:w="109"/>
        <w:gridCol w:w="284"/>
        <w:gridCol w:w="993"/>
        <w:gridCol w:w="149"/>
        <w:gridCol w:w="109"/>
        <w:gridCol w:w="109"/>
        <w:gridCol w:w="109"/>
        <w:gridCol w:w="211"/>
        <w:gridCol w:w="826"/>
        <w:gridCol w:w="156"/>
      </w:tblGrid>
      <w:tr>
        <w:trPr/>
        <w:tc>
          <w:tcPr>
            <w:tcW w:w="91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664" w:type="dxa"/>
            <w:gridSpan w:val="3"/>
            <w:tcBorders/>
            <w:shd w:fill="B6B6B6"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Balance, December 31, 2022 </w:t>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7,753 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207,422 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131,682 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(81,211)</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(59,321)</w:t>
            </w:r>
          </w:p>
        </w:tc>
        <w:tc>
          <w:tcPr>
            <w:tcW w:w="14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206,325 </w:t>
            </w:r>
          </w:p>
        </w:tc>
        <w:tc>
          <w:tcPr>
            <w:tcW w:w="156"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B6B6B6"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dividends ($.87 per share) </w:t>
            </w:r>
          </w:p>
        </w:tc>
        <w:tc>
          <w:tcPr>
            <w:tcW w:w="93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(11,887)</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(11,887)</w:t>
            </w:r>
          </w:p>
        </w:tc>
        <w:tc>
          <w:tcPr>
            <w:tcW w:w="15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Issuance of 82,906 common shares pursuant to stock-based compensation plan, net </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Exercise of SARs </w:t>
            </w:r>
          </w:p>
        </w:tc>
        <w:tc>
          <w:tcPr>
            <w:tcW w:w="93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5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compensation expense </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B6B6B6"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Purchase of 136,577 common shares </w:t>
            </w:r>
          </w:p>
        </w:tc>
        <w:tc>
          <w:tcPr>
            <w:tcW w:w="93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(5,212)</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(5,212)</w:t>
            </w:r>
          </w:p>
        </w:tc>
        <w:tc>
          <w:tcPr>
            <w:tcW w:w="15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B6B6B6"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Balance, September 30, 2023 </w:t>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7,753 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207,663 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141,444 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(83,704)</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(66,920)</w:t>
            </w:r>
          </w:p>
        </w:tc>
        <w:tc>
          <w:tcPr>
            <w:tcW w:w="14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206,236 </w:t>
            </w:r>
          </w:p>
        </w:tc>
        <w:tc>
          <w:tcPr>
            <w:tcW w:w="156"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Balance, December 31, 2023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(47,469)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93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14,574 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14,574 </w:t>
            </w:r>
          </w:p>
        </w:tc>
        <w:tc>
          <w:tcPr>
            <w:tcW w:w="15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dividends ($.90 per share) </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B6B6B6"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Issuance of 124,801 common shares pursuant to stock-based compensation plans, net </w:t>
            </w:r>
          </w:p>
        </w:tc>
        <w:tc>
          <w:tcPr>
            <w:tcW w:w="93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(5,611)</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3,862 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w:t>
            </w:r>
          </w:p>
        </w:tc>
        <w:tc>
          <w:tcPr>
            <w:tcW w:w="15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compensation expense </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B6B6B6"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Purchase of 87,742 common shares </w:t>
            </w:r>
          </w:p>
        </w:tc>
        <w:tc>
          <w:tcPr>
            <w:tcW w:w="93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(3,705)</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(3,705)</w:t>
            </w:r>
          </w:p>
        </w:tc>
        <w:tc>
          <w:tcPr>
            <w:tcW w:w="15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gain</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B6B6B6"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Balance, September 30, 2024 </w:t>
            </w:r>
          </w:p>
        </w:tc>
        <w:tc>
          <w:tcPr>
            <w:tcW w:w="211"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7,753 </w:t>
            </w:r>
          </w:p>
        </w:tc>
        <w:tc>
          <w:tcPr>
            <w:tcW w:w="109"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205,026 </w:t>
            </w:r>
          </w:p>
        </w:tc>
        <w:tc>
          <w:tcPr>
            <w:tcW w:w="109"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148,092 </w:t>
            </w:r>
          </w:p>
        </w:tc>
        <w:tc>
          <w:tcPr>
            <w:tcW w:w="109"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(84,139)</w:t>
            </w:r>
          </w:p>
        </w:tc>
        <w:tc>
          <w:tcPr>
            <w:tcW w:w="109"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3"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(39,085)</w:t>
            </w:r>
          </w:p>
        </w:tc>
        <w:tc>
          <w:tcPr>
            <w:tcW w:w="149"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237,647 </w:t>
            </w:r>
          </w:p>
        </w:tc>
        <w:tc>
          <w:tcPr>
            <w:tcW w:w="156"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76" w:before="0" w:after="0"/>
        <w:jc w:val="left"/>
        <w:rPr/>
      </w:pPr>
      <w:hyperlink w:anchor="i6c4b0e535bdf4b388323ae8e08430aa2_7">
        <w:r>
          <w:rPr>
            <w:rStyle w:val="InternetLink"/>
            <w:rFonts w:ascii="Times New Roman;sans-serif" w:hAnsi="Times New Roman;sans-serif"/>
            <w:b/>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CASS INFORMATION SYSTEMS,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(Unaudited)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Note 1 - Basis of Presentation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consolidated financial statements have been prepared in accordance with U.S. generally accepted accounting principles for interim financial information and with the instructions to Form 10-Q and Rule 10-01 of Regulation S-X. Accordingly, they do not include all of the information and notes required by U.S. generally accepted accounting principles for complete financial statements. In the opinion of management, all adjustments, consisting of normal recurring accruals, considered necessary for a fair presentation have been included. Certain amounts in prior-period financial statements have been reclassified to conform to the current period’s presentation. Such reclassifications have no effect on previously reported net income or shareholders’ equity. For further information, refer to the audited consolidated financial statements and related footnotes included in Cass Information System, Inc.’s (the “Company” or “Cass”) Annual Report on Form 10-K for the year ended December 31, 2023 ("2023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Note 2 – Intangible Assets </w:t>
      </w:r>
    </w:p>
    <w:p>
      <w:pPr>
        <w:pStyle w:val="TextBody"/>
        <w:bidi w:val="0"/>
        <w:spacing w:lineRule="auto" w:line="288" w:before="200" w:after="283"/>
        <w:jc w:val="both"/>
        <w:rPr/>
      </w:pPr>
      <w:r>
        <w:rPr>
          <w:rFonts w:ascii="Times New Roman;sans-serif" w:hAnsi="Times New Roman;sans-serif"/>
          <w:b w:val="false"/>
          <w:color w:val="000000"/>
          <w:sz w:val="20"/>
        </w:rPr>
        <w:t xml:space="preserve">The Company accounts for intangible assets in accordance with Financial Accounting Standards Board (“FASB”) Accounting Standards Codification (“ASC”) 350, </w:t>
      </w:r>
      <w:r>
        <w:rPr>
          <w:rFonts w:ascii="Times New Roman;sans-serif" w:hAnsi="Times New Roman;sans-serif"/>
          <w:b w:val="false"/>
          <w:i/>
          <w:color w:val="000000"/>
          <w:sz w:val="20"/>
        </w:rPr>
        <w:t>Goodwill and Other Intangible Assets</w:t>
      </w:r>
      <w:r>
        <w:rPr>
          <w:rFonts w:ascii="Times New Roman;sans-serif" w:hAnsi="Times New Roman;sans-serif"/>
          <w:b w:val="false"/>
          <w:color w:val="000000"/>
          <w:sz w:val="20"/>
        </w:rPr>
        <w:t xml:space="preserve">, which requires that intangibles with indefinite useful lives be tested annually for impairment, or when management deems there is a triggering event, and those with finite useful lives be amortized over their useful lives.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Details of the Company’s intangible assets are as follows: </w:t>
      </w:r>
    </w:p>
    <w:tbl>
      <w:tblPr>
        <w:tblW w:w="9229" w:type="dxa"/>
        <w:jc w:val="center"/>
        <w:tblInd w:w="0" w:type="dxa"/>
        <w:tblLayout w:type="fixed"/>
        <w:tblCellMar>
          <w:top w:w="28" w:type="dxa"/>
          <w:left w:w="28" w:type="dxa"/>
          <w:bottom w:w="28" w:type="dxa"/>
          <w:right w:w="28" w:type="dxa"/>
        </w:tblCellMar>
      </w:tblPr>
      <w:tblGrid>
        <w:gridCol w:w="999"/>
        <w:gridCol w:w="878"/>
        <w:gridCol w:w="882"/>
        <w:gridCol w:w="292"/>
        <w:gridCol w:w="998"/>
        <w:gridCol w:w="150"/>
        <w:gridCol w:w="109"/>
        <w:gridCol w:w="109"/>
        <w:gridCol w:w="109"/>
        <w:gridCol w:w="279"/>
        <w:gridCol w:w="835"/>
        <w:gridCol w:w="145"/>
        <w:gridCol w:w="109"/>
        <w:gridCol w:w="109"/>
        <w:gridCol w:w="109"/>
        <w:gridCol w:w="301"/>
        <w:gridCol w:w="1029"/>
        <w:gridCol w:w="155"/>
        <w:gridCol w:w="109"/>
        <w:gridCol w:w="109"/>
        <w:gridCol w:w="109"/>
        <w:gridCol w:w="238"/>
        <w:gridCol w:w="714"/>
        <w:gridCol w:w="353"/>
      </w:tblGrid>
      <w:tr>
        <w:trPr/>
        <w:tc>
          <w:tcPr>
            <w:tcW w:w="99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7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w:t>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Accumulated </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Gross Carrying </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Accumulated </w:t>
              <w:br/>
              <w:t>Amortization</w:t>
            </w:r>
          </w:p>
        </w:tc>
      </w:tr>
      <w:tr>
        <w:trPr/>
        <w:tc>
          <w:tcPr>
            <w:tcW w:w="2759"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Assets eligible for amortization: </w:t>
            </w:r>
          </w:p>
        </w:tc>
        <w:tc>
          <w:tcPr>
            <w:tcW w:w="1440"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ind w:left="0" w:right="0" w:firstLine="180"/>
              <w:jc w:val="right"/>
              <w:rPr>
                <w:color w:val="000000"/>
              </w:rPr>
            </w:pPr>
            <w:r>
              <w:rPr>
                <w:color w:val="000000"/>
              </w:rPr>
              <w:t> </w:t>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Customer lists </w:t>
            </w:r>
          </w:p>
        </w:tc>
        <w:tc>
          <w:tcPr>
            <w:tcW w:w="29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(5,039)</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(4,851)</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59"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Patents </w:t>
            </w:r>
          </w:p>
        </w:tc>
        <w:tc>
          <w:tcPr>
            <w:tcW w:w="1290"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50"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45"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55"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53" w:type="dxa"/>
            <w:tcBorders/>
            <w:shd w:fill="B6B6B6"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Software </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(2,252)</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59"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Trade name </w:t>
            </w:r>
          </w:p>
        </w:tc>
        <w:tc>
          <w:tcPr>
            <w:tcW w:w="1290"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150"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45"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155"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353" w:type="dxa"/>
            <w:tcBorders/>
            <w:shd w:fill="B6B6B6"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Unamortized intangible assets: </w:t>
            </w:r>
          </w:p>
        </w:tc>
        <w:tc>
          <w:tcPr>
            <w:tcW w:w="1440"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B6B6B6"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intangible assets </w:t>
            </w:r>
          </w:p>
        </w:tc>
        <w:tc>
          <w:tcPr>
            <w:tcW w:w="292"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27,936 </w:t>
            </w:r>
          </w:p>
        </w:tc>
        <w:tc>
          <w:tcPr>
            <w:tcW w:w="150"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B6B6B6" w:val="clear"/>
            <w:tcMar>
              <w:left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(7,838)</w:t>
            </w:r>
          </w:p>
        </w:tc>
        <w:tc>
          <w:tcPr>
            <w:tcW w:w="145"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B6B6B6" w:val="clear"/>
            <w:tcMar>
              <w:left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27,936 </w:t>
            </w:r>
          </w:p>
        </w:tc>
        <w:tc>
          <w:tcPr>
            <w:tcW w:w="155"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B6B6B6" w:val="clear"/>
            <w:tcMar>
              <w:left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(7,282)</w:t>
            </w:r>
          </w:p>
        </w:tc>
        <w:tc>
          <w:tcPr>
            <w:tcW w:w="353"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customer lists are amortized over 7 to 10 years; the patents over 18 years; software over 3 to 7 years; the trade names over 10 to 20 years; and other intangible assets over 15 years. Amortization of intangible assets amounted to $183,000 and $556,000 for the three and nine months ended September 30, 2024, respectively. Amortization of intangible assets amounted to $195,000 and $585,000 for the three and nine months ended September 30, 2023, respectively. Estimated annual amortization of intangibles is $738,000 in 2024, $730,000 in 2025, $582,000 in 2026, $262,000 in 2027, and $254,000 in 2028.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Note 3 – Earnings Per Share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earnings per share is computed by dividing net income by the weighted-average number of common shares outstanding. Diluted earnings per share is computed by dividing net income by the sum of the weighted-average number of common shares outstanding and the weighted-average number of potential common shares outstanding. Under the treasury stock method, stock appreciation rights (“SARs”) are dilutive when the average market price of the Company’s common stock, combined with the effect of any unamortized compensation expense, exceeds the SAR price during a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76" w:before="0" w:after="0"/>
        <w:jc w:val="left"/>
        <w:rPr/>
      </w:pPr>
      <w:hyperlink w:anchor="i6c4b0e535bdf4b388323ae8e08430aa2_7">
        <w:r>
          <w:rPr>
            <w:rStyle w:val="InternetLink"/>
            <w:rFonts w:ascii="Times New Roman;sans-serif" w:hAnsi="Times New Roman;sans-serif"/>
            <w:b/>
            <w:color w:val="0000FF"/>
            <w:sz w:val="20"/>
            <w:u w:val="single"/>
          </w:rPr>
          <w:t>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calculations of basic and diluted earnings per share are as follows: </w:t>
      </w:r>
    </w:p>
    <w:tbl>
      <w:tblPr>
        <w:tblW w:w="10205" w:type="dxa"/>
        <w:jc w:val="left"/>
        <w:tblInd w:w="0" w:type="dxa"/>
        <w:tblLayout w:type="fixed"/>
        <w:tblCellMar>
          <w:top w:w="28" w:type="dxa"/>
          <w:left w:w="28" w:type="dxa"/>
          <w:bottom w:w="28" w:type="dxa"/>
          <w:right w:w="28" w:type="dxa"/>
        </w:tblCellMar>
      </w:tblPr>
      <w:tblGrid>
        <w:gridCol w:w="1557"/>
        <w:gridCol w:w="1125"/>
        <w:gridCol w:w="1129"/>
        <w:gridCol w:w="275"/>
        <w:gridCol w:w="806"/>
        <w:gridCol w:w="109"/>
        <w:gridCol w:w="109"/>
        <w:gridCol w:w="109"/>
        <w:gridCol w:w="109"/>
        <w:gridCol w:w="275"/>
        <w:gridCol w:w="806"/>
        <w:gridCol w:w="109"/>
        <w:gridCol w:w="109"/>
        <w:gridCol w:w="109"/>
        <w:gridCol w:w="109"/>
        <w:gridCol w:w="244"/>
        <w:gridCol w:w="837"/>
        <w:gridCol w:w="109"/>
        <w:gridCol w:w="109"/>
        <w:gridCol w:w="109"/>
        <w:gridCol w:w="109"/>
        <w:gridCol w:w="244"/>
        <w:gridCol w:w="837"/>
        <w:gridCol w:w="762"/>
      </w:tblGrid>
      <w:tr>
        <w:trPr/>
        <w:tc>
          <w:tcPr>
            <w:tcW w:w="1557"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3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share and per share data)</w:t>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3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811"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w:t>
            </w:r>
          </w:p>
        </w:tc>
        <w:tc>
          <w:tcPr>
            <w:tcW w:w="1190"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27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21,649 </w:t>
            </w:r>
          </w:p>
        </w:tc>
        <w:tc>
          <w:tcPr>
            <w:tcW w:w="762"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11"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Weighted-average common shares outstanding </w:t>
            </w:r>
          </w:p>
        </w:tc>
        <w:tc>
          <w:tcPr>
            <w:tcW w:w="1081"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13,504,204 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13,501,469 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13,524,165 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13,551,070 </w:t>
            </w:r>
          </w:p>
        </w:tc>
        <w:tc>
          <w:tcPr>
            <w:tcW w:w="762" w:type="dxa"/>
            <w:tcBorders/>
            <w:shd w:fill="B6B6B6" w:val="clear"/>
            <w:tcMar>
              <w:top w:w="0" w:type="dxa"/>
              <w:left w:w="0" w:type="dxa"/>
              <w:bottom w:w="0" w:type="dxa"/>
              <w:right w:w="0" w:type="dxa"/>
            </w:tcMar>
            <w:vAlign w:val="center"/>
          </w:tcPr>
          <w:p>
            <w:pPr>
              <w:pStyle w:val="TableContents"/>
              <w:bidi w:val="0"/>
              <w:spacing w:before="0" w:after="283"/>
              <w:ind w:left="0" w:right="0" w:firstLine="630"/>
              <w:jc w:val="left"/>
              <w:rPr>
                <w:sz w:val="4"/>
                <w:szCs w:val="4"/>
              </w:rPr>
            </w:pPr>
            <w:r>
              <w:rPr>
                <w:sz w:val="4"/>
                <w:szCs w:val="4"/>
              </w:rPr>
            </w:r>
          </w:p>
        </w:tc>
      </w:tr>
      <w:tr>
        <w:trPr/>
        <w:tc>
          <w:tcPr>
            <w:tcW w:w="38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earnings per share </w:t>
            </w:r>
          </w:p>
        </w:tc>
        <w:tc>
          <w:tcPr>
            <w:tcW w:w="27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1"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w:t>
            </w:r>
          </w:p>
        </w:tc>
        <w:tc>
          <w:tcPr>
            <w:tcW w:w="1190"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27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21,649 </w:t>
            </w:r>
          </w:p>
        </w:tc>
        <w:tc>
          <w:tcPr>
            <w:tcW w:w="762"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11"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Weighted-average common shares outstanding </w:t>
            </w:r>
          </w:p>
        </w:tc>
        <w:tc>
          <w:tcPr>
            <w:tcW w:w="1081"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13,504,204 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13,501,469 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13,524,165 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13,551,070 </w:t>
            </w:r>
          </w:p>
        </w:tc>
        <w:tc>
          <w:tcPr>
            <w:tcW w:w="762" w:type="dxa"/>
            <w:tcBorders/>
            <w:shd w:fill="B6B6B6"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Effect of dilutive restricted stock and stock appreciation rights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285,354 </w:t>
            </w:r>
          </w:p>
        </w:tc>
        <w:tc>
          <w:tcPr>
            <w:tcW w:w="7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11"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Weighted-average common shares outstanding assuming dilution </w:t>
            </w:r>
          </w:p>
        </w:tc>
        <w:tc>
          <w:tcPr>
            <w:tcW w:w="1081"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13,785,997 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13,792,611 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13,797,740 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13,836,424 </w:t>
            </w:r>
          </w:p>
        </w:tc>
        <w:tc>
          <w:tcPr>
            <w:tcW w:w="762"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ind w:left="0" w:right="0" w:firstLine="630"/>
              <w:jc w:val="left"/>
              <w:rPr>
                <w:sz w:val="4"/>
                <w:szCs w:val="4"/>
              </w:rPr>
            </w:pPr>
            <w:r>
              <w:rPr>
                <w:sz w:val="4"/>
                <w:szCs w:val="4"/>
              </w:rPr>
            </w:r>
          </w:p>
        </w:tc>
      </w:tr>
      <w:tr>
        <w:trPr/>
        <w:tc>
          <w:tcPr>
            <w:tcW w:w="381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earnings per share </w:t>
            </w:r>
          </w:p>
        </w:tc>
        <w:tc>
          <w:tcPr>
            <w:tcW w:w="275"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5"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76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Note 4 – Stock Repurchases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maintains a treasury stock buyback program pursuant to which, in October 2023, the Board of Directors authorized the repurchase of up to 500,000 shares of the Company’s common stock with no expiration date. As of September 30, 2024, the Company had 398,294 shares remaining available for repurchase under the program. The Company repurchased 64,471 and 87,742 shares during the three and nine months ended September 30, 2024, respectively and 73,272 and 136,577 shares during the three and nine months ended September 30, 2023, respectively. Repurchases may be made in the open market or through negotiated transactions from time to time depending on market conditions.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Note 5 – Industry Segment Information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services provided by the Company are classified into two reportable segments: Information Services and Banking Services. Each of these segments provides distinct services that are marketed through different channels. They are managed separately due to their unique service and processing requirements.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Services segment provides transportation, energy, telecommunication, and environmental invoice processing and payment services to large corporations. In addition, this segment provides church management software and on-line generosity services primarily for faith-based ministries. The Banking Services segment provides banking services primarily to privately held businesses, franchise restaurants, and faith-based ministries, as well as supporting the banking needs of the Information Services segment.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accounting policies for segments are the same as those described in the summary of significant accounting policies in the Company’s 2023 Form 10-K. Management evaluates segment performance based on pre-tax income after allocations for corporate expenses. Transactions between segments are accounted for at what management believes to be fair value.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Substantially all revenue originates from, and all long-lived assets are located within, the United States and no revenue from any customer of any segment exceeds 10% of the Company’s consolidated revenue.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Funding sources represent average balances and deposits generated by Information Services and Banking Services and there is no allocation methodology used. Banking Services interest income is determined by actual interest income on loans minus actual interest expense paid on deposits plus/minus an allocation for interest income or expense dependent on the remaining available liquidity of the segment. Information Services interest income is determined by multiplying available liquidity by actual yields on short-term investments and investment securities.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difference between total segment interest income and overall total Company interest income is included in Corporate, Eliminations,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76" w:before="0" w:after="0"/>
        <w:jc w:val="left"/>
        <w:rPr/>
      </w:pPr>
      <w:hyperlink w:anchor="i6c4b0e535bdf4b388323ae8e08430aa2_7">
        <w:r>
          <w:rPr>
            <w:rStyle w:val="InternetLink"/>
            <w:rFonts w:ascii="Times New Roman;sans-serif" w:hAnsi="Times New Roman;sans-serif"/>
            <w:b/>
            <w:color w:val="0000FF"/>
            <w:sz w:val="20"/>
            <w:u w:val="single"/>
          </w:rPr>
          <w:t>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Summarized information about the Company’s operations in each industry segment is as follows: </w:t>
      </w:r>
    </w:p>
    <w:tbl>
      <w:tblPr>
        <w:tblW w:w="9742" w:type="dxa"/>
        <w:jc w:val="center"/>
        <w:tblInd w:w="0" w:type="dxa"/>
        <w:tblLayout w:type="fixed"/>
        <w:tblCellMar>
          <w:top w:w="28" w:type="dxa"/>
          <w:left w:w="28" w:type="dxa"/>
          <w:bottom w:w="28" w:type="dxa"/>
          <w:right w:w="28" w:type="dxa"/>
        </w:tblCellMar>
      </w:tblPr>
      <w:tblGrid>
        <w:gridCol w:w="1303"/>
        <w:gridCol w:w="1146"/>
        <w:gridCol w:w="1151"/>
        <w:gridCol w:w="211"/>
        <w:gridCol w:w="976"/>
        <w:gridCol w:w="109"/>
        <w:gridCol w:w="109"/>
        <w:gridCol w:w="109"/>
        <w:gridCol w:w="109"/>
        <w:gridCol w:w="211"/>
        <w:gridCol w:w="826"/>
        <w:gridCol w:w="109"/>
        <w:gridCol w:w="109"/>
        <w:gridCol w:w="109"/>
        <w:gridCol w:w="109"/>
        <w:gridCol w:w="270"/>
        <w:gridCol w:w="790"/>
        <w:gridCol w:w="141"/>
        <w:gridCol w:w="109"/>
        <w:gridCol w:w="109"/>
        <w:gridCol w:w="109"/>
        <w:gridCol w:w="211"/>
        <w:gridCol w:w="976"/>
        <w:gridCol w:w="331"/>
      </w:tblGrid>
      <w:tr>
        <w:trPr/>
        <w:tc>
          <w:tcPr>
            <w:tcW w:w="130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Information</w:t>
              <w:br/>
              <w:t>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Banking</w:t>
              <w:br/>
              <w:t>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Corporate,</w:t>
              <w:br/>
              <w:t>Eliminations</w:t>
              <w:br/>
              <w:t>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600"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i/>
                <w:color w:val="000000"/>
                <w:sz w:val="20"/>
              </w:rPr>
            </w:pPr>
            <w:r>
              <w:rPr>
                <w:rFonts w:ascii="Times New Roman;sans-serif" w:hAnsi="Times New Roman;sans-serif"/>
                <w:b/>
                <w:i/>
                <w:color w:val="000000"/>
                <w:sz w:val="20"/>
              </w:rPr>
              <w:t>Three Months Ended September 30, 2024:</w:t>
            </w:r>
          </w:p>
        </w:tc>
        <w:tc>
          <w:tcPr>
            <w:tcW w:w="1296"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Fee income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32,792 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600"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10,223 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15,630 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(3,079)</w:t>
            </w:r>
          </w:p>
        </w:tc>
        <w:tc>
          <w:tcPr>
            <w:tcW w:w="14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22,774 </w:t>
            </w:r>
          </w:p>
        </w:tc>
        <w:tc>
          <w:tcPr>
            <w:tcW w:w="331" w:type="dxa"/>
            <w:tcBorders/>
            <w:shd w:fill="B6B6B6"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(4,182)</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5,156 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600"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Intersegment income (expense) </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31" w:type="dxa"/>
            <w:tcBorders/>
            <w:shd w:fill="B6B6B6"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Pre-tax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3,652 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600"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17,173 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17,309 </w:t>
            </w:r>
          </w:p>
        </w:tc>
        <w:tc>
          <w:tcPr>
            <w:tcW w:w="331" w:type="dxa"/>
            <w:tcBorders/>
            <w:shd w:fill="B6B6B6"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intangible assets, net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2,789 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600"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assets </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1,371,095 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1,172,264 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(282,599)</w:t>
            </w:r>
          </w:p>
        </w:tc>
        <w:tc>
          <w:tcPr>
            <w:tcW w:w="14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2,260,760 </w:t>
            </w:r>
          </w:p>
        </w:tc>
        <w:tc>
          <w:tcPr>
            <w:tcW w:w="331" w:type="dxa"/>
            <w:tcBorders/>
            <w:shd w:fill="B6B6B6"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Average funding sources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2,067,638 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B6B6B6"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i/>
                <w:color w:val="000000"/>
                <w:sz w:val="20"/>
              </w:rPr>
            </w:pPr>
            <w:r>
              <w:rPr>
                <w:rFonts w:ascii="Times New Roman;sans-serif" w:hAnsi="Times New Roman;sans-serif"/>
                <w:b/>
                <w:i/>
                <w:color w:val="000000"/>
                <w:sz w:val="20"/>
              </w:rPr>
              <w:t>Three Months Ended September 30, 2023:</w:t>
            </w:r>
          </w:p>
        </w:tc>
        <w:tc>
          <w:tcPr>
            <w:tcW w:w="129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B6B6B6"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Fee income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32,800 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600"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10,143 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13,879 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w:t>
            </w:r>
          </w:p>
        </w:tc>
        <w:tc>
          <w:tcPr>
            <w:tcW w:w="14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21,189 </w:t>
            </w:r>
          </w:p>
        </w:tc>
        <w:tc>
          <w:tcPr>
            <w:tcW w:w="331" w:type="dxa"/>
            <w:tcBorders/>
            <w:shd w:fill="B6B6B6"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(3,319)</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4,641 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600"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Intersegment income (expense) </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31" w:type="dxa"/>
            <w:tcBorders/>
            <w:shd w:fill="B6B6B6"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Pre-tax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9,160 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600"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17,173 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17,309 </w:t>
            </w:r>
          </w:p>
        </w:tc>
        <w:tc>
          <w:tcPr>
            <w:tcW w:w="331" w:type="dxa"/>
            <w:tcBorders/>
            <w:shd w:fill="B6B6B6"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intangible assets, net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600"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assets </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1,648,152 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1,130,345 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(273,619)</w:t>
            </w:r>
          </w:p>
        </w:tc>
        <w:tc>
          <w:tcPr>
            <w:tcW w:w="14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2,504,878 </w:t>
            </w:r>
          </w:p>
        </w:tc>
        <w:tc>
          <w:tcPr>
            <w:tcW w:w="331" w:type="dxa"/>
            <w:tcBorders/>
            <w:shd w:fill="B6B6B6"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Average funding sources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2,142,085 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i/>
                <w:color w:val="000000"/>
                <w:sz w:val="20"/>
              </w:rPr>
            </w:pPr>
            <w:r>
              <w:rPr>
                <w:rFonts w:ascii="Times New Roman;sans-serif" w:hAnsi="Times New Roman;sans-serif"/>
                <w:b/>
                <w:i/>
                <w:color w:val="000000"/>
                <w:sz w:val="20"/>
              </w:rPr>
              <w:t>Nine Months Ended September 30, 2024:</w:t>
            </w:r>
          </w:p>
        </w:tc>
        <w:tc>
          <w:tcPr>
            <w:tcW w:w="1296"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Fee income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99,149 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600"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30,166 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44,194 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(8,690)</w:t>
            </w:r>
          </w:p>
        </w:tc>
        <w:tc>
          <w:tcPr>
            <w:tcW w:w="14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65,670 </w:t>
            </w:r>
          </w:p>
        </w:tc>
        <w:tc>
          <w:tcPr>
            <w:tcW w:w="331" w:type="dxa"/>
            <w:tcBorders/>
            <w:shd w:fill="B6B6B6"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(11,067)</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15,646 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600"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Intersegment income (expense) </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(2,992)</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2,992 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31" w:type="dxa"/>
            <w:tcBorders/>
            <w:shd w:fill="B6B6B6"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Pre-tax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18,456 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600"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17,173 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17,309 </w:t>
            </w:r>
          </w:p>
        </w:tc>
        <w:tc>
          <w:tcPr>
            <w:tcW w:w="331" w:type="dxa"/>
            <w:tcBorders/>
            <w:shd w:fill="B6B6B6"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intangible assets, net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2,789 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600"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assets </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1,371,095 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1,172,264 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(282,599)</w:t>
            </w:r>
          </w:p>
        </w:tc>
        <w:tc>
          <w:tcPr>
            <w:tcW w:w="14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2,260,760 </w:t>
            </w:r>
          </w:p>
        </w:tc>
        <w:tc>
          <w:tcPr>
            <w:tcW w:w="331" w:type="dxa"/>
            <w:tcBorders/>
            <w:shd w:fill="B6B6B6"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Average funding sources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2,075,087 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B6B6B6"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i/>
                <w:color w:val="000000"/>
                <w:sz w:val="20"/>
              </w:rPr>
            </w:pPr>
            <w:r>
              <w:rPr>
                <w:rFonts w:ascii="Times New Roman;sans-serif" w:hAnsi="Times New Roman;sans-serif"/>
                <w:b/>
                <w:i/>
                <w:color w:val="000000"/>
                <w:sz w:val="20"/>
              </w:rPr>
              <w:t>Nine Months Ended September 30, 2023:</w:t>
            </w:r>
          </w:p>
        </w:tc>
        <w:tc>
          <w:tcPr>
            <w:tcW w:w="129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B6B6B6"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Fee income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96,980 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600"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29,053 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40,885 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(8,899)</w:t>
            </w:r>
          </w:p>
        </w:tc>
        <w:tc>
          <w:tcPr>
            <w:tcW w:w="14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61,039 </w:t>
            </w:r>
          </w:p>
        </w:tc>
        <w:tc>
          <w:tcPr>
            <w:tcW w:w="331" w:type="dxa"/>
            <w:tcBorders/>
            <w:shd w:fill="B6B6B6"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(9,321)</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11,579 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600"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Intersegment income (expense) </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(3,093)</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3,093 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31" w:type="dxa"/>
            <w:tcBorders/>
            <w:shd w:fill="B6B6B6"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Pre-tax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27,001 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600"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17,173 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17,309 </w:t>
            </w:r>
          </w:p>
        </w:tc>
        <w:tc>
          <w:tcPr>
            <w:tcW w:w="331" w:type="dxa"/>
            <w:tcBorders/>
            <w:shd w:fill="B6B6B6"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intangible assets, net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600"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assets </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1,648,152 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1,130,345 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(273,619)</w:t>
            </w:r>
          </w:p>
        </w:tc>
        <w:tc>
          <w:tcPr>
            <w:tcW w:w="14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2,504,878 </w:t>
            </w:r>
          </w:p>
        </w:tc>
        <w:tc>
          <w:tcPr>
            <w:tcW w:w="331" w:type="dxa"/>
            <w:tcBorders/>
            <w:shd w:fill="B6B6B6"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60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Average funding sources </w:t>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1,343,750 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820,335 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0"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2,164,085 </w:t>
            </w:r>
          </w:p>
        </w:tc>
        <w:tc>
          <w:tcPr>
            <w:tcW w:w="33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76" w:before="0" w:after="0"/>
        <w:jc w:val="left"/>
        <w:rPr/>
      </w:pPr>
      <w:hyperlink w:anchor="i6c4b0e535bdf4b388323ae8e08430aa2_7">
        <w:r>
          <w:rPr>
            <w:rStyle w:val="InternetLink"/>
            <w:rFonts w:ascii="Times New Roman;sans-serif" w:hAnsi="Times New Roman;sans-serif"/>
            <w:b/>
            <w:color w:val="0000FF"/>
            <w:sz w:val="20"/>
            <w:u w:val="single"/>
          </w:rPr>
          <w:t>Table of Contents</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Note 6 – Loans by Type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loans is as follows: </w:t>
      </w:r>
    </w:p>
    <w:tbl>
      <w:tblPr>
        <w:tblW w:w="5873" w:type="dxa"/>
        <w:jc w:val="center"/>
        <w:tblInd w:w="0" w:type="dxa"/>
        <w:tblLayout w:type="fixed"/>
        <w:tblCellMar>
          <w:top w:w="28" w:type="dxa"/>
          <w:left w:w="28" w:type="dxa"/>
          <w:bottom w:w="28" w:type="dxa"/>
          <w:right w:w="28" w:type="dxa"/>
        </w:tblCellMar>
      </w:tblPr>
      <w:tblGrid>
        <w:gridCol w:w="841"/>
        <w:gridCol w:w="740"/>
        <w:gridCol w:w="743"/>
        <w:gridCol w:w="212"/>
        <w:gridCol w:w="983"/>
        <w:gridCol w:w="109"/>
        <w:gridCol w:w="109"/>
        <w:gridCol w:w="109"/>
        <w:gridCol w:w="109"/>
        <w:gridCol w:w="211"/>
        <w:gridCol w:w="976"/>
        <w:gridCol w:w="731"/>
      </w:tblGrid>
      <w:tr>
        <w:trPr/>
        <w:tc>
          <w:tcPr>
            <w:tcW w:w="84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2324" w:type="dxa"/>
            <w:gridSpan w:val="3"/>
            <w:tcBorders>
              <w:top w:val="single" w:sz="12"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and industrial </w:t>
            </w:r>
          </w:p>
        </w:tc>
        <w:tc>
          <w:tcPr>
            <w:tcW w:w="212" w:type="dxa"/>
            <w:tcBorders>
              <w:top w:val="single" w:sz="12"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top w:val="single" w:sz="12"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548,519 </w:t>
            </w:r>
          </w:p>
        </w:tc>
        <w:tc>
          <w:tcPr>
            <w:tcW w:w="109" w:type="dxa"/>
            <w:tcBorders>
              <w:top w:val="single" w:sz="12"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12"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498,502 </w:t>
            </w:r>
          </w:p>
        </w:tc>
        <w:tc>
          <w:tcPr>
            <w:tcW w:w="731" w:type="dxa"/>
            <w:tcBorders>
              <w:top w:val="single" w:sz="12"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Real estate: </w:t>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2324"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w:t>
            </w:r>
          </w:p>
        </w:tc>
        <w:tc>
          <w:tcPr>
            <w:tcW w:w="1304"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shd w:fill="B6B6B6"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Mortgage </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118,371 </w:t>
            </w:r>
          </w:p>
        </w:tc>
        <w:tc>
          <w:tcPr>
            <w:tcW w:w="73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rPr/>
        <w:tc>
          <w:tcPr>
            <w:tcW w:w="2324"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Construction </w:t>
            </w:r>
          </w:p>
        </w:tc>
        <w:tc>
          <w:tcPr>
            <w:tcW w:w="1195"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9,479 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8,233 </w:t>
            </w:r>
          </w:p>
        </w:tc>
        <w:tc>
          <w:tcPr>
            <w:tcW w:w="731" w:type="dxa"/>
            <w:tcBorders/>
            <w:shd w:fill="B6B6B6"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Faith-based: </w:t>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rPr/>
        <w:tc>
          <w:tcPr>
            <w:tcW w:w="2324"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Mortgage </w:t>
            </w:r>
          </w:p>
        </w:tc>
        <w:tc>
          <w:tcPr>
            <w:tcW w:w="1195"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376,573 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381,368 </w:t>
            </w:r>
          </w:p>
        </w:tc>
        <w:tc>
          <w:tcPr>
            <w:tcW w:w="731" w:type="dxa"/>
            <w:tcBorders/>
            <w:shd w:fill="B6B6B6"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Construction </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7,790 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95"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731" w:type="dxa"/>
            <w:tcBorders/>
            <w:shd w:fill="B6B6B6"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232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loans </w:t>
            </w:r>
          </w:p>
        </w:tc>
        <w:tc>
          <w:tcPr>
            <w:tcW w:w="2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1,078,387 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1,014,318 </w:t>
            </w:r>
          </w:p>
        </w:tc>
        <w:tc>
          <w:tcPr>
            <w:tcW w:w="7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aging of loans past due by category at September 30, 2024 and December 31, 2023: </w:t>
      </w:r>
    </w:p>
    <w:tbl>
      <w:tblPr>
        <w:tblW w:w="9963" w:type="dxa"/>
        <w:jc w:val="center"/>
        <w:tblInd w:w="0" w:type="dxa"/>
        <w:tblLayout w:type="fixed"/>
        <w:tblCellMar>
          <w:top w:w="28" w:type="dxa"/>
          <w:left w:w="28" w:type="dxa"/>
          <w:bottom w:w="28" w:type="dxa"/>
          <w:right w:w="28" w:type="dxa"/>
        </w:tblCellMar>
      </w:tblPr>
      <w:tblGrid>
        <w:gridCol w:w="842"/>
        <w:gridCol w:w="740"/>
        <w:gridCol w:w="743"/>
        <w:gridCol w:w="211"/>
        <w:gridCol w:w="976"/>
        <w:gridCol w:w="109"/>
        <w:gridCol w:w="109"/>
        <w:gridCol w:w="109"/>
        <w:gridCol w:w="109"/>
        <w:gridCol w:w="211"/>
        <w:gridCol w:w="466"/>
        <w:gridCol w:w="109"/>
        <w:gridCol w:w="109"/>
        <w:gridCol w:w="109"/>
        <w:gridCol w:w="109"/>
        <w:gridCol w:w="211"/>
        <w:gridCol w:w="406"/>
        <w:gridCol w:w="109"/>
        <w:gridCol w:w="109"/>
        <w:gridCol w:w="109"/>
        <w:gridCol w:w="109"/>
        <w:gridCol w:w="211"/>
        <w:gridCol w:w="406"/>
        <w:gridCol w:w="109"/>
        <w:gridCol w:w="109"/>
        <w:gridCol w:w="109"/>
        <w:gridCol w:w="109"/>
        <w:gridCol w:w="218"/>
        <w:gridCol w:w="419"/>
        <w:gridCol w:w="114"/>
        <w:gridCol w:w="109"/>
        <w:gridCol w:w="109"/>
        <w:gridCol w:w="109"/>
        <w:gridCol w:w="211"/>
        <w:gridCol w:w="976"/>
        <w:gridCol w:w="531"/>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Performing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Nonperforming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w:t>
            </w:r>
          </w:p>
        </w:tc>
        <w:tc>
          <w:tcPr>
            <w:tcW w:w="129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Current</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30-59</w:t>
              <w:br/>
              <w:t>Days</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60-89</w:t>
              <w:br/>
              <w:t>Days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90</w:t>
              <w:br/>
              <w:t>Days</w:t>
              <w:br/>
              <w:t>and</w:t>
              <w:br/>
              <w:t>Over</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w:t>
              <w:br/>
              <w:t>accrual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br/>
              <w:t>Loans</w:t>
            </w:r>
          </w:p>
        </w:tc>
      </w:tr>
      <w:tr>
        <w:trPr/>
        <w:tc>
          <w:tcPr>
            <w:tcW w:w="2325" w:type="dxa"/>
            <w:gridSpan w:val="3"/>
            <w:tcBorders>
              <w:top w:val="single" w:sz="12"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September 30, 2024</w:t>
            </w:r>
          </w:p>
        </w:tc>
        <w:tc>
          <w:tcPr>
            <w:tcW w:w="1296" w:type="dxa"/>
            <w:gridSpan w:val="3"/>
            <w:tcBorders>
              <w:top w:val="single" w:sz="12"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2"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2"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2"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12"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12"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and industrial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548,519 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Real estate </w:t>
            </w:r>
          </w:p>
        </w:tc>
        <w:tc>
          <w:tcPr>
            <w:tcW w:w="129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B6B6B6"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232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Mortgage </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119,119 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119,119 </w:t>
            </w:r>
          </w:p>
        </w:tc>
        <w:tc>
          <w:tcPr>
            <w:tcW w:w="531" w:type="dxa"/>
            <w:tcBorders/>
            <w:shd w:fill="B6B6B6"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Construction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9,479 </w:t>
            </w:r>
          </w:p>
        </w:tc>
        <w:tc>
          <w:tcPr>
            <w:tcW w:w="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232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Faith-based: </w:t>
            </w:r>
          </w:p>
        </w:tc>
        <w:tc>
          <w:tcPr>
            <w:tcW w:w="129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B6B6B6"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Mortgage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376,573 </w:t>
            </w:r>
          </w:p>
        </w:tc>
        <w:tc>
          <w:tcPr>
            <w:tcW w:w="5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232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Construction </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24,696 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24,696 </w:t>
            </w:r>
          </w:p>
        </w:tc>
        <w:tc>
          <w:tcPr>
            <w:tcW w:w="53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8"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1,077,943 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9"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1,078,387 </w:t>
            </w:r>
          </w:p>
        </w:tc>
        <w:tc>
          <w:tcPr>
            <w:tcW w:w="531"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December 31, 2023</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and industrial </w:t>
            </w:r>
          </w:p>
        </w:tc>
        <w:tc>
          <w:tcPr>
            <w:tcW w:w="211"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498,502 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9"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498,502 </w:t>
            </w:r>
          </w:p>
        </w:tc>
        <w:tc>
          <w:tcPr>
            <w:tcW w:w="53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Real estate </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232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w:t>
            </w:r>
          </w:p>
        </w:tc>
        <w:tc>
          <w:tcPr>
            <w:tcW w:w="129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B6B6B6"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Mortgage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118,371 </w:t>
            </w:r>
          </w:p>
        </w:tc>
        <w:tc>
          <w:tcPr>
            <w:tcW w:w="5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232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Construction </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8,233 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8,233 </w:t>
            </w:r>
          </w:p>
        </w:tc>
        <w:tc>
          <w:tcPr>
            <w:tcW w:w="531" w:type="dxa"/>
            <w:tcBorders/>
            <w:shd w:fill="B6B6B6"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Faith-based: </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232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Mortgage </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381,368 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381,368 </w:t>
            </w:r>
          </w:p>
        </w:tc>
        <w:tc>
          <w:tcPr>
            <w:tcW w:w="531" w:type="dxa"/>
            <w:tcBorders/>
            <w:shd w:fill="B6B6B6"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Construction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7,790 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8"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53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1,014,318 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1,014,318 </w:t>
            </w:r>
          </w:p>
        </w:tc>
        <w:tc>
          <w:tcPr>
            <w:tcW w:w="5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76" w:before="0" w:after="0"/>
        <w:jc w:val="left"/>
        <w:rPr/>
      </w:pPr>
      <w:hyperlink w:anchor="i6c4b0e535bdf4b388323ae8e08430aa2_7">
        <w:r>
          <w:rPr>
            <w:rStyle w:val="InternetLink"/>
            <w:rFonts w:ascii="Times New Roman;sans-serif" w:hAnsi="Times New Roman;sans-serif"/>
            <w:b/>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credit exposure of the loan portfolio by internally assigned credit grade as of September 30, 2024 and December 31, 2023: </w:t>
      </w:r>
    </w:p>
    <w:tbl>
      <w:tblPr>
        <w:tblW w:w="9036" w:type="dxa"/>
        <w:jc w:val="left"/>
        <w:tblInd w:w="0" w:type="dxa"/>
        <w:tblLayout w:type="fixed"/>
        <w:tblCellMar>
          <w:top w:w="28" w:type="dxa"/>
          <w:left w:w="28" w:type="dxa"/>
          <w:bottom w:w="28" w:type="dxa"/>
          <w:right w:w="28" w:type="dxa"/>
        </w:tblCellMar>
      </w:tblPr>
      <w:tblGrid>
        <w:gridCol w:w="842"/>
        <w:gridCol w:w="740"/>
        <w:gridCol w:w="743"/>
        <w:gridCol w:w="211"/>
        <w:gridCol w:w="976"/>
        <w:gridCol w:w="109"/>
        <w:gridCol w:w="109"/>
        <w:gridCol w:w="109"/>
        <w:gridCol w:w="109"/>
        <w:gridCol w:w="261"/>
        <w:gridCol w:w="893"/>
        <w:gridCol w:w="136"/>
        <w:gridCol w:w="109"/>
        <w:gridCol w:w="109"/>
        <w:gridCol w:w="109"/>
        <w:gridCol w:w="414"/>
        <w:gridCol w:w="797"/>
        <w:gridCol w:w="215"/>
        <w:gridCol w:w="109"/>
        <w:gridCol w:w="109"/>
        <w:gridCol w:w="109"/>
        <w:gridCol w:w="211"/>
        <w:gridCol w:w="976"/>
        <w:gridCol w:w="531"/>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Loans</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Subject to</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Normal</w:t>
            </w:r>
          </w:p>
          <w:p>
            <w:pPr>
              <w:pStyle w:val="TableContents"/>
              <w:bidi w:val="0"/>
              <w:spacing w:lineRule="auto" w:line="276" w:before="0" w:after="0"/>
              <w:jc w:val="center"/>
              <w:rPr/>
            </w:pPr>
            <w:r>
              <w:rPr>
                <w:rFonts w:ascii="Times New Roman;sans-serif" w:hAnsi="Times New Roman;sans-serif"/>
                <w:b/>
                <w:color w:val="000000"/>
                <w:sz w:val="20"/>
              </w:rPr>
              <w:t>Monitoring</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Performing</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Loans Subject</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to Special</w:t>
            </w:r>
          </w:p>
          <w:p>
            <w:pPr>
              <w:pStyle w:val="TableContents"/>
              <w:bidi w:val="0"/>
              <w:spacing w:lineRule="auto" w:line="276" w:before="0" w:after="0"/>
              <w:jc w:val="center"/>
              <w:rPr/>
            </w:pPr>
            <w:r>
              <w:rPr>
                <w:rFonts w:ascii="Times New Roman;sans-serif" w:hAnsi="Times New Roman;sans-serif"/>
                <w:b/>
                <w:color w:val="000000"/>
                <w:sz w:val="20"/>
              </w:rPr>
              <w:t>Monitoring</w:t>
            </w:r>
            <w:r>
              <w:rPr>
                <w:rFonts w:ascii="Times New Roman;sans-serif" w:hAnsi="Times New Roman;sans-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Nonperforming</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Loans Subject</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to Special</w:t>
            </w:r>
          </w:p>
          <w:p>
            <w:pPr>
              <w:pStyle w:val="TableContents"/>
              <w:bidi w:val="0"/>
              <w:spacing w:lineRule="auto" w:line="276" w:before="0" w:after="0"/>
              <w:jc w:val="center"/>
              <w:rPr/>
            </w:pPr>
            <w:r>
              <w:rPr>
                <w:rFonts w:ascii="Times New Roman;sans-serif" w:hAnsi="Times New Roman;sans-serif"/>
                <w:b/>
                <w:color w:val="000000"/>
                <w:sz w:val="20"/>
              </w:rPr>
              <w:t>Monitoring</w:t>
            </w:r>
            <w:r>
              <w:rPr>
                <w:rFonts w:ascii="Times New Roman;sans-serif" w:hAnsi="Times New Roman;sans-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Total Loans</w:t>
            </w:r>
          </w:p>
        </w:tc>
      </w:tr>
      <w:tr>
        <w:trPr/>
        <w:tc>
          <w:tcPr>
            <w:tcW w:w="2325" w:type="dxa"/>
            <w:gridSpan w:val="3"/>
            <w:tcBorders>
              <w:top w:val="single" w:sz="12"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September 30, 2024</w:t>
            </w:r>
          </w:p>
        </w:tc>
        <w:tc>
          <w:tcPr>
            <w:tcW w:w="1296" w:type="dxa"/>
            <w:gridSpan w:val="3"/>
            <w:tcBorders>
              <w:top w:val="single" w:sz="12"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12"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12"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12"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and industrial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548,519 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Real estate </w:t>
            </w:r>
          </w:p>
        </w:tc>
        <w:tc>
          <w:tcPr>
            <w:tcW w:w="129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B6B6B6"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232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Mortgage </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115,966 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3,153 </w:t>
            </w:r>
          </w:p>
        </w:tc>
        <w:tc>
          <w:tcPr>
            <w:tcW w:w="13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5"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119,119 </w:t>
            </w:r>
          </w:p>
        </w:tc>
        <w:tc>
          <w:tcPr>
            <w:tcW w:w="531" w:type="dxa"/>
            <w:tcBorders/>
            <w:shd w:fill="B6B6B6"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Construction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9,479 </w:t>
            </w:r>
          </w:p>
        </w:tc>
        <w:tc>
          <w:tcPr>
            <w:tcW w:w="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232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Faith-based: </w:t>
            </w:r>
          </w:p>
        </w:tc>
        <w:tc>
          <w:tcPr>
            <w:tcW w:w="129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B6B6B6"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Mortgage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376,573 </w:t>
            </w:r>
          </w:p>
        </w:tc>
        <w:tc>
          <w:tcPr>
            <w:tcW w:w="5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232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Construction </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24,696 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5"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24,696 </w:t>
            </w:r>
          </w:p>
        </w:tc>
        <w:tc>
          <w:tcPr>
            <w:tcW w:w="53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8"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1,056,922 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21,465 </w:t>
            </w:r>
          </w:p>
        </w:tc>
        <w:tc>
          <w:tcPr>
            <w:tcW w:w="136"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5"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1,078,387 </w:t>
            </w:r>
          </w:p>
        </w:tc>
        <w:tc>
          <w:tcPr>
            <w:tcW w:w="531"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December 31, 2023</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and industrial </w:t>
            </w:r>
          </w:p>
        </w:tc>
        <w:tc>
          <w:tcPr>
            <w:tcW w:w="211"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498,502 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5"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498,502 </w:t>
            </w:r>
          </w:p>
        </w:tc>
        <w:tc>
          <w:tcPr>
            <w:tcW w:w="53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Real estate </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232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w:t>
            </w:r>
          </w:p>
        </w:tc>
        <w:tc>
          <w:tcPr>
            <w:tcW w:w="129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B6B6B6"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Mortgage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118,371 </w:t>
            </w:r>
          </w:p>
        </w:tc>
        <w:tc>
          <w:tcPr>
            <w:tcW w:w="5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232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Construction </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8,233 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5"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8,233 </w:t>
            </w:r>
          </w:p>
        </w:tc>
        <w:tc>
          <w:tcPr>
            <w:tcW w:w="531" w:type="dxa"/>
            <w:tcBorders/>
            <w:shd w:fill="B6B6B6"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Faith-based: </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232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Mortgage </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375,865 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5,503 </w:t>
            </w:r>
          </w:p>
        </w:tc>
        <w:tc>
          <w:tcPr>
            <w:tcW w:w="13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5"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381,368 </w:t>
            </w:r>
          </w:p>
        </w:tc>
        <w:tc>
          <w:tcPr>
            <w:tcW w:w="531" w:type="dxa"/>
            <w:tcBorders/>
            <w:shd w:fill="B6B6B6"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Construction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7,790 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8" w:type="dxa"/>
            <w:gridSpan w:val="3"/>
            <w:tcBorders/>
            <w:vAlign w:val="center"/>
          </w:tcPr>
          <w:p>
            <w:pPr>
              <w:pStyle w:val="TableContents"/>
              <w:bidi w:val="0"/>
              <w:spacing w:before="0" w:after="283"/>
              <w:jc w:val="left"/>
              <w:rPr>
                <w:sz w:val="4"/>
                <w:szCs w:val="4"/>
              </w:rPr>
            </w:pPr>
            <w:r>
              <w:rPr>
                <w:sz w:val="4"/>
                <w:szCs w:val="4"/>
              </w:rPr>
            </w:r>
          </w:p>
        </w:tc>
      </w:tr>
      <w:tr>
        <w:trPr/>
        <w:tc>
          <w:tcPr>
            <w:tcW w:w="232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5"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53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1,008,815 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5,503 </w:t>
            </w:r>
          </w:p>
        </w:tc>
        <w:tc>
          <w:tcPr>
            <w:tcW w:w="1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1,014,318 </w:t>
            </w:r>
          </w:p>
        </w:tc>
        <w:tc>
          <w:tcPr>
            <w:tcW w:w="5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265"/>
        <w:gridCol w:w="2870"/>
        <w:gridCol w:w="4070"/>
      </w:tblGrid>
      <w:tr>
        <w:trPr/>
        <w:tc>
          <w:tcPr>
            <w:tcW w:w="3265"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7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76" w:before="0" w:after="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Loans subject to normal monitoring involve borrowers of acceptable-to-strong credit quality and risk, who have the apparent ability to satisfy their loan obligations. </w:t>
            </w:r>
          </w:p>
        </w:tc>
      </w:tr>
      <w:tr>
        <w:trPr/>
        <w:tc>
          <w:tcPr>
            <w:tcW w:w="1020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 xml:space="preserve">Loans subject to special monitoring possess some credit deficiency or potential weakness which requires a high level of management attention. </w:t>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Loan modifications to borrowers experiencing financial difficulty may be in the form of principal forgiveness, an interest rate reduction, an other-than-insignificant payment delay, a term extension, or a combination thereof, among other things. There were no loans modified during the nine months ended September 30, 2024. The following table shows the amortized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76" w:before="0" w:after="0"/>
        <w:jc w:val="left"/>
        <w:rPr/>
      </w:pPr>
      <w:hyperlink w:anchor="i6c4b0e535bdf4b388323ae8e08430aa2_7">
        <w:r>
          <w:rPr>
            <w:rStyle w:val="InternetLink"/>
            <w:rFonts w:ascii="Times New Roman;sans-serif" w:hAnsi="Times New Roman;sans-serif"/>
            <w:b/>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loans that were both experiencing financial difficulty and modified during the nine months ended September 30, 2023, segregated by category and type of modification. </w:t>
      </w:r>
    </w:p>
    <w:tbl>
      <w:tblPr>
        <w:tblW w:w="10205" w:type="dxa"/>
        <w:jc w:val="left"/>
        <w:tblInd w:w="0" w:type="dxa"/>
        <w:tblLayout w:type="fixed"/>
        <w:tblCellMar>
          <w:top w:w="28" w:type="dxa"/>
          <w:left w:w="28" w:type="dxa"/>
          <w:bottom w:w="28" w:type="dxa"/>
          <w:right w:w="28" w:type="dxa"/>
        </w:tblCellMar>
      </w:tblPr>
      <w:tblGrid>
        <w:gridCol w:w="562"/>
        <w:gridCol w:w="432"/>
        <w:gridCol w:w="414"/>
        <w:gridCol w:w="287"/>
        <w:gridCol w:w="554"/>
        <w:gridCol w:w="150"/>
        <w:gridCol w:w="109"/>
        <w:gridCol w:w="109"/>
        <w:gridCol w:w="109"/>
        <w:gridCol w:w="233"/>
        <w:gridCol w:w="796"/>
        <w:gridCol w:w="120"/>
        <w:gridCol w:w="109"/>
        <w:gridCol w:w="109"/>
        <w:gridCol w:w="109"/>
        <w:gridCol w:w="362"/>
        <w:gridCol w:w="697"/>
        <w:gridCol w:w="188"/>
        <w:gridCol w:w="109"/>
        <w:gridCol w:w="109"/>
        <w:gridCol w:w="109"/>
        <w:gridCol w:w="633"/>
        <w:gridCol w:w="1221"/>
        <w:gridCol w:w="328"/>
        <w:gridCol w:w="109"/>
        <w:gridCol w:w="109"/>
        <w:gridCol w:w="109"/>
        <w:gridCol w:w="427"/>
        <w:gridCol w:w="379"/>
        <w:gridCol w:w="1114"/>
      </w:tblGrid>
      <w:tr>
        <w:trPr/>
        <w:tc>
          <w:tcPr>
            <w:tcW w:w="56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140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Payment Delay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Term Extension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Interest Rate Reduction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Combination Term Extension and Interest Rate Reduction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Percentage of Total Loans Held for Investment</w:t>
            </w:r>
          </w:p>
        </w:tc>
      </w:tr>
      <w:tr>
        <w:trPr/>
        <w:tc>
          <w:tcPr>
            <w:tcW w:w="1408"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1408"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1408"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1408"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1408"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1408"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1408"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1408"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1408"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1408"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1408"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1408"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1408" w:type="dxa"/>
            <w:gridSpan w:val="3"/>
            <w:tcBorders>
              <w:top w:val="single" w:sz="12"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287" w:type="dxa"/>
            <w:tcBorders>
              <w:top w:val="single" w:sz="12"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top w:val="single" w:sz="12"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0" w:type="dxa"/>
            <w:tcBorders>
              <w:top w:val="single" w:sz="12"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12"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12"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10,709 </w:t>
            </w:r>
          </w:p>
        </w:tc>
        <w:tc>
          <w:tcPr>
            <w:tcW w:w="120" w:type="dxa"/>
            <w:tcBorders>
              <w:top w:val="single" w:sz="12"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12"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top w:val="single" w:sz="12"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8" w:type="dxa"/>
            <w:tcBorders>
              <w:top w:val="single" w:sz="12"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tcBorders>
              <w:top w:val="single" w:sz="12"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1" w:type="dxa"/>
            <w:tcBorders>
              <w:top w:val="single" w:sz="12"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8" w:type="dxa"/>
            <w:tcBorders>
              <w:top w:val="single" w:sz="12"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single" w:sz="12"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114" w:type="dxa"/>
            <w:tcBorders>
              <w:top w:val="single" w:sz="12"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08"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1408"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1408"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1408"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1408"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1408"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1408"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1408"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r>
      <w:tr>
        <w:trPr/>
        <w:tc>
          <w:tcPr>
            <w:tcW w:w="14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5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10,709 </w:t>
            </w:r>
          </w:p>
        </w:tc>
        <w:tc>
          <w:tcPr>
            <w:tcW w:w="12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8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3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32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11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two loans modified during the nine months ended September 30, 2023. The terms were extended by periods of two and three years and there was not an interest rate reduction associated with the modifications.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payment status of loans that have been modified to borrowers experiencing financial difficulty in the last twelve months:</w:t>
      </w:r>
    </w:p>
    <w:tbl>
      <w:tblPr>
        <w:tblW w:w="10205" w:type="dxa"/>
        <w:jc w:val="left"/>
        <w:tblInd w:w="0" w:type="dxa"/>
        <w:tblLayout w:type="fixed"/>
        <w:tblCellMar>
          <w:top w:w="28" w:type="dxa"/>
          <w:left w:w="28" w:type="dxa"/>
          <w:bottom w:w="28" w:type="dxa"/>
          <w:right w:w="28" w:type="dxa"/>
        </w:tblCellMar>
      </w:tblPr>
      <w:tblGrid>
        <w:gridCol w:w="712"/>
        <w:gridCol w:w="599"/>
        <w:gridCol w:w="594"/>
        <w:gridCol w:w="211"/>
        <w:gridCol w:w="721"/>
        <w:gridCol w:w="109"/>
        <w:gridCol w:w="109"/>
        <w:gridCol w:w="109"/>
        <w:gridCol w:w="109"/>
        <w:gridCol w:w="429"/>
        <w:gridCol w:w="825"/>
        <w:gridCol w:w="221"/>
        <w:gridCol w:w="109"/>
        <w:gridCol w:w="109"/>
        <w:gridCol w:w="109"/>
        <w:gridCol w:w="429"/>
        <w:gridCol w:w="825"/>
        <w:gridCol w:w="221"/>
        <w:gridCol w:w="109"/>
        <w:gridCol w:w="109"/>
        <w:gridCol w:w="109"/>
        <w:gridCol w:w="523"/>
        <w:gridCol w:w="1008"/>
        <w:gridCol w:w="270"/>
        <w:gridCol w:w="109"/>
        <w:gridCol w:w="109"/>
        <w:gridCol w:w="109"/>
        <w:gridCol w:w="327"/>
        <w:gridCol w:w="629"/>
        <w:gridCol w:w="244"/>
      </w:tblGrid>
      <w:tr>
        <w:trPr/>
        <w:tc>
          <w:tcPr>
            <w:tcW w:w="71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30-59 Days Past Due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60-89 Days Past Due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90 Days or More Past Due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Total Past Due</w:t>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op w:val="single" w:sz="12"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211" w:type="dxa"/>
            <w:tcBorders>
              <w:top w:val="single" w:sz="12"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2"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10,975 </w:t>
            </w:r>
          </w:p>
        </w:tc>
        <w:tc>
          <w:tcPr>
            <w:tcW w:w="109" w:type="dxa"/>
            <w:tcBorders>
              <w:top w:val="single" w:sz="12"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12"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top w:val="single" w:sz="12"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top w:val="single" w:sz="12"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12"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top w:val="single" w:sz="12"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top w:val="single" w:sz="12"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op w:val="single" w:sz="12"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top w:val="single" w:sz="12"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0" w:type="dxa"/>
            <w:tcBorders>
              <w:top w:val="single" w:sz="12"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12"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top w:val="single" w:sz="12"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4" w:type="dxa"/>
            <w:tcBorders>
              <w:top w:val="single" w:sz="12"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7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2024, the Company had no commitments to lend additional funds to borrowers experiencing financial difficulty for which the Company modified the terms of the loans in the form of principal forgiveness, an interest rate reduction, an other-than-insignificant payment delay, or a term extension during the current period.</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modified loans that had a payment default during the nine months ended September 30, 2024 or 2023 and that had been modified due to the borrower experiencing financial difficulty within the 12 previous months preceding the default.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Upon the Company's determination that a modified loan has subsequently been deemed uncollectible, the loan is written off. There were no loans written off during the nine months ended September 30, 2024 or 2023.</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no loans evaluated for expected credit losses on an individual basis as of September 30, 2024, and December 31, 2023, respectively.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foreclosed loans recorded as other real estate owned as of September 30, 2024 or December 31, 2023.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the activity in the allowance for credit losses (“ACL”) by category for the nine months ended September 30, 2024 and year-ended December 31, 2023 is as follows: </w:t>
      </w:r>
    </w:p>
    <w:tbl>
      <w:tblPr>
        <w:tblW w:w="10205" w:type="dxa"/>
        <w:jc w:val="center"/>
        <w:tblInd w:w="0" w:type="dxa"/>
        <w:tblLayout w:type="fixed"/>
        <w:tblCellMar>
          <w:top w:w="28" w:type="dxa"/>
          <w:left w:w="28" w:type="dxa"/>
          <w:bottom w:w="28" w:type="dxa"/>
          <w:right w:w="28" w:type="dxa"/>
        </w:tblCellMar>
      </w:tblPr>
      <w:tblGrid>
        <w:gridCol w:w="1256"/>
        <w:gridCol w:w="1100"/>
        <w:gridCol w:w="1108"/>
        <w:gridCol w:w="211"/>
        <w:gridCol w:w="616"/>
        <w:gridCol w:w="109"/>
        <w:gridCol w:w="109"/>
        <w:gridCol w:w="109"/>
        <w:gridCol w:w="109"/>
        <w:gridCol w:w="211"/>
        <w:gridCol w:w="616"/>
        <w:gridCol w:w="109"/>
        <w:gridCol w:w="109"/>
        <w:gridCol w:w="109"/>
        <w:gridCol w:w="109"/>
        <w:gridCol w:w="247"/>
        <w:gridCol w:w="721"/>
        <w:gridCol w:w="128"/>
        <w:gridCol w:w="109"/>
        <w:gridCol w:w="109"/>
        <w:gridCol w:w="109"/>
        <w:gridCol w:w="322"/>
        <w:gridCol w:w="712"/>
        <w:gridCol w:w="167"/>
        <w:gridCol w:w="109"/>
        <w:gridCol w:w="109"/>
        <w:gridCol w:w="109"/>
        <w:gridCol w:w="211"/>
        <w:gridCol w:w="721"/>
        <w:gridCol w:w="332"/>
      </w:tblGrid>
      <w:tr>
        <w:trPr/>
        <w:tc>
          <w:tcPr>
            <w:tcW w:w="1256"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w:t>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C&amp;I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Faith-based</w:t>
              <w:br/>
              <w:t>CRE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Construction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464" w:type="dxa"/>
            <w:gridSpan w:val="3"/>
            <w:tcBorders>
              <w:top w:val="single" w:sz="12" w:space="0" w:color="000000"/>
            </w:tcBorders>
            <w:shd w:fill="B6B6B6" w:val="clear"/>
            <w:tcMar>
              <w:top w:w="30" w:type="dxa"/>
              <w:left w:w="0" w:type="dxa"/>
              <w:bottom w:w="0" w:type="dxa"/>
              <w:right w:w="0" w:type="dxa"/>
            </w:tcMar>
            <w:vAlign w:val="center"/>
          </w:tcPr>
          <w:p>
            <w:pPr>
              <w:pStyle w:val="TableContents"/>
              <w:bidi w:val="0"/>
              <w:spacing w:lineRule="auto" w:line="273" w:before="0" w:after="0"/>
              <w:ind w:left="0" w:right="0" w:firstLine="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Balance at December 31, 2022 </w:t>
            </w:r>
          </w:p>
        </w:tc>
        <w:tc>
          <w:tcPr>
            <w:tcW w:w="211" w:type="dxa"/>
            <w:tcBorders>
              <w:top w:val="single" w:sz="12"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2"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5,978 </w:t>
            </w:r>
          </w:p>
        </w:tc>
        <w:tc>
          <w:tcPr>
            <w:tcW w:w="109" w:type="dxa"/>
            <w:tcBorders>
              <w:top w:val="single" w:sz="12"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12"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940 </w:t>
            </w:r>
          </w:p>
        </w:tc>
        <w:tc>
          <w:tcPr>
            <w:tcW w:w="109" w:type="dxa"/>
            <w:tcBorders>
              <w:top w:val="single" w:sz="12"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12"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2"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6,437 </w:t>
            </w:r>
          </w:p>
        </w:tc>
        <w:tc>
          <w:tcPr>
            <w:tcW w:w="128" w:type="dxa"/>
            <w:tcBorders>
              <w:top w:val="single" w:sz="12"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12"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12"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67" w:type="dxa"/>
            <w:tcBorders>
              <w:top w:val="single" w:sz="12"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12"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13,539 </w:t>
            </w:r>
          </w:p>
        </w:tc>
        <w:tc>
          <w:tcPr>
            <w:tcW w:w="332" w:type="dxa"/>
            <w:tcBorders>
              <w:top w:val="single" w:sz="12" w:space="0" w:color="000000"/>
            </w:tcBorders>
            <w:shd w:fill="B6B6B6" w:val="clear"/>
            <w:tcMar>
              <w:top w:w="3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(Release of) provision for credit losses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0"/>
              <w:ind w:left="0" w:right="0" w:firstLine="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Balance at December 31, 2023 </w:t>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5,412 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6,476 </w:t>
            </w:r>
          </w:p>
        </w:tc>
        <w:tc>
          <w:tcPr>
            <w:tcW w:w="128"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67"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13,089 </w:t>
            </w:r>
          </w:p>
        </w:tc>
        <w:tc>
          <w:tcPr>
            <w:tcW w:w="332"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0"/>
              <w:ind w:left="0" w:right="0" w:firstLine="200"/>
              <w:jc w:val="left"/>
              <w:rPr/>
            </w:pPr>
            <w:r>
              <w:rPr>
                <w:rFonts w:ascii="Times New Roman;sans-serif" w:hAnsi="Times New Roman;sans-serif"/>
                <w:b w:val="false"/>
                <w:color w:val="000000"/>
                <w:sz w:val="20"/>
              </w:rPr>
              <w:t xml:space="preserve">Provision for (release of) credit losses </w:t>
            </w:r>
            <w:r>
              <w:rPr>
                <w:rFonts w:ascii="Times New Roman;sans-serif" w:hAnsi="Times New Roman;sans-serif"/>
                <w:b w:val="false"/>
                <w:color w:val="000000"/>
                <w:sz w:val="13"/>
              </w:rPr>
              <w:t>(1)</w:t>
            </w:r>
            <w:r>
              <w:rPr>
                <w:color w:val="000000"/>
              </w:rPr>
              <w:t xml:space="preserve"> </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0"/>
              <w:ind w:left="0" w:right="0" w:firstLine="20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2024</w:t>
            </w:r>
          </w:p>
        </w:tc>
        <w:tc>
          <w:tcPr>
            <w:tcW w:w="211"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5,675 </w:t>
            </w:r>
          </w:p>
        </w:tc>
        <w:tc>
          <w:tcPr>
            <w:tcW w:w="109"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B6B6B6"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1,018 </w:t>
            </w:r>
          </w:p>
        </w:tc>
        <w:tc>
          <w:tcPr>
            <w:tcW w:w="109"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B6B6B6" w:val="clear"/>
            <w:tcMar>
              <w:left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6,542 </w:t>
            </w:r>
          </w:p>
        </w:tc>
        <w:tc>
          <w:tcPr>
            <w:tcW w:w="128"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B6B6B6" w:val="clear"/>
            <w:tcMar>
              <w:left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67"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B6B6B6"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13,447 </w:t>
            </w:r>
          </w:p>
        </w:tc>
        <w:tc>
          <w:tcPr>
            <w:tcW w:w="332"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2024 and year-ended December 31, 2023, there was a release of credit losses of $3,000 and $100,000, respectively, for unfunded commitments.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Note 7 – Commitments and Contingencies </w:t>
      </w:r>
    </w:p>
    <w:p>
      <w:pPr>
        <w:pStyle w:val="TextBody"/>
        <w:bidi w:val="0"/>
        <w:spacing w:lineRule="auto" w:line="276" w:before="2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normal course of business, the Company is party to activities that contain credit, market and operational risks that are not reflected in whole or in part in the Company’s consolidated financial statements. As more fully described in the Form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76" w:before="0" w:after="0"/>
        <w:jc w:val="left"/>
        <w:rPr/>
      </w:pPr>
      <w:hyperlink w:anchor="i6c4b0e535bdf4b388323ae8e08430aa2_7">
        <w:r>
          <w:rPr>
            <w:rStyle w:val="InternetLink"/>
            <w:rFonts w:ascii="Times New Roman;sans-serif" w:hAnsi="Times New Roman;sans-serif"/>
            <w:b/>
            <w:color w:val="0000FF"/>
            <w:sz w:val="20"/>
            <w:u w:val="single"/>
          </w:rPr>
          <w:t>Table of Contents</w:t>
        </w:r>
      </w:hyperlink>
    </w:p>
    <w:p>
      <w:pPr>
        <w:pStyle w:val="TextBody"/>
        <w:bidi w:val="0"/>
        <w:spacing w:lineRule="auto" w:line="276" w:before="2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10-K, such activities include traditional off-balance sheet credit-related financial instruments. These financial instruments include commitments to extend credit, commercial letters of credit and standby letters of credit. The Company’s maximum potential exposure to credit loss in the event of nonperformance by the other party to the financial instrument for commitments to extend credit, commercial letters of credit and standby letters of credit is represented by the contractual amounts of those instruments. Commitments to extend credit and letters of credit are subject to the same underwriting standards as those financial instruments included on the consolidated balance sheets. An allowance for unfunded commitments of $129,000 and $132,000 had been recorded at September 30, 2024 and December 31, 2023, respectively.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2024, the balances of unfunded commitments, standby and commercial letters of credit were $208.3 million, $13.5 million, and $273,000, respectively. Since some of the financial instruments may expire without being drawn upon, the total amounts do not necessarily represent future cash requirements.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March 19, 2024, the Company filed a claim against Rubicon Technologies, Inc. ("Rubicon") for failed reimbursement of invoices that were processed and paid by the Company on Rubicon's behalf and unpaid fees for Company services that are due for invoice management services and bill pay services, together with interest and penalties related to the foregoing amounts. At September 30, 2024, Rubicon owes the Company approximately $8.4 million, of which $7.8 million relates to previously accrued service fees and invoices paid by the Company which were not reimbursed by Rubicon. The Company evaluated the receivable from a credit loss perspective, and, based on this evaluation, recorded a write-off to bad debt expense of $6.6 million $6.6 million and $7.8 million $7.8 million for the three and nine months ended September 30, 2024, respectively. The Company strongly believes in the merits of its claim against Rubicon.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22, 2024, Rubicon filed a counterclaim against the Company for failure to perform its obligations under the Master Services Agreement between the Company and Rubicon. The Company believes these claims to be without merit and intends to vigorously defend itself against such claims.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Note 8 – Stock-Based Compensation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16, 2023, the Board of Directors adopted the 2023 Omnibus Stock and Performance Compensation Plan (the "2023 Omnibus Plan"), which was approved by the Company's shareholders on April 18, 2023. The 2023 Omnibus Plan permits the issuance of up to 1.0 million shares of the Company’s common stock in the form of stock options, SARs, restricted stock, restricted stock units, phantom stock, and performance awards. During the nine months ended September 30, 2024, 55,967 time-based restricted shares and 51,261 performance-based restricted shares were granted under the 2023 Omnibus Plan. Stock-based compensation expense was $898,000 and $2.6 million for the three and nine months ended September 30, 2024, respectively, and $938,000 and $3.8 million for the three and nine months ended September 30, 2023, respectively.</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Restricted Stock</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Restricted shares granted to Company employees are amortized to expense over a three-year cliff vesting period, or until vesting occurs upon retirement. Restricted shares granted to members of the Board of Directors are amortized to expense over a one-year service period, with the exception of those shares granted in lieu of cash payments for retainer fees which are expensed in the period earned.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2024, the total unrecognized compensation expense related to non-vested restricted shares was $2.1 million, and the related weighted-average period over which it is expected to be recognized is approximately 0.60 years.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Following is a summary of the activity of the Company's restricted stock for the nine months ended September 30, 2024, with total shares and weighted-average fair value:</w:t>
      </w:r>
    </w:p>
    <w:tbl>
      <w:tblPr>
        <w:tblW w:w="5188" w:type="dxa"/>
        <w:jc w:val="left"/>
        <w:tblInd w:w="0" w:type="dxa"/>
        <w:tblLayout w:type="fixed"/>
        <w:tblCellMar>
          <w:top w:w="28" w:type="dxa"/>
          <w:left w:w="28" w:type="dxa"/>
          <w:bottom w:w="28" w:type="dxa"/>
          <w:right w:w="28" w:type="dxa"/>
        </w:tblCellMar>
      </w:tblPr>
      <w:tblGrid>
        <w:gridCol w:w="972"/>
        <w:gridCol w:w="855"/>
        <w:gridCol w:w="857"/>
        <w:gridCol w:w="413"/>
        <w:gridCol w:w="413"/>
        <w:gridCol w:w="226"/>
        <w:gridCol w:w="121"/>
        <w:gridCol w:w="121"/>
        <w:gridCol w:w="121"/>
        <w:gridCol w:w="234"/>
        <w:gridCol w:w="684"/>
        <w:gridCol w:w="171"/>
      </w:tblGrid>
      <w:tr>
        <w:trPr/>
        <w:tc>
          <w:tcPr>
            <w:tcW w:w="97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 2024</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2684"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Balance at December 31, 2023 </w:t>
            </w:r>
          </w:p>
        </w:tc>
        <w:tc>
          <w:tcPr>
            <w:tcW w:w="826"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237,780 </w:t>
            </w:r>
          </w:p>
        </w:tc>
        <w:tc>
          <w:tcPr>
            <w:tcW w:w="226"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42.17 </w:t>
            </w:r>
          </w:p>
        </w:tc>
        <w:tc>
          <w:tcPr>
            <w:tcW w:w="171"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Granted </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55,967 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Vested </w:t>
            </w:r>
          </w:p>
        </w:tc>
        <w:tc>
          <w:tcPr>
            <w:tcW w:w="82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(39,764)</w:t>
            </w:r>
          </w:p>
        </w:tc>
        <w:tc>
          <w:tcPr>
            <w:tcW w:w="22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32.78 </w:t>
            </w:r>
          </w:p>
        </w:tc>
        <w:tc>
          <w:tcPr>
            <w:tcW w:w="17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Forfeitures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Balance at September 30, 2024 </w:t>
            </w:r>
          </w:p>
        </w:tc>
        <w:tc>
          <w:tcPr>
            <w:tcW w:w="826" w:type="dxa"/>
            <w:gridSpan w:val="2"/>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253,273 </w:t>
            </w:r>
          </w:p>
        </w:tc>
        <w:tc>
          <w:tcPr>
            <w:tcW w:w="226"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bottom w:val="single" w:sz="8" w:space="0" w:color="000000"/>
            </w:tcBorders>
            <w:shd w:fill="B6B6B6" w:val="clear"/>
            <w:tcMar>
              <w:left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42.87 </w:t>
            </w:r>
          </w:p>
        </w:tc>
        <w:tc>
          <w:tcPr>
            <w:tcW w:w="171"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76" w:before="0" w:after="0"/>
        <w:jc w:val="left"/>
        <w:rPr/>
      </w:pPr>
      <w:hyperlink w:anchor="i6c4b0e535bdf4b388323ae8e08430aa2_7">
        <w:r>
          <w:rPr>
            <w:rStyle w:val="InternetLink"/>
            <w:rFonts w:ascii="Times New Roman;sans-serif" w:hAnsi="Times New Roman;sans-serif"/>
            <w:b/>
            <w:color w:val="0000FF"/>
            <w:sz w:val="20"/>
            <w:u w:val="single"/>
          </w:rPr>
          <w:t>Table of Contents</w:t>
        </w:r>
      </w:hyperlink>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Performance-Based Restricted Stock</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granted three-year performance-based restricted stock (“PBRS”) awards which are contingent upon the Company’s achievement of pre-established financial goals over a three-year cliff vest period. The number of shares issued ranges from 0% to 150% of the target opportunity based on the actual achievement of financial goals for the three-year performance period.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Following is a summary of the activity of the PBRS for the nine months ended September 30, 2024, based on 100% of target value:</w:t>
      </w:r>
    </w:p>
    <w:tbl>
      <w:tblPr>
        <w:tblW w:w="5188" w:type="dxa"/>
        <w:jc w:val="left"/>
        <w:tblInd w:w="0" w:type="dxa"/>
        <w:tblLayout w:type="fixed"/>
        <w:tblCellMar>
          <w:top w:w="28" w:type="dxa"/>
          <w:left w:w="28" w:type="dxa"/>
          <w:bottom w:w="28" w:type="dxa"/>
          <w:right w:w="28" w:type="dxa"/>
        </w:tblCellMar>
      </w:tblPr>
      <w:tblGrid>
        <w:gridCol w:w="972"/>
        <w:gridCol w:w="855"/>
        <w:gridCol w:w="857"/>
        <w:gridCol w:w="413"/>
        <w:gridCol w:w="413"/>
        <w:gridCol w:w="226"/>
        <w:gridCol w:w="121"/>
        <w:gridCol w:w="121"/>
        <w:gridCol w:w="121"/>
        <w:gridCol w:w="234"/>
        <w:gridCol w:w="684"/>
        <w:gridCol w:w="171"/>
      </w:tblGrid>
      <w:tr>
        <w:trPr/>
        <w:tc>
          <w:tcPr>
            <w:tcW w:w="97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 2024</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2684"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Balance at December 31, 2023 </w:t>
            </w:r>
          </w:p>
        </w:tc>
        <w:tc>
          <w:tcPr>
            <w:tcW w:w="826"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159,073 </w:t>
            </w:r>
          </w:p>
        </w:tc>
        <w:tc>
          <w:tcPr>
            <w:tcW w:w="226"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42.74 </w:t>
            </w:r>
          </w:p>
        </w:tc>
        <w:tc>
          <w:tcPr>
            <w:tcW w:w="171"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Granted </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51,261 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Vested </w:t>
            </w:r>
          </w:p>
        </w:tc>
        <w:tc>
          <w:tcPr>
            <w:tcW w:w="82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(50,840)</w:t>
            </w:r>
          </w:p>
        </w:tc>
        <w:tc>
          <w:tcPr>
            <w:tcW w:w="22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40.74 </w:t>
            </w:r>
          </w:p>
        </w:tc>
        <w:tc>
          <w:tcPr>
            <w:tcW w:w="17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Forfeitures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Balance at September 30, 2024 </w:t>
            </w:r>
          </w:p>
        </w:tc>
        <w:tc>
          <w:tcPr>
            <w:tcW w:w="826" w:type="dxa"/>
            <w:gridSpan w:val="2"/>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158,428 </w:t>
            </w:r>
          </w:p>
        </w:tc>
        <w:tc>
          <w:tcPr>
            <w:tcW w:w="226"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bottom w:val="single" w:sz="8" w:space="0" w:color="000000"/>
            </w:tcBorders>
            <w:shd w:fill="B6B6B6" w:val="clear"/>
            <w:tcMar>
              <w:left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43.87 </w:t>
            </w:r>
          </w:p>
        </w:tc>
        <w:tc>
          <w:tcPr>
            <w:tcW w:w="171"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PBRS that vested during the nine months ended September 30, 2024 were based on the Company's achievement of 135.4% of target financial goals for the 2021-2023 performance period, resulting in the issuance of 68,834 shares of common stock. The outstanding PBRS at September 30, 2024 will vest at scheduled vesting dates and the actual number of shares of common stock issued will range from 0% to 150% of the target opportunity based on the actual achievement of financial goals for the respective three-year performance period.</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Stock Appreciation Rights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stock appreciation rights ("SARs") granted and no expense recognized during the nine months ended September 30, 2024. Following is a summary of the activity of the Company’s SARs program for the nine months ended September 30, 2024:</w:t>
      </w:r>
    </w:p>
    <w:tbl>
      <w:tblPr>
        <w:tblW w:w="8407" w:type="dxa"/>
        <w:jc w:val="left"/>
        <w:tblInd w:w="0" w:type="dxa"/>
        <w:tblLayout w:type="fixed"/>
        <w:tblCellMar>
          <w:top w:w="28" w:type="dxa"/>
          <w:left w:w="28" w:type="dxa"/>
          <w:bottom w:w="28" w:type="dxa"/>
          <w:right w:w="28" w:type="dxa"/>
        </w:tblCellMar>
      </w:tblPr>
      <w:tblGrid>
        <w:gridCol w:w="1075"/>
        <w:gridCol w:w="946"/>
        <w:gridCol w:w="948"/>
        <w:gridCol w:w="396"/>
        <w:gridCol w:w="399"/>
        <w:gridCol w:w="226"/>
        <w:gridCol w:w="109"/>
        <w:gridCol w:w="109"/>
        <w:gridCol w:w="109"/>
        <w:gridCol w:w="220"/>
        <w:gridCol w:w="642"/>
        <w:gridCol w:w="114"/>
        <w:gridCol w:w="109"/>
        <w:gridCol w:w="109"/>
        <w:gridCol w:w="109"/>
        <w:gridCol w:w="375"/>
        <w:gridCol w:w="375"/>
        <w:gridCol w:w="376"/>
        <w:gridCol w:w="109"/>
        <w:gridCol w:w="109"/>
        <w:gridCol w:w="109"/>
        <w:gridCol w:w="364"/>
        <w:gridCol w:w="702"/>
        <w:gridCol w:w="268"/>
      </w:tblGrid>
      <w:tr>
        <w:trPr/>
        <w:tc>
          <w:tcPr>
            <w:tcW w:w="107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Remaining</w:t>
              <w:br/>
              <w:t>Contractual</w:t>
              <w:br/>
              <w:t>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Aggregate</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Intrinsic</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Value</w:t>
            </w:r>
          </w:p>
          <w:p>
            <w:pPr>
              <w:pStyle w:val="TableContents"/>
              <w:bidi w:val="0"/>
              <w:spacing w:lineRule="auto" w:line="276" w:before="0" w:after="0"/>
              <w:jc w:val="center"/>
              <w:rPr>
                <w:rFonts w:ascii="Times New Roman;sans-serif" w:hAnsi="Times New Roman;sans-serif"/>
                <w:b/>
                <w:i/>
                <w:color w:val="000000"/>
                <w:sz w:val="20"/>
              </w:rPr>
            </w:pPr>
            <w:r>
              <w:rPr>
                <w:rFonts w:ascii="Times New Roman;sans-serif" w:hAnsi="Times New Roman;sans-serif"/>
                <w:b/>
                <w:i/>
                <w:color w:val="000000"/>
                <w:sz w:val="20"/>
              </w:rPr>
              <w:t>(In thousands)</w:t>
            </w:r>
          </w:p>
        </w:tc>
      </w:tr>
      <w:tr>
        <w:trPr/>
        <w:tc>
          <w:tcPr>
            <w:tcW w:w="2969"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Balance at December 31, 2023 </w:t>
            </w:r>
          </w:p>
        </w:tc>
        <w:tc>
          <w:tcPr>
            <w:tcW w:w="795"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30,409 </w:t>
            </w:r>
          </w:p>
        </w:tc>
        <w:tc>
          <w:tcPr>
            <w:tcW w:w="226"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46.70 </w:t>
            </w:r>
          </w:p>
        </w:tc>
        <w:tc>
          <w:tcPr>
            <w:tcW w:w="114"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w:t>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2"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8"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Forfeited </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Exercisable at September 30, 2024 </w:t>
            </w:r>
          </w:p>
        </w:tc>
        <w:tc>
          <w:tcPr>
            <w:tcW w:w="795" w:type="dxa"/>
            <w:gridSpan w:val="2"/>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B6B6B6" w:val="clear"/>
            <w:tcMar>
              <w:left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B6B6B6" w:val="clear"/>
            <w:tcMar>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w:t>
            </w:r>
          </w:p>
        </w:tc>
        <w:tc>
          <w:tcPr>
            <w:tcW w:w="327" w:type="dxa"/>
            <w:gridSpan w:val="3"/>
            <w:tcBorders>
              <w:top w:val="single" w:sz="8" w:space="0" w:color="000000"/>
              <w:bottom w:val="single" w:sz="8" w:space="0" w:color="000000"/>
            </w:tcBorders>
            <w:shd w:fill="B6B6B6" w:val="clear"/>
            <w:tcMar>
              <w:left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2"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268"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Note 9 – Defined Pension Plans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 noncontributory defined-benefit pension plan (the “Plan”), which covers eligible employees. Effective December 31, 2016, the Plan was closed to all new participants. Additionally, the Plan’s benefits were frozen for all remaining participants as of February 28, 2021.</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16, 2024, the Company approved an Amendment providing for the termination of the Plan. The Company expects to record one-time termination expenses of approximately $4.0 million to $6.0 million through operating expense related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76" w:before="0" w:after="0"/>
        <w:jc w:val="left"/>
        <w:rPr/>
      </w:pPr>
      <w:hyperlink w:anchor="i6c4b0e535bdf4b388323ae8e08430aa2_7">
        <w:r>
          <w:rPr>
            <w:rStyle w:val="InternetLink"/>
            <w:rFonts w:ascii="Times New Roman;sans-serif" w:hAnsi="Times New Roman;sans-serif"/>
            <w:b/>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termination of the Plan during the fourth quarter of 2024 as the Plan's liabilities are settled via lump sum payments or annuity purchases. The following table represents the components of net periodic pension cost:</w:t>
      </w:r>
    </w:p>
    <w:tbl>
      <w:tblPr>
        <w:tblW w:w="6252" w:type="dxa"/>
        <w:jc w:val="left"/>
        <w:tblInd w:w="0" w:type="dxa"/>
        <w:tblLayout w:type="fixed"/>
        <w:tblCellMar>
          <w:top w:w="28" w:type="dxa"/>
          <w:left w:w="28" w:type="dxa"/>
          <w:bottom w:w="28" w:type="dxa"/>
          <w:right w:w="28" w:type="dxa"/>
        </w:tblCellMar>
      </w:tblPr>
      <w:tblGrid>
        <w:gridCol w:w="1374"/>
        <w:gridCol w:w="1208"/>
        <w:gridCol w:w="1213"/>
        <w:gridCol w:w="216"/>
        <w:gridCol w:w="632"/>
        <w:gridCol w:w="113"/>
        <w:gridCol w:w="109"/>
        <w:gridCol w:w="109"/>
        <w:gridCol w:w="109"/>
        <w:gridCol w:w="213"/>
        <w:gridCol w:w="622"/>
        <w:gridCol w:w="334"/>
      </w:tblGrid>
      <w:tr>
        <w:trPr/>
        <w:tc>
          <w:tcPr>
            <w:tcW w:w="1374"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Estimated</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Actual 2023</w:t>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cost on projected benefit obligations </w:t>
            </w:r>
          </w:p>
        </w:tc>
        <w:tc>
          <w:tcPr>
            <w:tcW w:w="21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4,291 </w:t>
            </w:r>
          </w:p>
        </w:tc>
        <w:tc>
          <w:tcPr>
            <w:tcW w:w="113"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4,314 </w:t>
            </w:r>
          </w:p>
        </w:tc>
        <w:tc>
          <w:tcPr>
            <w:tcW w:w="334"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Expected return on plan assets </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(3,735)</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amortization </w:t>
            </w:r>
          </w:p>
        </w:tc>
        <w:tc>
          <w:tcPr>
            <w:tcW w:w="848"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3"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334" w:type="dxa"/>
            <w:tcBorders/>
            <w:shd w:fill="B6B6B6"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79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pension cost</w:t>
            </w:r>
          </w:p>
        </w:tc>
        <w:tc>
          <w:tcPr>
            <w:tcW w:w="2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779 </w:t>
            </w:r>
          </w:p>
        </w:tc>
        <w:tc>
          <w:tcPr>
            <w:tcW w:w="1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733 </w:t>
            </w:r>
          </w:p>
        </w:tc>
        <w:tc>
          <w:tcPr>
            <w:tcW w:w="33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net periodic pension cost of $195,000 and $584,000 for the three and nine months ended September 30, 2024, and $100,000 and $299,000 for the three and nine months ended September 30, 2023. The Company made no contributions to the Plan during the nine months ended September 30, 2024. The Company may need to make a contribution to the Plan during the fourth quarter of 2024 depending on the cash needed to fund lump sum payments and annuity purchases versus existing assets in the Plan.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above Plan, the Company has an unfunded supplemental executive retirement plan (the "SERP"). There are no current employees earning benefits and therefore, there is no service cost associated with the SERP. The following table represents the components of the net periodic cost for the SERP:</w:t>
      </w:r>
    </w:p>
    <w:tbl>
      <w:tblPr>
        <w:tblW w:w="5838" w:type="dxa"/>
        <w:jc w:val="left"/>
        <w:tblInd w:w="0" w:type="dxa"/>
        <w:tblLayout w:type="fixed"/>
        <w:tblCellMar>
          <w:top w:w="28" w:type="dxa"/>
          <w:left w:w="28" w:type="dxa"/>
          <w:bottom w:w="28" w:type="dxa"/>
          <w:right w:w="28" w:type="dxa"/>
        </w:tblCellMar>
      </w:tblPr>
      <w:tblGrid>
        <w:gridCol w:w="1346"/>
        <w:gridCol w:w="1184"/>
        <w:gridCol w:w="1189"/>
        <w:gridCol w:w="257"/>
        <w:gridCol w:w="569"/>
        <w:gridCol w:w="135"/>
        <w:gridCol w:w="109"/>
        <w:gridCol w:w="109"/>
        <w:gridCol w:w="109"/>
        <w:gridCol w:w="211"/>
        <w:gridCol w:w="466"/>
        <w:gridCol w:w="154"/>
      </w:tblGrid>
      <w:tr>
        <w:trPr/>
        <w:tc>
          <w:tcPr>
            <w:tcW w:w="1346"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w:t>
            </w:r>
          </w:p>
        </w:tc>
        <w:tc>
          <w:tcPr>
            <w:tcW w:w="96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Estimated</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Actual</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cost on projected benefit obligation </w:t>
            </w:r>
          </w:p>
        </w:tc>
        <w:tc>
          <w:tcPr>
            <w:tcW w:w="257"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35"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154"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ind w:left="0" w:right="0" w:firstLine="200"/>
              <w:jc w:val="left"/>
              <w:rPr>
                <w:sz w:val="4"/>
                <w:szCs w:val="4"/>
              </w:rPr>
            </w:pPr>
            <w:r>
              <w:rPr>
                <w:sz w:val="4"/>
                <w:szCs w:val="4"/>
              </w:rPr>
            </w:r>
          </w:p>
        </w:tc>
      </w:tr>
      <w:tr>
        <w:trPr/>
        <w:tc>
          <w:tcPr>
            <w:tcW w:w="371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periodic pension cost </w:t>
            </w:r>
          </w:p>
        </w:tc>
        <w:tc>
          <w:tcPr>
            <w:tcW w:w="2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SERP cost recorded to expense was $113,000 and $338,000 for the three and nine months ended September 30, 2024, and was $118,000 and $354,000 for the three and nine months ended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Note 10 – Income Taxes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effective tax rate was 19.6% and 21.0% for the three and nine months ended September 30, 2024, and was 19.3% and 19.8% for the three and nine months ended September 30, 2023, respectively. The effective tax rate for all periods differs from the statutory rate of 21% primarily due to tax-exempt interest received from municipal bonds and bank-owned life insurance, partially offset by state related taxes, among other factors.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Note 11 – Investment in Securities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Investment securities available-for-sale are recorded at fair value on a recurring basis. The Company’s investment securities available-for-sale are measured at fair value using Level 2 inputs including observable trade data, market data, etc. The market evaluation utilizes several sources which include “observable inputs” rather than “significant unobservable inputs” and therefore fall into the Level 2 category. The amortized cost, gross unrealized gains, gross unrealized losses and fair value of investment securities are summarized as follows:</w:t>
      </w:r>
    </w:p>
    <w:tbl>
      <w:tblPr>
        <w:tblW w:w="10205" w:type="dxa"/>
        <w:jc w:val="left"/>
        <w:tblInd w:w="0" w:type="dxa"/>
        <w:tblLayout w:type="fixed"/>
        <w:tblCellMar>
          <w:top w:w="28" w:type="dxa"/>
          <w:left w:w="28" w:type="dxa"/>
          <w:bottom w:w="28" w:type="dxa"/>
          <w:right w:w="28" w:type="dxa"/>
        </w:tblCellMar>
      </w:tblPr>
      <w:tblGrid>
        <w:gridCol w:w="1836"/>
        <w:gridCol w:w="1394"/>
        <w:gridCol w:w="1360"/>
        <w:gridCol w:w="211"/>
        <w:gridCol w:w="826"/>
        <w:gridCol w:w="109"/>
        <w:gridCol w:w="109"/>
        <w:gridCol w:w="109"/>
        <w:gridCol w:w="109"/>
        <w:gridCol w:w="278"/>
        <w:gridCol w:w="614"/>
        <w:gridCol w:w="144"/>
        <w:gridCol w:w="109"/>
        <w:gridCol w:w="109"/>
        <w:gridCol w:w="109"/>
        <w:gridCol w:w="211"/>
        <w:gridCol w:w="762"/>
        <w:gridCol w:w="109"/>
        <w:gridCol w:w="109"/>
        <w:gridCol w:w="109"/>
        <w:gridCol w:w="109"/>
        <w:gridCol w:w="211"/>
        <w:gridCol w:w="826"/>
        <w:gridCol w:w="333"/>
      </w:tblGrid>
      <w:tr>
        <w:trPr/>
        <w:tc>
          <w:tcPr>
            <w:tcW w:w="1836"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r>
      <w:tr>
        <w:trPr/>
        <w:tc>
          <w:tcPr>
            <w:tcW w:w="45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w:t>
              <w:br/>
              <w:t>Cost</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Unrealized</w:t>
              <w:br/>
              <w:t>Gains</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Unrealized</w:t>
              <w:br/>
              <w:t>Losses</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w:t>
              <w:br/>
              <w:t>Value</w:t>
            </w:r>
          </w:p>
        </w:tc>
      </w:tr>
      <w:tr>
        <w:trPr/>
        <w:tc>
          <w:tcPr>
            <w:tcW w:w="4590"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State and political subdivisions </w:t>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216,438 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44"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(13,368)</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203,105 </w:t>
            </w:r>
          </w:p>
        </w:tc>
        <w:tc>
          <w:tcPr>
            <w:tcW w:w="333"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Mortgage-backed securities issued or guaranteed by U.S. government agencies or sponsored enterprises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199,273 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Corporate bonds </w:t>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118,923 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4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(6,552)</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112,388 </w:t>
            </w:r>
          </w:p>
        </w:tc>
        <w:tc>
          <w:tcPr>
            <w:tcW w:w="333"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backed securities issued or guaranteed by U.S. government agencies or sponsored enterprises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35,990 </w:t>
            </w:r>
          </w:p>
        </w:tc>
        <w:tc>
          <w:tcPr>
            <w:tcW w:w="3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4590" w:type="dxa"/>
            <w:gridSpan w:val="3"/>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1"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597,606 </w:t>
            </w:r>
          </w:p>
        </w:tc>
        <w:tc>
          <w:tcPr>
            <w:tcW w:w="109"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B6B6B6" w:val="clear"/>
            <w:tcMar>
              <w:left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44"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B6B6B6"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(47,450)</w:t>
            </w:r>
          </w:p>
        </w:tc>
        <w:tc>
          <w:tcPr>
            <w:tcW w:w="109"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B6B6B6"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550,756 </w:t>
            </w:r>
          </w:p>
        </w:tc>
        <w:tc>
          <w:tcPr>
            <w:tcW w:w="333"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76" w:before="0" w:after="0"/>
        <w:jc w:val="left"/>
        <w:rPr/>
      </w:pPr>
      <w:hyperlink w:anchor="i6c4b0e535bdf4b388323ae8e08430aa2_7">
        <w:r>
          <w:rPr>
            <w:rStyle w:val="InternetLink"/>
            <w:rFonts w:ascii="Times New Roman;sans-serif" w:hAnsi="Times New Roman;sans-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836"/>
        <w:gridCol w:w="1394"/>
        <w:gridCol w:w="1360"/>
        <w:gridCol w:w="211"/>
        <w:gridCol w:w="826"/>
        <w:gridCol w:w="109"/>
        <w:gridCol w:w="109"/>
        <w:gridCol w:w="109"/>
        <w:gridCol w:w="109"/>
        <w:gridCol w:w="379"/>
        <w:gridCol w:w="460"/>
        <w:gridCol w:w="197"/>
        <w:gridCol w:w="109"/>
        <w:gridCol w:w="109"/>
        <w:gridCol w:w="109"/>
        <w:gridCol w:w="211"/>
        <w:gridCol w:w="762"/>
        <w:gridCol w:w="109"/>
        <w:gridCol w:w="109"/>
        <w:gridCol w:w="109"/>
        <w:gridCol w:w="109"/>
        <w:gridCol w:w="211"/>
        <w:gridCol w:w="826"/>
        <w:gridCol w:w="333"/>
      </w:tblGrid>
      <w:tr>
        <w:trPr/>
        <w:tc>
          <w:tcPr>
            <w:tcW w:w="1836"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45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4590"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State and political subdivisions </w:t>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235,297 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0"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97"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(16,266)</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219,035 </w:t>
            </w:r>
          </w:p>
        </w:tc>
        <w:tc>
          <w:tcPr>
            <w:tcW w:w="333"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Mortgage-backed securities issued or guaranteed by U.S. government agencies or sponsored enterprises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157,799 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111,109 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7"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(8,769)</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102,340 </w:t>
            </w:r>
          </w:p>
        </w:tc>
        <w:tc>
          <w:tcPr>
            <w:tcW w:w="333"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108,721 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backed securities issued or guaranteed by U.S. government agencies or sponsored enterprises</w:t>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40,368 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7"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39,222 </w:t>
            </w:r>
          </w:p>
        </w:tc>
        <w:tc>
          <w:tcPr>
            <w:tcW w:w="333" w:type="dxa"/>
            <w:tcBorders/>
            <w:shd w:fill="B6B6B6"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459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684,917 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(57,804)</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627,117 </w:t>
            </w:r>
          </w:p>
        </w:tc>
        <w:tc>
          <w:tcPr>
            <w:tcW w:w="3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values of securities with unrealized losses are as follows:</w:t>
      </w:r>
    </w:p>
    <w:tbl>
      <w:tblPr>
        <w:tblW w:w="10205" w:type="dxa"/>
        <w:jc w:val="left"/>
        <w:tblInd w:w="0" w:type="dxa"/>
        <w:tblLayout w:type="fixed"/>
        <w:tblCellMar>
          <w:top w:w="28" w:type="dxa"/>
          <w:left w:w="28" w:type="dxa"/>
          <w:bottom w:w="28" w:type="dxa"/>
          <w:right w:w="28" w:type="dxa"/>
        </w:tblCellMar>
      </w:tblPr>
      <w:tblGrid>
        <w:gridCol w:w="983"/>
        <w:gridCol w:w="489"/>
        <w:gridCol w:w="423"/>
        <w:gridCol w:w="211"/>
        <w:gridCol w:w="721"/>
        <w:gridCol w:w="109"/>
        <w:gridCol w:w="109"/>
        <w:gridCol w:w="109"/>
        <w:gridCol w:w="109"/>
        <w:gridCol w:w="278"/>
        <w:gridCol w:w="614"/>
        <w:gridCol w:w="144"/>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333"/>
      </w:tblGrid>
      <w:tr>
        <w:trPr/>
        <w:tc>
          <w:tcPr>
            <w:tcW w:w="983"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1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r>
      <w:tr>
        <w:trPr/>
        <w:tc>
          <w:tcPr>
            <w:tcW w:w="1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8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w:t>
              <w:br/>
              <w:t>Fair Value</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Losses</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Losses</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w:t>
              <w:br/>
              <w:t>Fair Value</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Losses</w:t>
            </w:r>
          </w:p>
        </w:tc>
      </w:tr>
      <w:tr>
        <w:trPr/>
        <w:tc>
          <w:tcPr>
            <w:tcW w:w="1895"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State and political subdivisions </w:t>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4,971 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44"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178,533 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13,364 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183,504 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13,368 </w:t>
            </w:r>
          </w:p>
        </w:tc>
        <w:tc>
          <w:tcPr>
            <w:tcW w:w="333"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Mortgage-backed securities issued or guaranteed by U.S. government agencies or sponsored enterprises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27,024 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25,682 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4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81,671 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6,228 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107,353 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6,552 </w:t>
            </w:r>
          </w:p>
        </w:tc>
        <w:tc>
          <w:tcPr>
            <w:tcW w:w="333"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backed securities issued or guaranteed by U.S. government agencies or sponsored enterprises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3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1895" w:type="dxa"/>
            <w:gridSpan w:val="3"/>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1"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59,648 </w:t>
            </w:r>
          </w:p>
        </w:tc>
        <w:tc>
          <w:tcPr>
            <w:tcW w:w="109"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B6B6B6" w:val="clear"/>
            <w:tcMar>
              <w:left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144"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B6B6B6"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440,503 </w:t>
            </w:r>
          </w:p>
        </w:tc>
        <w:tc>
          <w:tcPr>
            <w:tcW w:w="109"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B6B6B6"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46,949 </w:t>
            </w:r>
          </w:p>
        </w:tc>
        <w:tc>
          <w:tcPr>
            <w:tcW w:w="109"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B6B6B6"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500,151 </w:t>
            </w:r>
          </w:p>
        </w:tc>
        <w:tc>
          <w:tcPr>
            <w:tcW w:w="109"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B6B6B6"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47,450 </w:t>
            </w:r>
          </w:p>
        </w:tc>
        <w:tc>
          <w:tcPr>
            <w:tcW w:w="333"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tbl>
      <w:tblPr>
        <w:tblW w:w="10205" w:type="dxa"/>
        <w:jc w:val="left"/>
        <w:tblInd w:w="0" w:type="dxa"/>
        <w:tblLayout w:type="fixed"/>
        <w:tblCellMar>
          <w:top w:w="28" w:type="dxa"/>
          <w:left w:w="28" w:type="dxa"/>
          <w:bottom w:w="28" w:type="dxa"/>
          <w:right w:w="28" w:type="dxa"/>
        </w:tblCellMar>
      </w:tblPr>
      <w:tblGrid>
        <w:gridCol w:w="983"/>
        <w:gridCol w:w="489"/>
        <w:gridCol w:w="423"/>
        <w:gridCol w:w="211"/>
        <w:gridCol w:w="721"/>
        <w:gridCol w:w="109"/>
        <w:gridCol w:w="109"/>
        <w:gridCol w:w="109"/>
        <w:gridCol w:w="109"/>
        <w:gridCol w:w="278"/>
        <w:gridCol w:w="614"/>
        <w:gridCol w:w="144"/>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333"/>
      </w:tblGrid>
      <w:tr>
        <w:trPr/>
        <w:tc>
          <w:tcPr>
            <w:tcW w:w="983"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1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1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8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w:t>
              <w:br/>
              <w:t>Fair Value</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Losses</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Losses</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w:t>
              <w:br/>
              <w:t>Fair Value</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Losses</w:t>
            </w:r>
          </w:p>
        </w:tc>
      </w:tr>
      <w:tr>
        <w:trPr/>
        <w:tc>
          <w:tcPr>
            <w:tcW w:w="1895"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State and political subdivisions </w:t>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63,198 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44"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152,854 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16,046 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216,052 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16,266 </w:t>
            </w:r>
          </w:p>
        </w:tc>
        <w:tc>
          <w:tcPr>
            <w:tcW w:w="333"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Mortgage-backed securities issued or guaranteed by U.S. government agencies or sponsored enterprises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30,508 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19,545 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4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82,795 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8,314 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102,340 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8,769 </w:t>
            </w:r>
          </w:p>
        </w:tc>
        <w:tc>
          <w:tcPr>
            <w:tcW w:w="333"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backed securities issued or guaranteed by U.S. government agencies or sponsored enterprises</w:t>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39,222 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39,222 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1,146 </w:t>
            </w:r>
          </w:p>
        </w:tc>
        <w:tc>
          <w:tcPr>
            <w:tcW w:w="333" w:type="dxa"/>
            <w:tcBorders/>
            <w:shd w:fill="B6B6B6"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189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82,743 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1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541,391 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57,129 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624,134 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57,804 </w:t>
            </w:r>
          </w:p>
        </w:tc>
        <w:tc>
          <w:tcPr>
            <w:tcW w:w="3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244 securities, or 90.0% (226 of which for greater than 12 months), in an unrealized loss position as of September 30, 2024. The unrealized losses at September 30, 2024 were primarily attributable to changes in market interest rates after the securities were purchased. The Company does not currently intend to sell, and based on current conditions,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76" w:before="0" w:after="0"/>
        <w:jc w:val="left"/>
        <w:rPr/>
      </w:pPr>
      <w:hyperlink w:anchor="i6c4b0e535bdf4b388323ae8e08430aa2_7">
        <w:r>
          <w:rPr>
            <w:rStyle w:val="InternetLink"/>
            <w:rFonts w:ascii="Times New Roman;sans-serif" w:hAnsi="Times New Roman;sans-serif"/>
            <w:b/>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does not believe it will be required to sell these available-for-sale securities before the recovery of the amortized cost basis, which may be the maturity dates of the securities. Therefore, the unrealized losses are recorded in accumulated other comprehensive loss. There were 275 securities, or 98.9% (210 of which for greater than 12 months), in an unrealized loss position as of December 31, 2023. At September 30, 2024 and December 31, 2023, the Company had not recorded an allowance for credit losses on securities.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amortized cost and fair value of investment securities by contractual maturity are shown in the following table. Expected maturities may differ from contractual maturities because borrowers have the right to prepay obligations with or without prepayment penalties.</w:t>
      </w:r>
    </w:p>
    <w:tbl>
      <w:tblPr>
        <w:tblW w:w="6043" w:type="dxa"/>
        <w:jc w:val="left"/>
        <w:tblInd w:w="0" w:type="dxa"/>
        <w:tblLayout w:type="fixed"/>
        <w:tblCellMar>
          <w:top w:w="28" w:type="dxa"/>
          <w:left w:w="28" w:type="dxa"/>
          <w:bottom w:w="28" w:type="dxa"/>
          <w:right w:w="28" w:type="dxa"/>
        </w:tblCellMar>
      </w:tblPr>
      <w:tblGrid>
        <w:gridCol w:w="1058"/>
        <w:gridCol w:w="931"/>
        <w:gridCol w:w="935"/>
        <w:gridCol w:w="262"/>
        <w:gridCol w:w="1027"/>
        <w:gridCol w:w="135"/>
        <w:gridCol w:w="109"/>
        <w:gridCol w:w="109"/>
        <w:gridCol w:w="109"/>
        <w:gridCol w:w="211"/>
        <w:gridCol w:w="826"/>
        <w:gridCol w:w="331"/>
      </w:tblGrid>
      <w:tr>
        <w:trPr/>
        <w:tc>
          <w:tcPr>
            <w:tcW w:w="105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r>
      <w:tr>
        <w:trPr/>
        <w:tc>
          <w:tcPr>
            <w:tcW w:w="29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w:t>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2924"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Due in 1 year or less </w:t>
            </w:r>
          </w:p>
        </w:tc>
        <w:tc>
          <w:tcPr>
            <w:tcW w:w="262"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35,699 </w:t>
            </w:r>
          </w:p>
        </w:tc>
        <w:tc>
          <w:tcPr>
            <w:tcW w:w="135"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35,639 </w:t>
            </w:r>
          </w:p>
        </w:tc>
        <w:tc>
          <w:tcPr>
            <w:tcW w:w="331"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Due after 1 year through 5 years </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125,559 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123,939 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B6B6B6"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Due after 5 years through 10 years </w:t>
            </w:r>
          </w:p>
        </w:tc>
        <w:tc>
          <w:tcPr>
            <w:tcW w:w="1289"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200,477 </w:t>
            </w:r>
          </w:p>
        </w:tc>
        <w:tc>
          <w:tcPr>
            <w:tcW w:w="135"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182,058 </w:t>
            </w:r>
          </w:p>
        </w:tc>
        <w:tc>
          <w:tcPr>
            <w:tcW w:w="33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Due after 10 years </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235,871 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209,120 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2924" w:type="dxa"/>
            <w:gridSpan w:val="3"/>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62"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597,606 </w:t>
            </w:r>
          </w:p>
        </w:tc>
        <w:tc>
          <w:tcPr>
            <w:tcW w:w="135"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B6B6B6"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550,756 </w:t>
            </w:r>
          </w:p>
        </w:tc>
        <w:tc>
          <w:tcPr>
            <w:tcW w:w="331"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Proceeds from sales of investment securities classified as available-for-sale were $0 and $25.0 million for the three and nine months ended September 30, 2024, and $0 and $111.1 million for the three and nine months ended September 30, 2023, respectively. Gross realized losses were $0 and $13,000 for the three and nine months ended September 30, 2024 and $0 and $347,000 for the three and nine months ended September 30, 2023, respectively. There were no gross realized gains for the three and nine months ended September 30, 2024. Gross realized gains were $0 and $187,000 for the three and nine months ended September 30, 2023, respectively. There were no securities pledged to secure public deposits or for other purposes at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Note 12 – Fair Value of Financial Instruments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Following is a summary of the carrying amounts and fair values of the Company’s financial instruments:</w:t>
      </w:r>
    </w:p>
    <w:tbl>
      <w:tblPr>
        <w:tblW w:w="9046" w:type="dxa"/>
        <w:jc w:val="left"/>
        <w:tblInd w:w="0" w:type="dxa"/>
        <w:tblLayout w:type="fixed"/>
        <w:tblCellMar>
          <w:top w:w="28" w:type="dxa"/>
          <w:left w:w="28" w:type="dxa"/>
          <w:bottom w:w="28" w:type="dxa"/>
          <w:right w:w="28" w:type="dxa"/>
        </w:tblCellMar>
      </w:tblPr>
      <w:tblGrid>
        <w:gridCol w:w="890"/>
        <w:gridCol w:w="782"/>
        <w:gridCol w:w="787"/>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531"/>
      </w:tblGrid>
      <w:tr>
        <w:trPr/>
        <w:tc>
          <w:tcPr>
            <w:tcW w:w="89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4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2459"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Balance sheet assets: </w:t>
            </w:r>
          </w:p>
        </w:tc>
        <w:tc>
          <w:tcPr>
            <w:tcW w:w="1296"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372,468 </w:t>
            </w:r>
          </w:p>
        </w:tc>
        <w:tc>
          <w:tcPr>
            <w:tcW w:w="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2459"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Investment securities </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550,756 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550,756 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627,117 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627,117 </w:t>
            </w:r>
          </w:p>
        </w:tc>
        <w:tc>
          <w:tcPr>
            <w:tcW w:w="531" w:type="dxa"/>
            <w:tcBorders/>
            <w:shd w:fill="B6B6B6"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Loans, net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962,223 </w:t>
            </w:r>
          </w:p>
        </w:tc>
        <w:tc>
          <w:tcPr>
            <w:tcW w:w="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2459"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interest receivable </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8,334 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8,334 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8,450 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8,450 </w:t>
            </w:r>
          </w:p>
        </w:tc>
        <w:tc>
          <w:tcPr>
            <w:tcW w:w="531" w:type="dxa"/>
            <w:tcBorders/>
            <w:shd w:fill="B6B6B6"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24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1,854,586 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1,827,571 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2,009,264 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1,970,258 </w:t>
            </w:r>
          </w:p>
        </w:tc>
        <w:tc>
          <w:tcPr>
            <w:tcW w:w="5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Balance sheet liabilities: </w:t>
            </w:r>
          </w:p>
        </w:tc>
        <w:tc>
          <w:tcPr>
            <w:tcW w:w="1296"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Deposits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1,140,814 </w:t>
            </w:r>
          </w:p>
        </w:tc>
        <w:tc>
          <w:tcPr>
            <w:tcW w:w="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2459"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and drafts payable </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936,463 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936,463 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1,071,369 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1,071,369 </w:t>
            </w:r>
          </w:p>
        </w:tc>
        <w:tc>
          <w:tcPr>
            <w:tcW w:w="531" w:type="dxa"/>
            <w:tcBorders/>
            <w:shd w:fill="B6B6B6"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interest payable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5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2459" w:type="dxa"/>
            <w:gridSpan w:val="3"/>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1"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1,984,413 </w:t>
            </w:r>
          </w:p>
        </w:tc>
        <w:tc>
          <w:tcPr>
            <w:tcW w:w="109"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B6B6B6"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1,984,413 </w:t>
            </w:r>
          </w:p>
        </w:tc>
        <w:tc>
          <w:tcPr>
            <w:tcW w:w="109"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B6B6B6"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2,212,818 </w:t>
            </w:r>
          </w:p>
        </w:tc>
        <w:tc>
          <w:tcPr>
            <w:tcW w:w="109"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B6B6B6"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2,212,818 </w:t>
            </w:r>
          </w:p>
        </w:tc>
        <w:tc>
          <w:tcPr>
            <w:tcW w:w="531"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methods and assumptions were used to estimate the fair value of each class of financial instruments for which it is practicable to estimate that value:</w:t>
      </w:r>
    </w:p>
    <w:p>
      <w:pPr>
        <w:pStyle w:val="TextBody"/>
        <w:bidi w:val="0"/>
        <w:spacing w:lineRule="auto" w:line="288" w:before="200" w:after="283"/>
        <w:jc w:val="both"/>
        <w:rPr/>
      </w:pPr>
      <w:r>
        <w:rPr>
          <w:rFonts w:ascii="Times New Roman;sans-serif" w:hAnsi="Times New Roman;sans-serif"/>
          <w:b w:val="false"/>
          <w:i/>
          <w:color w:val="000000"/>
          <w:sz w:val="20"/>
        </w:rPr>
        <w:t xml:space="preserve">Cash and Cash Equivalents </w:t>
      </w:r>
      <w:r>
        <w:rPr>
          <w:rFonts w:ascii="Times New Roman;sans-serif" w:hAnsi="Times New Roman;sans-serif"/>
          <w:b w:val="false"/>
          <w:color w:val="000000"/>
          <w:sz w:val="20"/>
        </w:rPr>
        <w:t>- The carrying amount approximates fair value.</w:t>
      </w:r>
    </w:p>
    <w:p>
      <w:pPr>
        <w:pStyle w:val="TextBody"/>
        <w:bidi w:val="0"/>
        <w:spacing w:lineRule="auto" w:line="288" w:before="200" w:after="283"/>
        <w:jc w:val="both"/>
        <w:rPr/>
      </w:pPr>
      <w:r>
        <w:rPr>
          <w:rFonts w:ascii="Times New Roman;sans-serif" w:hAnsi="Times New Roman;sans-serif"/>
          <w:b w:val="false"/>
          <w:i/>
          <w:color w:val="000000"/>
          <w:sz w:val="20"/>
        </w:rPr>
        <w:t xml:space="preserve">Investment in Securities </w:t>
      </w:r>
      <w:r>
        <w:rPr>
          <w:rFonts w:ascii="Times New Roman;sans-serif" w:hAnsi="Times New Roman;sans-serif"/>
          <w:b w:val="false"/>
          <w:color w:val="000000"/>
          <w:sz w:val="20"/>
        </w:rPr>
        <w:t>- The fair value is measured on a recurring basis using Level 2 inputs including observable trade data, market data, etc. Refer to Note 11, “Investment in Securities,” for fair value and unrealized gains and losses by investment type.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76" w:before="0" w:after="0"/>
        <w:jc w:val="left"/>
        <w:rPr/>
      </w:pPr>
      <w:hyperlink w:anchor="i6c4b0e535bdf4b388323ae8e08430aa2_7">
        <w:r>
          <w:rPr>
            <w:rStyle w:val="InternetLink"/>
            <w:rFonts w:ascii="Times New Roman;sans-serif" w:hAnsi="Times New Roman;sans-serif"/>
            <w:b/>
            <w:color w:val="0000FF"/>
            <w:sz w:val="20"/>
            <w:u w:val="single"/>
          </w:rPr>
          <w:t>Table of Contents</w:t>
        </w:r>
      </w:hyperlink>
    </w:p>
    <w:p>
      <w:pPr>
        <w:pStyle w:val="TextBody"/>
        <w:bidi w:val="0"/>
        <w:spacing w:lineRule="auto" w:line="288" w:before="200" w:after="283"/>
        <w:jc w:val="both"/>
        <w:rPr/>
      </w:pPr>
      <w:r>
        <w:rPr>
          <w:rFonts w:ascii="Times New Roman;sans-serif" w:hAnsi="Times New Roman;sans-serif"/>
          <w:b w:val="false"/>
          <w:i/>
          <w:color w:val="000000"/>
          <w:sz w:val="20"/>
        </w:rPr>
        <w:t xml:space="preserve">Loans </w:t>
      </w:r>
      <w:r>
        <w:rPr>
          <w:rFonts w:ascii="Times New Roman;sans-serif" w:hAnsi="Times New Roman;sans-serif"/>
          <w:b w:val="false"/>
          <w:color w:val="000000"/>
          <w:sz w:val="20"/>
        </w:rPr>
        <w:t>- The fair value is estimated using present values of future cash flows discounted at risk-adjusted interest rates for each loan category designated by management and is therefore a Level 3 valuation. Management believes that the risk factor embedded in the interest rates along with the allowance for credit losses result in a fair valuation.</w:t>
      </w:r>
    </w:p>
    <w:p>
      <w:pPr>
        <w:pStyle w:val="TextBody"/>
        <w:bidi w:val="0"/>
        <w:spacing w:lineRule="auto" w:line="288" w:before="200" w:after="283"/>
        <w:jc w:val="both"/>
        <w:rPr/>
      </w:pPr>
      <w:r>
        <w:rPr>
          <w:rFonts w:ascii="Times New Roman;sans-serif" w:hAnsi="Times New Roman;sans-serif"/>
          <w:b w:val="false"/>
          <w:i/>
          <w:color w:val="000000"/>
          <w:sz w:val="20"/>
        </w:rPr>
        <w:t xml:space="preserve">Accrued Interest Receivable </w:t>
      </w:r>
      <w:r>
        <w:rPr>
          <w:rFonts w:ascii="Times New Roman;sans-serif" w:hAnsi="Times New Roman;sans-serif"/>
          <w:b w:val="false"/>
          <w:color w:val="000000"/>
          <w:sz w:val="20"/>
        </w:rPr>
        <w:t>- The carrying amount approximates fair value.</w:t>
      </w:r>
    </w:p>
    <w:p>
      <w:pPr>
        <w:pStyle w:val="TextBody"/>
        <w:bidi w:val="0"/>
        <w:spacing w:lineRule="auto" w:line="288" w:before="200" w:after="283"/>
        <w:jc w:val="both"/>
        <w:rPr/>
      </w:pPr>
      <w:r>
        <w:rPr>
          <w:rFonts w:ascii="Times New Roman;sans-serif" w:hAnsi="Times New Roman;sans-serif"/>
          <w:b w:val="false"/>
          <w:i/>
          <w:color w:val="000000"/>
          <w:sz w:val="20"/>
        </w:rPr>
        <w:t xml:space="preserve">Deposits </w:t>
      </w:r>
      <w:r>
        <w:rPr>
          <w:rFonts w:ascii="Times New Roman;sans-serif" w:hAnsi="Times New Roman;sans-serif"/>
          <w:b w:val="false"/>
          <w:color w:val="000000"/>
          <w:sz w:val="20"/>
        </w:rPr>
        <w:t>- The fair value of demand deposits, savings deposits and certain money market deposits is the amount payable on demand at the reporting date. The fair value of fixed-maturity certificates of deposit is estimated using the rates currently offered for deposits of similar remaining maturities and therefore, is a Level 2 valuation. The fair value estimates above do not include the benefit that results from the low-cost funding provided by the deposit liabilities compared to the cost of borrowing funds in the market or the benefit derived from the customer relationship inherent in existing deposits.</w:t>
      </w:r>
    </w:p>
    <w:p>
      <w:pPr>
        <w:pStyle w:val="TextBody"/>
        <w:bidi w:val="0"/>
        <w:spacing w:lineRule="auto" w:line="288" w:before="200" w:after="283"/>
        <w:jc w:val="left"/>
        <w:rPr/>
      </w:pPr>
      <w:r>
        <w:rPr>
          <w:rFonts w:ascii="Times New Roman;sans-serif" w:hAnsi="Times New Roman;sans-serif"/>
          <w:b w:val="false"/>
          <w:i/>
          <w:color w:val="000000"/>
          <w:sz w:val="20"/>
        </w:rPr>
        <w:t xml:space="preserve">Accounts and Drafts Payable </w:t>
      </w:r>
      <w:r>
        <w:rPr>
          <w:rFonts w:ascii="Times New Roman;sans-serif" w:hAnsi="Times New Roman;sans-serif"/>
          <w:b w:val="false"/>
          <w:color w:val="000000"/>
          <w:sz w:val="20"/>
        </w:rPr>
        <w:t>- The carrying amount approximates fair value.</w:t>
      </w:r>
    </w:p>
    <w:p>
      <w:pPr>
        <w:pStyle w:val="TextBody"/>
        <w:bidi w:val="0"/>
        <w:spacing w:lineRule="auto" w:line="288" w:before="200" w:after="283"/>
        <w:jc w:val="left"/>
        <w:rPr/>
      </w:pPr>
      <w:r>
        <w:rPr>
          <w:rFonts w:ascii="Times New Roman;sans-serif" w:hAnsi="Times New Roman;sans-serif"/>
          <w:b w:val="false"/>
          <w:i/>
          <w:color w:val="000000"/>
          <w:sz w:val="20"/>
        </w:rPr>
        <w:t xml:space="preserve">Accrued Interest Payable </w:t>
      </w:r>
      <w:r>
        <w:rPr>
          <w:rFonts w:ascii="Times New Roman;sans-serif" w:hAnsi="Times New Roman;sans-serif"/>
          <w:b w:val="false"/>
          <w:color w:val="000000"/>
          <w:sz w:val="20"/>
        </w:rPr>
        <w:t>- The carrying amount approximates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Note 13 – Revenue from Contracts with Customers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is recognized as the obligation to the customer is satisfied. The following is detail of the Company’s revenue from contracts with clients.</w:t>
      </w:r>
    </w:p>
    <w:p>
      <w:pPr>
        <w:pStyle w:val="TextBody"/>
        <w:bidi w:val="0"/>
        <w:spacing w:lineRule="auto" w:line="288" w:before="200" w:after="283"/>
        <w:jc w:val="both"/>
        <w:rPr/>
      </w:pPr>
      <w:r>
        <w:rPr>
          <w:rFonts w:ascii="Times New Roman;sans-serif" w:hAnsi="Times New Roman;sans-serif"/>
          <w:b w:val="false"/>
          <w:i/>
          <w:color w:val="000000"/>
          <w:sz w:val="20"/>
        </w:rPr>
        <w:t xml:space="preserve">Processing fees </w:t>
      </w:r>
      <w:r>
        <w:rPr>
          <w:color w:val="000000"/>
        </w:rPr>
        <w:t xml:space="preserve">– </w:t>
      </w:r>
      <w:r>
        <w:rPr>
          <w:rFonts w:ascii="Times New Roman;sans-serif" w:hAnsi="Times New Roman;sans-serif"/>
          <w:b w:val="false"/>
          <w:color w:val="000000"/>
          <w:sz w:val="20"/>
        </w:rPr>
        <w:t>The Company earns fees on a per-item or monthly basis for the invoice processing services rendered on behalf of customers. Per-item fees are recognized at the point in time when the performance obligation is satisfied. Monthly fees are earned over the course of a month, representing the period over which the performance obligation is satisfied. The contracts have no significant impact of variable consideration and no significant financing components.</w:t>
      </w:r>
    </w:p>
    <w:p>
      <w:pPr>
        <w:pStyle w:val="TextBody"/>
        <w:bidi w:val="0"/>
        <w:spacing w:lineRule="auto" w:line="288" w:before="200" w:after="283"/>
        <w:jc w:val="both"/>
        <w:rPr/>
      </w:pPr>
      <w:r>
        <w:rPr>
          <w:rFonts w:ascii="Times New Roman;sans-serif" w:hAnsi="Times New Roman;sans-serif"/>
          <w:b w:val="false"/>
          <w:i/>
          <w:color w:val="000000"/>
          <w:sz w:val="20"/>
        </w:rPr>
        <w:t xml:space="preserve">Financial fees </w:t>
      </w:r>
      <w:r>
        <w:rPr>
          <w:color w:val="000000"/>
        </w:rPr>
        <w:t xml:space="preserve">– </w:t>
      </w:r>
      <w:r>
        <w:rPr>
          <w:rFonts w:ascii="Times New Roman;sans-serif" w:hAnsi="Times New Roman;sans-serif"/>
          <w:b w:val="false"/>
          <w:color w:val="000000"/>
          <w:sz w:val="20"/>
        </w:rPr>
        <w:t>The Company earns fees on a transaction level basis for invoice payment services when making customer payments. Fees are recognized at the point in time when the payment transactions are made, which is when the performance obligation is satisfied. The contracts have no significant impact of variable consideration and no significant financing components.</w:t>
      </w:r>
    </w:p>
    <w:p>
      <w:pPr>
        <w:pStyle w:val="TextBody"/>
        <w:bidi w:val="0"/>
        <w:spacing w:lineRule="auto" w:line="288" w:before="200" w:after="283"/>
        <w:jc w:val="both"/>
        <w:rPr/>
      </w:pPr>
      <w:r>
        <w:rPr>
          <w:rFonts w:ascii="Times New Roman;sans-serif" w:hAnsi="Times New Roman;sans-serif"/>
          <w:b w:val="false"/>
          <w:i/>
          <w:color w:val="000000"/>
          <w:sz w:val="20"/>
        </w:rPr>
        <w:t xml:space="preserve">Bank service fees </w:t>
      </w:r>
      <w:r>
        <w:rPr>
          <w:color w:val="000000"/>
        </w:rPr>
        <w:t xml:space="preserve">– </w:t>
      </w:r>
      <w:r>
        <w:rPr>
          <w:rFonts w:ascii="Times New Roman;sans-serif" w:hAnsi="Times New Roman;sans-serif"/>
          <w:b w:val="false"/>
          <w:color w:val="000000"/>
          <w:sz w:val="20"/>
        </w:rPr>
        <w:t>Revenue from service fees consists of service charges and fees on deposit accounts under depository agreements with customers to provide access to deposited funds. Service charges on deposit accounts are transaction-based fees that are recognized at the point in time when the performance obligation is satisfied. The contracts have no significant impact of variable consideration and no significant financing components.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non-interest income, segregated by revenue streams in-scope and out-of-scope for the periods ended September 30, 2024 and 2023.</w:t>
      </w:r>
    </w:p>
    <w:tbl>
      <w:tblPr>
        <w:tblW w:w="10205" w:type="dxa"/>
        <w:jc w:val="left"/>
        <w:tblInd w:w="0" w:type="dxa"/>
        <w:tblLayout w:type="fixed"/>
        <w:tblCellMar>
          <w:top w:w="28" w:type="dxa"/>
          <w:left w:w="28" w:type="dxa"/>
          <w:bottom w:w="28" w:type="dxa"/>
          <w:right w:w="28" w:type="dxa"/>
        </w:tblCellMar>
      </w:tblPr>
      <w:tblGrid>
        <w:gridCol w:w="1427"/>
        <w:gridCol w:w="1213"/>
        <w:gridCol w:w="1219"/>
        <w:gridCol w:w="260"/>
        <w:gridCol w:w="891"/>
        <w:gridCol w:w="134"/>
        <w:gridCol w:w="134"/>
        <w:gridCol w:w="134"/>
        <w:gridCol w:w="134"/>
        <w:gridCol w:w="260"/>
        <w:gridCol w:w="891"/>
        <w:gridCol w:w="134"/>
        <w:gridCol w:w="109"/>
        <w:gridCol w:w="109"/>
        <w:gridCol w:w="109"/>
        <w:gridCol w:w="211"/>
        <w:gridCol w:w="723"/>
        <w:gridCol w:w="109"/>
        <w:gridCol w:w="109"/>
        <w:gridCol w:w="109"/>
        <w:gridCol w:w="109"/>
        <w:gridCol w:w="211"/>
        <w:gridCol w:w="723"/>
        <w:gridCol w:w="743"/>
      </w:tblGrid>
      <w:tr>
        <w:trPr/>
        <w:tc>
          <w:tcPr>
            <w:tcW w:w="1427"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r>
      <w:tr>
        <w:trPr/>
        <w:tc>
          <w:tcPr>
            <w:tcW w:w="3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2" w:type="dxa"/>
            <w:gridSpan w:val="9"/>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7" w:type="dxa"/>
            <w:gridSpan w:val="9"/>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38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w:t>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859"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Fee revenue and other income </w:t>
            </w:r>
          </w:p>
        </w:tc>
        <w:tc>
          <w:tcPr>
            <w:tcW w:w="1285"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8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In-scope of FASB ASC 606</w:t>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3859"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Processing fees </w:t>
            </w:r>
          </w:p>
        </w:tc>
        <w:tc>
          <w:tcPr>
            <w:tcW w:w="260"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20,053 </w:t>
            </w:r>
          </w:p>
        </w:tc>
        <w:tc>
          <w:tcPr>
            <w:tcW w:w="13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19,939 </w:t>
            </w:r>
          </w:p>
        </w:tc>
        <w:tc>
          <w:tcPr>
            <w:tcW w:w="13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62,409 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58,838 </w:t>
            </w:r>
          </w:p>
        </w:tc>
        <w:tc>
          <w:tcPr>
            <w:tcW w:w="743" w:type="dxa"/>
            <w:tcBorders/>
            <w:shd w:fill="B6B6B6"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38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fees</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34,518 </w:t>
            </w:r>
          </w:p>
        </w:tc>
        <w:tc>
          <w:tcPr>
            <w:tcW w:w="74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59"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Information services payment and processing revenue </w:t>
            </w:r>
          </w:p>
        </w:tc>
        <w:tc>
          <w:tcPr>
            <w:tcW w:w="1151"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31,230 </w:t>
            </w:r>
          </w:p>
        </w:tc>
        <w:tc>
          <w:tcPr>
            <w:tcW w:w="134"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31,536 </w:t>
            </w:r>
          </w:p>
        </w:tc>
        <w:tc>
          <w:tcPr>
            <w:tcW w:w="134"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94,991 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93,356 </w:t>
            </w:r>
          </w:p>
        </w:tc>
        <w:tc>
          <w:tcPr>
            <w:tcW w:w="743"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38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Bank service fees </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764 </w:t>
            </w:r>
          </w:p>
        </w:tc>
        <w:tc>
          <w:tcPr>
            <w:tcW w:w="7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859"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Fee revenue (in-scope of FASB ASC 606) </w:t>
            </w:r>
          </w:p>
        </w:tc>
        <w:tc>
          <w:tcPr>
            <w:tcW w:w="1151"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31,584 </w:t>
            </w:r>
          </w:p>
        </w:tc>
        <w:tc>
          <w:tcPr>
            <w:tcW w:w="134"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31,783 </w:t>
            </w:r>
          </w:p>
        </w:tc>
        <w:tc>
          <w:tcPr>
            <w:tcW w:w="134"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95,945 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94,120 </w:t>
            </w:r>
          </w:p>
        </w:tc>
        <w:tc>
          <w:tcPr>
            <w:tcW w:w="743"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8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(out-of-scope of FASB ASC 606) </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2,860 </w:t>
            </w:r>
          </w:p>
        </w:tc>
        <w:tc>
          <w:tcPr>
            <w:tcW w:w="74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rPr/>
        <w:tc>
          <w:tcPr>
            <w:tcW w:w="3859" w:type="dxa"/>
            <w:gridSpan w:val="3"/>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fee revenue and other income </w:t>
            </w:r>
          </w:p>
        </w:tc>
        <w:tc>
          <w:tcPr>
            <w:tcW w:w="260"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32,792 </w:t>
            </w:r>
          </w:p>
        </w:tc>
        <w:tc>
          <w:tcPr>
            <w:tcW w:w="134"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32,800 </w:t>
            </w:r>
          </w:p>
        </w:tc>
        <w:tc>
          <w:tcPr>
            <w:tcW w:w="134"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99,149 </w:t>
            </w:r>
          </w:p>
        </w:tc>
        <w:tc>
          <w:tcPr>
            <w:tcW w:w="109"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96,980 </w:t>
            </w:r>
          </w:p>
        </w:tc>
        <w:tc>
          <w:tcPr>
            <w:tcW w:w="743"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14 – Leases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leases certain premises under operating leases. As of September 30, 2024, the Company had lease liabilities of $7.7 million and right-of-use assets of $7.3 million. Lease liabilities and right-of-use assets are reflected in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76" w:before="0" w:after="0"/>
        <w:jc w:val="left"/>
        <w:rPr/>
      </w:pPr>
      <w:hyperlink w:anchor="i6c4b0e535bdf4b388323ae8e08430aa2_7">
        <w:r>
          <w:rPr>
            <w:rStyle w:val="InternetLink"/>
            <w:rFonts w:ascii="Times New Roman;sans-serif" w:hAnsi="Times New Roman;sans-serif"/>
            <w:b/>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liabilities and other assets, respectively. Presented within occupancy expense on the Consolidated Statements of Income for the three and nine months ended September 30, 2024, operating lease cost was $333,000 and $1.0 million, short-term lease cost was $92,000 and $266,000, and there was no variable lease cost. At September 30, 2024, the weighted-average remaining lease term for the operating leases was 6.6 years and the weighted-average discount rate used in the measurement of operating lease liabilities was 3.55%. Certain of the Company’s leases contain options to renew the lease; however, these renewal options are not included in the calculation of the lease liabilities as they are not reasonably certain to be exercised. See the Company’s 2023 Form 10-K for information regarding these commitments.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maturity analysis of operating lease liabilities and undiscounted cash flows as of September 30, 2024 is as follows:</w:t>
      </w:r>
    </w:p>
    <w:tbl>
      <w:tblPr>
        <w:tblW w:w="3990" w:type="dxa"/>
        <w:jc w:val="left"/>
        <w:tblInd w:w="0" w:type="dxa"/>
        <w:tblLayout w:type="fixed"/>
        <w:tblCellMar>
          <w:top w:w="28" w:type="dxa"/>
          <w:left w:w="28" w:type="dxa"/>
          <w:bottom w:w="28" w:type="dxa"/>
          <w:right w:w="28" w:type="dxa"/>
        </w:tblCellMar>
      </w:tblPr>
      <w:tblGrid>
        <w:gridCol w:w="955"/>
        <w:gridCol w:w="841"/>
        <w:gridCol w:w="844"/>
        <w:gridCol w:w="290"/>
        <w:gridCol w:w="847"/>
        <w:gridCol w:w="213"/>
      </w:tblGrid>
      <w:tr>
        <w:trPr/>
        <w:tc>
          <w:tcPr>
            <w:tcW w:w="95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br/>
              <w:t>2024</w:t>
            </w:r>
          </w:p>
        </w:tc>
      </w:tr>
      <w:tr>
        <w:trPr/>
        <w:tc>
          <w:tcPr>
            <w:tcW w:w="2640"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Lease payments due </w:t>
            </w:r>
          </w:p>
        </w:tc>
        <w:tc>
          <w:tcPr>
            <w:tcW w:w="1350"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Less than 1 year </w:t>
            </w:r>
          </w:p>
        </w:tc>
        <w:tc>
          <w:tcPr>
            <w:tcW w:w="29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B6B6B6"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 years</w:t>
            </w:r>
          </w:p>
        </w:tc>
        <w:tc>
          <w:tcPr>
            <w:tcW w:w="11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1,354 </w:t>
            </w:r>
          </w:p>
        </w:tc>
        <w:tc>
          <w:tcPr>
            <w:tcW w:w="213"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2-3 years </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B6B6B6"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3-4 years </w:t>
            </w:r>
          </w:p>
        </w:tc>
        <w:tc>
          <w:tcPr>
            <w:tcW w:w="11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1,343 </w:t>
            </w:r>
          </w:p>
        </w:tc>
        <w:tc>
          <w:tcPr>
            <w:tcW w:w="213"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4-5 years </w:t>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B6B6B6"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Over 5 years </w:t>
            </w:r>
          </w:p>
        </w:tc>
        <w:tc>
          <w:tcPr>
            <w:tcW w:w="11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1,953 </w:t>
            </w:r>
          </w:p>
        </w:tc>
        <w:tc>
          <w:tcPr>
            <w:tcW w:w="213"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undiscounted cash flows </w:t>
            </w:r>
          </w:p>
        </w:tc>
        <w:tc>
          <w:tcPr>
            <w:tcW w:w="11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8,604 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Discount on cash flows </w:t>
            </w:r>
          </w:p>
        </w:tc>
        <w:tc>
          <w:tcPr>
            <w:tcW w:w="11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902 </w:t>
            </w:r>
          </w:p>
        </w:tc>
        <w:tc>
          <w:tcPr>
            <w:tcW w:w="213"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lease liability </w:t>
            </w:r>
          </w:p>
        </w:tc>
        <w:tc>
          <w:tcPr>
            <w:tcW w:w="29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7,702 </w:t>
            </w:r>
          </w:p>
        </w:tc>
        <w:tc>
          <w:tcPr>
            <w:tcW w:w="2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sale and leaseback transactions, leveraged leases, or lease transactions with related parties during the nine months ended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15 – Subsequent Events</w:t>
      </w:r>
    </w:p>
    <w:p>
      <w:pPr>
        <w:pStyle w:val="TextBody"/>
        <w:bidi w:val="0"/>
        <w:spacing w:lineRule="auto" w:line="288" w:before="200" w:after="283"/>
        <w:jc w:val="both"/>
        <w:rPr/>
      </w:pPr>
      <w:r>
        <w:rPr>
          <w:rFonts w:ascii="Times New Roman;sans-serif" w:hAnsi="Times New Roman;sans-serif"/>
          <w:b w:val="false"/>
          <w:color w:val="000000"/>
          <w:sz w:val="20"/>
        </w:rPr>
        <w:t xml:space="preserve">In accordance with FASB ASC 855, </w:t>
      </w:r>
      <w:r>
        <w:rPr>
          <w:rFonts w:ascii="Times New Roman;sans-serif" w:hAnsi="Times New Roman;sans-serif"/>
          <w:b w:val="false"/>
          <w:i/>
          <w:color w:val="000000"/>
          <w:sz w:val="20"/>
        </w:rPr>
        <w:t>Subsequent Events</w:t>
      </w:r>
      <w:r>
        <w:rPr>
          <w:rFonts w:ascii="Times New Roman;sans-serif" w:hAnsi="Times New Roman;sans-serif"/>
          <w:b w:val="false"/>
          <w:color w:val="000000"/>
          <w:sz w:val="20"/>
        </w:rPr>
        <w:t>, the Company has evaluated subsequent events after the consolidated balance sheet date of September 30, 2024. There were no events identified that would require additional disclosures to prevent the Company’s unaudited consolidated financial statements from being misleading.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76" w:before="0" w:after="0"/>
        <w:jc w:val="left"/>
        <w:rPr/>
      </w:pPr>
      <w:hyperlink w:anchor="i6c4b0e535bdf4b388323ae8e08430aa2_7">
        <w:r>
          <w:rPr>
            <w:rStyle w:val="InternetLink"/>
            <w:rFonts w:ascii="Times New Roman;sans-serif" w:hAnsi="Times New Roman;sans-serif"/>
            <w:b/>
            <w:color w:val="0000FF"/>
            <w:sz w:val="20"/>
            <w:u w:val="single"/>
          </w:rPr>
          <w:t>Table of 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Cass Information Systems, Inc. ("Cass" or the "Company") provides payment and information processing services to large manufacturing, distribution, and retail enterprises across the United States. The Company’s services include freight invoice rating, payment processing, auditing, and the generation of accounting and transportation information. Cass also processes and pays facility-related invoices, which include electricity and gas as well as waste and telecommunications expenses, and is a provider of telecom expense management solutions. Cass solutions include integrated payments, a B2B payment platform for clients that require an agile fintech partner. Additionally, the Company offers a church management software solution and an on-line platform to provide generosity services for faith-based and non-profit organizations. The Company’s bank subsidiary, Cass Commercial Bank (the “Bank”), supports the Company’s payment operations. The Bank also provides banking services to its target markets, which include privately held businesses in the St. Louis metropolitan area and restaurant franchises and faith-based ministries within the United States.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general, Cass is compensated for its information processing services through service fees, transactional level payment services, and investment of account balances generated during the payment process. Both the number of transactions processed and the dollar volume processed are therefore key metrics followed by management. The Bank earns most of its revenue from net interest income.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Various factors will influence the Company’s revenue and profitability, such as changes in the general level of interest rates, which has a significant effect on net interest income; industry-wide factors, such as the willingness of large corporations to outsource key business functions, the general level of transportation costs, deregulation of energy costs, and consolidation of telecommunication providers; and economic factors that include the general level of economic activity, the ability to hire and retain qualified staff, and the growth and quality of the Bank’s loan portfolio. For a more detailed discussion of the Company’s revenue drivers and factors that impact the Company’s results of operation and financial condition generally, see Item 7, “Management’s Discussion and Analysis of Financial Condition and Results of Operations” in the Company’s 2023 Form 10-K.</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Recent Industry Developments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transportation industry continues to experience a decline in overall freight rates caused by an ongoing freight recession. The freight recession adversely affects the number of freight transactions and dollar amount of invoices processed. Partially as a result, the Company's transportation invoice and dollar volumes declined 1.5% and 7.3%, respectively during the nine months ended September 30, 2024 as compared to the same period in 2023. Transportation dollar volumes are key to the Company’s revenue as higher volumes generally lead to an increase in payment float, which generates interest income, as well as an increase in payments in advance of funding, which generates financial fees.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2024 Items of Note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Average interest-earning assets for the third quarter of 2024 declined $58.1 million, or 2.8%, as compared to the third quarter of 2023. The Company had fewer funds to invest due to the loss of approximately $100.0 million of balances in February 2024 as a result of a cyber attack experienced by large client. CassPay offers solutions such as integrated payments, a B2B payment platform for clients. The loss of CassPay balances was partially offset by an increase in facility dollar volumes of 13.4%, leading to higher average accounts and drafts payable.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Despite the decline in average interest-earning assets during the quarter, the Company’s liquidity position and balance sheet remains strong. The Company maintained average short-term investments of $338.5 million during the third quarter of 2024. In addition, all of the Company's investment securities are classified as available-for-sale and there were no outstanding borrowings at September 30, 2024.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bad debt expense of $6.6 million and $7.8 million for the three and nine months ended September 30, 2024, respectively on a funding receivable related to a facility client. See Note 7, "Commitments and Contingencies" for further information.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Also, on July 16, 2024, the Company approved an Amendment providing for the termination of its noncontributory defined-benefit pension plan. The Company expects to record one-time termination expenses of approximately $4.0 million to $6.0 million through operating expense related to the plan termination during the fourth quarter of 2024 as the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76" w:before="0" w:after="0"/>
        <w:jc w:val="left"/>
        <w:rPr/>
      </w:pPr>
      <w:hyperlink w:anchor="i6c4b0e535bdf4b388323ae8e08430aa2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liabilities are settled. The successful termination of the plan is expected to reduce run rate operating expense by approximately $1.0 million on an annual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paragraphs more fully discuss the results of operations and changes in financial condition for the three month period ended September 30, 2024 (“third quarter of 2024”) compared to the three month period ended September 30, 2023 (“third quarter of 2023”) and the nine months ended September 30, 2024 compared to the nine months ended September 30, 2023. The following discussion and analysis should be read in conjunction with the unaudited consolidated financial statements and related notes and with the statistical information and financial data appearing in this report, as well as in the Company’s 2023 Form 10-K. Results of operations for the three month period ended September 30, 2024 are not necessarily indicative of the results to be attained for any other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Summary of Results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operating results:</w:t>
      </w:r>
    </w:p>
    <w:tbl>
      <w:tblPr>
        <w:tblW w:w="10205" w:type="dxa"/>
        <w:jc w:val="left"/>
        <w:tblInd w:w="0" w:type="dxa"/>
        <w:tblLayout w:type="fixed"/>
        <w:tblCellMar>
          <w:top w:w="28" w:type="dxa"/>
          <w:left w:w="28" w:type="dxa"/>
          <w:bottom w:w="28" w:type="dxa"/>
          <w:right w:w="28" w:type="dxa"/>
        </w:tblCellMar>
      </w:tblPr>
      <w:tblGrid>
        <w:gridCol w:w="619"/>
        <w:gridCol w:w="526"/>
        <w:gridCol w:w="528"/>
        <w:gridCol w:w="211"/>
        <w:gridCol w:w="721"/>
        <w:gridCol w:w="271"/>
        <w:gridCol w:w="109"/>
        <w:gridCol w:w="109"/>
        <w:gridCol w:w="109"/>
        <w:gridCol w:w="211"/>
        <w:gridCol w:w="721"/>
        <w:gridCol w:w="271"/>
        <w:gridCol w:w="109"/>
        <w:gridCol w:w="109"/>
        <w:gridCol w:w="109"/>
        <w:gridCol w:w="323"/>
        <w:gridCol w:w="326"/>
        <w:gridCol w:w="417"/>
        <w:gridCol w:w="109"/>
        <w:gridCol w:w="109"/>
        <w:gridCol w:w="109"/>
        <w:gridCol w:w="211"/>
        <w:gridCol w:w="721"/>
        <w:gridCol w:w="271"/>
        <w:gridCol w:w="109"/>
        <w:gridCol w:w="109"/>
        <w:gridCol w:w="109"/>
        <w:gridCol w:w="211"/>
        <w:gridCol w:w="721"/>
        <w:gridCol w:w="271"/>
        <w:gridCol w:w="109"/>
        <w:gridCol w:w="109"/>
        <w:gridCol w:w="109"/>
        <w:gridCol w:w="323"/>
        <w:gridCol w:w="326"/>
        <w:gridCol w:w="370"/>
      </w:tblGrid>
      <w:tr>
        <w:trPr/>
        <w:tc>
          <w:tcPr>
            <w:tcW w:w="61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167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 except per share data)</w:t>
            </w:r>
          </w:p>
        </w:tc>
        <w:tc>
          <w:tcPr>
            <w:tcW w:w="4126" w:type="dxa"/>
            <w:gridSpan w:val="15"/>
            <w:tcBorders/>
            <w:tcMar>
              <w:top w:w="0" w:type="dxa"/>
              <w:left w:w="0" w:type="dxa"/>
              <w:bottom w:w="0" w:type="dxa"/>
              <w:right w:w="0" w:type="dxa"/>
            </w:tcMar>
            <w:vAlign w:val="center"/>
          </w:tcPr>
          <w:p>
            <w:pPr>
              <w:pStyle w:val="TableContents"/>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Third Quarter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15"/>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1673" w:type="dxa"/>
            <w:gridSpan w:val="3"/>
            <w:vMerge w:val="continue"/>
            <w:tcBorders/>
            <w:tcMar>
              <w:top w:w="0" w:type="dxa"/>
              <w:left w:w="0" w:type="dxa"/>
              <w:bottom w:w="0" w:type="dxa"/>
              <w:right w:w="0" w:type="dxa"/>
            </w:tcMar>
            <w:vAlign w:val="center"/>
          </w:tcPr>
          <w:p>
            <w:pPr>
              <w:pStyle w:val="Normal"/>
              <w:bidi w:val="0"/>
              <w:jc w:val="left"/>
              <w:rPr/>
            </w:pPr>
            <w:r>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w:t>
              <w:br/>
              <w:t>Change</w:t>
            </w:r>
          </w:p>
        </w:tc>
      </w:tr>
      <w:tr>
        <w:trPr/>
        <w:tc>
          <w:tcPr>
            <w:tcW w:w="1673"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Processing fees</w:t>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20,053 </w:t>
            </w:r>
          </w:p>
        </w:tc>
        <w:tc>
          <w:tcPr>
            <w:tcW w:w="271"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19,939 </w:t>
            </w:r>
          </w:p>
        </w:tc>
        <w:tc>
          <w:tcPr>
            <w:tcW w:w="271"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417"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62,409 </w:t>
            </w:r>
          </w:p>
        </w:tc>
        <w:tc>
          <w:tcPr>
            <w:tcW w:w="271"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58,838 </w:t>
            </w:r>
          </w:p>
        </w:tc>
        <w:tc>
          <w:tcPr>
            <w:tcW w:w="271"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370"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ind w:left="0" w:right="0" w:hanging="36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41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370"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36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73"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w:t>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17,618 </w:t>
            </w:r>
          </w:p>
        </w:tc>
        <w:tc>
          <w:tcPr>
            <w:tcW w:w="27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16,548 </w:t>
            </w:r>
          </w:p>
        </w:tc>
        <w:tc>
          <w:tcPr>
            <w:tcW w:w="27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417"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50,024 </w:t>
            </w:r>
          </w:p>
        </w:tc>
        <w:tc>
          <w:tcPr>
            <w:tcW w:w="27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49,460 </w:t>
            </w:r>
          </w:p>
        </w:tc>
        <w:tc>
          <w:tcPr>
            <w:tcW w:w="27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70" w:type="dxa"/>
            <w:tcBorders/>
            <w:shd w:fill="B6B6B6" w:val="clear"/>
            <w:tcMar>
              <w:top w:w="0" w:type="dxa"/>
              <w:left w:w="0" w:type="dxa"/>
              <w:bottom w:w="0" w:type="dxa"/>
              <w:right w:w="0" w:type="dxa"/>
            </w:tcMar>
            <w:vAlign w:val="center"/>
          </w:tcPr>
          <w:p>
            <w:pPr>
              <w:pStyle w:val="TableContents"/>
              <w:bidi w:val="0"/>
              <w:spacing w:lineRule="auto" w:line="273" w:before="0" w:after="283"/>
              <w:ind w:left="0" w:right="0" w:hanging="36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(release of) credit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w:t>
            </w:r>
          </w:p>
        </w:tc>
        <w:tc>
          <w:tcPr>
            <w:tcW w:w="41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w:t>
            </w:r>
          </w:p>
        </w:tc>
        <w:tc>
          <w:tcPr>
            <w:tcW w:w="370"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36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73"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1,562 </w:t>
            </w:r>
          </w:p>
        </w:tc>
        <w:tc>
          <w:tcPr>
            <w:tcW w:w="27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1,264 </w:t>
            </w:r>
          </w:p>
        </w:tc>
        <w:tc>
          <w:tcPr>
            <w:tcW w:w="27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417"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4,158 </w:t>
            </w:r>
          </w:p>
        </w:tc>
        <w:tc>
          <w:tcPr>
            <w:tcW w:w="27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3,624 </w:t>
            </w:r>
          </w:p>
        </w:tc>
        <w:tc>
          <w:tcPr>
            <w:tcW w:w="27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370" w:type="dxa"/>
            <w:tcBorders/>
            <w:shd w:fill="B6B6B6" w:val="clear"/>
            <w:tcMar>
              <w:top w:w="0" w:type="dxa"/>
              <w:left w:w="0" w:type="dxa"/>
              <w:bottom w:w="0" w:type="dxa"/>
              <w:right w:w="0" w:type="dxa"/>
            </w:tcMar>
            <w:vAlign w:val="center"/>
          </w:tcPr>
          <w:p>
            <w:pPr>
              <w:pStyle w:val="TableContents"/>
              <w:bidi w:val="0"/>
              <w:spacing w:lineRule="auto" w:line="273" w:before="0" w:after="283"/>
              <w:ind w:left="0" w:right="0" w:hanging="36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50,550 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49,223 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148,818 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146,775 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ind w:left="0" w:right="0" w:hanging="36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73"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w:t>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46,898 </w:t>
            </w:r>
          </w:p>
        </w:tc>
        <w:tc>
          <w:tcPr>
            <w:tcW w:w="27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40,063 </w:t>
            </w:r>
          </w:p>
        </w:tc>
        <w:tc>
          <w:tcPr>
            <w:tcW w:w="27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417"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130,362 </w:t>
            </w:r>
          </w:p>
        </w:tc>
        <w:tc>
          <w:tcPr>
            <w:tcW w:w="27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119,774 </w:t>
            </w:r>
          </w:p>
        </w:tc>
        <w:tc>
          <w:tcPr>
            <w:tcW w:w="27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370" w:type="dxa"/>
            <w:tcBorders/>
            <w:shd w:fill="B6B6B6" w:val="clear"/>
            <w:tcMar>
              <w:top w:w="0" w:type="dxa"/>
              <w:left w:w="0" w:type="dxa"/>
              <w:bottom w:w="0" w:type="dxa"/>
              <w:right w:w="0" w:type="dxa"/>
            </w:tcMar>
            <w:vAlign w:val="center"/>
          </w:tcPr>
          <w:p>
            <w:pPr>
              <w:pStyle w:val="TableContents"/>
              <w:bidi w:val="0"/>
              <w:spacing w:lineRule="auto" w:line="273" w:before="0" w:after="283"/>
              <w:ind w:left="0" w:right="0" w:hanging="36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 expense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w:t>
            </w:r>
          </w:p>
        </w:tc>
        <w:tc>
          <w:tcPr>
            <w:tcW w:w="3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ind w:left="0" w:right="0" w:hanging="36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73"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714 </w:t>
            </w:r>
          </w:p>
        </w:tc>
        <w:tc>
          <w:tcPr>
            <w:tcW w:w="27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1,766 </w:t>
            </w:r>
          </w:p>
        </w:tc>
        <w:tc>
          <w:tcPr>
            <w:tcW w:w="27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w:t>
            </w:r>
          </w:p>
        </w:tc>
        <w:tc>
          <w:tcPr>
            <w:tcW w:w="417"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3,882 </w:t>
            </w:r>
          </w:p>
        </w:tc>
        <w:tc>
          <w:tcPr>
            <w:tcW w:w="27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5,352 </w:t>
            </w:r>
          </w:p>
        </w:tc>
        <w:tc>
          <w:tcPr>
            <w:tcW w:w="27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w:t>
            </w:r>
          </w:p>
        </w:tc>
        <w:tc>
          <w:tcPr>
            <w:tcW w:w="370" w:type="dxa"/>
            <w:tcBorders/>
            <w:shd w:fill="B6B6B6" w:val="clear"/>
            <w:tcMar>
              <w:top w:w="0" w:type="dxa"/>
              <w:left w:w="0" w:type="dxa"/>
              <w:bottom w:w="0" w:type="dxa"/>
              <w:right w:w="0" w:type="dxa"/>
            </w:tcMar>
            <w:vAlign w:val="center"/>
          </w:tcPr>
          <w:p>
            <w:pPr>
              <w:pStyle w:val="TableContents"/>
              <w:bidi w:val="0"/>
              <w:spacing w:lineRule="auto" w:line="273" w:before="0" w:after="283"/>
              <w:ind w:left="0" w:right="0" w:hanging="36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w:t>
            </w:r>
          </w:p>
        </w:tc>
        <w:tc>
          <w:tcPr>
            <w:tcW w:w="3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73"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share</w:t>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0.21 </w:t>
            </w:r>
          </w:p>
        </w:tc>
        <w:tc>
          <w:tcPr>
            <w:tcW w:w="271"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0.54 </w:t>
            </w:r>
          </w:p>
        </w:tc>
        <w:tc>
          <w:tcPr>
            <w:tcW w:w="271"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w:t>
            </w:r>
          </w:p>
        </w:tc>
        <w:tc>
          <w:tcPr>
            <w:tcW w:w="417"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271"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271"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70"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 on average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0.83 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1673" w:type="dxa"/>
            <w:gridSpan w:val="3"/>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 on average equity</w:t>
            </w:r>
          </w:p>
        </w:tc>
        <w:tc>
          <w:tcPr>
            <w:tcW w:w="932" w:type="dxa"/>
            <w:gridSpan w:val="2"/>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271" w:type="dxa"/>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13.80 </w:t>
            </w:r>
          </w:p>
        </w:tc>
        <w:tc>
          <w:tcPr>
            <w:tcW w:w="271" w:type="dxa"/>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8.54 </w:t>
            </w:r>
          </w:p>
        </w:tc>
        <w:tc>
          <w:tcPr>
            <w:tcW w:w="271" w:type="dxa"/>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13.64 </w:t>
            </w:r>
          </w:p>
        </w:tc>
        <w:tc>
          <w:tcPr>
            <w:tcW w:w="271" w:type="dxa"/>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w:t>
            </w:r>
          </w:p>
        </w:tc>
      </w:tr>
    </w:tbl>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Third quarter of 2024 compared to third quarter of 2023:</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net revenue of $50.6 million during the three month period ended September 30, 2024, up 2.7% from the three month period ended September 30, 2023, primarily driven by higher net interest income. Operating expense increased 17.1% primarily driven by $6.6 million of bad debt expense on a funding receivable related to a facility client. Net income was $2.9 million and diluted EPS was $0.21 per share, decreases of 60.3% and 61.1% from the three month period ended September 30, 2023, respectively.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posted a 0.50% return on average assets and 5.04% return on average equity.</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Nine months ended September 30, 2024 compared to nine months ended September 30, 2023:</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net revenue of $148.8 million during the nine months ended September 30, 2024, up 1.4% from the nine months ended September 30, 2023, primarily driven by higher processing fees. Operating expense increased 8.8% largely driven by $7.9 million of bad debt expense experienced during the first nine months of 2024 on a funding receivable related to a facility client. Net income was $14.6 million and diluted EPS was $1.06 per share, decreases of 32.7% and 32.1% from the nine months ended September 30, 2023, respectively.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posted a 0.83% return on average assets and 8.54% return on average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76" w:before="0" w:after="0"/>
        <w:jc w:val="left"/>
        <w:rPr/>
      </w:pPr>
      <w:hyperlink w:anchor="i6c4b0e535bdf4b388323ae8e08430aa2_7">
        <w:r>
          <w:rPr>
            <w:rStyle w:val="InternetLink"/>
            <w:rFonts w:ascii="Times New Roman;sans-serif" w:hAnsi="Times New Roman;sans-serif"/>
            <w:b/>
            <w:color w:val="0000FF"/>
            <w:sz w:val="20"/>
            <w:u w:val="single"/>
          </w:rPr>
          <w:t>Table of 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Fee Revenue and Other Income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fee revenue is derived mainly from transportation and facility processing and financial fees. As the Company provides its processing and payment services, it is compensated by service fees which are typically calculated on a per-item basis, discounts received for services provided to carriers and by the accounts and drafts payable balances generated in the payment process which can be used to generate interest income. Processing volumes, average payments in advance of funding, and fee revenue were as follows:</w:t>
      </w:r>
    </w:p>
    <w:tbl>
      <w:tblPr>
        <w:tblW w:w="10396" w:type="dxa"/>
        <w:jc w:val="left"/>
        <w:tblInd w:w="0" w:type="dxa"/>
        <w:tblLayout w:type="fixed"/>
        <w:tblCellMar>
          <w:top w:w="28" w:type="dxa"/>
          <w:left w:w="28" w:type="dxa"/>
          <w:bottom w:w="28" w:type="dxa"/>
          <w:right w:w="28" w:type="dxa"/>
        </w:tblCellMar>
      </w:tblPr>
      <w:tblGrid>
        <w:gridCol w:w="478"/>
        <w:gridCol w:w="420"/>
        <w:gridCol w:w="423"/>
        <w:gridCol w:w="211"/>
        <w:gridCol w:w="976"/>
        <w:gridCol w:w="109"/>
        <w:gridCol w:w="109"/>
        <w:gridCol w:w="109"/>
        <w:gridCol w:w="109"/>
        <w:gridCol w:w="211"/>
        <w:gridCol w:w="976"/>
        <w:gridCol w:w="109"/>
        <w:gridCol w:w="109"/>
        <w:gridCol w:w="109"/>
        <w:gridCol w:w="109"/>
        <w:gridCol w:w="109"/>
        <w:gridCol w:w="261"/>
        <w:gridCol w:w="265"/>
        <w:gridCol w:w="417"/>
        <w:gridCol w:w="109"/>
        <w:gridCol w:w="109"/>
        <w:gridCol w:w="109"/>
        <w:gridCol w:w="211"/>
        <w:gridCol w:w="1081"/>
        <w:gridCol w:w="109"/>
        <w:gridCol w:w="109"/>
        <w:gridCol w:w="109"/>
        <w:gridCol w:w="109"/>
        <w:gridCol w:w="211"/>
        <w:gridCol w:w="1081"/>
        <w:gridCol w:w="109"/>
        <w:gridCol w:w="109"/>
        <w:gridCol w:w="109"/>
        <w:gridCol w:w="109"/>
        <w:gridCol w:w="109"/>
        <w:gridCol w:w="261"/>
        <w:gridCol w:w="265"/>
        <w:gridCol w:w="359"/>
      </w:tblGrid>
      <w:tr>
        <w:trPr/>
        <w:tc>
          <w:tcPr>
            <w:tcW w:w="4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132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w:t>
            </w:r>
          </w:p>
        </w:tc>
        <w:tc>
          <w:tcPr>
            <w:tcW w:w="3355" w:type="dxa"/>
            <w:gridSpan w:val="1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Third Quarter of</w:t>
            </w:r>
          </w:p>
        </w:tc>
        <w:tc>
          <w:tcPr>
            <w:tcW w:w="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3" w:type="dxa"/>
            <w:gridSpan w:val="15"/>
            <w:tcBorders/>
            <w:tcMar>
              <w:top w:w="0" w:type="dxa"/>
              <w:left w:w="0" w:type="dxa"/>
              <w:bottom w:w="0" w:type="dxa"/>
              <w:right w:w="0" w:type="dxa"/>
            </w:tcMar>
            <w:vAlign w:val="center"/>
          </w:tcPr>
          <w:p>
            <w:pPr>
              <w:pStyle w:val="TableContents"/>
              <w:bidi w:val="0"/>
              <w:spacing w:lineRule="auto" w:line="276" w:before="0" w:after="0"/>
              <w:ind w:left="0" w:right="0" w:firstLine="108"/>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994" w:type="dxa"/>
            <w:gridSpan w:val="4"/>
            <w:tcBorders/>
          </w:tcPr>
          <w:p>
            <w:pPr>
              <w:pStyle w:val="TableContents"/>
              <w:bidi w:val="0"/>
              <w:spacing w:before="0" w:after="283"/>
              <w:jc w:val="left"/>
              <w:rPr>
                <w:sz w:val="4"/>
                <w:szCs w:val="4"/>
              </w:rPr>
            </w:pPr>
            <w:r>
              <w:rPr>
                <w:sz w:val="4"/>
                <w:szCs w:val="4"/>
              </w:rPr>
            </w:r>
          </w:p>
        </w:tc>
      </w:tr>
      <w:tr>
        <w:trPr/>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91"/>
              <w:jc w:val="center"/>
              <w:rPr>
                <w:rFonts w:ascii="Times New Roman;sans-serif" w:hAnsi="Times New Roman;sans-serif"/>
                <w:b/>
                <w:color w:val="000000"/>
                <w:sz w:val="20"/>
              </w:rPr>
            </w:pPr>
            <w:r>
              <w:rPr>
                <w:rFonts w:ascii="Times New Roman;sans-serif" w:hAnsi="Times New Roman;sans-serif"/>
                <w:b/>
                <w:color w:val="000000"/>
                <w:sz w:val="20"/>
              </w:rPr>
              <w:t>%</w:t>
              <w:br/>
              <w:t>Change</w:t>
            </w:r>
          </w:p>
        </w:tc>
      </w:tr>
      <w:tr>
        <w:trPr/>
        <w:tc>
          <w:tcPr>
            <w:tcW w:w="1321"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Transportation invoice volume</w:t>
            </w:r>
          </w:p>
        </w:tc>
        <w:tc>
          <w:tcPr>
            <w:tcW w:w="1187"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9,160 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8,925 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417"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26,810 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27,216 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59"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ind w:left="0" w:right="0" w:hanging="191"/>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Transportation invoice dollar volume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9,097,739 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9,263,453 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41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27,118,728 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29,243,706 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35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21" w:type="dxa"/>
            <w:gridSpan w:val="3"/>
            <w:tcBorders/>
            <w:shd w:fill="B6B6B6" w:val="clear"/>
            <w:tcMar>
              <w:top w:w="0" w:type="dxa"/>
              <w:left w:w="0" w:type="dxa"/>
              <w:bottom w:w="0" w:type="dxa"/>
              <w:right w:w="0" w:type="dxa"/>
            </w:tcMar>
            <w:vAlign w:val="center"/>
          </w:tcPr>
          <w:p>
            <w:pPr>
              <w:pStyle w:val="TableContents"/>
              <w:bidi w:val="0"/>
              <w:spacing w:lineRule="auto" w:line="273" w:before="0" w:after="0"/>
              <w:ind w:left="0" w:right="0" w:hanging="191"/>
              <w:jc w:val="left"/>
              <w:rPr/>
            </w:pPr>
            <w:r>
              <w:rPr>
                <w:rFonts w:ascii="Times New Roman;sans-serif" w:hAnsi="Times New Roman;sans-serif"/>
                <w:b w:val="false"/>
                <w:color w:val="000000"/>
                <w:sz w:val="20"/>
              </w:rPr>
              <w:t xml:space="preserve">Facility-related transaction volume </w:t>
            </w:r>
            <w:r>
              <w:rPr>
                <w:rFonts w:ascii="Times New Roman;sans-serif" w:hAnsi="Times New Roman;sans-serif"/>
                <w:b w:val="false"/>
                <w:color w:val="000000"/>
                <w:sz w:val="13"/>
              </w:rPr>
              <w:t xml:space="preserve">1 </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4,316 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3,417 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417"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12,917 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10,352 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359"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91"/>
              <w:jc w:val="left"/>
              <w:rPr/>
            </w:pPr>
            <w:r>
              <w:rPr>
                <w:rFonts w:ascii="Times New Roman;sans-serif" w:hAnsi="Times New Roman;sans-serif"/>
                <w:b w:val="false"/>
                <w:color w:val="000000"/>
                <w:sz w:val="20"/>
              </w:rPr>
              <w:t xml:space="preserve">Facility-related dollar volume </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5,778,291 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5,096,882 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41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16,147,139 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14,988,757 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359"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91"/>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21"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payments in advance of funding</w:t>
            </w:r>
          </w:p>
        </w:tc>
        <w:tc>
          <w:tcPr>
            <w:tcW w:w="211"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202,976 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234,684 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417"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203,498 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243,458 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359"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Processing fees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41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35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21"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fees</w:t>
            </w:r>
          </w:p>
        </w:tc>
        <w:tc>
          <w:tcPr>
            <w:tcW w:w="211"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11,177 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11,597 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417"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32,582 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34,518 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359"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2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fees</w:t>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41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4,158 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3,624 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359"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1.Includes energy, telecom and environmental.</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Third quarter of 2024 compared to third quarter of 2023:</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Processing fees increased $114,000, or 0.6%, primarily attributable to an increase in facility-related invoice volumes of 26.3%, partially offset by a decrease in ancillary processing fees unrelated to transaction volumes, such as implementation fees. The Company has experienced recent success in adding facility clients with high transaction volumes.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Financial fees decreased $420,000, or 3.6%, primarily attributable to a decline in transportation dollar volumes of 1.8%, in addition to changes in the manner certain vendors receive payments.</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Nine months ended September 30, 2024 compared to the nine months ended September 30, 2023:</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Processing fees increased $3.6 million, or 6.1%, primarily attributable to an increase in facility-related invoice volumes of 24.8%. Transportation invoice volumes decreased 1.5% over the same period.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Financial fees decreased $1.9 million, or 5.6%, primarily attributable to a decline in transportation dollar volumes of 7.3%, in addition to changes in the manner certain vendors receive payments.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76" w:before="0" w:after="0"/>
        <w:jc w:val="left"/>
        <w:rPr/>
      </w:pPr>
      <w:hyperlink w:anchor="i6c4b0e535bdf4b388323ae8e08430aa2_7">
        <w:r>
          <w:rPr>
            <w:rStyle w:val="InternetLink"/>
            <w:rFonts w:ascii="Times New Roman;sans-serif" w:hAnsi="Times New Roman;sans-serif"/>
            <w:b/>
            <w:color w:val="0000FF"/>
            <w:sz w:val="20"/>
            <w:u w:val="single"/>
          </w:rPr>
          <w:t>Table of 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Net Interest Income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interest income is the difference between interest earned on loans, investments, and other earning assets and interest expense on deposits and other interest-bearing liabilities. Net interest income is a significant source of the Company’s revenues. The following table summarizes the changes in tax-equivalent net interest income and related factors:</w:t>
      </w:r>
    </w:p>
    <w:tbl>
      <w:tblPr>
        <w:tblW w:w="10796" w:type="dxa"/>
        <w:jc w:val="left"/>
        <w:tblInd w:w="0" w:type="dxa"/>
        <w:tblLayout w:type="fixed"/>
        <w:tblCellMar>
          <w:top w:w="28" w:type="dxa"/>
          <w:left w:w="28" w:type="dxa"/>
          <w:bottom w:w="28" w:type="dxa"/>
          <w:right w:w="28" w:type="dxa"/>
        </w:tblCellMar>
      </w:tblPr>
      <w:tblGrid>
        <w:gridCol w:w="711"/>
        <w:gridCol w:w="378"/>
        <w:gridCol w:w="307"/>
        <w:gridCol w:w="211"/>
        <w:gridCol w:w="976"/>
        <w:gridCol w:w="271"/>
        <w:gridCol w:w="109"/>
        <w:gridCol w:w="109"/>
        <w:gridCol w:w="109"/>
        <w:gridCol w:w="211"/>
        <w:gridCol w:w="976"/>
        <w:gridCol w:w="271"/>
        <w:gridCol w:w="109"/>
        <w:gridCol w:w="109"/>
        <w:gridCol w:w="109"/>
        <w:gridCol w:w="109"/>
        <w:gridCol w:w="210"/>
        <w:gridCol w:w="211"/>
        <w:gridCol w:w="417"/>
        <w:gridCol w:w="109"/>
        <w:gridCol w:w="109"/>
        <w:gridCol w:w="109"/>
        <w:gridCol w:w="211"/>
        <w:gridCol w:w="976"/>
        <w:gridCol w:w="271"/>
        <w:gridCol w:w="109"/>
        <w:gridCol w:w="109"/>
        <w:gridCol w:w="109"/>
        <w:gridCol w:w="211"/>
        <w:gridCol w:w="976"/>
        <w:gridCol w:w="271"/>
        <w:gridCol w:w="109"/>
        <w:gridCol w:w="109"/>
        <w:gridCol w:w="109"/>
        <w:gridCol w:w="109"/>
        <w:gridCol w:w="254"/>
        <w:gridCol w:w="257"/>
        <w:gridCol w:w="366"/>
      </w:tblGrid>
      <w:tr>
        <w:trPr/>
        <w:tc>
          <w:tcPr>
            <w:tcW w:w="71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139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w:t>
            </w:r>
          </w:p>
        </w:tc>
        <w:tc>
          <w:tcPr>
            <w:tcW w:w="3679" w:type="dxa"/>
            <w:gridSpan w:val="1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Third Quarter of</w:t>
            </w:r>
          </w:p>
        </w:tc>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7" w:type="dxa"/>
            <w:gridSpan w:val="15"/>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986" w:type="dxa"/>
            <w:gridSpan w:val="4"/>
            <w:tcBorders/>
          </w:tcPr>
          <w:p>
            <w:pPr>
              <w:pStyle w:val="TableContents"/>
              <w:bidi w:val="0"/>
              <w:spacing w:before="0" w:after="283"/>
              <w:jc w:val="left"/>
              <w:rPr>
                <w:sz w:val="4"/>
                <w:szCs w:val="4"/>
              </w:rPr>
            </w:pPr>
            <w:r>
              <w:rPr>
                <w:sz w:val="4"/>
                <w:szCs w:val="4"/>
              </w:rPr>
            </w:r>
          </w:p>
        </w:tc>
      </w:tr>
      <w:tr>
        <w:trPr/>
        <w:tc>
          <w:tcPr>
            <w:tcW w:w="1396" w:type="dxa"/>
            <w:gridSpan w:val="3"/>
            <w:vMerge w:val="continue"/>
            <w:tcBorders/>
            <w:tcMar>
              <w:top w:w="0" w:type="dxa"/>
              <w:left w:w="0" w:type="dxa"/>
              <w:bottom w:w="0" w:type="dxa"/>
              <w:right w:w="0" w:type="dxa"/>
            </w:tcMar>
            <w:vAlign w:val="center"/>
          </w:tcPr>
          <w:p>
            <w:pPr>
              <w:pStyle w:val="Normal"/>
              <w:bidi w:val="0"/>
              <w:jc w:val="left"/>
              <w:rPr/>
            </w:pPr>
            <w:r>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w:t>
              <w:br/>
              <w:t>Change</w:t>
            </w:r>
          </w:p>
        </w:tc>
      </w:tr>
      <w:tr>
        <w:trPr/>
        <w:tc>
          <w:tcPr>
            <w:tcW w:w="1396"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earning assets</w:t>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2,001,741 </w:t>
            </w:r>
          </w:p>
        </w:tc>
        <w:tc>
          <w:tcPr>
            <w:tcW w:w="271"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2,059,801 </w:t>
            </w:r>
          </w:p>
        </w:tc>
        <w:tc>
          <w:tcPr>
            <w:tcW w:w="271"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417"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2,007,780 </w:t>
            </w:r>
          </w:p>
        </w:tc>
        <w:tc>
          <w:tcPr>
            <w:tcW w:w="271"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2,077,392 </w:t>
            </w:r>
          </w:p>
        </w:tc>
        <w:tc>
          <w:tcPr>
            <w:tcW w:w="271"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6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interest-bearing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630,215 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591,567 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41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633,384 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566,987 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3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17,856 </w:t>
            </w:r>
          </w:p>
        </w:tc>
        <w:tc>
          <w:tcPr>
            <w:tcW w:w="27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16,805 </w:t>
            </w:r>
          </w:p>
        </w:tc>
        <w:tc>
          <w:tcPr>
            <w:tcW w:w="27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417"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50,744 </w:t>
            </w:r>
          </w:p>
        </w:tc>
        <w:tc>
          <w:tcPr>
            <w:tcW w:w="27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50,300 </w:t>
            </w:r>
          </w:p>
        </w:tc>
        <w:tc>
          <w:tcPr>
            <w:tcW w:w="27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366"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margin*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Yield on earning assets*</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271"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271"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271"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271"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3"/>
            <w:tcBorders/>
            <w:shd w:fill="B6B6B6"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9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interest-bearing liabilities</w:t>
            </w:r>
          </w:p>
        </w:tc>
        <w:tc>
          <w:tcPr>
            <w:tcW w:w="118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*Presented on a tax-equivalent basis assuming a tax rate of 21% for both 2024 and 2023.</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Third quarter of 2024 compared to third quarter of 2023:</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net interest income is primarily due to the increase in the net interest margin to 3.55%, as compared to 3.24% in the same quarter last year, partially offset by the decrease in average earning assets of $58.1 million, or 2.8%. The yield on interest-earning assets increased 44 basis points from 4.13% to 4.57% while the cost of interest-bearing liabilities increased 14 basis points from 3.11% to 3.25%.</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Average loans increased $26.9 million, or 2.6%, to $1.07 billion. The increase in average loans was primarily due to growth in the Company's franchise restaurant and faith-based portfolios. The average yield on loans increased 52 basis points to 5.40%.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Average investment securities decreased $112.6 million, or 16.0%, to $590.5 million. The average yield on taxable investment securities increased 26 basis points to 2.88% and the average yield on tax-exempt investment securities increased 18 basis points to 2.81% driven by purchases of investment securities at current market interest rates and maturities and sales of securities at below market interest rates.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Average short-term investments, consisting of interest-bearing deposits in other financial institutions and federal funds sold, increased $27.7 million, or 8.9%, to $338.5 million. The increase is primarily a result of the decline in average investment securities, partially offset by a decrease in average funding sources. The average yield on short-term investments decreased 8 basis points to 4.94%, primarily due to the recent decline in the Federal Funds rate of 50 basis points. The majority of these short-term investments are held at the Federal Reserve Bank.</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average balance of interest-bearing deposits increased $38.6 million, or 6.5%, to $630.2 million. Average non-interest-bearing demand deposits decreased $76.1 million, or 15.8%, to $404.4 million. The Company has experienced a migration of client funds from non-interest bearing to interest-bearing driven by the higher interest rate environment prior to the recent 50 basis point decline in the Federal Funds rate. The average rate paid on interest-bearing deposits increased 14 basis points to 3.25%.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Average accounts and drafts payable decreased $37.0 million, or 3.5%, to $1.03 billion. The decrease in average accounts and drafts payable was primarily reflective of a cyber event at a client during the first quarter of 2024, which decreased average balances by approximately $100.0 million as well as the decrease in transportation dollar volumes of 1.8%, partially offset by an increase in facility dollar volume of 13.4%.</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Nine months ended September 30, 2024 compared to nine months ended September 30, 2023:</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net interest income is primarily due to the increase in the net interest margin to 3.38%, as compared to 3.24% in the prior year, partially offset by the decrease in average earning assets of $69.6 million, or 3.4%. The yield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76" w:before="0" w:after="0"/>
        <w:jc w:val="left"/>
        <w:rPr/>
      </w:pPr>
      <w:hyperlink w:anchor="i6c4b0e535bdf4b388323ae8e08430aa2_7">
        <w:r>
          <w:rPr>
            <w:rStyle w:val="InternetLink"/>
            <w:rFonts w:ascii="Times New Roman;sans-serif" w:hAnsi="Times New Roman;sans-serif"/>
            <w:b/>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interest-earning assets increased 44 basis points from 3.98% to 4.42% while the cost of interest-bearing liabilities increased 57 basis points from 2.73% to 3.30%.</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Average loans decreased $23.0 million, or 2.2%, to $1.04 billion. The decrease in average loans was primarily due to the Company opting to be more selective in booking new loans as a result of a decline in average deposits. The average yield on loans increased 47 basis points to 5.24%.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Average investment securities decreased $101.6 million, or 13.6%, to $646.1 million. The average yield on taxable investment securities increased 22 basis points to 2.82% and the average yield on tax-exempt investment securities increased 3 basis points to 2.75%. The increase in the average yield on taxable investment securities was driven by purchases of investment securities at current market interest rates and maturities and sales of securities at below market interest rates.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Average short-term investments, consisting of interest-bearing deposits in other financial institutions and federal funds sold, increased $54.9 million, or 20.8%, to $318.7 million. The increase is primarily a result of the decline in average investment securities and loans, partially offset by a decrease in average funding sources. The average yield on short-term investments increased 35 basis points to 4.99%, primarily due to higher average short-term interest rates when comparing the periods. The majority of these short-term investments are held at the Federal Reserve Bank.</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average balance of interest-bearing deposits increased $69.4 million, or 12.3%, to $633.4 million. Average non-interest-bearing demand deposits decreased $109.0 million, or 20.6%, to $419.7 million. The Company has experienced a migration of client funds from non-interest bearing to interest-bearing driven by the higher interest rate environment prior to the recent 50 basis point decline in the Federal Funds rate. The average rate paid on interest-bearing deposits increased 58 basis points to 3.30% due to higher average short-term interest rates when comparing the periods.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Average accounts and drafts payable decreased $49.4 million, or 4.6%, to $1.02 billion. The decrease in average accounts and drafts payable was primarily reflective of a cyber event experienced by a client during the first quarter of 2024, which decreased average balances approximately $100.0 million as well as the decrease in transportation dollar volumes of 7.3%, partially offset by an increase in facility dollar volumes of 7.7%.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Distribution of Assets, Liabilities and Shareholders' Equity; Interest Rate and Interest Differential</w:t>
      </w:r>
    </w:p>
    <w:p>
      <w:pPr>
        <w:pStyle w:val="TextBody"/>
        <w:bidi w:val="0"/>
        <w:spacing w:lineRule="auto" w:line="288" w:before="200" w:after="283"/>
        <w:ind w:left="0" w:right="0" w:firstLine="1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show the condensed average balance sheets for each of the periods reported, the tax-equivalent interest income and expense for each category of interest-earning assets and interest-bearing liabilities, and the average yield on such categories of interest-earning assets and the average rates paid on such categories of interest-bearing liabilities for each of the periods reported.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76" w:before="0" w:after="0"/>
        <w:jc w:val="left"/>
        <w:rPr/>
      </w:pPr>
      <w:hyperlink w:anchor="i6c4b0e535bdf4b388323ae8e08430aa2_7">
        <w:r>
          <w:rPr>
            <w:rStyle w:val="InternetLink"/>
            <w:rFonts w:ascii="Times New Roman;sans-serif" w:hAnsi="Times New Roman;sans-serif"/>
            <w:b/>
            <w:color w:val="0000FF"/>
            <w:sz w:val="20"/>
            <w:u w:val="single"/>
          </w:rPr>
          <w:t>Table of Contents</w:t>
        </w:r>
      </w:hyperlink>
    </w:p>
    <w:p>
      <w:pPr>
        <w:pStyle w:val="TextBody"/>
        <w:bidi w:val="0"/>
        <w:spacing w:before="200" w:after="283"/>
        <w:ind w:left="0" w:right="0" w:firstLine="10"/>
        <w:jc w:val="both"/>
        <w:rPr/>
      </w:pPr>
      <w:r>
        <w:rPr/>
      </w:r>
    </w:p>
    <w:tbl>
      <w:tblPr>
        <w:tblW w:w="10205" w:type="dxa"/>
        <w:jc w:val="left"/>
        <w:tblInd w:w="0" w:type="dxa"/>
        <w:tblLayout w:type="fixed"/>
        <w:tblCellMar>
          <w:top w:w="28" w:type="dxa"/>
          <w:left w:w="28" w:type="dxa"/>
          <w:bottom w:w="28" w:type="dxa"/>
          <w:right w:w="28" w:type="dxa"/>
        </w:tblCellMar>
      </w:tblPr>
      <w:tblGrid>
        <w:gridCol w:w="966"/>
        <w:gridCol w:w="798"/>
        <w:gridCol w:w="789"/>
        <w:gridCol w:w="196"/>
        <w:gridCol w:w="871"/>
        <w:gridCol w:w="109"/>
        <w:gridCol w:w="109"/>
        <w:gridCol w:w="109"/>
        <w:gridCol w:w="109"/>
        <w:gridCol w:w="196"/>
        <w:gridCol w:w="646"/>
        <w:gridCol w:w="109"/>
        <w:gridCol w:w="109"/>
        <w:gridCol w:w="109"/>
        <w:gridCol w:w="109"/>
        <w:gridCol w:w="233"/>
        <w:gridCol w:w="233"/>
        <w:gridCol w:w="283"/>
        <w:gridCol w:w="109"/>
        <w:gridCol w:w="109"/>
        <w:gridCol w:w="109"/>
        <w:gridCol w:w="196"/>
        <w:gridCol w:w="871"/>
        <w:gridCol w:w="109"/>
        <w:gridCol w:w="109"/>
        <w:gridCol w:w="109"/>
        <w:gridCol w:w="109"/>
        <w:gridCol w:w="196"/>
        <w:gridCol w:w="646"/>
        <w:gridCol w:w="109"/>
        <w:gridCol w:w="109"/>
        <w:gridCol w:w="109"/>
        <w:gridCol w:w="109"/>
        <w:gridCol w:w="233"/>
        <w:gridCol w:w="233"/>
        <w:gridCol w:w="283"/>
        <w:gridCol w:w="109"/>
        <w:gridCol w:w="156"/>
      </w:tblGrid>
      <w:tr>
        <w:trPr/>
        <w:tc>
          <w:tcPr>
            <w:tcW w:w="96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53" w:type="dxa"/>
            <w:gridSpan w:val="3"/>
            <w:vMerge w:val="restart"/>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3530" w:type="dxa"/>
            <w:gridSpan w:val="15"/>
            <w:tcBorders/>
            <w:tcMar>
              <w:top w:w="0" w:type="dxa"/>
              <w:left w:w="0" w:type="dxa"/>
              <w:bottom w:w="0" w:type="dxa"/>
              <w:right w:w="0" w:type="dxa"/>
            </w:tcMar>
            <w:vAlign w:val="center"/>
          </w:tcPr>
          <w:p>
            <w:pPr>
              <w:pStyle w:val="TableContents"/>
              <w:bidi w:val="0"/>
              <w:spacing w:lineRule="auto" w:line="288" w:before="200" w:after="283"/>
              <w:jc w:val="center"/>
              <w:rPr/>
            </w:pPr>
            <w:r>
              <w:rPr>
                <w:rFonts w:ascii="Times New Roman;sans-serif" w:hAnsi="Times New Roman;sans-serif"/>
                <w:b/>
                <w:color w:val="000000"/>
                <w:sz w:val="16"/>
              </w:rPr>
              <w:t>Third Quarter of 2024</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0" w:type="dxa"/>
            <w:gridSpan w:val="15"/>
            <w:tcBorders/>
            <w:tcMar>
              <w:top w:w="0" w:type="dxa"/>
              <w:left w:w="0" w:type="dxa"/>
              <w:bottom w:w="0" w:type="dxa"/>
              <w:right w:w="0" w:type="dxa"/>
            </w:tcMar>
            <w:vAlign w:val="center"/>
          </w:tcPr>
          <w:p>
            <w:pPr>
              <w:pStyle w:val="TableContents"/>
              <w:bidi w:val="0"/>
              <w:spacing w:lineRule="auto" w:line="288" w:before="200" w:after="283"/>
              <w:jc w:val="center"/>
              <w:rPr>
                <w:rFonts w:ascii="Times New Roman;sans-serif" w:hAnsi="Times New Roman;sans-serif"/>
                <w:b/>
                <w:color w:val="000000"/>
                <w:sz w:val="16"/>
              </w:rPr>
            </w:pPr>
            <w:r>
              <w:rPr>
                <w:rFonts w:ascii="Times New Roman;sans-serif" w:hAnsi="Times New Roman;sans-serif"/>
                <w:b/>
                <w:color w:val="000000"/>
                <w:sz w:val="16"/>
              </w:rPr>
              <w:t>Third Quarter of 2023</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53"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w:t>
              <w:br/>
              <w:t> Income/</w:t>
              <w:br/>
              <w:t>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Yield/</w:t>
              <w:br/>
              <w:t xml:space="preserve"> Rate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w:t>
              <w:br/>
              <w:t> Income/</w:t>
              <w:br/>
              <w:t>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Yield/</w:t>
              <w:br/>
              <w:t xml:space="preserve"> Rate </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53"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color w:val="000000"/>
                <w:sz w:val="16"/>
              </w:rPr>
              <w:t>Assets</w:t>
            </w:r>
            <w:r>
              <w:rPr>
                <w:rFonts w:ascii="Times New Roman;sans-serif" w:hAnsi="Times New Roman;sans-serif"/>
                <w:b w:val="false"/>
                <w:color w:val="000000"/>
                <w:sz w:val="10"/>
              </w:rPr>
              <w:t>1</w:t>
            </w:r>
          </w:p>
        </w:tc>
        <w:tc>
          <w:tcPr>
            <w:tcW w:w="1176"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Interest-earning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53" w:type="dxa"/>
            <w:gridSpan w:val="3"/>
            <w:tcBorders/>
            <w:shd w:fill="B6B6B6"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16"/>
              </w:rPr>
              <w:t>Loans</w:t>
            </w:r>
            <w:r>
              <w:rPr>
                <w:rFonts w:ascii="Times New Roman;sans-serif" w:hAnsi="Times New Roman;sans-serif"/>
                <w:b w:val="false"/>
                <w:color w:val="000000"/>
                <w:sz w:val="10"/>
              </w:rPr>
              <w:t>2</w:t>
            </w:r>
            <w:r>
              <w:rPr>
                <w:rFonts w:ascii="Times New Roman;sans-serif" w:hAnsi="Times New Roman;sans-serif"/>
                <w:b w:val="false"/>
                <w:color w:val="000000"/>
                <w:sz w:val="16"/>
              </w:rPr>
              <w:t>:</w:t>
            </w:r>
          </w:p>
        </w:tc>
        <w:tc>
          <w:tcPr>
            <w:tcW w:w="196"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1,072,824 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14,567 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5.40 </w:t>
            </w:r>
          </w:p>
        </w:tc>
        <w:tc>
          <w:tcPr>
            <w:tcW w:w="283"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1,045,967 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12,863 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4.88 </w:t>
            </w:r>
          </w:p>
        </w:tc>
        <w:tc>
          <w:tcPr>
            <w:tcW w:w="283"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53"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16"/>
              </w:rPr>
              <w:t>Investment securities</w:t>
            </w:r>
            <w:r>
              <w:rPr>
                <w:rFonts w:ascii="Times New Roman;sans-serif" w:hAnsi="Times New Roman;sans-serif"/>
                <w:b w:val="false"/>
                <w:color w:val="000000"/>
                <w:sz w:val="10"/>
              </w:rPr>
              <w:t>3</w:t>
            </w:r>
            <w:r>
              <w:rPr>
                <w:rFonts w:ascii="Times New Roman;sans-serif" w:hAnsi="Times New Roman;sans-serif"/>
                <w:b w:val="false"/>
                <w:color w:val="000000"/>
                <w:sz w:val="16"/>
              </w:rPr>
              <w:t>:</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53"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Taxable</w:t>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430,242 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3,114 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2.88 </w:t>
            </w:r>
          </w:p>
        </w:tc>
        <w:tc>
          <w:tcPr>
            <w:tcW w:w="283"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518,954 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3,429 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2.62 </w:t>
            </w:r>
          </w:p>
        </w:tc>
        <w:tc>
          <w:tcPr>
            <w:tcW w:w="283"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53"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16"/>
              </w:rPr>
              <w:t>Tax-exempt</w:t>
            </w:r>
            <w:r>
              <w:rPr>
                <w:rFonts w:ascii="Times New Roman;sans-serif" w:hAnsi="Times New Roman;sans-serif"/>
                <w:b w:val="false"/>
                <w:color w:val="000000"/>
                <w:sz w:val="10"/>
              </w:rPr>
              <w:t>4</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2.81 </w:t>
            </w:r>
          </w:p>
        </w:tc>
        <w:tc>
          <w:tcPr>
            <w:tcW w:w="2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2.63 </w:t>
            </w:r>
          </w:p>
        </w:tc>
        <w:tc>
          <w:tcPr>
            <w:tcW w:w="2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5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53"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investments</w:t>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338,464 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4,200 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4.94 </w:t>
            </w:r>
          </w:p>
        </w:tc>
        <w:tc>
          <w:tcPr>
            <w:tcW w:w="283"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310,770 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3,934 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5.02 </w:t>
            </w:r>
          </w:p>
        </w:tc>
        <w:tc>
          <w:tcPr>
            <w:tcW w:w="283"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interest-earning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2,001,741 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4.57 </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2,059,801 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4.13 </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53"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Non-interest-earning assets</w:t>
            </w:r>
          </w:p>
        </w:tc>
        <w:tc>
          <w:tcPr>
            <w:tcW w:w="1176"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due from banks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53"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Premises and equipment, net</w:t>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34,054 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25,531 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Bank-owned life insurance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53"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 and other intangibles</w:t>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20,206 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20,966 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in advance of funding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53"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loss on investment securities</w:t>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(55,029)</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(68,230)</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53"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Allowance for credit losses</w:t>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(13,632)</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(13,195)</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2,340,870 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2,395,264 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53"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6" w:before="0" w:after="0"/>
              <w:ind w:left="0" w:right="0" w:hanging="180"/>
              <w:jc w:val="left"/>
              <w:rPr/>
            </w:pPr>
            <w:r>
              <w:rPr>
                <w:rFonts w:ascii="Times New Roman;sans-serif" w:hAnsi="Times New Roman;sans-serif"/>
                <w:b/>
                <w:color w:val="000000"/>
                <w:sz w:val="16"/>
              </w:rPr>
              <w:t>Liabilities and Shareholders’ Equity</w:t>
            </w:r>
            <w:r>
              <w:rPr>
                <w:rFonts w:ascii="Times New Roman;sans-serif" w:hAnsi="Times New Roman;sans-serif"/>
                <w:b/>
                <w:color w:val="000000"/>
                <w:sz w:val="10"/>
              </w:rPr>
              <w:t>1</w:t>
            </w:r>
          </w:p>
        </w:tc>
        <w:tc>
          <w:tcPr>
            <w:tcW w:w="1176"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Interest-bearing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53"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Interest-bearing demand deposits</w:t>
            </w:r>
          </w:p>
        </w:tc>
        <w:tc>
          <w:tcPr>
            <w:tcW w:w="196"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543,845 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4,314 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3.16 </w:t>
            </w:r>
          </w:p>
        </w:tc>
        <w:tc>
          <w:tcPr>
            <w:tcW w:w="283"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508,554 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4,007 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3.13 </w:t>
            </w:r>
          </w:p>
        </w:tc>
        <w:tc>
          <w:tcPr>
            <w:tcW w:w="283"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Savings deposits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1.67 </w:t>
            </w:r>
          </w:p>
        </w:tc>
        <w:tc>
          <w:tcPr>
            <w:tcW w:w="2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1.70 </w:t>
            </w:r>
          </w:p>
        </w:tc>
        <w:tc>
          <w:tcPr>
            <w:tcW w:w="2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53"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Time deposits &gt;= $100</w:t>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27,884 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3.85 </w:t>
            </w:r>
          </w:p>
        </w:tc>
        <w:tc>
          <w:tcPr>
            <w:tcW w:w="283"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23,610 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3.41 </w:t>
            </w:r>
          </w:p>
        </w:tc>
        <w:tc>
          <w:tcPr>
            <w:tcW w:w="283"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time deposits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4.19 </w:t>
            </w:r>
          </w:p>
        </w:tc>
        <w:tc>
          <w:tcPr>
            <w:tcW w:w="2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3.06 </w:t>
            </w:r>
          </w:p>
        </w:tc>
        <w:tc>
          <w:tcPr>
            <w:tcW w:w="2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53"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interest-bearing deposits</w:t>
            </w:r>
          </w:p>
        </w:tc>
        <w:tc>
          <w:tcPr>
            <w:tcW w:w="1067"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630,204 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5,156 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3.25 </w:t>
            </w:r>
          </w:p>
        </w:tc>
        <w:tc>
          <w:tcPr>
            <w:tcW w:w="283"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591,556 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4,641 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3.11 </w:t>
            </w:r>
          </w:p>
        </w:tc>
        <w:tc>
          <w:tcPr>
            <w:tcW w:w="283"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borrowings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53"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interest-bearing liabilities</w:t>
            </w:r>
          </w:p>
        </w:tc>
        <w:tc>
          <w:tcPr>
            <w:tcW w:w="1067"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630,215 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5,156 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3.25 </w:t>
            </w:r>
          </w:p>
        </w:tc>
        <w:tc>
          <w:tcPr>
            <w:tcW w:w="283"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591,567 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4,641 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3.11 </w:t>
            </w:r>
          </w:p>
        </w:tc>
        <w:tc>
          <w:tcPr>
            <w:tcW w:w="283"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Non-interest bearing liabilities </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53"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Demand deposits</w:t>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404,364 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480,472 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and drafts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1,033,070 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1,070,057 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53"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41,436 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40,578 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2,109,085 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2,182,674 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53"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Shareholders’ equity</w:t>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231,785 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212,590 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shareholders’ equity</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2,340,870 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2,395,264 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53"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interest income</w:t>
            </w:r>
          </w:p>
        </w:tc>
        <w:tc>
          <w:tcPr>
            <w:tcW w:w="1176"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17,856 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16,805 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interest margin</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3.55 </w:t>
            </w:r>
          </w:p>
        </w:tc>
        <w:tc>
          <w:tcPr>
            <w:tcW w:w="2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3.24 </w:t>
            </w:r>
          </w:p>
        </w:tc>
        <w:tc>
          <w:tcPr>
            <w:tcW w:w="28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53" w:type="dxa"/>
            <w:gridSpan w:val="3"/>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spread</w:t>
            </w:r>
          </w:p>
        </w:tc>
        <w:tc>
          <w:tcPr>
            <w:tcW w:w="1176"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1.32 </w:t>
            </w:r>
          </w:p>
        </w:tc>
        <w:tc>
          <w:tcPr>
            <w:tcW w:w="283" w:type="dxa"/>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1.02 </w:t>
            </w:r>
          </w:p>
        </w:tc>
        <w:tc>
          <w:tcPr>
            <w:tcW w:w="283" w:type="dxa"/>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1.Balances shown are daily averages.</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2.</w:t>
      </w:r>
      <w:r>
        <w:rPr>
          <w:rFonts w:ascii="Times New Roman;sans-serif" w:hAnsi="Times New Roman;sans-serif"/>
          <w:b w:val="false"/>
          <w:color w:val="000000"/>
          <w:sz w:val="16"/>
        </w:rPr>
        <w:t>Interest income on loans includes net loan fees of $154,000 and $98,000 for the third quarter of 2024 and 2023, respectively.</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3.For purposes of these computations, yields on investment securities are computed as interest income divided by the average amortized cost of the investments.</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4.</w:t>
      </w:r>
      <w:r>
        <w:rPr>
          <w:rFonts w:ascii="Times New Roman;sans-serif" w:hAnsi="Times New Roman;sans-serif"/>
          <w:b w:val="false"/>
          <w:color w:val="000000"/>
          <w:sz w:val="16"/>
        </w:rPr>
        <w:t>Interest income is presented on a tax-equivalent basis assuming a tax rate of 21% for both 2024 and 2023. The tax-equivalent adjustment was approximately $237,000 and $256,000 for the third quarter of 2024 and 2023, respectively.</w:t>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76" w:before="0" w:after="0"/>
        <w:jc w:val="left"/>
        <w:rPr/>
      </w:pPr>
      <w:hyperlink w:anchor="i6c4b0e535bdf4b388323ae8e08430aa2_7">
        <w:r>
          <w:rPr>
            <w:rStyle w:val="InternetLink"/>
            <w:rFonts w:ascii="Times New Roman;sans-serif" w:hAnsi="Times New Roman;sans-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945"/>
        <w:gridCol w:w="766"/>
        <w:gridCol w:w="753"/>
        <w:gridCol w:w="196"/>
        <w:gridCol w:w="871"/>
        <w:gridCol w:w="109"/>
        <w:gridCol w:w="109"/>
        <w:gridCol w:w="109"/>
        <w:gridCol w:w="109"/>
        <w:gridCol w:w="196"/>
        <w:gridCol w:w="646"/>
        <w:gridCol w:w="109"/>
        <w:gridCol w:w="109"/>
        <w:gridCol w:w="109"/>
        <w:gridCol w:w="109"/>
        <w:gridCol w:w="278"/>
        <w:gridCol w:w="278"/>
        <w:gridCol w:w="282"/>
        <w:gridCol w:w="109"/>
        <w:gridCol w:w="109"/>
        <w:gridCol w:w="109"/>
        <w:gridCol w:w="196"/>
        <w:gridCol w:w="871"/>
        <w:gridCol w:w="109"/>
        <w:gridCol w:w="109"/>
        <w:gridCol w:w="109"/>
        <w:gridCol w:w="109"/>
        <w:gridCol w:w="196"/>
        <w:gridCol w:w="646"/>
        <w:gridCol w:w="109"/>
        <w:gridCol w:w="109"/>
        <w:gridCol w:w="109"/>
        <w:gridCol w:w="109"/>
        <w:gridCol w:w="233"/>
        <w:gridCol w:w="233"/>
        <w:gridCol w:w="282"/>
        <w:gridCol w:w="109"/>
        <w:gridCol w:w="157"/>
      </w:tblGrid>
      <w:tr>
        <w:trPr/>
        <w:tc>
          <w:tcPr>
            <w:tcW w:w="94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64" w:type="dxa"/>
            <w:gridSpan w:val="3"/>
            <w:vMerge w:val="restart"/>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3619" w:type="dxa"/>
            <w:gridSpan w:val="15"/>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Nine Months Ended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15"/>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Nine Months Ended 2023</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64"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w:t>
              <w:br/>
              <w:t> Income/</w:t>
              <w:br/>
              <w:t>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Yield/</w:t>
              <w:br/>
              <w:t xml:space="preserve"> Rate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br/>
              <w:t>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w:t>
              <w:br/>
              <w:t> Income/</w:t>
              <w:br/>
              <w:t>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Yield/</w:t>
              <w:br/>
              <w:t xml:space="preserve"> Rate </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64"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color w:val="000000"/>
                <w:sz w:val="16"/>
              </w:rPr>
              <w:t>Assets</w:t>
            </w:r>
            <w:r>
              <w:rPr>
                <w:rFonts w:ascii="Times New Roman;sans-serif" w:hAnsi="Times New Roman;sans-serif"/>
                <w:b w:val="false"/>
                <w:color w:val="000000"/>
                <w:sz w:val="10"/>
              </w:rPr>
              <w:t>1</w:t>
            </w:r>
          </w:p>
        </w:tc>
        <w:tc>
          <w:tcPr>
            <w:tcW w:w="1176"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Interest-earning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64" w:type="dxa"/>
            <w:gridSpan w:val="3"/>
            <w:tcBorders/>
            <w:shd w:fill="B6B6B6"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16"/>
              </w:rPr>
              <w:t>Loans</w:t>
            </w:r>
            <w:r>
              <w:rPr>
                <w:rFonts w:ascii="Times New Roman;sans-serif" w:hAnsi="Times New Roman;sans-serif"/>
                <w:b w:val="false"/>
                <w:color w:val="000000"/>
                <w:sz w:val="10"/>
              </w:rPr>
              <w:t>2</w:t>
            </w:r>
            <w:r>
              <w:rPr>
                <w:rFonts w:ascii="Times New Roman;sans-serif" w:hAnsi="Times New Roman;sans-serif"/>
                <w:b w:val="false"/>
                <w:color w:val="000000"/>
                <w:sz w:val="16"/>
              </w:rPr>
              <w:t>:</w:t>
            </w:r>
          </w:p>
        </w:tc>
        <w:tc>
          <w:tcPr>
            <w:tcW w:w="117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Taxable</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1,042,953 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5.24 </w:t>
            </w:r>
          </w:p>
        </w:tc>
        <w:tc>
          <w:tcPr>
            <w:tcW w:w="2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1,065,915 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4.77 </w:t>
            </w:r>
          </w:p>
        </w:tc>
        <w:tc>
          <w:tcPr>
            <w:tcW w:w="2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64" w:type="dxa"/>
            <w:gridSpan w:val="3"/>
            <w:tcBorders/>
            <w:shd w:fill="B6B6B6"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16"/>
              </w:rPr>
              <w:t>Investment securities</w:t>
            </w:r>
            <w:r>
              <w:rPr>
                <w:rFonts w:ascii="Times New Roman;sans-serif" w:hAnsi="Times New Roman;sans-serif"/>
                <w:b w:val="false"/>
                <w:color w:val="000000"/>
                <w:sz w:val="10"/>
              </w:rPr>
              <w:t>3</w:t>
            </w:r>
            <w:r>
              <w:rPr>
                <w:rFonts w:ascii="Times New Roman;sans-serif" w:hAnsi="Times New Roman;sans-serif"/>
                <w:b w:val="false"/>
                <w:color w:val="000000"/>
                <w:sz w:val="16"/>
              </w:rPr>
              <w:t>:</w:t>
            </w:r>
          </w:p>
        </w:tc>
        <w:tc>
          <w:tcPr>
            <w:tcW w:w="117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479,337 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2.82 </w:t>
            </w:r>
          </w:p>
        </w:tc>
        <w:tc>
          <w:tcPr>
            <w:tcW w:w="2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2.60 </w:t>
            </w:r>
          </w:p>
        </w:tc>
        <w:tc>
          <w:tcPr>
            <w:tcW w:w="2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64" w:type="dxa"/>
            <w:gridSpan w:val="3"/>
            <w:tcBorders/>
            <w:shd w:fill="B6B6B6"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16"/>
              </w:rPr>
              <w:t>Tax-exempt</w:t>
            </w:r>
            <w:r>
              <w:rPr>
                <w:rFonts w:ascii="Times New Roman;sans-serif" w:hAnsi="Times New Roman;sans-serif"/>
                <w:b w:val="false"/>
                <w:color w:val="000000"/>
                <w:sz w:val="10"/>
              </w:rPr>
              <w:t>4</w:t>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166,778 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3,429 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2.75 </w:t>
            </w:r>
          </w:p>
        </w:tc>
        <w:tc>
          <w:tcPr>
            <w:tcW w:w="282"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197,023 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4,001 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2.72 </w:t>
            </w:r>
          </w:p>
        </w:tc>
        <w:tc>
          <w:tcPr>
            <w:tcW w:w="282"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6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4.99 </w:t>
            </w:r>
          </w:p>
        </w:tc>
        <w:tc>
          <w:tcPr>
            <w:tcW w:w="2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4.64 </w:t>
            </w:r>
          </w:p>
        </w:tc>
        <w:tc>
          <w:tcPr>
            <w:tcW w:w="2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64"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interest-earning assets</w:t>
            </w:r>
          </w:p>
        </w:tc>
        <w:tc>
          <w:tcPr>
            <w:tcW w:w="1067"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2,007,780 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66,390 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4.42 </w:t>
            </w:r>
          </w:p>
        </w:tc>
        <w:tc>
          <w:tcPr>
            <w:tcW w:w="282"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2,077,392 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61,879 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3.98 </w:t>
            </w:r>
          </w:p>
        </w:tc>
        <w:tc>
          <w:tcPr>
            <w:tcW w:w="282"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Non-interest-earning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64"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due from banks</w:t>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22,631 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23,774 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Premises and equipment,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64"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Bank-owned life insurance</w:t>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49,603 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48,395 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Goodwill and other intangibles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64"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in advance of funding</w:t>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203,498 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243,458 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loss on investment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(59,528)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(65,882)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64"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79,487 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63,321 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Allowance for credit losses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64"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19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2,343,489 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2,421,274 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ind w:left="0" w:right="0" w:hanging="180"/>
              <w:jc w:val="left"/>
              <w:rPr/>
            </w:pPr>
            <w:r>
              <w:rPr>
                <w:rFonts w:ascii="Times New Roman;sans-serif" w:hAnsi="Times New Roman;sans-serif"/>
                <w:b/>
                <w:color w:val="000000"/>
                <w:sz w:val="16"/>
              </w:rPr>
              <w:t>Liabilities and Shareholders’ Equity</w:t>
            </w:r>
            <w:r>
              <w:rPr>
                <w:rFonts w:ascii="Times New Roman;sans-serif" w:hAnsi="Times New Roman;sans-serif"/>
                <w:b/>
                <w:color w:val="000000"/>
                <w:sz w:val="10"/>
              </w:rPr>
              <w:t>1</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64"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Interest-bearing liabilities:</w:t>
            </w:r>
          </w:p>
        </w:tc>
        <w:tc>
          <w:tcPr>
            <w:tcW w:w="117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Interest-bearing demand deposits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548,891 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3.22 </w:t>
            </w:r>
          </w:p>
        </w:tc>
        <w:tc>
          <w:tcPr>
            <w:tcW w:w="2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491,495 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2.74 </w:t>
            </w:r>
          </w:p>
        </w:tc>
        <w:tc>
          <w:tcPr>
            <w:tcW w:w="2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64"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Savings deposits</w:t>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7,134 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1.72 </w:t>
            </w:r>
          </w:p>
        </w:tc>
        <w:tc>
          <w:tcPr>
            <w:tcW w:w="282"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7,094 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1.55 </w:t>
            </w:r>
          </w:p>
        </w:tc>
        <w:tc>
          <w:tcPr>
            <w:tcW w:w="282"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Time deposits &gt;= $100</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3.76 </w:t>
            </w:r>
          </w:p>
        </w:tc>
        <w:tc>
          <w:tcPr>
            <w:tcW w:w="2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2.68 </w:t>
            </w:r>
          </w:p>
        </w:tc>
        <w:tc>
          <w:tcPr>
            <w:tcW w:w="2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64"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time deposits</w:t>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49,856 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1,536 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4.12 </w:t>
            </w:r>
          </w:p>
        </w:tc>
        <w:tc>
          <w:tcPr>
            <w:tcW w:w="282"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42,290 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858 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2.71 </w:t>
            </w:r>
          </w:p>
        </w:tc>
        <w:tc>
          <w:tcPr>
            <w:tcW w:w="282"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interest-bearing deposits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633,373 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3.30 </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563,994 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2.72 </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64"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borrowings</w:t>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12.14 </w:t>
            </w:r>
          </w:p>
        </w:tc>
        <w:tc>
          <w:tcPr>
            <w:tcW w:w="282"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2,993 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5.18 </w:t>
            </w:r>
          </w:p>
        </w:tc>
        <w:tc>
          <w:tcPr>
            <w:tcW w:w="282"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interest-bearing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633,384 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3.30 </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566,987 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2.73 </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64"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Non-interest bearing liabilities:</w:t>
            </w:r>
          </w:p>
        </w:tc>
        <w:tc>
          <w:tcPr>
            <w:tcW w:w="117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Demand deposits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64"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and drafts payable</w:t>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1,021,989 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1,071,414 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64"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1067"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2,115,569 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2,209,115 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Shareholders’ equity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64"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shareholders’ equity</w:t>
            </w:r>
          </w:p>
        </w:tc>
        <w:tc>
          <w:tcPr>
            <w:tcW w:w="19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2,343,489 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2,421,274 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interest income</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50,300 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64"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interest margin</w:t>
            </w:r>
          </w:p>
        </w:tc>
        <w:tc>
          <w:tcPr>
            <w:tcW w:w="117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3.38 </w:t>
            </w:r>
          </w:p>
        </w:tc>
        <w:tc>
          <w:tcPr>
            <w:tcW w:w="282"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3.24 </w:t>
            </w:r>
          </w:p>
        </w:tc>
        <w:tc>
          <w:tcPr>
            <w:tcW w:w="282"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6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spread</w:t>
            </w:r>
          </w:p>
        </w:tc>
        <w:tc>
          <w:tcPr>
            <w:tcW w:w="117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1.12 </w:t>
            </w:r>
          </w:p>
        </w:tc>
        <w:tc>
          <w:tcPr>
            <w:tcW w:w="282"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1.25 </w:t>
            </w:r>
          </w:p>
        </w:tc>
        <w:tc>
          <w:tcPr>
            <w:tcW w:w="282"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1.Balances shown are daily averages.</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2.Interest income on loans includes net loan fees of $383,000 and $609,000 for the nine months ended September 30, 2024 and 2023, respectively.</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3.For purposes of these computations, yields on investment securities are computed as interest income divided by the average amortized cost of the investments.</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4.Interest income is presented on a tax-equivalent basis assuming a tax rate of 21% for both the nine months ended September 30, 2024 and 2023. The tax-equivalent adjustment was approximately $720,000 and $840,000 for the nine months ended September 30,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76" w:before="0" w:after="0"/>
        <w:jc w:val="left"/>
        <w:rPr/>
      </w:pPr>
      <w:hyperlink w:anchor="i6c4b0e535bdf4b388323ae8e08430aa2_7">
        <w:r>
          <w:rPr>
            <w:rStyle w:val="InternetLink"/>
            <w:rFonts w:ascii="Times New Roman;sans-serif" w:hAnsi="Times New Roman;sans-serif"/>
            <w:b/>
            <w:color w:val="0000FF"/>
            <w:sz w:val="20"/>
            <w:u w:val="single"/>
          </w:rPr>
          <w:t>Table of 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Analysis of Net Interest Income Changes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present the changes in interest income and expense between periods due to changes in volume and interest rates. That portion of the change in interest attributable to the combined rate/volume variance has been allocated to rate and volume changes in proportion to the absolute dollar amounts of the change in each. </w:t>
      </w:r>
    </w:p>
    <w:tbl>
      <w:tblPr>
        <w:tblW w:w="8406" w:type="dxa"/>
        <w:jc w:val="left"/>
        <w:tblInd w:w="0" w:type="dxa"/>
        <w:tblLayout w:type="fixed"/>
        <w:tblCellMar>
          <w:top w:w="28" w:type="dxa"/>
          <w:left w:w="28" w:type="dxa"/>
          <w:bottom w:w="28" w:type="dxa"/>
          <w:right w:w="28" w:type="dxa"/>
        </w:tblCellMar>
      </w:tblPr>
      <w:tblGrid>
        <w:gridCol w:w="1178"/>
        <w:gridCol w:w="1036"/>
        <w:gridCol w:w="1041"/>
        <w:gridCol w:w="317"/>
        <w:gridCol w:w="813"/>
        <w:gridCol w:w="163"/>
        <w:gridCol w:w="163"/>
        <w:gridCol w:w="163"/>
        <w:gridCol w:w="163"/>
        <w:gridCol w:w="317"/>
        <w:gridCol w:w="926"/>
        <w:gridCol w:w="163"/>
        <w:gridCol w:w="163"/>
        <w:gridCol w:w="163"/>
        <w:gridCol w:w="163"/>
        <w:gridCol w:w="317"/>
        <w:gridCol w:w="926"/>
        <w:gridCol w:w="231"/>
      </w:tblGrid>
      <w:tr>
        <w:trPr/>
        <w:tc>
          <w:tcPr>
            <w:tcW w:w="1178"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3255" w:type="dxa"/>
            <w:gridSpan w:val="3"/>
            <w:vMerge w:val="restart"/>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w:t>
            </w:r>
          </w:p>
        </w:tc>
        <w:tc>
          <w:tcPr>
            <w:tcW w:w="5151"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Third Quarter of 2024 Compared to Third Quarter of 2023</w:t>
            </w:r>
          </w:p>
        </w:tc>
      </w:tr>
      <w:tr>
        <w:trPr/>
        <w:tc>
          <w:tcPr>
            <w:tcW w:w="3255" w:type="dxa"/>
            <w:gridSpan w:val="3"/>
            <w:vMerge w:val="continue"/>
            <w:tcBorders/>
            <w:tcMar>
              <w:top w:w="0" w:type="dxa"/>
              <w:left w:w="0" w:type="dxa"/>
              <w:bottom w:w="0" w:type="dxa"/>
              <w:right w:w="0" w:type="dxa"/>
            </w:tcMar>
            <w:vAlign w:val="center"/>
          </w:tcPr>
          <w:p>
            <w:pPr>
              <w:pStyle w:val="Normal"/>
              <w:bidi w:val="0"/>
              <w:jc w:val="left"/>
              <w:rPr/>
            </w:pPr>
            <w:r>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Volume</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Rate</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255"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interest income:</w:t>
            </w:r>
          </w:p>
        </w:tc>
        <w:tc>
          <w:tcPr>
            <w:tcW w:w="1293"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Loans</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31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w:t>
            </w:r>
          </w:p>
        </w:tc>
        <w:tc>
          <w:tcPr>
            <w:tcW w:w="1293"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Taxable</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B6B6B6"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Tax-exempt</w:t>
            </w:r>
            <w:r>
              <w:rPr>
                <w:rFonts w:ascii="Times New Roman;sans-serif" w:hAnsi="Times New Roman;sans-serif"/>
                <w:b w:val="false"/>
                <w:color w:val="000000"/>
                <w:sz w:val="13"/>
              </w:rPr>
              <w:t>2</w:t>
            </w:r>
          </w:p>
        </w:tc>
        <w:tc>
          <w:tcPr>
            <w:tcW w:w="1130"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163"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63"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23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income</w:t>
            </w:r>
          </w:p>
        </w:tc>
        <w:tc>
          <w:tcPr>
            <w:tcW w:w="1130"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63"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1,696 </w:t>
            </w:r>
          </w:p>
        </w:tc>
        <w:tc>
          <w:tcPr>
            <w:tcW w:w="163"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1,566 </w:t>
            </w:r>
          </w:p>
        </w:tc>
        <w:tc>
          <w:tcPr>
            <w:tcW w:w="231"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interest expense:</w:t>
            </w:r>
          </w:p>
        </w:tc>
        <w:tc>
          <w:tcPr>
            <w:tcW w:w="12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 demand deposits</w:t>
            </w:r>
          </w:p>
        </w:tc>
        <w:tc>
          <w:tcPr>
            <w:tcW w:w="1130"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63"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63"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23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Savings deposits</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Time deposits &gt;=$100 </w:t>
            </w:r>
          </w:p>
        </w:tc>
        <w:tc>
          <w:tcPr>
            <w:tcW w:w="1130"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63"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63"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3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time deposits </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borrowings</w:t>
            </w:r>
          </w:p>
        </w:tc>
        <w:tc>
          <w:tcPr>
            <w:tcW w:w="1130"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3"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3"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11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w:t>
            </w:r>
          </w:p>
        </w:tc>
        <w:tc>
          <w:tcPr>
            <w:tcW w:w="317"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w:t>
            </w:r>
          </w:p>
        </w:tc>
        <w:tc>
          <w:tcPr>
            <w:tcW w:w="163"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bottom w:val="single" w:sz="8" w:space="0" w:color="000000"/>
            </w:tcBorders>
            <w:shd w:fill="B6B6B6" w:val="clear"/>
            <w:tcMar>
              <w:left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1,486 </w:t>
            </w:r>
          </w:p>
        </w:tc>
        <w:tc>
          <w:tcPr>
            <w:tcW w:w="163"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bottom w:val="single" w:sz="8" w:space="0" w:color="000000"/>
            </w:tcBorders>
            <w:shd w:fill="B6B6B6" w:val="clear"/>
            <w:tcMar>
              <w:left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1,051 </w:t>
            </w:r>
          </w:p>
        </w:tc>
        <w:tc>
          <w:tcPr>
            <w:tcW w:w="231"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1.Interest income includes net loan fees.</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2.Interest income is presented on a tax-equivalent basis assuming a tax rate of 21% for the three months ended September 30, 2024 and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777" w:type="dxa"/>
        <w:jc w:val="left"/>
        <w:tblInd w:w="0" w:type="dxa"/>
        <w:tblLayout w:type="fixed"/>
        <w:tblCellMar>
          <w:top w:w="28" w:type="dxa"/>
          <w:left w:w="28" w:type="dxa"/>
          <w:bottom w:w="28" w:type="dxa"/>
          <w:right w:w="28" w:type="dxa"/>
        </w:tblCellMar>
      </w:tblPr>
      <w:tblGrid>
        <w:gridCol w:w="1156"/>
        <w:gridCol w:w="1017"/>
        <w:gridCol w:w="1022"/>
        <w:gridCol w:w="211"/>
        <w:gridCol w:w="691"/>
        <w:gridCol w:w="109"/>
        <w:gridCol w:w="109"/>
        <w:gridCol w:w="109"/>
        <w:gridCol w:w="109"/>
        <w:gridCol w:w="211"/>
        <w:gridCol w:w="616"/>
        <w:gridCol w:w="109"/>
        <w:gridCol w:w="109"/>
        <w:gridCol w:w="109"/>
        <w:gridCol w:w="109"/>
        <w:gridCol w:w="211"/>
        <w:gridCol w:w="616"/>
        <w:gridCol w:w="154"/>
      </w:tblGrid>
      <w:tr>
        <w:trPr/>
        <w:tc>
          <w:tcPr>
            <w:tcW w:w="1156"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vMerge w:val="restart"/>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w:t>
            </w:r>
          </w:p>
        </w:tc>
        <w:tc>
          <w:tcPr>
            <w:tcW w:w="358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Nine Months Ended 2024 Compared to </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Nine Months Ended 2023</w:t>
            </w:r>
          </w:p>
        </w:tc>
      </w:tr>
      <w:tr>
        <w:trPr/>
        <w:tc>
          <w:tcPr>
            <w:tcW w:w="3195" w:type="dxa"/>
            <w:gridSpan w:val="3"/>
            <w:vMerge w:val="continue"/>
            <w:tcBorders/>
            <w:tcMar>
              <w:top w:w="0" w:type="dxa"/>
              <w:left w:w="0" w:type="dxa"/>
              <w:bottom w:w="0" w:type="dxa"/>
              <w:right w:w="0" w:type="dxa"/>
            </w:tcMar>
            <w:vAlign w:val="center"/>
          </w:tcPr>
          <w:p>
            <w:pPr>
              <w:pStyle w:val="Normal"/>
              <w:bidi w:val="0"/>
              <w:jc w:val="left"/>
              <w:rPr/>
            </w:pPr>
            <w:r>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Volume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195"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interest income:</w:t>
            </w:r>
          </w:p>
        </w:tc>
        <w:tc>
          <w:tcPr>
            <w:tcW w:w="1011"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Loans</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Taxable</w:t>
            </w:r>
          </w:p>
        </w:tc>
        <w:tc>
          <w:tcPr>
            <w:tcW w:w="211"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3,738 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2,906 </w:t>
            </w:r>
          </w:p>
        </w:tc>
        <w:tc>
          <w:tcPr>
            <w:tcW w:w="15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Taxable</w:t>
            </w:r>
          </w:p>
        </w:tc>
        <w:tc>
          <w:tcPr>
            <w:tcW w:w="90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w:t>
            </w:r>
          </w:p>
        </w:tc>
        <w:tc>
          <w:tcPr>
            <w:tcW w:w="15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Tax-exempt</w:t>
            </w:r>
            <w:r>
              <w:rPr>
                <w:rFonts w:ascii="Times New Roman;sans-serif" w:hAnsi="Times New Roman;sans-serif"/>
                <w:b w:val="false"/>
                <w:color w:val="000000"/>
                <w:sz w:val="13"/>
              </w:rPr>
              <w:t>2</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90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2,761 </w:t>
            </w:r>
          </w:p>
        </w:tc>
        <w:tc>
          <w:tcPr>
            <w:tcW w:w="15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income</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on:</w:t>
            </w:r>
          </w:p>
        </w:tc>
        <w:tc>
          <w:tcPr>
            <w:tcW w:w="1011"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 demand deposits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Savings deposits</w:t>
            </w:r>
          </w:p>
        </w:tc>
        <w:tc>
          <w:tcPr>
            <w:tcW w:w="90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Time deposits &gt;=$100 </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time deposits </w:t>
            </w:r>
          </w:p>
        </w:tc>
        <w:tc>
          <w:tcPr>
            <w:tcW w:w="90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678 </w:t>
            </w:r>
          </w:p>
        </w:tc>
        <w:tc>
          <w:tcPr>
            <w:tcW w:w="15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borrowings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902"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4,067 </w:t>
            </w:r>
          </w:p>
        </w:tc>
        <w:tc>
          <w:tcPr>
            <w:tcW w:w="154"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1.Interest income includes net loan fees.</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2.Interest income is presented on a tax-equivalent basis assuming a tax rate of 21% for the nine months ended September 30,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76" w:before="0" w:after="0"/>
        <w:jc w:val="left"/>
        <w:rPr/>
      </w:pPr>
      <w:hyperlink w:anchor="i6c4b0e535bdf4b388323ae8e08430aa2_7">
        <w:r>
          <w:rPr>
            <w:rStyle w:val="InternetLink"/>
            <w:rFonts w:ascii="Times New Roman;sans-serif" w:hAnsi="Times New Roman;sans-serif"/>
            <w:b/>
            <w:color w:val="0000FF"/>
            <w:sz w:val="20"/>
            <w:u w:val="single"/>
          </w:rPr>
          <w:t>Table of 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Provision and Allowance for Credit Losses and Allowance for Unfunded Commitments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a release of credit losses and off-balance sheet credit exposures of $140,000 for the third quarter of 2024 and a provision for credit losses of $125,000 in third quarter of 2023. The Company recorded a provision for credit losses and off-balance sheet credit exposures of $355,000 for the nine months ended of September 30, 2024 and a release of credit losses of $335,000 for the nine months ended September 30, 2023. The amount of the (release of) provision for credit losses is derived from the Company’s quarterly Current Expected Credit Loss (“CECL”) model. The amount of the (release of) provision for credit losses will fluctuate as determined by these quarterly analyses. The provision for credit losses for the nine months ended September 30, 2024 was driven by an increase in total loans of $64.1 million, or 6.3%, as compared to December 31, 2023.</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experienced no loan charge-offs in the third quarters of 2024 and 2023. The ACL was $13.4 million at September 30, 2024 and $13.1 million at December 31, 2023. The ACL represented 1.25% of outstanding loans at September 30, 2024 and 1.29% of outstanding loans at December 31, 2023. The allowance for unfunded commitments was $129,000 at September 30, 2024 and $132,000 at December 31, 2023. There were no nonperforming loans outstanding at September 30, 2024 and December 31, 2023.</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ACL has been established and is maintained to estimate the lifetime expected credit losses in the loan portfolio. An ongoing assessment is performed to determine if the balance is adequate. Charges or credits are made to expense based on changes in the economic forecast, qualitative risk factors, loan volume, and individual loans. For loans that are individually evaluated, the Company uses two impairment measurement methods: 1) the present value of expected future cash flows and 2) collateral value.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utilizes ratio analyses to evaluate the overall reasonableness of the ACL compared to its peers and required levels of regulatory capital. Federal and state regulatory agencies review the Company’s methodology for maintaining the ACL. These agencies may require the Company to adjust the ACL based on their judgments and interpretations about information available to them at the time of their examinations.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Summary of Credit Loss Experience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on the Company's provision for (release of) credit losses and analysis of the ACL:</w:t>
      </w:r>
    </w:p>
    <w:tbl>
      <w:tblPr>
        <w:tblW w:w="10205" w:type="dxa"/>
        <w:jc w:val="left"/>
        <w:tblInd w:w="0" w:type="dxa"/>
        <w:tblLayout w:type="fixed"/>
        <w:tblCellMar>
          <w:top w:w="28" w:type="dxa"/>
          <w:left w:w="28" w:type="dxa"/>
          <w:bottom w:w="28" w:type="dxa"/>
          <w:right w:w="28" w:type="dxa"/>
        </w:tblCellMar>
      </w:tblPr>
      <w:tblGrid>
        <w:gridCol w:w="1494"/>
        <w:gridCol w:w="924"/>
        <w:gridCol w:w="928"/>
        <w:gridCol w:w="211"/>
        <w:gridCol w:w="976"/>
        <w:gridCol w:w="271"/>
        <w:gridCol w:w="109"/>
        <w:gridCol w:w="109"/>
        <w:gridCol w:w="109"/>
        <w:gridCol w:w="211"/>
        <w:gridCol w:w="976"/>
        <w:gridCol w:w="271"/>
        <w:gridCol w:w="109"/>
        <w:gridCol w:w="109"/>
        <w:gridCol w:w="109"/>
        <w:gridCol w:w="211"/>
        <w:gridCol w:w="976"/>
        <w:gridCol w:w="271"/>
        <w:gridCol w:w="109"/>
        <w:gridCol w:w="109"/>
        <w:gridCol w:w="109"/>
        <w:gridCol w:w="211"/>
        <w:gridCol w:w="976"/>
        <w:gridCol w:w="317"/>
      </w:tblGrid>
      <w:tr>
        <w:trPr/>
        <w:tc>
          <w:tcPr>
            <w:tcW w:w="149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9"/>
            <w:tcBorders/>
            <w:tcMar>
              <w:top w:w="0" w:type="dxa"/>
              <w:left w:w="0" w:type="dxa"/>
              <w:bottom w:w="0" w:type="dxa"/>
              <w:right w:w="0" w:type="dxa"/>
            </w:tcMar>
            <w:vAlign w:val="center"/>
          </w:tcPr>
          <w:p>
            <w:pPr>
              <w:pStyle w:val="TableContents"/>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Third Quarter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9"/>
            <w:tcBorders/>
            <w:tcMar>
              <w:top w:w="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334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w:t>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346"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at beginning of period</w:t>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13,634 </w:t>
            </w:r>
          </w:p>
        </w:tc>
        <w:tc>
          <w:tcPr>
            <w:tcW w:w="271"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13,194 </w:t>
            </w:r>
          </w:p>
        </w:tc>
        <w:tc>
          <w:tcPr>
            <w:tcW w:w="271"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13,089 </w:t>
            </w:r>
          </w:p>
        </w:tc>
        <w:tc>
          <w:tcPr>
            <w:tcW w:w="271"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13,539 </w:t>
            </w:r>
          </w:p>
        </w:tc>
        <w:tc>
          <w:tcPr>
            <w:tcW w:w="317"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 of) provision for credit losses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3346"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at end of period</w:t>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13,447 </w:t>
            </w:r>
          </w:p>
        </w:tc>
        <w:tc>
          <w:tcPr>
            <w:tcW w:w="271"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13,319 </w:t>
            </w:r>
          </w:p>
        </w:tc>
        <w:tc>
          <w:tcPr>
            <w:tcW w:w="271"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13,447 </w:t>
            </w:r>
          </w:p>
        </w:tc>
        <w:tc>
          <w:tcPr>
            <w:tcW w:w="271"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13,319 </w:t>
            </w:r>
          </w:p>
        </w:tc>
        <w:tc>
          <w:tcPr>
            <w:tcW w:w="317"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46"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unfunded commitments at beginning of period</w:t>
            </w:r>
          </w:p>
        </w:tc>
        <w:tc>
          <w:tcPr>
            <w:tcW w:w="211"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27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27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27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317"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(release of) credit losses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unfunded commitments at end of period</w:t>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271"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271"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271"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317"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334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outstanding:</w:t>
            </w:r>
          </w:p>
        </w:tc>
        <w:tc>
          <w:tcPr>
            <w:tcW w:w="1458"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B6B6B6" w:val="clear"/>
            <w:tcMar>
              <w:top w:w="0" w:type="dxa"/>
              <w:left w:w="0" w:type="dxa"/>
              <w:bottom w:w="0" w:type="dxa"/>
              <w:right w:w="0" w:type="dxa"/>
            </w:tcMar>
            <w:vAlign w:val="center"/>
          </w:tcPr>
          <w:p>
            <w:pPr>
              <w:pStyle w:val="TableContents"/>
              <w:bidi w:val="0"/>
              <w:spacing w:lineRule="auto" w:line="273" w:before="0" w:after="283"/>
              <w:ind w:left="0" w:right="0" w:firstLine="450"/>
              <w:jc w:val="right"/>
              <w:rPr>
                <w:color w:val="000000"/>
              </w:rPr>
            </w:pPr>
            <w:r>
              <w:rPr>
                <w:color w:val="000000"/>
              </w:rPr>
              <w:t> </w:t>
            </w:r>
          </w:p>
        </w:tc>
      </w:tr>
      <w:tr>
        <w:trPr/>
        <w:tc>
          <w:tcPr>
            <w:tcW w:w="33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1,072,824 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1,045,967 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1,042,953 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1,065,915 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shd w:fill="B6B6B6" w:val="clear"/>
            <w:tcMar>
              <w:top w:w="0" w:type="dxa"/>
              <w:left w:w="0" w:type="dxa"/>
              <w:bottom w:w="0" w:type="dxa"/>
              <w:right w:w="0" w:type="dxa"/>
            </w:tcMar>
            <w:vAlign w:val="center"/>
          </w:tcPr>
          <w:p>
            <w:pPr>
              <w:pStyle w:val="TableContents"/>
              <w:bidi w:val="0"/>
              <w:spacing w:lineRule="auto" w:line="273"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September 30</w:t>
            </w:r>
          </w:p>
        </w:tc>
        <w:tc>
          <w:tcPr>
            <w:tcW w:w="211"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1,078,387 </w:t>
            </w:r>
          </w:p>
        </w:tc>
        <w:tc>
          <w:tcPr>
            <w:tcW w:w="27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1,039,619 </w:t>
            </w:r>
          </w:p>
        </w:tc>
        <w:tc>
          <w:tcPr>
            <w:tcW w:w="27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1,078,387 </w:t>
            </w:r>
          </w:p>
        </w:tc>
        <w:tc>
          <w:tcPr>
            <w:tcW w:w="27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1,039,619 </w:t>
            </w:r>
          </w:p>
        </w:tc>
        <w:tc>
          <w:tcPr>
            <w:tcW w:w="317"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Ratio of allowance for credit losses to loans outstanding at September 30</w:t>
            </w:r>
          </w:p>
        </w:tc>
        <w:tc>
          <w:tcPr>
            <w:tcW w:w="118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31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operating expenses for the third quarter of 2024 increased $6.8 million, or 17.1%, compared to the third quarter of 2023. Total operating expenses for the nine months ended September 30, 2024 increased $10.6 million, or 8.8%, compared to the nine months ended September 30, 2023. The following table details the components of operating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76" w:before="0" w:after="0"/>
        <w:jc w:val="left"/>
        <w:rPr/>
      </w:pPr>
      <w:hyperlink w:anchor="i6c4b0e535bdf4b388323ae8e08430aa2_7">
        <w:r>
          <w:rPr>
            <w:rStyle w:val="InternetLink"/>
            <w:rFonts w:ascii="Times New Roman;sans-serif" w:hAnsi="Times New Roman;sans-serif"/>
            <w:b/>
            <w:color w:val="0000FF"/>
            <w:sz w:val="20"/>
            <w:u w:val="single"/>
          </w:rPr>
          <w:t>Table of Contents</w:t>
        </w:r>
      </w:hyperlink>
    </w:p>
    <w:tbl>
      <w:tblPr>
        <w:tblW w:w="9015" w:type="dxa"/>
        <w:jc w:val="left"/>
        <w:tblInd w:w="0" w:type="dxa"/>
        <w:tblLayout w:type="fixed"/>
        <w:tblCellMar>
          <w:top w:w="28" w:type="dxa"/>
          <w:left w:w="28" w:type="dxa"/>
          <w:bottom w:w="28" w:type="dxa"/>
          <w:right w:w="28" w:type="dxa"/>
        </w:tblCellMar>
      </w:tblPr>
      <w:tblGrid>
        <w:gridCol w:w="1015"/>
        <w:gridCol w:w="894"/>
        <w:gridCol w:w="895"/>
        <w:gridCol w:w="211"/>
        <w:gridCol w:w="721"/>
        <w:gridCol w:w="109"/>
        <w:gridCol w:w="109"/>
        <w:gridCol w:w="109"/>
        <w:gridCol w:w="109"/>
        <w:gridCol w:w="211"/>
        <w:gridCol w:w="721"/>
        <w:gridCol w:w="109"/>
        <w:gridCol w:w="109"/>
        <w:gridCol w:w="109"/>
        <w:gridCol w:w="109"/>
        <w:gridCol w:w="109"/>
        <w:gridCol w:w="109"/>
        <w:gridCol w:w="241"/>
        <w:gridCol w:w="946"/>
        <w:gridCol w:w="124"/>
        <w:gridCol w:w="124"/>
        <w:gridCol w:w="124"/>
        <w:gridCol w:w="124"/>
        <w:gridCol w:w="241"/>
        <w:gridCol w:w="946"/>
        <w:gridCol w:w="124"/>
        <w:gridCol w:w="109"/>
        <w:gridCol w:w="154"/>
      </w:tblGrid>
      <w:tr>
        <w:trPr/>
        <w:tc>
          <w:tcPr>
            <w:tcW w:w="101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200" w:after="283"/>
              <w:jc w:val="center"/>
              <w:rPr>
                <w:rFonts w:ascii="Times New Roman;sans-serif" w:hAnsi="Times New Roman;sans-serif"/>
                <w:b/>
                <w:color w:val="000000"/>
                <w:sz w:val="20"/>
              </w:rPr>
            </w:pPr>
            <w:r>
              <w:rPr>
                <w:rFonts w:ascii="Times New Roman;sans-serif" w:hAnsi="Times New Roman;sans-serif"/>
                <w:b/>
                <w:color w:val="000000"/>
                <w:sz w:val="20"/>
              </w:rPr>
              <w:t>Third Quarter of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commissions</w:t>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23,850 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23,391 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72,085 </w:t>
            </w:r>
          </w:p>
        </w:tc>
        <w:tc>
          <w:tcPr>
            <w:tcW w:w="124"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69,613 </w:t>
            </w:r>
          </w:p>
        </w:tc>
        <w:tc>
          <w:tcPr>
            <w:tcW w:w="124"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pension cost</w:t>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584 </w:t>
            </w:r>
          </w:p>
        </w:tc>
        <w:tc>
          <w:tcPr>
            <w:tcW w:w="12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2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benefits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Personnel</w:t>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29,867 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29,636 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90,331 </w:t>
            </w:r>
          </w:p>
        </w:tc>
        <w:tc>
          <w:tcPr>
            <w:tcW w:w="124"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89,094 </w:t>
            </w:r>
          </w:p>
        </w:tc>
        <w:tc>
          <w:tcPr>
            <w:tcW w:w="124"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w:t>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5,976 </w:t>
            </w:r>
          </w:p>
        </w:tc>
        <w:tc>
          <w:tcPr>
            <w:tcW w:w="12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5,188 </w:t>
            </w:r>
          </w:p>
        </w:tc>
        <w:tc>
          <w:tcPr>
            <w:tcW w:w="12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Bad debt expense</w:t>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6,559 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7,847 </w:t>
            </w:r>
          </w:p>
        </w:tc>
        <w:tc>
          <w:tcPr>
            <w:tcW w:w="12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op w:val="single" w:sz="4"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w:t>
            </w:r>
          </w:p>
        </w:tc>
        <w:tc>
          <w:tcPr>
            <w:tcW w:w="211" w:type="dxa"/>
            <w:tcBorders>
              <w:top w:val="single" w:sz="4"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46,898 </w:t>
            </w:r>
          </w:p>
        </w:tc>
        <w:tc>
          <w:tcPr>
            <w:tcW w:w="109" w:type="dxa"/>
            <w:tcBorders>
              <w:top w:val="single" w:sz="4"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B6B6B6"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40,063 </w:t>
            </w:r>
          </w:p>
        </w:tc>
        <w:tc>
          <w:tcPr>
            <w:tcW w:w="109" w:type="dxa"/>
            <w:tcBorders>
              <w:top w:val="single" w:sz="4"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4"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4"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130,362 </w:t>
            </w:r>
          </w:p>
        </w:tc>
        <w:tc>
          <w:tcPr>
            <w:tcW w:w="124" w:type="dxa"/>
            <w:tcBorders>
              <w:top w:val="single" w:sz="4"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bottom w:val="single" w:sz="8" w:space="0" w:color="000000"/>
            </w:tcBorders>
            <w:shd w:fill="B6B6B6" w:val="clear"/>
            <w:tcMar>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4"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4"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119,774 </w:t>
            </w:r>
          </w:p>
        </w:tc>
        <w:tc>
          <w:tcPr>
            <w:tcW w:w="124" w:type="dxa"/>
            <w:tcBorders>
              <w:top w:val="single" w:sz="4"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Third quarter of 2024 compared to third quarter of 2023:</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Personnel expense increased $231,000, or 0.8%. Salaries and commissions increased $459,000, or 2.0%, primarily as a result of merit increases and $280,000 severance recorded during the third quarter of 2024, partially offset by a decrease in employee profit sharing due to the decline in net income. Share-based compensation decreased $40,000, reflecting the Company's financial performance and the impact on performance-based restricted stock between the periods.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Equipment expense increased $318,000, or 17.8%, primarily due to an increase in depreciation expense related to technology initiatives throughout the Company's lines of business.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bad debt expense of $6.6 million on a funding receivable related to a facility client. While the Company is in the process of litigation to collect the receivable, a full write-off to bad debt expense was recorded as a result of a credit analysis. </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Nine months ended September 30, 2024 compared to nine months ended September 30, 2023:</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Personnel expense increased $1.2 million, or 1.4%. Salaries and commissions increased $2.5 million, or 3.6%, primarily as a result of merit increases. Share-based compensation decreased $1.2 million, reflecting the Company's financial performance and the impact on performance-based restricted stock between the periods.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Equipment expense increased $788,000, or 15.2%, primarily due to an increase in depreciation expense related to technology initiatives throughout the Company's lines of business.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bad debt expense of $7.8 million on a funding receivable related to a facility client. While the Company is in the process of litigation to collect the receivable, a full write-off to bad debt expense was recorded as a result of a credit analysis.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Financial Condition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assets at September 30, 2024 were $2.26 billion, a decrease of $217.9 million, or 8.8%, from December 31, 2023.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experienced a decrease in cash and cash equivalents of $141.9 million, or 38.1%, during the nine months ended September 30, 2024. The change in cash and cash equivalents reflects the Company’s daily liquidity position and is primarily affected by changes in funding sources, mainly accounts and drafts payable and deposits, cash flows in and out of loans, investments securities and payments in advance of funding.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investment securities portfolio decreased $76.4 million, or 12.2%, during the nine months ended September 30, 2024. The decrease is due to sales of $25.0 million and maturities of $130.5 million, partially offset by purchases of $71.1 million.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Loans increased $64.1 million, or 6.3%, from December 31, 2023. The Company experienced growth in its franchise restaurant, faith-based and commercial and industrial loan portfolios during the nine months ended September 30,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76" w:before="0" w:after="0"/>
        <w:jc w:val="left"/>
        <w:rPr/>
      </w:pPr>
      <w:hyperlink w:anchor="i6c4b0e535bdf4b388323ae8e08430aa2_7">
        <w:r>
          <w:rPr>
            <w:rStyle w:val="InternetLink"/>
            <w:rFonts w:ascii="Times New Roman;sans-serif" w:hAnsi="Times New Roman;sans-serif"/>
            <w:b/>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Payments in advance of funding increased $8.3 million, or 4.2%. from December 31, 2023 due to timing of funding.</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and drafts receivable from customers decreased $79.8 million, or 72.1%, from December 31, 2023. The decrease is solely due to timing of customer funding.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deposits at September 30, 2024 were $1.05 billion, a decrease of $93.5 million, or 8.2%, from December 31, 2023. The decrease is primarily due to timing as well as a migration of non-interest bearing deposits into interest-bearing deposits within the Bank and other alternatives outside the banking system.</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Accounts and drafts payable at September 30, 2024 were $936.5 million, a decrease of $134.9 million, or 12.6%, from December 31, 2023. The decrease in accounts and drafts payable was primarily reflective of a cyber event at a client during the first quarter of 2024 which decreased average balances approximately $100.0 million. Accounts and drafts payable will fluctuate from period-end to period-end due to the payment processing cycle, which results in lower balances on days when payments clear and higher balances on days when payments are issued. For this reason, average balances are generally a more meaningful measure of accounts and drafts payable.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liabilities at September 30, 2024 were $2.02 billion, a decrease of $225.7 million, or 10.0%, from December 31, 2023, reflective of the decrease in deposits and accounts and drafts payable.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 at September 30, 2024 was $237.6 million, a $7.8 million increase from December 31, 2023. The increase in shareholders’ equity is a result of net income for the nine months ended September 30, 2024 of $14.6 million, and a decrease in accumulated other comprehensive loss of $8.4 million primarily related to the fair value of available-for-sale investment securities, partially offset by dividends paid of $12.3 million and the repurchase of Company stock of $3.7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discipline of liquidity management as practiced by the Company seeks to ensure that funds are available to fulfill all payment obligations relating to invoices processed as they become due and meet depositor withdrawal requests and borrower credit demands while at the same time maximizing profitability. This is accomplished by balancing changes in demand for funds with changes in supply of funds. Primary liquidity to meet demand is provided by short-term liquid assets that can be converted to cash, maturing securities and the ability to obtain funds from external sources. The Company's Asset/Liability Committee has direct oversight responsibility for the Company's liquidity position and profile. Management considers both on-balance sheet and off-balance sheet items in its evaluation of liquidity.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balance of liquid assets consists of cash and cash equivalents, which include cash and due from banks, interest-bearing deposits in other financial institutions, federal funds sold and money market funds. Cash and cash equivalents totaled $230.6 million at September 30, 2024, a decrease of $141.9 million, or 38.1%, from December 31, 2023. At September 30, 2024, these assets represented 10.2% of total assets and are the Company’s and its subsidiaries’ primary source of liquidity to meet future expected and unexpected loan demand, depositor withdrawals or reductions in accounts and drafts payable.</w:t>
      </w:r>
    </w:p>
    <w:p>
      <w:pPr>
        <w:pStyle w:val="TextBody"/>
        <w:bidi w:val="0"/>
        <w:spacing w:lineRule="auto" w:line="288" w:before="200" w:after="283"/>
        <w:jc w:val="both"/>
        <w:rPr/>
      </w:pPr>
      <w:r>
        <w:rPr>
          <w:rFonts w:ascii="Times New Roman;sans-serif" w:hAnsi="Times New Roman;sans-serif"/>
          <w:b w:val="false"/>
          <w:color w:val="000000"/>
          <w:sz w:val="20"/>
        </w:rPr>
        <w:t>Secondary sources of liquidity include the investment portfolio and borrowing lines. Total investment securities were $550.8 million at September 30, 2024, a decrease of $76.4 million from December 31, 2023. These assets represented 24.4% of total assets at September 30, 2024. Of the total portfolio, 6.5% mature in one year, 22.5% mature in one to five years, and 71.0% mature in five or more years</w:t>
      </w:r>
      <w:r>
        <w:rPr>
          <w:rFonts w:ascii="Times New Roman;sans-serif" w:hAnsi="Times New Roman;sans-serif"/>
          <w:b w:val="false"/>
          <w:i/>
          <w:color w:val="000000"/>
          <w:sz w:val="20"/>
        </w:rPr>
        <w:t>.</w:t>
      </w:r>
      <w:r>
        <w:rPr>
          <w:color w:val="000000"/>
        </w:rPr>
        <w:t xml:space="preserve">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Bank has unsecured lines of credit at six correspondent banks to purchase federal funds up to a maximum of $83.0 million in aggregate. As of September 30, 2024, the Bank also has secured lines of credit with the Federal Home Loan Bank of $191.0 million collateralized by mortgage loans. The Company also has secured lines of credit from three banks up to a maximum of $250.0 million in aggregate collateralized by investment securities. There were no amounts outstanding under any line of credit as of September 30, 2024 or December 31, 2023.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deposits of the Company's banking subsidiary have historically been stable, consisting of a sizable volume of core deposits related to customers that utilize other commercial products of the Bank, including CassPay and faith-based customers. The accounts and drafts payable generated by the Company has also historically been a stable source of funds. The Company is part of the Certificate of Deposit Account Registry Service (“CDARS”) and Insured Cash Sweep (“ICS”) deposit placement programs. Time deposits include $52.8 million of CDARS deposits and interest-bearing demand deposits include $150.5 million of ICS deposits. These programs offer the Bank’s customers the ability to maximize Federal Deposit Insurance Corporation (“FDIC”) insurance coverage. The Company uses these programs to retain or attract deposits from existing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76" w:before="0" w:after="0"/>
        <w:jc w:val="left"/>
        <w:rPr/>
      </w:pPr>
      <w:hyperlink w:anchor="i6c4b0e535bdf4b388323ae8e08430aa2_7">
        <w:r>
          <w:rPr>
            <w:rStyle w:val="InternetLink"/>
            <w:rFonts w:ascii="Times New Roman;sans-serif" w:hAnsi="Times New Roman;sans-serif"/>
            <w:b/>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flows provided by operating activities were $20.3 million for the nine months ended September 30, 2024, compared to $29.4 million for the nine months ended September 30, 2023, an decrease of $9.0 million. Net cash flows from investing and financing activities fluctuate greatly as the Company actively manages its investment and loan portfolios and customer activity influences changes in deposit and accounts and drafts payable balances. Other causes for the changes in these account balances are discussed earlier in this report. Due to the daily fluctuations in these account balances, the analysis of changes in average balances, also discussed earlier in this report, can be more indicative of underlying activity than the period-end balances used in the statements of cash flows. Management anticipates that cash and cash equivalents, maturing investments and cash from operations will continue to be sufficient to fund the Company’s operations and capital expenditures in 2024, which are estimated to range from $10 million to $12 million.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plus amortization of intangible assets, net amortization of premium/discount on investment securities and depreciation of premises and equipment was $21.7 million and $28.7 million for the nine months ended September 30, 2024 and 2023, respectively, a decrease of $7.0 million. The nine months ended September 30, 2024 reflected lower net income of $7.1 million and a decrease in net amortization of premium/discount on investment securities of $462,000, partially offset by higher depreciation of $585,000. The net amortization of premium/discount on investment securities is dependent on the type of securities purchased and changes in the prevailing market interest rate environment. Depreciation expense has increased as a result of capital expenditures related to technology initiatives.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factors impacting the $9.0 million decrease in net cash provided by operating activities include: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An increase in accounts receivable of $4.0 million;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 decrease in stock compensation expense of $1.2 million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factors were partially offset by a decrease in income tax liability $1.6 million.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faces market risk to the extent that its net interest income and fair market value of equity are affected by changes in market interest rates. For information regarding the market risk of the Company’s financial instruments, see Item 3, “Quantitative and Qualitative Disclosures about Market Risk.”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are several trends and uncertainties that may impact the Company’s ability to generate revenues and income at the levels that it has in the past. Those that could significantly impact the Company include the general levels of interest rates, business activity, inflation, and energy costs as well as new business opportunities available to the Company. For more detailed information on these trends and uncertainties and how they can generally affect the Company’s available liquidity, see Item 7, “Management’s Discussion and Analysis of Financial Condition and Results of Operations—Liquidity” in the Company’s 2023 Form 10-K.</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bank holding company, the Company and the Bank are subject to capital requirements administered by state and federal banking agencies. Capital adequacy guidelines, and, for banks, prompt correct action regulations, involve quantitative measures of assets, liabilities, and certain off-balance sheet items calculated under regulatory accounting practices. Capital amounts and classifications are subject to qualitative judgments by regulators about components, risk weighting, and other factors. In addition, the calculation of all types of regulatory capital is subject to deductions and adjustments specified in the regulations. For example, as allowed under the Basel III Capital Rules, the Company has elected to opt-out of the requirement to include most components of accumulated other comprehensive income in common equity Tier 1 capital. For more information on these regulatory requirements, including the Basel III Capital Rules and capital classifications, see Item 1, "Business-Supervision and Regulation" and Item 8, Note 2, "Financial Statements and Supplementary Data" of the Company's 2023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76" w:before="0" w:after="0"/>
        <w:jc w:val="left"/>
        <w:rPr/>
      </w:pPr>
      <w:hyperlink w:anchor="i6c4b0e535bdf4b388323ae8e08430aa2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and the Bank continue to exceed all regulatory capital requirements, as evidenced by the following capital amounts and ratios:</w:t>
      </w:r>
    </w:p>
    <w:tbl>
      <w:tblPr>
        <w:tblW w:w="10205" w:type="dxa"/>
        <w:jc w:val="left"/>
        <w:tblInd w:w="0" w:type="dxa"/>
        <w:tblLayout w:type="fixed"/>
        <w:tblCellMar>
          <w:top w:w="28" w:type="dxa"/>
          <w:left w:w="28" w:type="dxa"/>
          <w:bottom w:w="28" w:type="dxa"/>
          <w:right w:w="28" w:type="dxa"/>
        </w:tblCellMar>
      </w:tblPr>
      <w:tblGrid>
        <w:gridCol w:w="848"/>
        <w:gridCol w:w="746"/>
        <w:gridCol w:w="750"/>
        <w:gridCol w:w="211"/>
        <w:gridCol w:w="826"/>
        <w:gridCol w:w="109"/>
        <w:gridCol w:w="109"/>
        <w:gridCol w:w="109"/>
        <w:gridCol w:w="109"/>
        <w:gridCol w:w="308"/>
        <w:gridCol w:w="308"/>
        <w:gridCol w:w="317"/>
        <w:gridCol w:w="109"/>
        <w:gridCol w:w="109"/>
        <w:gridCol w:w="109"/>
        <w:gridCol w:w="211"/>
        <w:gridCol w:w="826"/>
        <w:gridCol w:w="109"/>
        <w:gridCol w:w="109"/>
        <w:gridCol w:w="109"/>
        <w:gridCol w:w="109"/>
        <w:gridCol w:w="255"/>
        <w:gridCol w:w="256"/>
        <w:gridCol w:w="317"/>
        <w:gridCol w:w="109"/>
        <w:gridCol w:w="109"/>
        <w:gridCol w:w="109"/>
        <w:gridCol w:w="413"/>
        <w:gridCol w:w="413"/>
        <w:gridCol w:w="273"/>
        <w:gridCol w:w="172"/>
        <w:gridCol w:w="172"/>
        <w:gridCol w:w="172"/>
        <w:gridCol w:w="308"/>
        <w:gridCol w:w="308"/>
        <w:gridCol w:w="269"/>
      </w:tblGrid>
      <w:tr>
        <w:trPr/>
        <w:tc>
          <w:tcPr>
            <w:tcW w:w="84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2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Capital</w:t>
              <w:br/>
              <w:t>Requirements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Requirement to be</w:t>
              <w:br/>
              <w:t>Well-Capitalized</w:t>
            </w:r>
          </w:p>
        </w:tc>
      </w:tr>
      <w:tr>
        <w:trPr/>
        <w:tc>
          <w:tcPr>
            <w:tcW w:w="2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Ratio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Ratio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Ratio</w:t>
            </w:r>
          </w:p>
        </w:tc>
      </w:tr>
      <w:tr>
        <w:trPr/>
        <w:tc>
          <w:tcPr>
            <w:tcW w:w="234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At September 30, 2024</w:t>
            </w:r>
          </w:p>
        </w:tc>
        <w:tc>
          <w:tcPr>
            <w:tcW w:w="114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capital (to risk-weighted assets) </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Cass Information Systems, Inc. </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269,984 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15.31 </w:t>
            </w:r>
          </w:p>
        </w:tc>
        <w:tc>
          <w:tcPr>
            <w:tcW w:w="31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141,096 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317"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N/A</w:t>
            </w:r>
          </w:p>
        </w:tc>
        <w:tc>
          <w:tcPr>
            <w:tcW w:w="5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 %</w:t>
            </w:r>
          </w:p>
        </w:tc>
      </w:tr>
      <w:tr>
        <w:trPr/>
        <w:tc>
          <w:tcPr>
            <w:tcW w:w="2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Cass Commercial Bank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115,623 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Common Equity Tier I Capital (to risk-weighted assets) </w:t>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Cass Information Systems, Inc.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Cass Commercial Bank </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195,915 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16.94 </w:t>
            </w:r>
          </w:p>
        </w:tc>
        <w:tc>
          <w:tcPr>
            <w:tcW w:w="3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52,030 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3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75,155 </w:t>
            </w:r>
          </w:p>
        </w:tc>
        <w:tc>
          <w:tcPr>
            <w:tcW w:w="2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2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Tier I capital (to risk-weighted assets) </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Cass Information Systems, Inc. </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256,408 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14.54 </w:t>
            </w:r>
          </w:p>
        </w:tc>
        <w:tc>
          <w:tcPr>
            <w:tcW w:w="3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105,822 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3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5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Cass Commercial Bank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92,498 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Tier I capital (to average assets) </w:t>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Cass Information Systems, Inc.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Cass Commercial Bank </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195,915 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13.61 </w:t>
            </w:r>
          </w:p>
        </w:tc>
        <w:tc>
          <w:tcPr>
            <w:tcW w:w="3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57,571 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3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71,964 </w:t>
            </w:r>
          </w:p>
        </w:tc>
        <w:tc>
          <w:tcPr>
            <w:tcW w:w="2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2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At December 31, 2023</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capital (to risk-weighted assets) </w:t>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Cass Information Systems, Inc.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N/A</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 %</w:t>
            </w:r>
          </w:p>
        </w:tc>
      </w:tr>
      <w:tr>
        <w:trPr/>
        <w:tc>
          <w:tcPr>
            <w:tcW w:w="2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Cass Commercial Bank </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204,584 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19.04 </w:t>
            </w:r>
          </w:p>
        </w:tc>
        <w:tc>
          <w:tcPr>
            <w:tcW w:w="3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85,964 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3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107,455 </w:t>
            </w:r>
          </w:p>
        </w:tc>
        <w:tc>
          <w:tcPr>
            <w:tcW w:w="2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Common Equity Tier I Capital (to risk-weighted assets) </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Cass Information Systems, Inc. </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256,359 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14.73 </w:t>
            </w:r>
          </w:p>
        </w:tc>
        <w:tc>
          <w:tcPr>
            <w:tcW w:w="3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78,337 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3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5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Cass Commercial Bank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69,846 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Tier I capital (to risk-weighted assets) </w:t>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Cass Information Systems, Inc.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Cass Commercial Bank </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192,104 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17.88 </w:t>
            </w:r>
          </w:p>
        </w:tc>
        <w:tc>
          <w:tcPr>
            <w:tcW w:w="3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64,473 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3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85,964 </w:t>
            </w:r>
          </w:p>
        </w:tc>
        <w:tc>
          <w:tcPr>
            <w:tcW w:w="27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26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Tier I capital (to average assets) </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Cass Information Systems, Inc. </w:t>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256,359 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10.71 </w:t>
            </w:r>
          </w:p>
        </w:tc>
        <w:tc>
          <w:tcPr>
            <w:tcW w:w="3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95,760 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317"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51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34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Cass Commercial Bank </w:t>
            </w:r>
          </w:p>
        </w:tc>
        <w:tc>
          <w:tcPr>
            <w:tcW w:w="103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192,104 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12.49 </w:t>
            </w:r>
          </w:p>
        </w:tc>
        <w:tc>
          <w:tcPr>
            <w:tcW w:w="31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61,526 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31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76,908 </w:t>
            </w:r>
          </w:p>
        </w:tc>
        <w:tc>
          <w:tcPr>
            <w:tcW w:w="27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26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Impact of New and Not Yet Adopted Accounting Pronouncements</w:t>
      </w:r>
    </w:p>
    <w:p>
      <w:pPr>
        <w:pStyle w:val="TextBody"/>
        <w:bidi w:val="0"/>
        <w:spacing w:lineRule="auto" w:line="288" w:before="240" w:after="283"/>
        <w:jc w:val="both"/>
        <w:rPr/>
      </w:pPr>
      <w:r>
        <w:rPr>
          <w:rFonts w:ascii="Times New Roman;sans-serif" w:hAnsi="Times New Roman;sans-serif"/>
          <w:b w:val="false"/>
          <w:color w:val="000000"/>
          <w:sz w:val="20"/>
        </w:rPr>
        <w:t xml:space="preserve">In October 2023, the FASB issued 2023-06, </w:t>
      </w:r>
      <w:r>
        <w:rPr>
          <w:rFonts w:ascii="Times New Roman;sans-serif" w:hAnsi="Times New Roman;sans-serif"/>
          <w:b w:val="false"/>
          <w:i/>
          <w:color w:val="000000"/>
          <w:sz w:val="20"/>
        </w:rPr>
        <w:t>Disclosure Improvements - Codification Amendments in Response to the SEC's Disclosure Update and Simplification Initiative</w:t>
      </w:r>
      <w:r>
        <w:rPr>
          <w:color w:val="000000"/>
        </w:rPr>
        <w:t xml:space="preserve"> </w:t>
      </w:r>
      <w:r>
        <w:rPr>
          <w:rFonts w:ascii="Times New Roman;sans-serif" w:hAnsi="Times New Roman;sans-serif"/>
          <w:b w:val="false"/>
          <w:color w:val="000000"/>
          <w:sz w:val="20"/>
        </w:rPr>
        <w:t>("ASU 2023-06"). This ASU amends the ASC to incorporate certain disclosure requirements from SEC Release No. 33-10532 - Disclosure Update and Simplification that was issued in 2018.</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date for each amendment will be the date on which the SEC's removal of that related disclosure from Regulation S-X or Regulation S-K becomes effective, with early adoption prohibited. ASU 2023-06 is not expected to have a significant impact on the Company's financial statements.</w:t>
      </w:r>
    </w:p>
    <w:p>
      <w:pPr>
        <w:pStyle w:val="TextBody"/>
        <w:bidi w:val="0"/>
        <w:spacing w:before="0" w:after="0"/>
        <w:jc w:val="left"/>
        <w:rPr/>
      </w:pPr>
      <w:r>
        <w:rPr/>
      </w:r>
    </w:p>
    <w:p>
      <w:pPr>
        <w:pStyle w:val="TextBody"/>
        <w:bidi w:val="0"/>
        <w:spacing w:lineRule="auto" w:line="276" w:before="0" w:after="0"/>
        <w:jc w:val="both"/>
        <w:rPr/>
      </w:pPr>
      <w:r>
        <w:rPr>
          <w:rFonts w:ascii="Times New Roman;sans-serif" w:hAnsi="Times New Roman;sans-serif"/>
          <w:b w:val="false"/>
          <w:color w:val="000000"/>
          <w:sz w:val="20"/>
        </w:rPr>
        <w:t>In November 2023, the FASB issued 2023-07,</w:t>
      </w:r>
      <w:r>
        <w:rPr>
          <w:color w:val="000000"/>
        </w:rPr>
        <w:t xml:space="preserve"> </w:t>
      </w:r>
      <w:r>
        <w:rPr>
          <w:rFonts w:ascii="Times New Roman;sans-serif" w:hAnsi="Times New Roman;sans-serif"/>
          <w:b w:val="false"/>
          <w:i/>
          <w:color w:val="000000"/>
          <w:sz w:val="20"/>
        </w:rPr>
        <w:t>Segment Reporting (Topic 820): Improvements to Reportable Segment Disclosures</w:t>
      </w:r>
      <w:r>
        <w:rPr>
          <w:color w:val="000000"/>
        </w:rPr>
        <w:t xml:space="preserve"> </w:t>
      </w:r>
      <w:r>
        <w:rPr>
          <w:rFonts w:ascii="Times New Roman;sans-serif" w:hAnsi="Times New Roman;sans-serif"/>
          <w:b w:val="false"/>
          <w:color w:val="000000"/>
          <w:sz w:val="20"/>
        </w:rPr>
        <w:t xml:space="preserve">("ASU 2023-07"). This ASU expands segment disclosure requirements for public entities to require disclosure of significant segment expenses and other segment items on an annual and interim basis and to provide in interim periods all disclosures about a reportable segment's profit or loss and assets that are currently required annually. ASU 2023-07 is effective for fiscal years beginning after December 15, 2023, and interim periods within fiscal years beginning after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76" w:before="0" w:after="0"/>
        <w:jc w:val="left"/>
        <w:rPr/>
      </w:pPr>
      <w:hyperlink w:anchor="i6c4b0e535bdf4b388323ae8e08430aa2_7">
        <w:r>
          <w:rPr>
            <w:rStyle w:val="InternetLink"/>
            <w:rFonts w:ascii="Times New Roman;sans-serif" w:hAnsi="Times New Roman;sans-serif"/>
            <w:b/>
            <w:color w:val="0000FF"/>
            <w:sz w:val="20"/>
            <w:u w:val="single"/>
          </w:rPr>
          <w:t>Table of Contents</w:t>
        </w:r>
      </w:hyperlink>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December 15, 2024. Early adoption is permitted. ASU 2023-07 is not expected to have a significant impact on the Company's financial statements.</w:t>
      </w:r>
    </w:p>
    <w:p>
      <w:pPr>
        <w:pStyle w:val="TextBody"/>
        <w:bidi w:val="0"/>
        <w:spacing w:before="0" w:after="0"/>
        <w:jc w:val="left"/>
        <w:rPr/>
      </w:pPr>
      <w:r>
        <w:rPr/>
      </w:r>
    </w:p>
    <w:p>
      <w:pPr>
        <w:pStyle w:val="TextBody"/>
        <w:bidi w:val="0"/>
        <w:spacing w:lineRule="auto" w:line="276" w:before="0" w:after="0"/>
        <w:jc w:val="both"/>
        <w:rPr/>
      </w:pPr>
      <w:r>
        <w:rPr>
          <w:rFonts w:ascii="Times New Roman;sans-serif" w:hAnsi="Times New Roman;sans-serif"/>
          <w:b w:val="false"/>
          <w:color w:val="000000"/>
          <w:sz w:val="20"/>
        </w:rPr>
        <w:t xml:space="preserve">In December 2023, the FASB issued 2023-09, </w:t>
      </w:r>
      <w:r>
        <w:rPr>
          <w:rFonts w:ascii="Times New Roman;sans-serif" w:hAnsi="Times New Roman;sans-serif"/>
          <w:b w:val="false"/>
          <w:i/>
          <w:color w:val="000000"/>
          <w:sz w:val="20"/>
        </w:rPr>
        <w:t>Income Taxes (Topic 740): Improvements to Income Tax Disclosures</w:t>
      </w:r>
      <w:r>
        <w:rPr>
          <w:color w:val="000000"/>
        </w:rPr>
        <w:t xml:space="preserve"> </w:t>
      </w:r>
      <w:r>
        <w:rPr>
          <w:rFonts w:ascii="Times New Roman;sans-serif" w:hAnsi="Times New Roman;sans-serif"/>
          <w:b w:val="false"/>
          <w:color w:val="000000"/>
          <w:sz w:val="20"/>
        </w:rPr>
        <w:t>("ASU 2023-09"). This ASU requires public business entities to disclose in their rate reconciliation table additional categories of information about federal, state, and foreign income taxes and to provide more details about the reconciling items in some categories if items meet a quantitative threshold. It also requires all entities to disclose income taxes paid, net of refunds, disaggregated by federal, state, and foreign taxes for annual periods and to disaggregate the information by jurisdiction based on a quantitative threshold, among other things. ASU 2023-09 is effective for annual periods beginning after December 15, 2024, though early adoption is permitted. ASU 2023-09 is not expected to have a significant impact on the Company's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Policies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prepared the consolidated financial statements in this report in accordance with the Financial Accounting Standards Board Accounting Standards Codification. In preparing the consolidated financial statements, management makes estimates and assumptions that affect the reported amount of assets and liabilities, disclosure of contingent assets and liabilities at the date of the financial statements, and the reported amounts of revenue and expenses during the reporting period. These estimates have been generally accurate in the past, have been consistent and have not required any material changes. There can be no assurances that actual results will not differ from those estimates. The accounting policy that requires significant management estimates and is deemed critical to the Company’s results of operations or financial position has been discussed with the Audit and Risk Committee of the Board of Directors and is described below.</w:t>
      </w:r>
    </w:p>
    <w:p>
      <w:pPr>
        <w:pStyle w:val="TextBody"/>
        <w:bidi w:val="0"/>
        <w:spacing w:lineRule="auto" w:line="288" w:before="200" w:after="283"/>
        <w:jc w:val="both"/>
        <w:rPr/>
      </w:pPr>
      <w:r>
        <w:rPr>
          <w:rFonts w:ascii="Times New Roman;sans-serif" w:hAnsi="Times New Roman;sans-serif"/>
          <w:b w:val="false"/>
          <w:i/>
          <w:color w:val="000000"/>
          <w:sz w:val="20"/>
        </w:rPr>
        <w:t>Allowance for Credit Losses.</w:t>
      </w:r>
      <w:r>
        <w:rPr>
          <w:color w:val="000000"/>
        </w:rPr>
        <w:t xml:space="preserve"> </w:t>
      </w:r>
      <w:r>
        <w:rPr>
          <w:rFonts w:ascii="Times New Roman;sans-serif" w:hAnsi="Times New Roman;sans-serif"/>
          <w:b w:val="false"/>
          <w:color w:val="000000"/>
          <w:sz w:val="20"/>
        </w:rPr>
        <w:t>The Company performs periodic and systematic detailed reviews of its loan portfolio to determine management’s estimate of the lifetime expected credit losses. Although these estimates are based on established methodologies for determining allowance requirements, actual results can differ significantly from estimated results. These policies affect both segments of the Company. The impact and associated risks related to these policies on the Company’s business operations are discussed in the “Provision and Allowance for Credit Losses and Allowance for Unfunded Commitments” section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described in the Company’s 2023 Form 10-K for the year ended December 31, 2023, the Company manages its interest rate risk through measurement techniques that include gap analysis and a simulation model. As part of the risk management process, asset/liability management policies are established and monitored by management.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simulated changes in net interest income versus unchanged rates over the next 12 months as of September 30, 2024 and December 31, 2023.</w:t>
      </w:r>
    </w:p>
    <w:tbl>
      <w:tblPr>
        <w:tblW w:w="6510" w:type="dxa"/>
        <w:jc w:val="left"/>
        <w:tblInd w:w="0" w:type="dxa"/>
        <w:tblLayout w:type="fixed"/>
        <w:tblCellMar>
          <w:top w:w="28" w:type="dxa"/>
          <w:left w:w="28" w:type="dxa"/>
          <w:bottom w:w="28" w:type="dxa"/>
          <w:right w:w="28" w:type="dxa"/>
        </w:tblCellMar>
      </w:tblPr>
      <w:tblGrid>
        <w:gridCol w:w="558"/>
        <w:gridCol w:w="492"/>
        <w:gridCol w:w="494"/>
        <w:gridCol w:w="238"/>
        <w:gridCol w:w="238"/>
        <w:gridCol w:w="238"/>
        <w:gridCol w:w="393"/>
        <w:gridCol w:w="393"/>
        <w:gridCol w:w="983"/>
        <w:gridCol w:w="238"/>
        <w:gridCol w:w="238"/>
        <w:gridCol w:w="238"/>
        <w:gridCol w:w="360"/>
        <w:gridCol w:w="360"/>
        <w:gridCol w:w="1049"/>
      </w:tblGrid>
      <w:tr>
        <w:trPr/>
        <w:tc>
          <w:tcPr>
            <w:tcW w:w="558"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 in projected net interest income</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1544"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+200 basis points</w:t>
            </w:r>
          </w:p>
        </w:tc>
        <w:tc>
          <w:tcPr>
            <w:tcW w:w="714"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983"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049"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 basis points</w:t>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44"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Flat rates</w:t>
            </w:r>
          </w:p>
        </w:tc>
        <w:tc>
          <w:tcPr>
            <w:tcW w:w="714"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83" w:type="dxa"/>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49" w:type="dxa"/>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 basis points</w:t>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44"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-200 basis points</w:t>
            </w:r>
          </w:p>
        </w:tc>
        <w:tc>
          <w:tcPr>
            <w:tcW w:w="714"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983" w:type="dxa"/>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049" w:type="dxa"/>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generally asset sensitive as average interest-earning assets of $2.00 billion for the third quarter of 2024 greatly exceeded average interest-bearing liabilities of $630.2 million. The table above on the projected impact of interest rate shocks results from a static balance sheet at September 30,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under the supervision and with the participation of the principal executive officer and the principal financial officer, evaluated the effectiveness of the Company’s disclosure controls and procedures (as defined in Rules 13a-15(e) and 15d-15(e) under the Securities Exchange Act of 1934, as amended) as of the end of the period covered by this report and concluded that, as of such date, these controls and procedures were effective.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76" w:before="0" w:after="0"/>
        <w:jc w:val="left"/>
        <w:rPr/>
      </w:pPr>
      <w:hyperlink w:anchor="i6c4b0e535bdf4b388323ae8e08430aa2_7">
        <w:r>
          <w:rPr>
            <w:rStyle w:val="InternetLink"/>
            <w:rFonts w:ascii="Times New Roman;sans-serif" w:hAnsi="Times New Roman;sans-serif"/>
            <w:b/>
            <w:color w:val="0000FF"/>
            <w:sz w:val="20"/>
            <w:u w:val="single"/>
          </w:rPr>
          <w:t>Table of Contents</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the third quarter of 2024 in the Company's internal control over financial reporting identified by the Company’s principal executive officer and principal financial officer in connection with their evaluation that materially affected or are reasonably likely to materially affect the Company’s internal control over financial reporting (as defined in Rules 13a-15(f) and 15d-15(f) under the Securities Exchange Act of 1934,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76" w:before="0" w:after="0"/>
        <w:jc w:val="left"/>
        <w:rPr/>
      </w:pPr>
      <w:hyperlink w:anchor="i6c4b0e535bdf4b388323ae8e08430aa2_7">
        <w:r>
          <w:rPr>
            <w:rStyle w:val="InternetLink"/>
            <w:rFonts w:ascii="Times New Roman;sans-serif" w:hAnsi="Times New Roman;sans-serif"/>
            <w:b/>
            <w:color w:val="0000FF"/>
            <w:sz w:val="20"/>
            <w:u w:val="single"/>
          </w:rPr>
          <w:t>Table of 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 LEGAL PROCEEDINGS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the subject of various pending or threatened legal actions and proceedings, including those that arise in the ordinary course of business. Management believes the outcome of all such proceedings will not have a material effect on the businesses or financial conditions of the Company or its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included in Part I, Item 1A of its 2023 Form 10-K, a description of certain risks and uncertainties that could affect the Company’s business, future performance or financial condition (the “Risk Factors”). There are no material changes to the Risk Factors as disclosed in the Company’s 2023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 xml:space="preserve">ITEM 2. UNREGISTERED SALES OF EQUITY SECURITIES AND USE OF PROCEEDS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 period ended September 30, 2024, the Company repurchased shares of its common stock as follows:</w:t>
      </w:r>
    </w:p>
    <w:tbl>
      <w:tblPr>
        <w:tblW w:w="9651" w:type="dxa"/>
        <w:jc w:val="left"/>
        <w:tblInd w:w="0" w:type="dxa"/>
        <w:tblLayout w:type="fixed"/>
        <w:tblCellMar>
          <w:top w:w="28" w:type="dxa"/>
          <w:left w:w="28" w:type="dxa"/>
          <w:bottom w:w="28" w:type="dxa"/>
          <w:right w:w="28" w:type="dxa"/>
        </w:tblCellMar>
      </w:tblPr>
      <w:tblGrid>
        <w:gridCol w:w="1215"/>
        <w:gridCol w:w="1070"/>
        <w:gridCol w:w="1075"/>
        <w:gridCol w:w="404"/>
        <w:gridCol w:w="404"/>
        <w:gridCol w:w="406"/>
        <w:gridCol w:w="109"/>
        <w:gridCol w:w="109"/>
        <w:gridCol w:w="109"/>
        <w:gridCol w:w="318"/>
        <w:gridCol w:w="928"/>
        <w:gridCol w:w="164"/>
        <w:gridCol w:w="109"/>
        <w:gridCol w:w="109"/>
        <w:gridCol w:w="109"/>
        <w:gridCol w:w="449"/>
        <w:gridCol w:w="449"/>
        <w:gridCol w:w="451"/>
        <w:gridCol w:w="109"/>
        <w:gridCol w:w="109"/>
        <w:gridCol w:w="109"/>
        <w:gridCol w:w="413"/>
        <w:gridCol w:w="413"/>
        <w:gridCol w:w="511"/>
      </w:tblGrid>
      <w:tr>
        <w:trPr/>
        <w:tc>
          <w:tcPr>
            <w:tcW w:w="121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Period</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Total </w:t>
            </w:r>
          </w:p>
          <w:p>
            <w:pPr>
              <w:pStyle w:val="TableContents"/>
              <w:bidi w:val="0"/>
              <w:spacing w:lineRule="auto" w:line="240" w:before="0" w:after="0"/>
              <w:jc w:val="center"/>
              <w:rPr>
                <w:color w:val="000000"/>
              </w:rPr>
            </w:pPr>
            <w:r>
              <w:rPr>
                <w:color w:val="000000"/>
              </w:rPr>
              <w:t> </w:t>
            </w:r>
            <w:r>
              <w:rPr>
                <w:rFonts w:ascii="Times New Roman;sans-serif" w:hAnsi="Times New Roman;sans-serif"/>
                <w:b/>
                <w:color w:val="000000"/>
                <w:sz w:val="20"/>
              </w:rPr>
              <w:t xml:space="preserve">Number of </w:t>
            </w:r>
          </w:p>
          <w:p>
            <w:pPr>
              <w:pStyle w:val="TableContents"/>
              <w:bidi w:val="0"/>
              <w:spacing w:lineRule="auto" w:line="240" w:before="0" w:after="0"/>
              <w:jc w:val="center"/>
              <w:rPr>
                <w:color w:val="000000"/>
              </w:rPr>
            </w:pPr>
            <w:r>
              <w:rPr>
                <w:color w:val="000000"/>
              </w:rPr>
              <w:t> </w:t>
            </w:r>
            <w:r>
              <w:rPr>
                <w:rFonts w:ascii="Times New Roman;sans-serif" w:hAnsi="Times New Roman;sans-serif"/>
                <w:b/>
                <w:color w:val="000000"/>
                <w:sz w:val="20"/>
              </w:rPr>
              <w:t xml:space="preserve">Shares </w:t>
            </w:r>
          </w:p>
          <w:p>
            <w:pPr>
              <w:pStyle w:val="TableContents"/>
              <w:bidi w:val="0"/>
              <w:spacing w:lineRule="auto" w:line="240" w:before="0" w:after="0"/>
              <w:jc w:val="center"/>
              <w:rPr/>
            </w:pPr>
            <w:r>
              <w:rPr>
                <w:color w:val="000000"/>
              </w:rPr>
              <w:t> </w:t>
            </w:r>
            <w:r>
              <w:rPr>
                <w:rFonts w:ascii="Times New Roman;sans-serif" w:hAnsi="Times New Roman;sans-serif"/>
                <w:b/>
                <w:color w:val="000000"/>
                <w:sz w:val="20"/>
              </w:rPr>
              <w:t>Purchased</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Average Price </w:t>
              <w:br/>
              <w:t>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Total Number </w:t>
            </w:r>
          </w:p>
          <w:p>
            <w:pPr>
              <w:pStyle w:val="TableContents"/>
              <w:bidi w:val="0"/>
              <w:spacing w:lineRule="auto" w:line="276" w:before="0" w:after="0"/>
              <w:jc w:val="center"/>
              <w:rPr>
                <w:color w:val="000000"/>
              </w:rPr>
            </w:pPr>
            <w:r>
              <w:rPr>
                <w:color w:val="000000"/>
              </w:rPr>
              <w:t> </w:t>
            </w:r>
            <w:r>
              <w:rPr>
                <w:rFonts w:ascii="Times New Roman;sans-serif" w:hAnsi="Times New Roman;sans-serif"/>
                <w:b/>
                <w:color w:val="000000"/>
                <w:sz w:val="20"/>
              </w:rPr>
              <w:t xml:space="preserve">of Shares </w:t>
            </w:r>
          </w:p>
          <w:p>
            <w:pPr>
              <w:pStyle w:val="TableContents"/>
              <w:bidi w:val="0"/>
              <w:spacing w:lineRule="auto" w:line="276" w:before="0" w:after="0"/>
              <w:jc w:val="center"/>
              <w:rPr>
                <w:color w:val="000000"/>
              </w:rPr>
            </w:pPr>
            <w:r>
              <w:rPr>
                <w:color w:val="000000"/>
              </w:rPr>
              <w:t> </w:t>
            </w:r>
            <w:r>
              <w:rPr>
                <w:rFonts w:ascii="Times New Roman;sans-serif" w:hAnsi="Times New Roman;sans-serif"/>
                <w:b/>
                <w:color w:val="000000"/>
                <w:sz w:val="20"/>
              </w:rPr>
              <w:t xml:space="preserve">Purchased as </w:t>
            </w:r>
          </w:p>
          <w:p>
            <w:pPr>
              <w:pStyle w:val="TableContents"/>
              <w:bidi w:val="0"/>
              <w:spacing w:lineRule="auto" w:line="276" w:before="0" w:after="0"/>
              <w:jc w:val="center"/>
              <w:rPr>
                <w:color w:val="000000"/>
              </w:rPr>
            </w:pPr>
            <w:r>
              <w:rPr>
                <w:color w:val="000000"/>
              </w:rPr>
              <w:t> </w:t>
            </w:r>
            <w:r>
              <w:rPr>
                <w:rFonts w:ascii="Times New Roman;sans-serif" w:hAnsi="Times New Roman;sans-serif"/>
                <w:b/>
                <w:color w:val="000000"/>
                <w:sz w:val="20"/>
              </w:rPr>
              <w:t xml:space="preserve">Part of </w:t>
            </w:r>
          </w:p>
          <w:p>
            <w:pPr>
              <w:pStyle w:val="TableContents"/>
              <w:bidi w:val="0"/>
              <w:spacing w:lineRule="auto" w:line="276" w:before="0" w:after="0"/>
              <w:jc w:val="center"/>
              <w:rPr>
                <w:color w:val="000000"/>
              </w:rPr>
            </w:pPr>
            <w:r>
              <w:rPr>
                <w:color w:val="000000"/>
              </w:rPr>
              <w:t> </w:t>
            </w:r>
            <w:r>
              <w:rPr>
                <w:rFonts w:ascii="Times New Roman;sans-serif" w:hAnsi="Times New Roman;sans-serif"/>
                <w:b/>
                <w:color w:val="000000"/>
                <w:sz w:val="20"/>
              </w:rPr>
              <w:t xml:space="preserve">Publicly </w:t>
            </w:r>
          </w:p>
          <w:p>
            <w:pPr>
              <w:pStyle w:val="TableContents"/>
              <w:bidi w:val="0"/>
              <w:spacing w:lineRule="auto" w:line="276" w:before="0" w:after="0"/>
              <w:jc w:val="center"/>
              <w:rPr>
                <w:color w:val="000000"/>
              </w:rPr>
            </w:pPr>
            <w:r>
              <w:rPr>
                <w:color w:val="000000"/>
              </w:rPr>
              <w:t> </w:t>
            </w:r>
            <w:r>
              <w:rPr>
                <w:rFonts w:ascii="Times New Roman;sans-serif" w:hAnsi="Times New Roman;sans-serif"/>
                <w:b/>
                <w:color w:val="000000"/>
                <w:sz w:val="20"/>
              </w:rPr>
              <w:t xml:space="preserve">Announced </w:t>
            </w:r>
          </w:p>
          <w:p>
            <w:pPr>
              <w:pStyle w:val="TableContents"/>
              <w:bidi w:val="0"/>
              <w:spacing w:lineRule="auto" w:line="276" w:before="0" w:after="0"/>
              <w:jc w:val="center"/>
              <w:rPr>
                <w:color w:val="000000"/>
              </w:rPr>
            </w:pPr>
            <w:r>
              <w:rPr>
                <w:color w:val="000000"/>
              </w:rPr>
              <w:t> </w:t>
            </w:r>
            <w:r>
              <w:rPr>
                <w:rFonts w:ascii="Times New Roman;sans-serif" w:hAnsi="Times New Roman;sans-serif"/>
                <w:b/>
                <w:color w:val="000000"/>
                <w:sz w:val="20"/>
              </w:rPr>
              <w:t>Plans or</w:t>
            </w:r>
          </w:p>
          <w:p>
            <w:pPr>
              <w:pStyle w:val="TableContents"/>
              <w:bidi w:val="0"/>
              <w:spacing w:lineRule="auto" w:line="276" w:before="0" w:after="0"/>
              <w:jc w:val="center"/>
              <w:rPr/>
            </w:pPr>
            <w:r>
              <w:rPr>
                <w:color w:val="000000"/>
              </w:rPr>
              <w:t> </w:t>
            </w:r>
            <w:r>
              <w:rPr>
                <w:rFonts w:ascii="Times New Roman;sans-serif" w:hAnsi="Times New Roman;sans-serif"/>
                <w:b/>
                <w:color w:val="000000"/>
                <w:sz w:val="20"/>
              </w:rPr>
              <w:t>Programs</w:t>
            </w:r>
            <w:r>
              <w:rPr>
                <w:rFonts w:ascii="Times New Roman;sans-serif" w:hAnsi="Times New Roman;sans-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Maximum </w:t>
              <w:br/>
              <w:t xml:space="preserve"> Number of </w:t>
              <w:br/>
              <w:t xml:space="preserve"> Shares that </w:t>
              <w:br/>
              <w:t xml:space="preserve"> May Yet Be </w:t>
              <w:br/>
              <w:t xml:space="preserve"> Purchased </w:t>
              <w:br/>
              <w:t xml:space="preserve"> Under the </w:t>
              <w:br/>
              <w:t xml:space="preserve"> Plans or </w:t>
              <w:br/>
              <w:t> Programs</w:t>
            </w:r>
          </w:p>
        </w:tc>
      </w:tr>
      <w:tr>
        <w:trPr/>
        <w:tc>
          <w:tcPr>
            <w:tcW w:w="3360"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1, 2024–July 31, 2024</w:t>
            </w:r>
          </w:p>
        </w:tc>
        <w:tc>
          <w:tcPr>
            <w:tcW w:w="808"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6,557 </w:t>
            </w:r>
          </w:p>
        </w:tc>
        <w:tc>
          <w:tcPr>
            <w:tcW w:w="406"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40.09 </w:t>
            </w:r>
          </w:p>
        </w:tc>
        <w:tc>
          <w:tcPr>
            <w:tcW w:w="164"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6,557 </w:t>
            </w:r>
          </w:p>
        </w:tc>
        <w:tc>
          <w:tcPr>
            <w:tcW w:w="451"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456,208 </w:t>
            </w:r>
          </w:p>
        </w:tc>
        <w:tc>
          <w:tcPr>
            <w:tcW w:w="511"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 2024–August 31, 2024</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32,600 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32,600 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423,608 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1, 2024–September 30, 2024</w:t>
            </w:r>
          </w:p>
        </w:tc>
        <w:tc>
          <w:tcPr>
            <w:tcW w:w="808"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25,314 </w:t>
            </w:r>
          </w:p>
        </w:tc>
        <w:tc>
          <w:tcPr>
            <w:tcW w:w="40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41.89 </w:t>
            </w:r>
          </w:p>
        </w:tc>
        <w:tc>
          <w:tcPr>
            <w:tcW w:w="16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25,314 </w:t>
            </w:r>
          </w:p>
        </w:tc>
        <w:tc>
          <w:tcPr>
            <w:tcW w:w="45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398,294 </w:t>
            </w:r>
          </w:p>
        </w:tc>
        <w:tc>
          <w:tcPr>
            <w:tcW w:w="51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0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64,471 </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41.11 </w:t>
            </w:r>
          </w:p>
        </w:tc>
        <w:tc>
          <w:tcPr>
            <w:tcW w:w="16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64,471 </w:t>
            </w:r>
          </w:p>
        </w:tc>
        <w:tc>
          <w:tcPr>
            <w:tcW w:w="4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398,294 </w:t>
            </w:r>
          </w:p>
        </w:tc>
        <w:tc>
          <w:tcPr>
            <w:tcW w:w="5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(1)During the quarter ended September 30, 2024, there were 64,471 shares repurchased pursuant to the Company's publicly announced treasury stock buyback program and no shares transferred from employees in satisfaction of tax withholding obligations upon the vesting of restricted stock.</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Board of Directors authorized the treasury stock buyback program on October 17, 2023, announced by the Company on October 19, 2023. The program provides that the Company may repurchase up to an aggregate of 500,000 shares of common stock and has no expiration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(a)None.</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(b)There have been no material changes to the procedures by which security holders may recommend nominees to the Company’s Board of Directors implemented in the third quarter of 2024.</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(c)During the three month period ended September 30, 2024, none of the Company's officers or directors adopted or terminated any "Rule 10b5-1 trading arrangement" or any “non-Rule 10b5-1 trading arrangement,” as such terms are defined under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76" w:before="0" w:after="0"/>
        <w:jc w:val="left"/>
        <w:rPr/>
      </w:pPr>
      <w:hyperlink w:anchor="i6c4b0e535bdf4b388323ae8e08430aa2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264"/>
        <w:gridCol w:w="2867"/>
        <w:gridCol w:w="4074"/>
      </w:tblGrid>
      <w:tr>
        <w:trPr/>
        <w:tc>
          <w:tcPr>
            <w:tcW w:w="3264"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407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ass-20240930xex311.htm">
              <w:r>
                <w:rPr>
                  <w:rStyle w:val="InternetLink"/>
                  <w:rFonts w:ascii="Times New Roman;sans-serif" w:hAnsi="Times New Roman;sans-serif"/>
                  <w:b w:val="false"/>
                  <w:color w:val="0000FF"/>
                  <w:sz w:val="20"/>
                  <w:u w:val="single"/>
                </w:rPr>
                <w:t>Exhibit 31.1 Certification Pursuant to Section 302 of the Sarbanes-Oxley Act of 2002</w:t>
              </w:r>
            </w:hyperlink>
            <w:r>
              <w:rPr>
                <w:rFonts w:ascii="Times New Roman;sans-serif" w:hAnsi="Times New Roman;sans-serif"/>
                <w:b w:val="false"/>
                <w:color w:val="000000"/>
                <w:sz w:val="20"/>
              </w:rPr>
              <w:t>.</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ass-20240930xex312.htm">
              <w:r>
                <w:rPr>
                  <w:rStyle w:val="InternetLink"/>
                  <w:rFonts w:ascii="Times New Roman;sans-serif" w:hAnsi="Times New Roman;sans-serif"/>
                  <w:b w:val="false"/>
                  <w:color w:val="0000FF"/>
                  <w:sz w:val="20"/>
                  <w:u w:val="single"/>
                </w:rPr>
                <w:t>Exhibit 31.2 Certification Pursuant to Section 302 of the Sarbanes-Oxley Act of 2002</w:t>
              </w:r>
            </w:hyperlink>
            <w:r>
              <w:rPr>
                <w:rFonts w:ascii="Times New Roman;sans-serif" w:hAnsi="Times New Roman;sans-serif"/>
                <w:b w:val="false"/>
                <w:color w:val="000000"/>
                <w:sz w:val="20"/>
              </w:rPr>
              <w:t>.</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ass-20240930xex321.htm">
              <w:r>
                <w:rPr>
                  <w:rStyle w:val="InternetLink"/>
                  <w:rFonts w:ascii="Times New Roman;sans-serif" w:hAnsi="Times New Roman;sans-serif"/>
                  <w:b w:val="false"/>
                  <w:color w:val="0000FF"/>
                  <w:sz w:val="20"/>
                  <w:u w:val="single"/>
                </w:rPr>
                <w:t>Exhibit 32.1 Certification Pursuant to 18 U.S.C. Section 1350, as Adopted Pursuant to Section 906 of the Sarbanes-Oxley Act of 2002</w:t>
              </w:r>
            </w:hyperlink>
            <w:r>
              <w:rPr>
                <w:rFonts w:ascii="Times New Roman;sans-serif" w:hAnsi="Times New Roman;sans-serif"/>
                <w:b w:val="false"/>
                <w:color w:val="000000"/>
                <w:sz w:val="20"/>
              </w:rPr>
              <w:t>.</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ass-20240930xex322.htm">
              <w:r>
                <w:rPr>
                  <w:rStyle w:val="InternetLink"/>
                  <w:rFonts w:ascii="Times New Roman;sans-serif" w:hAnsi="Times New Roman;sans-serif"/>
                  <w:b w:val="false"/>
                  <w:color w:val="0000FF"/>
                  <w:sz w:val="20"/>
                  <w:u w:val="single"/>
                </w:rPr>
                <w:t>Exhibit 32.2 Certification Pursuant to 18 U.S.C. Section 1350, as Adopted Pursuant to Section 906 of the Sarbanes-Oxley Act of 2002</w:t>
              </w:r>
            </w:hyperlink>
            <w:r>
              <w:rPr>
                <w:rFonts w:ascii="Times New Roman;sans-serif" w:hAnsi="Times New Roman;sans-serif"/>
                <w:b w:val="false"/>
                <w:color w:val="000000"/>
                <w:sz w:val="20"/>
              </w:rPr>
              <w:t>.</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101.INS XBRL Instance Document. The instance document does not appear in the Interactive Data File because its XBRL tags are embedded within the Inline XBRL document.</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101.SCH Inline XBRL Taxonomy Extension Schema Document.</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101.CAL Inline XBRL Taxonomy Extension Calculation Linkbase Document.</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101.LAB Inline XBRL Taxonomy Extension Label Linkbase Document.</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101.PRE Inline XBRL Taxonomy Extension Presentation Linkbase Document.</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101.DEF Inline XBRL Taxonomy Extension Definition Linkbase Document.</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104 Cover Page Interactive Data File (formatted as Inline XBRL and contained in Exhibit 101).</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76" w:before="0" w:after="0"/>
        <w:jc w:val="left"/>
        <w:rPr/>
      </w:pPr>
      <w:hyperlink w:anchor="i6c4b0e535bdf4b388323ae8e08430aa2_7">
        <w:r>
          <w:rPr>
            <w:rStyle w:val="InternetLink"/>
            <w:rFonts w:ascii="Times New Roman;sans-serif" w:hAnsi="Times New Roman;sans-serif"/>
            <w:b/>
            <w:color w:val="0000FF"/>
            <w:sz w:val="20"/>
            <w:u w:val="single"/>
          </w:rPr>
          <w:t>Table of Contents</w:t>
        </w:r>
      </w:hyperlink>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8254" w:type="dxa"/>
        <w:jc w:val="left"/>
        <w:tblInd w:w="0" w:type="dxa"/>
        <w:tblLayout w:type="fixed"/>
        <w:tblCellMar>
          <w:top w:w="28" w:type="dxa"/>
          <w:left w:w="28" w:type="dxa"/>
          <w:bottom w:w="28" w:type="dxa"/>
          <w:right w:w="28" w:type="dxa"/>
        </w:tblCellMar>
      </w:tblPr>
      <w:tblGrid>
        <w:gridCol w:w="808"/>
        <w:gridCol w:w="711"/>
        <w:gridCol w:w="715"/>
        <w:gridCol w:w="527"/>
        <w:gridCol w:w="527"/>
        <w:gridCol w:w="527"/>
        <w:gridCol w:w="1293"/>
        <w:gridCol w:w="1293"/>
        <w:gridCol w:w="1853"/>
      </w:tblGrid>
      <w:tr>
        <w:trPr/>
        <w:tc>
          <w:tcPr>
            <w:tcW w:w="808"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0"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CASS INFORMATION SYSTEMS, INC.</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223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2024</w:t>
            </w:r>
          </w:p>
        </w:tc>
        <w:tc>
          <w:tcPr>
            <w:tcW w:w="158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Martin H. Resch</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Martin H. Resch</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2024</w:t>
            </w:r>
          </w:p>
        </w:tc>
        <w:tc>
          <w:tcPr>
            <w:tcW w:w="158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J. Normile</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Michael J. Normile</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Martin H. Resch, certify that: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Cass Information Systems, Inc.;</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309" w:type="dxa"/>
        <w:jc w:val="left"/>
        <w:tblInd w:w="0" w:type="dxa"/>
        <w:tblLayout w:type="fixed"/>
        <w:tblCellMar>
          <w:top w:w="28" w:type="dxa"/>
          <w:left w:w="28" w:type="dxa"/>
          <w:bottom w:w="28" w:type="dxa"/>
          <w:right w:w="28" w:type="dxa"/>
        </w:tblCellMar>
      </w:tblPr>
      <w:tblGrid>
        <w:gridCol w:w="759"/>
        <w:gridCol w:w="668"/>
        <w:gridCol w:w="672"/>
        <w:gridCol w:w="939"/>
        <w:gridCol w:w="939"/>
        <w:gridCol w:w="1332"/>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2024</w:t>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Martin H. Resch</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Martin H. Resch</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Michael J. Normile, certify that: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Cass Information Systems, Inc.;</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863" w:type="dxa"/>
        <w:jc w:val="left"/>
        <w:tblInd w:w="0" w:type="dxa"/>
        <w:tblLayout w:type="fixed"/>
        <w:tblCellMar>
          <w:top w:w="28" w:type="dxa"/>
          <w:left w:w="28" w:type="dxa"/>
          <w:bottom w:w="28" w:type="dxa"/>
          <w:right w:w="28" w:type="dxa"/>
        </w:tblCellMar>
      </w:tblPr>
      <w:tblGrid>
        <w:gridCol w:w="759"/>
        <w:gridCol w:w="668"/>
        <w:gridCol w:w="672"/>
        <w:gridCol w:w="1099"/>
        <w:gridCol w:w="1099"/>
        <w:gridCol w:w="1566"/>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2024</w:t>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J. Normile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Michael J. Normile</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Financial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Cass Information Systems, Inc. (“the Company”) on Form 10-Q for the period ended September 30, 2024 as filed with the Securities and Exchange Commission on the date hereof (the “Report”), I, Martin H. Resch, President and Chief Executive Officer of the Company, certify, pursuant to 18 U.S.C. § 1350, as adopted pursuant to § 906 of the Sarbanes-Oxley Act of 2002, that: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3552" w:type="dxa"/>
        <w:jc w:val="left"/>
        <w:tblInd w:w="0" w:type="dxa"/>
        <w:tblLayout w:type="fixed"/>
        <w:tblCellMar>
          <w:top w:w="28" w:type="dxa"/>
          <w:left w:w="28" w:type="dxa"/>
          <w:bottom w:w="28" w:type="dxa"/>
          <w:right w:w="28" w:type="dxa"/>
        </w:tblCellMar>
      </w:tblPr>
      <w:tblGrid>
        <w:gridCol w:w="124"/>
        <w:gridCol w:w="109"/>
        <w:gridCol w:w="109"/>
        <w:gridCol w:w="939"/>
        <w:gridCol w:w="939"/>
        <w:gridCol w:w="13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Martin H. Resch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Martin H. Resch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2024</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Cass Information Systems, Inc. and will be retained by Cass Information Systems, Inc.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Cass Information Systems, Inc. (“the Company”) on Form 10-Q for the period ended September 30, 2024 as filed with the Securities and Exchange Commission on the date hereof (the “Report”), I, Michael J. Normile, Executive Vice President and Chief Financial Officer of the Company, certify, pursuant to 18 U.S.C. § 1350, as adopted pursuant to § 906 of the Sarbanes-Oxley Act of 2002, that: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4782" w:type="dxa"/>
        <w:jc w:val="left"/>
        <w:tblInd w:w="0" w:type="dxa"/>
        <w:tblLayout w:type="fixed"/>
        <w:tblCellMar>
          <w:top w:w="28" w:type="dxa"/>
          <w:left w:w="28" w:type="dxa"/>
          <w:bottom w:w="28" w:type="dxa"/>
          <w:right w:w="28" w:type="dxa"/>
        </w:tblCellMar>
      </w:tblPr>
      <w:tblGrid>
        <w:gridCol w:w="124"/>
        <w:gridCol w:w="109"/>
        <w:gridCol w:w="109"/>
        <w:gridCol w:w="1297"/>
        <w:gridCol w:w="1297"/>
        <w:gridCol w:w="18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J. Normile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Michael J. Normile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2024</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Cass Information Systems, Inc. and will be retained by Cass Information Systems, Inc.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17065</Words>
  <Characters>95307</Characters>
  <CharactersWithSpaces>111053</CharactersWithSpaces>
  <Paragraphs>3585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