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3203575</wp:posOffset>
            </wp:positionH>
            <wp:positionV relativeFrom="paragraph">
              <wp:posOffset>278765</wp:posOffset>
            </wp:positionV>
            <wp:extent cx="7353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78" w:lineRule="exact"/>
        <w:rPr>
          <w:sz w:val="24"/>
          <w:szCs w:val="24"/>
          <w:color w:val="auto"/>
        </w:rPr>
      </w:pPr>
    </w:p>
    <w:p>
      <w:pPr>
        <w:ind w:left="340" w:right="2340" w:hanging="332"/>
        <w:spacing w:after="0" w:line="499" w:lineRule="auto"/>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June 30,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For the transition period from __________ to __________</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000-20827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3203575</wp:posOffset>
            </wp:positionH>
            <wp:positionV relativeFrom="paragraph">
              <wp:posOffset>290830</wp:posOffset>
            </wp:positionV>
            <wp:extent cx="735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ind w:left="3720"/>
        <w:spacing w:after="0"/>
        <w:rPr>
          <w:sz w:val="20"/>
          <w:szCs w:val="20"/>
          <w:color w:val="auto"/>
        </w:rPr>
      </w:pPr>
      <w:r>
        <w:rPr>
          <w:rFonts w:ascii="Arial" w:cs="Arial" w:eastAsia="Arial" w:hAnsi="Arial"/>
          <w:sz w:val="22"/>
          <w:szCs w:val="22"/>
          <w:b w:val="1"/>
          <w:bCs w:val="1"/>
          <w:color w:val="auto"/>
        </w:rPr>
        <w:t>CASS INFORMATION SYSTEMS, INC.</w:t>
      </w:r>
    </w:p>
    <w:p>
      <w:pPr>
        <w:spacing w:after="0" w:line="19"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4520" w:type="dxa"/>
            <w:vAlign w:val="bottom"/>
            <w:gridSpan w:val="3"/>
          </w:tcPr>
          <w:p>
            <w:pPr>
              <w:jc w:val="center"/>
              <w:ind w:left="1390"/>
              <w:spacing w:after="0"/>
              <w:rPr>
                <w:sz w:val="20"/>
                <w:szCs w:val="20"/>
                <w:color w:val="auto"/>
              </w:rPr>
            </w:pPr>
            <w:r>
              <w:rPr>
                <w:rFonts w:ascii="Arial" w:cs="Arial" w:eastAsia="Arial" w:hAnsi="Arial"/>
                <w:sz w:val="18"/>
                <w:szCs w:val="18"/>
                <w:b w:val="1"/>
                <w:bCs w:val="1"/>
                <w:color w:val="auto"/>
                <w:w w:val="91"/>
              </w:rPr>
              <w:t>Missouri</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tcPr>
          <w:p>
            <w:pPr>
              <w:jc w:val="right"/>
              <w:ind w:right="2470"/>
              <w:spacing w:after="0"/>
              <w:rPr>
                <w:sz w:val="20"/>
                <w:szCs w:val="20"/>
                <w:color w:val="auto"/>
              </w:rPr>
            </w:pPr>
            <w:r>
              <w:rPr>
                <w:rFonts w:ascii="Arial" w:cs="Arial" w:eastAsia="Arial" w:hAnsi="Arial"/>
                <w:sz w:val="18"/>
                <w:szCs w:val="18"/>
                <w:b w:val="1"/>
                <w:bCs w:val="1"/>
                <w:color w:val="auto"/>
              </w:rPr>
              <w:t>43-1265338</w:t>
            </w:r>
          </w:p>
        </w:tc>
      </w:tr>
      <w:tr>
        <w:trPr>
          <w:trHeight w:val="215"/>
        </w:trPr>
        <w:tc>
          <w:tcPr>
            <w:tcW w:w="6680" w:type="dxa"/>
            <w:vAlign w:val="bottom"/>
            <w:gridSpan w:val="5"/>
          </w:tcPr>
          <w:p>
            <w:pPr>
              <w:jc w:val="center"/>
              <w:ind w:right="700"/>
              <w:spacing w:after="0"/>
              <w:rPr>
                <w:sz w:val="20"/>
                <w:szCs w:val="20"/>
                <w:color w:val="auto"/>
              </w:rPr>
            </w:pPr>
            <w:r>
              <w:rPr>
                <w:rFonts w:ascii="Arial" w:cs="Arial" w:eastAsia="Arial" w:hAnsi="Arial"/>
                <w:sz w:val="18"/>
                <w:szCs w:val="18"/>
                <w:color w:val="auto"/>
                <w:w w:val="92"/>
              </w:rPr>
              <w:t>(State or other jurisdiction of incorporation or</w:t>
            </w:r>
          </w:p>
        </w:tc>
        <w:tc>
          <w:tcPr>
            <w:tcW w:w="4560" w:type="dxa"/>
            <w:vAlign w:val="bottom"/>
          </w:tcPr>
          <w:p>
            <w:pPr>
              <w:jc w:val="center"/>
              <w:ind w:right="1330"/>
              <w:spacing w:after="0"/>
              <w:rPr>
                <w:sz w:val="20"/>
                <w:szCs w:val="20"/>
                <w:color w:val="auto"/>
              </w:rPr>
            </w:pPr>
            <w:r>
              <w:rPr>
                <w:rFonts w:ascii="Arial" w:cs="Arial" w:eastAsia="Arial" w:hAnsi="Arial"/>
                <w:sz w:val="18"/>
                <w:szCs w:val="18"/>
                <w:color w:val="auto"/>
                <w:w w:val="94"/>
              </w:rPr>
              <w:t>(I.R.S. Employer Identification No.)</w:t>
            </w:r>
          </w:p>
        </w:tc>
      </w:tr>
      <w:tr>
        <w:trPr>
          <w:trHeight w:val="211"/>
        </w:trPr>
        <w:tc>
          <w:tcPr>
            <w:tcW w:w="4520" w:type="dxa"/>
            <w:vAlign w:val="bottom"/>
            <w:gridSpan w:val="3"/>
          </w:tcPr>
          <w:p>
            <w:pPr>
              <w:jc w:val="center"/>
              <w:ind w:left="1370"/>
              <w:spacing w:after="0"/>
              <w:rPr>
                <w:sz w:val="20"/>
                <w:szCs w:val="20"/>
                <w:color w:val="auto"/>
              </w:rPr>
            </w:pPr>
            <w:r>
              <w:rPr>
                <w:rFonts w:ascii="Arial" w:cs="Arial" w:eastAsia="Arial" w:hAnsi="Arial"/>
                <w:sz w:val="18"/>
                <w:szCs w:val="18"/>
                <w:color w:val="auto"/>
                <w:w w:val="90"/>
              </w:rPr>
              <w:t>organization)</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5"/>
        </w:trPr>
        <w:tc>
          <w:tcPr>
            <w:tcW w:w="4520" w:type="dxa"/>
            <w:vAlign w:val="bottom"/>
            <w:gridSpan w:val="3"/>
          </w:tcPr>
          <w:p>
            <w:pPr>
              <w:jc w:val="center"/>
              <w:ind w:left="1370"/>
              <w:spacing w:after="0"/>
              <w:rPr>
                <w:sz w:val="20"/>
                <w:szCs w:val="20"/>
                <w:color w:val="auto"/>
              </w:rPr>
            </w:pPr>
            <w:r>
              <w:rPr>
                <w:rFonts w:ascii="Arial" w:cs="Arial" w:eastAsia="Arial" w:hAnsi="Arial"/>
                <w:sz w:val="18"/>
                <w:szCs w:val="18"/>
                <w:b w:val="1"/>
                <w:bCs w:val="1"/>
                <w:color w:val="auto"/>
                <w:w w:val="90"/>
              </w:rPr>
              <w:t>12444 Powerscourt Drive, Suite 550</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9"/>
        </w:trPr>
        <w:tc>
          <w:tcPr>
            <w:tcW w:w="4520" w:type="dxa"/>
            <w:vAlign w:val="bottom"/>
            <w:gridSpan w:val="3"/>
          </w:tcPr>
          <w:p>
            <w:pPr>
              <w:jc w:val="center"/>
              <w:ind w:left="1370"/>
              <w:spacing w:after="0"/>
              <w:rPr>
                <w:sz w:val="20"/>
                <w:szCs w:val="20"/>
                <w:color w:val="auto"/>
              </w:rPr>
            </w:pPr>
            <w:r>
              <w:rPr>
                <w:rFonts w:ascii="Arial" w:cs="Arial" w:eastAsia="Arial" w:hAnsi="Arial"/>
                <w:sz w:val="18"/>
                <w:szCs w:val="18"/>
                <w:b w:val="1"/>
                <w:bCs w:val="1"/>
                <w:color w:val="auto"/>
                <w:w w:val="91"/>
              </w:rPr>
              <w:t>St. Louis, Missouri</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tcPr>
          <w:p>
            <w:pPr>
              <w:jc w:val="right"/>
              <w:ind w:right="2670"/>
              <w:spacing w:after="0"/>
              <w:rPr>
                <w:sz w:val="20"/>
                <w:szCs w:val="20"/>
                <w:color w:val="auto"/>
              </w:rPr>
            </w:pPr>
            <w:r>
              <w:rPr>
                <w:rFonts w:ascii="Arial" w:cs="Arial" w:eastAsia="Arial" w:hAnsi="Arial"/>
                <w:sz w:val="18"/>
                <w:szCs w:val="18"/>
                <w:b w:val="1"/>
                <w:bCs w:val="1"/>
                <w:color w:val="auto"/>
              </w:rPr>
              <w:t>63131</w:t>
            </w:r>
          </w:p>
        </w:tc>
      </w:tr>
      <w:tr>
        <w:trPr>
          <w:trHeight w:val="230"/>
        </w:trPr>
        <w:tc>
          <w:tcPr>
            <w:tcW w:w="4520" w:type="dxa"/>
            <w:vAlign w:val="bottom"/>
            <w:gridSpan w:val="3"/>
          </w:tcPr>
          <w:p>
            <w:pPr>
              <w:jc w:val="center"/>
              <w:ind w:left="1370"/>
              <w:spacing w:after="0"/>
              <w:rPr>
                <w:sz w:val="20"/>
                <w:szCs w:val="20"/>
                <w:color w:val="auto"/>
              </w:rPr>
            </w:pPr>
            <w:r>
              <w:rPr>
                <w:rFonts w:ascii="Arial" w:cs="Arial" w:eastAsia="Arial" w:hAnsi="Arial"/>
                <w:sz w:val="18"/>
                <w:szCs w:val="18"/>
                <w:color w:val="auto"/>
                <w:w w:val="92"/>
              </w:rPr>
              <w:t>(Address of principal executive offices)</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tcPr>
          <w:p>
            <w:pPr>
              <w:jc w:val="center"/>
              <w:ind w:right="1330"/>
              <w:spacing w:after="0"/>
              <w:rPr>
                <w:sz w:val="20"/>
                <w:szCs w:val="20"/>
                <w:color w:val="auto"/>
              </w:rPr>
            </w:pPr>
            <w:r>
              <w:rPr>
                <w:rFonts w:ascii="Arial" w:cs="Arial" w:eastAsia="Arial" w:hAnsi="Arial"/>
                <w:sz w:val="18"/>
                <w:szCs w:val="18"/>
                <w:color w:val="auto"/>
                <w:w w:val="91"/>
              </w:rPr>
              <w:t>(Zip Code)</w:t>
            </w:r>
          </w:p>
        </w:tc>
      </w:tr>
      <w:tr>
        <w:trPr>
          <w:trHeight w:val="309"/>
        </w:trPr>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40" w:type="dxa"/>
            <w:vAlign w:val="bottom"/>
          </w:tcPr>
          <w:p>
            <w:pPr>
              <w:jc w:val="right"/>
              <w:ind w:right="190"/>
              <w:spacing w:after="0"/>
              <w:rPr>
                <w:sz w:val="20"/>
                <w:szCs w:val="20"/>
                <w:color w:val="auto"/>
              </w:rPr>
            </w:pPr>
            <w:r>
              <w:rPr>
                <w:rFonts w:ascii="Arial" w:cs="Arial" w:eastAsia="Arial" w:hAnsi="Arial"/>
                <w:sz w:val="18"/>
                <w:szCs w:val="18"/>
                <w:b w:val="1"/>
                <w:bCs w:val="1"/>
                <w:color w:val="auto"/>
              </w:rPr>
              <w:t>(314) 506-5500</w:t>
            </w:r>
          </w:p>
        </w:tc>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0"/>
        </w:trPr>
        <w:tc>
          <w:tcPr>
            <w:tcW w:w="11240" w:type="dxa"/>
            <w:vAlign w:val="bottom"/>
            <w:gridSpan w:val="6"/>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36"/>
        </w:trPr>
        <w:tc>
          <w:tcPr>
            <w:tcW w:w="452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0"/>
        </w:trPr>
        <w:tc>
          <w:tcPr>
            <w:tcW w:w="4520" w:type="dxa"/>
            <w:vAlign w:val="bottom"/>
            <w:gridSpan w:val="3"/>
          </w:tcPr>
          <w:p>
            <w:pPr>
              <w:jc w:val="center"/>
              <w:ind w:right="760"/>
              <w:spacing w:after="0"/>
              <w:rPr>
                <w:sz w:val="20"/>
                <w:szCs w:val="20"/>
                <w:color w:val="auto"/>
              </w:rPr>
            </w:pPr>
            <w:r>
              <w:rPr>
                <w:rFonts w:ascii="Arial" w:cs="Arial" w:eastAsia="Arial" w:hAnsi="Arial"/>
                <w:sz w:val="18"/>
                <w:szCs w:val="18"/>
                <w:color w:val="auto"/>
                <w:w w:val="88"/>
              </w:rPr>
              <w:t>Title of each class</w:t>
            </w:r>
          </w:p>
        </w:tc>
        <w:tc>
          <w:tcPr>
            <w:tcW w:w="2160" w:type="dxa"/>
            <w:vAlign w:val="bottom"/>
            <w:gridSpan w:val="2"/>
          </w:tcPr>
          <w:p>
            <w:pPr>
              <w:jc w:val="center"/>
              <w:ind w:right="760"/>
              <w:spacing w:after="0"/>
              <w:rPr>
                <w:sz w:val="20"/>
                <w:szCs w:val="20"/>
                <w:color w:val="auto"/>
              </w:rPr>
            </w:pPr>
            <w:r>
              <w:rPr>
                <w:rFonts w:ascii="Arial" w:cs="Arial" w:eastAsia="Arial" w:hAnsi="Arial"/>
                <w:sz w:val="18"/>
                <w:szCs w:val="18"/>
                <w:color w:val="auto"/>
                <w:w w:val="90"/>
              </w:rPr>
              <w:t>Trading symbols</w:t>
            </w: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$.50</w:t>
            </w:r>
          </w:p>
        </w:tc>
        <w:tc>
          <w:tcPr>
            <w:tcW w:w="2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jc w:val="center"/>
              <w:ind w:right="470"/>
              <w:spacing w:after="0"/>
              <w:rPr>
                <w:sz w:val="20"/>
                <w:szCs w:val="20"/>
                <w:color w:val="auto"/>
              </w:rPr>
            </w:pPr>
            <w:r>
              <w:rPr>
                <w:rFonts w:ascii="Arial" w:cs="Arial" w:eastAsia="Arial" w:hAnsi="Arial"/>
                <w:sz w:val="18"/>
                <w:szCs w:val="18"/>
                <w:color w:val="auto"/>
                <w:w w:val="93"/>
              </w:rPr>
              <w:t>CASS</w:t>
            </w:r>
          </w:p>
        </w:tc>
        <w:tc>
          <w:tcPr>
            <w:tcW w:w="220" w:type="dxa"/>
            <w:vAlign w:val="bottom"/>
          </w:tcPr>
          <w:p>
            <w:pPr>
              <w:spacing w:after="0"/>
              <w:rPr>
                <w:sz w:val="19"/>
                <w:szCs w:val="19"/>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3203575</wp:posOffset>
            </wp:positionH>
            <wp:positionV relativeFrom="paragraph">
              <wp:posOffset>264795</wp:posOffset>
            </wp:positionV>
            <wp:extent cx="735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both"/>
        <w:ind w:firstLine="215"/>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ind w:left="5100"/>
        <w:spacing w:after="0" w:line="207" w:lineRule="exact"/>
        <w:tabs>
          <w:tab w:leader="none" w:pos="5920" w:val="left"/>
          <w:tab w:leader="none" w:pos="8240" w:val="left"/>
          <w:tab w:leader="none" w:pos="906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49" w:lineRule="exact"/>
        <w:rPr>
          <w:sz w:val="24"/>
          <w:szCs w:val="24"/>
          <w:color w:val="auto"/>
        </w:rPr>
      </w:pPr>
    </w:p>
    <w:p>
      <w:pPr>
        <w:jc w:val="both"/>
        <w:ind w:firstLine="215"/>
        <w:spacing w:after="0" w:line="34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91" w:lineRule="exact"/>
        <w:rPr>
          <w:sz w:val="24"/>
          <w:szCs w:val="24"/>
          <w:color w:val="auto"/>
        </w:rPr>
      </w:pPr>
    </w:p>
    <w:p>
      <w:pPr>
        <w:ind w:left="5100"/>
        <w:spacing w:after="0" w:line="207" w:lineRule="exact"/>
        <w:tabs>
          <w:tab w:leader="none" w:pos="5920" w:val="left"/>
          <w:tab w:leader="none" w:pos="8240" w:val="left"/>
          <w:tab w:leader="none" w:pos="906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49" w:lineRule="exact"/>
        <w:rPr>
          <w:sz w:val="24"/>
          <w:szCs w:val="24"/>
          <w:color w:val="auto"/>
        </w:rPr>
      </w:pPr>
    </w:p>
    <w:p>
      <w:pPr>
        <w:jc w:val="both"/>
        <w:ind w:firstLine="21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a “smaller reporting company,” and “emerging growth company” in Rule 12b-2 of the Exchange Act.</w:t>
      </w:r>
    </w:p>
    <w:p>
      <w:pPr>
        <w:sectPr>
          <w:pgSz w:w="11900" w:h="16838" w:orient="portrait"/>
          <w:cols w:equalWidth="0" w:num="1">
            <w:col w:w="11240"/>
          </w:cols>
          <w:pgMar w:left="320" w:top="233" w:right="339" w:bottom="1440" w:gutter="0" w:footer="0" w:header="0"/>
        </w:sectPr>
      </w:pPr>
    </w:p>
    <w:p>
      <w:pPr>
        <w:spacing w:after="0" w:line="122"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2940" w:space="720"/>
            <w:col w:w="7580"/>
          </w:cols>
          <w:pgMar w:left="320" w:top="233" w:right="339" w:bottom="1440" w:gutter="0" w:footer="0" w:header="0"/>
          <w:type w:val="continuous"/>
        </w:sectPr>
      </w:pPr>
    </w:p>
    <w:p>
      <w:pPr>
        <w:spacing w:after="0" w:line="47"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2" w:lineRule="exact"/>
        <w:rPr>
          <w:sz w:val="24"/>
          <w:szCs w:val="24"/>
          <w:color w:val="auto"/>
        </w:rPr>
      </w:pPr>
    </w:p>
    <w:p>
      <w:pPr>
        <w:sectPr>
          <w:pgSz w:w="11900" w:h="16838" w:orient="portrait"/>
          <w:cols w:equalWidth="0" w:num="3">
            <w:col w:w="2940" w:space="720"/>
            <w:col w:w="2680" w:space="720"/>
            <w:col w:w="4180"/>
          </w:cols>
          <w:pgMar w:left="320" w:top="233" w:right="339" w:bottom="1440" w:gutter="0" w:footer="0" w:header="0"/>
          <w:type w:val="continuous"/>
        </w:sectPr>
      </w:pPr>
    </w:p>
    <w:p>
      <w:pPr>
        <w:ind w:firstLine="215"/>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1" w:lineRule="exact"/>
        <w:rPr>
          <w:sz w:val="24"/>
          <w:szCs w:val="24"/>
          <w:color w:val="auto"/>
        </w:rPr>
      </w:pPr>
    </w:p>
    <w:p>
      <w:pPr>
        <w:ind w:left="5100"/>
        <w:spacing w:after="0" w:line="207" w:lineRule="exact"/>
        <w:tabs>
          <w:tab w:leader="none" w:pos="5920" w:val="left"/>
          <w:tab w:leader="none" w:pos="8240" w:val="left"/>
          <w:tab w:leader="none" w:pos="906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49" w:lineRule="exact"/>
        <w:rPr>
          <w:sz w:val="24"/>
          <w:szCs w:val="24"/>
          <w:color w:val="auto"/>
        </w:rPr>
      </w:pPr>
    </w:p>
    <w:p>
      <w:pPr>
        <w:ind w:firstLine="215"/>
        <w:spacing w:after="0" w:line="276" w:lineRule="auto"/>
        <w:rPr>
          <w:sz w:val="20"/>
          <w:szCs w:val="20"/>
          <w:color w:val="auto"/>
        </w:rPr>
      </w:pPr>
      <w:r>
        <w:rPr>
          <w:rFonts w:ascii="Arial" w:cs="Arial" w:eastAsia="Arial" w:hAnsi="Arial"/>
          <w:sz w:val="18"/>
          <w:szCs w:val="18"/>
          <w:color w:val="auto"/>
        </w:rPr>
        <w:t>The number of shares outstanding of the registrant's only class of common stock as of July 24, 2020: Common stock, par value $.50 per share – 14,421,079 shares outstanding.</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955" cy="281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281940"/>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ind w:left="280"/>
              <w:spacing w:after="0"/>
              <w:rPr>
                <w:sz w:val="20"/>
                <w:szCs w:val="20"/>
                <w:color w:val="auto"/>
              </w:rPr>
            </w:pPr>
            <w:r>
              <w:rPr>
                <w:rFonts w:ascii="Arial" w:cs="Arial" w:eastAsia="Arial" w:hAnsi="Arial"/>
                <w:sz w:val="18"/>
                <w:szCs w:val="18"/>
                <w:color w:val="auto"/>
              </w:rPr>
              <w:t>Item 1.</w:t>
            </w:r>
          </w:p>
        </w:tc>
        <w:tc>
          <w:tcPr>
            <w:tcW w:w="756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2760" w:type="dxa"/>
            <w:vAlign w:val="bottom"/>
          </w:tcPr>
          <w:p>
            <w:pPr>
              <w:spacing w:after="0"/>
              <w:rPr>
                <w:sz w:val="19"/>
                <w:szCs w:val="19"/>
                <w:color w:val="auto"/>
              </w:rPr>
            </w:pPr>
          </w:p>
        </w:tc>
      </w:tr>
      <w:tr>
        <w:trPr>
          <w:trHeight w:val="229"/>
        </w:trPr>
        <w:tc>
          <w:tcPr>
            <w:tcW w:w="9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01"/>
        </w:trPr>
        <w:tc>
          <w:tcPr>
            <w:tcW w:w="920" w:type="dxa"/>
            <w:vAlign w:val="bottom"/>
            <w:shd w:val="clear" w:color="auto" w:fill="B2B2B2"/>
          </w:tcPr>
          <w:p>
            <w:pPr>
              <w:spacing w:after="0"/>
              <w:rPr>
                <w:sz w:val="17"/>
                <w:szCs w:val="17"/>
                <w:color w:val="auto"/>
              </w:rPr>
            </w:pPr>
          </w:p>
        </w:tc>
        <w:tc>
          <w:tcPr>
            <w:tcW w:w="7560" w:type="dxa"/>
            <w:vAlign w:val="bottom"/>
            <w:shd w:val="clear" w:color="auto" w:fill="B2B2B2"/>
          </w:tcPr>
          <w:p>
            <w:pPr>
              <w:ind w:left="160"/>
              <w:spacing w:after="0" w:line="201" w:lineRule="exact"/>
              <w:rPr>
                <w:sz w:val="20"/>
                <w:szCs w:val="20"/>
                <w:color w:val="auto"/>
              </w:rPr>
            </w:pPr>
            <w:r>
              <w:rPr>
                <w:rFonts w:ascii="Arial" w:cs="Arial" w:eastAsia="Arial" w:hAnsi="Arial"/>
                <w:sz w:val="18"/>
                <w:szCs w:val="18"/>
                <w:color w:val="auto"/>
              </w:rPr>
              <w:t>Consolidated Balance Sheets</w:t>
            </w:r>
          </w:p>
        </w:tc>
        <w:tc>
          <w:tcPr>
            <w:tcW w:w="2760" w:type="dxa"/>
            <w:vAlign w:val="bottom"/>
            <w:shd w:val="clear" w:color="auto" w:fill="B2B2B2"/>
          </w:tcPr>
          <w:p>
            <w:pPr>
              <w:spacing w:after="0"/>
              <w:rPr>
                <w:sz w:val="17"/>
                <w:szCs w:val="17"/>
                <w:color w:val="auto"/>
              </w:rPr>
            </w:pPr>
          </w:p>
        </w:tc>
      </w:tr>
      <w:tr>
        <w:trPr>
          <w:trHeight w:val="230"/>
        </w:trPr>
        <w:tc>
          <w:tcPr>
            <w:tcW w:w="920" w:type="dxa"/>
            <w:vAlign w:val="bottom"/>
            <w:shd w:val="clear" w:color="auto" w:fill="B2B2B2"/>
          </w:tcPr>
          <w:p>
            <w:pPr>
              <w:spacing w:after="0"/>
              <w:rPr>
                <w:sz w:val="19"/>
                <w:szCs w:val="19"/>
                <w:color w:val="auto"/>
              </w:rPr>
            </w:pPr>
          </w:p>
        </w:tc>
        <w:tc>
          <w:tcPr>
            <w:tcW w:w="7560" w:type="dxa"/>
            <w:vAlign w:val="bottom"/>
            <w:shd w:val="clear" w:color="auto" w:fill="B2B2B2"/>
          </w:tcPr>
          <w:p>
            <w:pPr>
              <w:ind w:left="440"/>
              <w:spacing w:after="0"/>
              <w:rPr>
                <w:sz w:val="20"/>
                <w:szCs w:val="20"/>
                <w:color w:val="auto"/>
              </w:rPr>
            </w:pPr>
            <w:r>
              <w:rPr>
                <w:rFonts w:ascii="Arial" w:cs="Arial" w:eastAsia="Arial" w:hAnsi="Arial"/>
                <w:sz w:val="18"/>
                <w:szCs w:val="18"/>
                <w:color w:val="auto"/>
              </w:rPr>
              <w:t>June 30, 2020 (unaudited) and December 31, 2019</w:t>
            </w:r>
          </w:p>
        </w:tc>
        <w:tc>
          <w:tcPr>
            <w:tcW w:w="276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3</w:t>
            </w:r>
          </w:p>
        </w:tc>
      </w:tr>
      <w:tr>
        <w:trPr>
          <w:trHeight w:val="229"/>
        </w:trPr>
        <w:tc>
          <w:tcPr>
            <w:tcW w:w="920" w:type="dxa"/>
            <w:vAlign w:val="bottom"/>
            <w:shd w:val="clear" w:color="auto" w:fill="B2B2B2"/>
          </w:tcPr>
          <w:p>
            <w:pPr>
              <w:spacing w:after="0"/>
              <w:rPr>
                <w:sz w:val="19"/>
                <w:szCs w:val="19"/>
                <w:color w:val="auto"/>
              </w:rPr>
            </w:pPr>
          </w:p>
        </w:tc>
        <w:tc>
          <w:tcPr>
            <w:tcW w:w="7560" w:type="dxa"/>
            <w:vAlign w:val="bottom"/>
            <w:shd w:val="clear" w:color="auto" w:fill="B2B2B2"/>
          </w:tcPr>
          <w:p>
            <w:pPr>
              <w:spacing w:after="0"/>
              <w:rPr>
                <w:sz w:val="19"/>
                <w:szCs w:val="19"/>
                <w:color w:val="auto"/>
              </w:rPr>
            </w:pPr>
          </w:p>
        </w:tc>
        <w:tc>
          <w:tcPr>
            <w:tcW w:w="2760" w:type="dxa"/>
            <w:vAlign w:val="bottom"/>
            <w:shd w:val="clear" w:color="auto" w:fill="B2B2B2"/>
          </w:tcPr>
          <w:p>
            <w:pPr>
              <w:spacing w:after="0"/>
              <w:rPr>
                <w:sz w:val="19"/>
                <w:szCs w:val="19"/>
                <w:color w:val="auto"/>
              </w:rPr>
            </w:pPr>
          </w:p>
        </w:tc>
      </w:tr>
      <w:tr>
        <w:trPr>
          <w:trHeight w:val="201"/>
        </w:trPr>
        <w:tc>
          <w:tcPr>
            <w:tcW w:w="920" w:type="dxa"/>
            <w:vAlign w:val="bottom"/>
          </w:tcPr>
          <w:p>
            <w:pPr>
              <w:spacing w:after="0"/>
              <w:rPr>
                <w:sz w:val="17"/>
                <w:szCs w:val="17"/>
                <w:color w:val="auto"/>
              </w:rPr>
            </w:pPr>
          </w:p>
        </w:tc>
        <w:tc>
          <w:tcPr>
            <w:tcW w:w="7560" w:type="dxa"/>
            <w:vAlign w:val="bottom"/>
          </w:tcPr>
          <w:p>
            <w:pPr>
              <w:ind w:left="160"/>
              <w:spacing w:after="0" w:line="201" w:lineRule="exact"/>
              <w:rPr>
                <w:sz w:val="20"/>
                <w:szCs w:val="20"/>
                <w:color w:val="auto"/>
              </w:rPr>
            </w:pPr>
            <w:r>
              <w:rPr>
                <w:rFonts w:ascii="Arial" w:cs="Arial" w:eastAsia="Arial" w:hAnsi="Arial"/>
                <w:sz w:val="18"/>
                <w:szCs w:val="18"/>
                <w:color w:val="auto"/>
              </w:rPr>
              <w:t>Consolidated Statements of Income</w:t>
            </w:r>
          </w:p>
        </w:tc>
        <w:tc>
          <w:tcPr>
            <w:tcW w:w="2760" w:type="dxa"/>
            <w:vAlign w:val="bottom"/>
          </w:tcPr>
          <w:p>
            <w:pPr>
              <w:spacing w:after="0"/>
              <w:rPr>
                <w:sz w:val="17"/>
                <w:szCs w:val="17"/>
                <w:color w:val="auto"/>
              </w:rPr>
            </w:pPr>
          </w:p>
        </w:tc>
      </w:tr>
      <w:tr>
        <w:trPr>
          <w:trHeight w:val="230"/>
        </w:trPr>
        <w:tc>
          <w:tcPr>
            <w:tcW w:w="920" w:type="dxa"/>
            <w:vAlign w:val="bottom"/>
          </w:tcPr>
          <w:p>
            <w:pPr>
              <w:spacing w:after="0"/>
              <w:rPr>
                <w:sz w:val="19"/>
                <w:szCs w:val="19"/>
                <w:color w:val="auto"/>
              </w:rPr>
            </w:pPr>
          </w:p>
        </w:tc>
        <w:tc>
          <w:tcPr>
            <w:tcW w:w="7560" w:type="dxa"/>
            <w:vAlign w:val="bottom"/>
          </w:tcPr>
          <w:p>
            <w:pPr>
              <w:ind w:left="440"/>
              <w:spacing w:after="0"/>
              <w:rPr>
                <w:sz w:val="20"/>
                <w:szCs w:val="20"/>
                <w:color w:val="auto"/>
              </w:rPr>
            </w:pPr>
            <w:r>
              <w:rPr>
                <w:rFonts w:ascii="Arial" w:cs="Arial" w:eastAsia="Arial" w:hAnsi="Arial"/>
                <w:sz w:val="18"/>
                <w:szCs w:val="18"/>
                <w:color w:val="auto"/>
              </w:rPr>
              <w:t>Three and six months ended June 30, 2020 and 2019 (unaudited)</w:t>
            </w:r>
          </w:p>
        </w:tc>
        <w:tc>
          <w:tcPr>
            <w:tcW w:w="2760" w:type="dxa"/>
            <w:vAlign w:val="bottom"/>
          </w:tcPr>
          <w:p>
            <w:pPr>
              <w:jc w:val="right"/>
              <w:ind w:right="90"/>
              <w:spacing w:after="0"/>
              <w:rPr>
                <w:sz w:val="20"/>
                <w:szCs w:val="20"/>
                <w:color w:val="auto"/>
              </w:rPr>
            </w:pPr>
            <w:r>
              <w:rPr>
                <w:rFonts w:ascii="Arial" w:cs="Arial" w:eastAsia="Arial" w:hAnsi="Arial"/>
                <w:sz w:val="18"/>
                <w:szCs w:val="18"/>
                <w:color w:val="auto"/>
              </w:rPr>
              <w:t>4</w:t>
            </w:r>
          </w:p>
        </w:tc>
      </w:tr>
      <w:tr>
        <w:trPr>
          <w:trHeight w:val="229"/>
        </w:trPr>
        <w:tc>
          <w:tcPr>
            <w:tcW w:w="9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01"/>
        </w:trPr>
        <w:tc>
          <w:tcPr>
            <w:tcW w:w="920" w:type="dxa"/>
            <w:vAlign w:val="bottom"/>
            <w:shd w:val="clear" w:color="auto" w:fill="B2B2B2"/>
          </w:tcPr>
          <w:p>
            <w:pPr>
              <w:spacing w:after="0"/>
              <w:rPr>
                <w:sz w:val="17"/>
                <w:szCs w:val="17"/>
                <w:color w:val="auto"/>
              </w:rPr>
            </w:pPr>
          </w:p>
        </w:tc>
        <w:tc>
          <w:tcPr>
            <w:tcW w:w="7560" w:type="dxa"/>
            <w:vAlign w:val="bottom"/>
            <w:shd w:val="clear" w:color="auto" w:fill="B2B2B2"/>
          </w:tcPr>
          <w:p>
            <w:pPr>
              <w:ind w:left="160"/>
              <w:spacing w:after="0" w:line="201" w:lineRule="exact"/>
              <w:rPr>
                <w:sz w:val="20"/>
                <w:szCs w:val="20"/>
                <w:color w:val="auto"/>
              </w:rPr>
            </w:pPr>
            <w:r>
              <w:rPr>
                <w:rFonts w:ascii="Arial" w:cs="Arial" w:eastAsia="Arial" w:hAnsi="Arial"/>
                <w:sz w:val="18"/>
                <w:szCs w:val="18"/>
                <w:color w:val="auto"/>
              </w:rPr>
              <w:t>Consolidated Statements of Comprehensive Income</w:t>
            </w:r>
          </w:p>
        </w:tc>
        <w:tc>
          <w:tcPr>
            <w:tcW w:w="2760" w:type="dxa"/>
            <w:vAlign w:val="bottom"/>
            <w:shd w:val="clear" w:color="auto" w:fill="B2B2B2"/>
          </w:tcPr>
          <w:p>
            <w:pPr>
              <w:spacing w:after="0"/>
              <w:rPr>
                <w:sz w:val="17"/>
                <w:szCs w:val="17"/>
                <w:color w:val="auto"/>
              </w:rPr>
            </w:pPr>
          </w:p>
        </w:tc>
      </w:tr>
      <w:tr>
        <w:trPr>
          <w:trHeight w:val="230"/>
        </w:trPr>
        <w:tc>
          <w:tcPr>
            <w:tcW w:w="920" w:type="dxa"/>
            <w:vAlign w:val="bottom"/>
            <w:shd w:val="clear" w:color="auto" w:fill="B2B2B2"/>
          </w:tcPr>
          <w:p>
            <w:pPr>
              <w:spacing w:after="0"/>
              <w:rPr>
                <w:sz w:val="19"/>
                <w:szCs w:val="19"/>
                <w:color w:val="auto"/>
              </w:rPr>
            </w:pPr>
          </w:p>
        </w:tc>
        <w:tc>
          <w:tcPr>
            <w:tcW w:w="7560" w:type="dxa"/>
            <w:vAlign w:val="bottom"/>
            <w:shd w:val="clear" w:color="auto" w:fill="B2B2B2"/>
          </w:tcPr>
          <w:p>
            <w:pPr>
              <w:ind w:left="440"/>
              <w:spacing w:after="0"/>
              <w:rPr>
                <w:sz w:val="20"/>
                <w:szCs w:val="20"/>
                <w:color w:val="auto"/>
              </w:rPr>
            </w:pPr>
            <w:r>
              <w:rPr>
                <w:rFonts w:ascii="Arial" w:cs="Arial" w:eastAsia="Arial" w:hAnsi="Arial"/>
                <w:sz w:val="18"/>
                <w:szCs w:val="18"/>
                <w:color w:val="auto"/>
              </w:rPr>
              <w:t>Three and six months ended June 30, 2020 and 2019 (unaudited)</w:t>
            </w:r>
          </w:p>
        </w:tc>
        <w:tc>
          <w:tcPr>
            <w:tcW w:w="276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5</w:t>
            </w:r>
          </w:p>
        </w:tc>
      </w:tr>
      <w:tr>
        <w:trPr>
          <w:trHeight w:val="229"/>
        </w:trPr>
        <w:tc>
          <w:tcPr>
            <w:tcW w:w="920" w:type="dxa"/>
            <w:vAlign w:val="bottom"/>
            <w:shd w:val="clear" w:color="auto" w:fill="B2B2B2"/>
          </w:tcPr>
          <w:p>
            <w:pPr>
              <w:spacing w:after="0"/>
              <w:rPr>
                <w:sz w:val="19"/>
                <w:szCs w:val="19"/>
                <w:color w:val="auto"/>
              </w:rPr>
            </w:pPr>
          </w:p>
        </w:tc>
        <w:tc>
          <w:tcPr>
            <w:tcW w:w="7560" w:type="dxa"/>
            <w:vAlign w:val="bottom"/>
            <w:shd w:val="clear" w:color="auto" w:fill="B2B2B2"/>
          </w:tcPr>
          <w:p>
            <w:pPr>
              <w:spacing w:after="0"/>
              <w:rPr>
                <w:sz w:val="19"/>
                <w:szCs w:val="19"/>
                <w:color w:val="auto"/>
              </w:rPr>
            </w:pPr>
          </w:p>
        </w:tc>
        <w:tc>
          <w:tcPr>
            <w:tcW w:w="2760" w:type="dxa"/>
            <w:vAlign w:val="bottom"/>
            <w:shd w:val="clear" w:color="auto" w:fill="B2B2B2"/>
          </w:tcPr>
          <w:p>
            <w:pPr>
              <w:spacing w:after="0"/>
              <w:rPr>
                <w:sz w:val="19"/>
                <w:szCs w:val="19"/>
                <w:color w:val="auto"/>
              </w:rPr>
            </w:pPr>
          </w:p>
        </w:tc>
      </w:tr>
      <w:tr>
        <w:trPr>
          <w:trHeight w:val="201"/>
        </w:trPr>
        <w:tc>
          <w:tcPr>
            <w:tcW w:w="920" w:type="dxa"/>
            <w:vAlign w:val="bottom"/>
          </w:tcPr>
          <w:p>
            <w:pPr>
              <w:spacing w:after="0"/>
              <w:rPr>
                <w:sz w:val="17"/>
                <w:szCs w:val="17"/>
                <w:color w:val="auto"/>
              </w:rPr>
            </w:pPr>
          </w:p>
        </w:tc>
        <w:tc>
          <w:tcPr>
            <w:tcW w:w="7560" w:type="dxa"/>
            <w:vAlign w:val="bottom"/>
          </w:tcPr>
          <w:p>
            <w:pPr>
              <w:ind w:left="160"/>
              <w:spacing w:after="0" w:line="201" w:lineRule="exact"/>
              <w:rPr>
                <w:sz w:val="20"/>
                <w:szCs w:val="20"/>
                <w:color w:val="auto"/>
              </w:rPr>
            </w:pPr>
            <w:r>
              <w:rPr>
                <w:rFonts w:ascii="Arial" w:cs="Arial" w:eastAsia="Arial" w:hAnsi="Arial"/>
                <w:sz w:val="18"/>
                <w:szCs w:val="18"/>
                <w:color w:val="auto"/>
              </w:rPr>
              <w:t>Consolidated Statements of Cash Flows</w:t>
            </w:r>
          </w:p>
        </w:tc>
        <w:tc>
          <w:tcPr>
            <w:tcW w:w="2760" w:type="dxa"/>
            <w:vAlign w:val="bottom"/>
          </w:tcPr>
          <w:p>
            <w:pPr>
              <w:spacing w:after="0"/>
              <w:rPr>
                <w:sz w:val="17"/>
                <w:szCs w:val="17"/>
                <w:color w:val="auto"/>
              </w:rPr>
            </w:pPr>
          </w:p>
        </w:tc>
      </w:tr>
      <w:tr>
        <w:trPr>
          <w:trHeight w:val="230"/>
        </w:trPr>
        <w:tc>
          <w:tcPr>
            <w:tcW w:w="920" w:type="dxa"/>
            <w:vAlign w:val="bottom"/>
          </w:tcPr>
          <w:p>
            <w:pPr>
              <w:spacing w:after="0"/>
              <w:rPr>
                <w:sz w:val="19"/>
                <w:szCs w:val="19"/>
                <w:color w:val="auto"/>
              </w:rPr>
            </w:pPr>
          </w:p>
        </w:tc>
        <w:tc>
          <w:tcPr>
            <w:tcW w:w="7560" w:type="dxa"/>
            <w:vAlign w:val="bottom"/>
          </w:tcPr>
          <w:p>
            <w:pPr>
              <w:ind w:left="440"/>
              <w:spacing w:after="0"/>
              <w:rPr>
                <w:sz w:val="20"/>
                <w:szCs w:val="20"/>
                <w:color w:val="auto"/>
              </w:rPr>
            </w:pPr>
            <w:r>
              <w:rPr>
                <w:rFonts w:ascii="Arial" w:cs="Arial" w:eastAsia="Arial" w:hAnsi="Arial"/>
                <w:sz w:val="18"/>
                <w:szCs w:val="18"/>
                <w:color w:val="auto"/>
              </w:rPr>
              <w:t>Six months ended June 30, 2020 and 2019 (unaudited)</w:t>
            </w:r>
          </w:p>
        </w:tc>
        <w:tc>
          <w:tcPr>
            <w:tcW w:w="2760" w:type="dxa"/>
            <w:vAlign w:val="bottom"/>
          </w:tcPr>
          <w:p>
            <w:pPr>
              <w:jc w:val="right"/>
              <w:ind w:right="90"/>
              <w:spacing w:after="0"/>
              <w:rPr>
                <w:sz w:val="20"/>
                <w:szCs w:val="20"/>
                <w:color w:val="auto"/>
              </w:rPr>
            </w:pPr>
            <w:r>
              <w:rPr>
                <w:rFonts w:ascii="Arial" w:cs="Arial" w:eastAsia="Arial" w:hAnsi="Arial"/>
                <w:sz w:val="18"/>
                <w:szCs w:val="18"/>
                <w:color w:val="auto"/>
              </w:rPr>
              <w:t>6</w:t>
            </w:r>
          </w:p>
        </w:tc>
      </w:tr>
    </w:tbl>
    <w:p>
      <w:pPr>
        <w:spacing w:after="0" w:line="200" w:lineRule="exact"/>
        <w:rPr>
          <w:sz w:val="20"/>
          <w:szCs w:val="20"/>
          <w:color w:val="auto"/>
        </w:rPr>
      </w:pPr>
    </w:p>
    <w:p>
      <w:pPr>
        <w:sectPr>
          <w:pgSz w:w="11900" w:h="16838" w:orient="portrait"/>
          <w:cols w:equalWidth="0" w:num="1">
            <w:col w:w="11240"/>
          </w:cols>
          <w:pgMar w:left="320" w:top="323" w:right="339" w:bottom="1440" w:gutter="0" w:footer="0" w:header="0"/>
        </w:sectPr>
      </w:pPr>
    </w:p>
    <w:p>
      <w:pPr>
        <w:spacing w:after="0" w:line="1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Consolidated 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955" cy="419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419100"/>
                    </a:xfrm>
                    <a:prstGeom prst="rect">
                      <a:avLst/>
                    </a:prstGeom>
                    <a:noFill/>
                  </pic:spPr>
                </pic:pic>
              </a:graphicData>
            </a:graphic>
          </wp:anchor>
        </w:drawing>
      </w:r>
    </w:p>
    <w:p>
      <w:pPr>
        <w:spacing w:after="0" w:line="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Three and six months ended June 30, 2020 and 2019 (unaudited)</w:t>
      </w:r>
    </w:p>
    <w:p>
      <w:pPr>
        <w:spacing w:after="0" w:line="2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Notes to Consolidated Financial Statements (unaudited)</w:t>
      </w:r>
    </w:p>
    <w:p>
      <w:pPr>
        <w:spacing w:after="0" w:line="237" w:lineRule="exact"/>
        <w:rPr>
          <w:sz w:val="20"/>
          <w:szCs w:val="20"/>
          <w:color w:val="auto"/>
        </w:rPr>
      </w:pPr>
    </w:p>
    <w:p>
      <w:pPr>
        <w:ind w:left="280"/>
        <w:spacing w:after="0"/>
        <w:tabs>
          <w:tab w:leader="none" w:pos="104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955" cy="281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281940"/>
                    </a:xfrm>
                    <a:prstGeom prst="rect">
                      <a:avLst/>
                    </a:prstGeom>
                    <a:noFill/>
                  </pic:spPr>
                </pic:pic>
              </a:graphicData>
            </a:graphic>
          </wp:anchor>
        </w:drawing>
      </w:r>
    </w:p>
    <w:p>
      <w:pPr>
        <w:spacing w:after="0" w:line="217" w:lineRule="exact"/>
        <w:rPr>
          <w:sz w:val="20"/>
          <w:szCs w:val="20"/>
          <w:color w:val="auto"/>
        </w:rPr>
      </w:pPr>
    </w:p>
    <w:p>
      <w:pPr>
        <w:ind w:left="280"/>
        <w:spacing w:after="0"/>
        <w:tabs>
          <w:tab w:leader="none" w:pos="10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7</w:t>
      </w: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8</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222" w:lineRule="exact"/>
        <w:rPr>
          <w:sz w:val="20"/>
          <w:szCs w:val="20"/>
          <w:color w:val="auto"/>
        </w:rPr>
      </w:pPr>
    </w:p>
    <w:p>
      <w:pPr>
        <w:sectPr>
          <w:pgSz w:w="11900" w:h="16838" w:orient="portrait"/>
          <w:cols w:equalWidth="0" w:num="2">
            <w:col w:w="10200" w:space="720"/>
            <w:col w:w="320"/>
          </w:cols>
          <w:pgMar w:left="320" w:top="323" w:right="3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3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Item 4.   CONTROLS AND PROCEDURES</w:t>
            </w:r>
          </w:p>
        </w:tc>
        <w:tc>
          <w:tcPr>
            <w:tcW w:w="394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31</w:t>
            </w:r>
          </w:p>
        </w:tc>
      </w:tr>
      <w:tr>
        <w:trPr>
          <w:trHeight w:val="194"/>
        </w:trPr>
        <w:tc>
          <w:tcPr>
            <w:tcW w:w="7300" w:type="dxa"/>
            <w:vAlign w:val="bottom"/>
            <w:shd w:val="clear" w:color="auto" w:fill="B2B2B2"/>
          </w:tcPr>
          <w:p>
            <w:pPr>
              <w:spacing w:after="0"/>
              <w:rPr>
                <w:sz w:val="16"/>
                <w:szCs w:val="16"/>
                <w:color w:val="auto"/>
              </w:rPr>
            </w:pPr>
          </w:p>
        </w:tc>
        <w:tc>
          <w:tcPr>
            <w:tcW w:w="3940" w:type="dxa"/>
            <w:vAlign w:val="bottom"/>
            <w:shd w:val="clear" w:color="auto" w:fill="B2B2B2"/>
          </w:tcPr>
          <w:p>
            <w:pPr>
              <w:spacing w:after="0"/>
              <w:rPr>
                <w:sz w:val="16"/>
                <w:szCs w:val="16"/>
                <w:color w:val="auto"/>
              </w:rPr>
            </w:pPr>
          </w:p>
        </w:tc>
      </w:tr>
      <w:tr>
        <w:trPr>
          <w:trHeight w:val="234"/>
        </w:trPr>
        <w:tc>
          <w:tcPr>
            <w:tcW w:w="7300" w:type="dxa"/>
            <w:vAlign w:val="bottom"/>
          </w:tcPr>
          <w:p>
            <w:pPr>
              <w:spacing w:after="0"/>
              <w:rPr>
                <w:sz w:val="20"/>
                <w:szCs w:val="20"/>
                <w:color w:val="auto"/>
              </w:rPr>
            </w:pPr>
            <w:r>
              <w:rPr>
                <w:rFonts w:ascii="Arial" w:cs="Arial" w:eastAsia="Arial" w:hAnsi="Arial"/>
                <w:sz w:val="18"/>
                <w:szCs w:val="18"/>
                <w:b w:val="1"/>
                <w:bCs w:val="1"/>
                <w:color w:val="auto"/>
              </w:rPr>
              <w:t xml:space="preserve">PART II – Other Information </w:t>
            </w:r>
            <w:r>
              <w:rPr>
                <w:rFonts w:ascii="Arial" w:cs="Arial" w:eastAsia="Arial" w:hAnsi="Arial"/>
                <w:sz w:val="18"/>
                <w:szCs w:val="18"/>
                <w:color w:val="auto"/>
              </w:rPr>
              <w:t>– Items 1. – 6.</w:t>
            </w:r>
          </w:p>
        </w:tc>
        <w:tc>
          <w:tcPr>
            <w:tcW w:w="3940" w:type="dxa"/>
            <w:vAlign w:val="bottom"/>
          </w:tcPr>
          <w:p>
            <w:pPr>
              <w:jc w:val="right"/>
              <w:ind w:right="50"/>
              <w:spacing w:after="0"/>
              <w:rPr>
                <w:sz w:val="20"/>
                <w:szCs w:val="20"/>
                <w:color w:val="auto"/>
              </w:rPr>
            </w:pPr>
            <w:r>
              <w:rPr>
                <w:rFonts w:ascii="Arial" w:cs="Arial" w:eastAsia="Arial" w:hAnsi="Arial"/>
                <w:sz w:val="18"/>
                <w:szCs w:val="18"/>
                <w:color w:val="auto"/>
              </w:rPr>
              <w:t>31</w:t>
            </w:r>
          </w:p>
        </w:tc>
      </w:tr>
      <w:tr>
        <w:trPr>
          <w:trHeight w:val="210"/>
        </w:trPr>
        <w:tc>
          <w:tcPr>
            <w:tcW w:w="730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30"/>
        </w:trPr>
        <w:tc>
          <w:tcPr>
            <w:tcW w:w="73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SIGNATURES</w:t>
            </w:r>
          </w:p>
        </w:tc>
        <w:tc>
          <w:tcPr>
            <w:tcW w:w="394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34</w:t>
            </w:r>
          </w:p>
        </w:tc>
      </w:tr>
      <w:tr>
        <w:trPr>
          <w:trHeight w:val="214"/>
        </w:trPr>
        <w:tc>
          <w:tcPr>
            <w:tcW w:w="7300" w:type="dxa"/>
            <w:vAlign w:val="bottom"/>
            <w:shd w:val="clear" w:color="auto" w:fill="B2B2B2"/>
          </w:tcPr>
          <w:p>
            <w:pPr>
              <w:spacing w:after="0"/>
              <w:rPr>
                <w:sz w:val="18"/>
                <w:szCs w:val="18"/>
                <w:color w:val="auto"/>
              </w:rPr>
            </w:pPr>
          </w:p>
        </w:tc>
        <w:tc>
          <w:tcPr>
            <w:tcW w:w="3940" w:type="dxa"/>
            <w:vAlign w:val="bottom"/>
            <w:shd w:val="clear" w:color="auto" w:fill="B2B2B2"/>
          </w:tcPr>
          <w:p>
            <w:pPr>
              <w:spacing w:after="0"/>
              <w:rPr>
                <w:sz w:val="18"/>
                <w:szCs w:val="18"/>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 Factors That May Affect Future Results</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2019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76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776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560" w:type="dxa"/>
            <w:vAlign w:val="bottom"/>
            <w:gridSpan w:val="3"/>
          </w:tcPr>
          <w:p>
            <w:pPr>
              <w:jc w:val="center"/>
              <w:ind w:left="1430"/>
              <w:spacing w:after="0"/>
              <w:rPr>
                <w:sz w:val="20"/>
                <w:szCs w:val="20"/>
                <w:color w:val="auto"/>
              </w:rPr>
            </w:pPr>
            <w:r>
              <w:rPr>
                <w:rFonts w:ascii="Arial" w:cs="Arial" w:eastAsia="Arial" w:hAnsi="Arial"/>
                <w:sz w:val="18"/>
                <w:szCs w:val="18"/>
                <w:b w:val="1"/>
                <w:bCs w:val="1"/>
                <w:color w:val="auto"/>
                <w:w w:val="99"/>
              </w:rPr>
              <w:t>CASS INFORMATION SYSTEMS, INC. AND SUBSIDIARIES</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180" w:type="dxa"/>
            <w:vAlign w:val="bottom"/>
          </w:tcPr>
          <w:p>
            <w:pPr>
              <w:jc w:val="center"/>
              <w:ind w:left="1810"/>
              <w:spacing w:after="0"/>
              <w:rPr>
                <w:sz w:val="20"/>
                <w:szCs w:val="20"/>
                <w:color w:val="auto"/>
              </w:rPr>
            </w:pPr>
            <w:r>
              <w:rPr>
                <w:rFonts w:ascii="Arial" w:cs="Arial" w:eastAsia="Arial" w:hAnsi="Arial"/>
                <w:sz w:val="18"/>
                <w:szCs w:val="18"/>
                <w:b w:val="1"/>
                <w:bCs w:val="1"/>
                <w:color w:val="auto"/>
                <w:w w:val="99"/>
              </w:rPr>
              <w:t>CONSOLIDATED BALANCE SHEETS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180" w:type="dxa"/>
            <w:vAlign w:val="bottom"/>
          </w:tcPr>
          <w:p>
            <w:pPr>
              <w:jc w:val="center"/>
              <w:ind w:left="1810"/>
              <w:spacing w:after="0"/>
              <w:rPr>
                <w:sz w:val="20"/>
                <w:szCs w:val="20"/>
                <w:color w:val="auto"/>
              </w:rPr>
            </w:pPr>
            <w:r>
              <w:rPr>
                <w:rFonts w:ascii="Arial" w:cs="Arial" w:eastAsia="Arial" w:hAnsi="Arial"/>
                <w:sz w:val="18"/>
                <w:szCs w:val="18"/>
                <w:color w:val="auto"/>
                <w:w w:val="88"/>
              </w:rPr>
              <w:t>(Dollars in Thousands except Share and Per Share Data)</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41"/>
        </w:trPr>
        <w:tc>
          <w:tcPr>
            <w:tcW w:w="7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60" w:type="dxa"/>
            <w:vAlign w:val="bottom"/>
            <w:gridSpan w:val="3"/>
            <w:shd w:val="clear" w:color="auto" w:fill="B2B2B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3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Cash and due from banks</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11,861</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3"/>
            <w:shd w:val="clear" w:color="auto" w:fill="B2B2B2"/>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54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208,573</w:t>
            </w: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172,422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tcBorders>
              <w:bottom w:val="single" w:sz="8" w:color="B2B2B2"/>
            </w:tcBorders>
            <w:gridSpan w:val="3"/>
          </w:tcPr>
          <w:p>
            <w:pPr>
              <w:spacing w:after="0"/>
              <w:rPr>
                <w:sz w:val="20"/>
                <w:szCs w:val="20"/>
                <w:color w:val="auto"/>
              </w:rPr>
            </w:pPr>
            <w:r>
              <w:rPr>
                <w:rFonts w:ascii="Arial" w:cs="Arial" w:eastAsia="Arial" w:hAnsi="Arial"/>
                <w:sz w:val="18"/>
                <w:szCs w:val="18"/>
                <w:color w:val="auto"/>
              </w:rPr>
              <w:t>Federal funds sold and other short-term investments</w:t>
            </w:r>
          </w:p>
        </w:tc>
        <w:tc>
          <w:tcPr>
            <w:tcW w:w="120" w:type="dxa"/>
            <w:vAlign w:val="bottom"/>
            <w:tcBorders>
              <w:bottom w:val="single" w:sz="8" w:color="B2B2B2"/>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11,705</w:t>
            </w:r>
          </w:p>
        </w:tc>
        <w:tc>
          <w:tcPr>
            <w:tcW w:w="220" w:type="dxa"/>
            <w:vAlign w:val="bottom"/>
            <w:tcBorders>
              <w:bottom w:val="single" w:sz="8" w:color="B2B2B2"/>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gridSpan w:val="3"/>
            <w:shd w:val="clear" w:color="auto" w:fill="B2B2B2"/>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B2B2B2"/>
          </w:tcPr>
          <w:p>
            <w:pPr>
              <w:spacing w:after="0"/>
              <w:rPr>
                <w:sz w:val="18"/>
                <w:szCs w:val="18"/>
                <w:color w:val="auto"/>
              </w:rPr>
            </w:pPr>
          </w:p>
        </w:tc>
        <w:tc>
          <w:tcPr>
            <w:tcW w:w="260" w:type="dxa"/>
            <w:vAlign w:val="bottom"/>
            <w:tcBorders>
              <w:bottom w:val="single" w:sz="8" w:color="auto"/>
            </w:tcBorders>
            <w:shd w:val="clear" w:color="auto" w:fill="B2B2B2"/>
          </w:tcPr>
          <w:p>
            <w:pPr>
              <w:spacing w:after="0"/>
              <w:rPr>
                <w:sz w:val="18"/>
                <w:szCs w:val="18"/>
                <w:color w:val="auto"/>
              </w:rPr>
            </w:pPr>
          </w:p>
        </w:tc>
        <w:tc>
          <w:tcPr>
            <w:tcW w:w="13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232,139</w:t>
            </w:r>
          </w:p>
        </w:tc>
        <w:tc>
          <w:tcPr>
            <w:tcW w:w="220" w:type="dxa"/>
            <w:vAlign w:val="bottom"/>
            <w:shd w:val="clear" w:color="auto" w:fill="B2B2B2"/>
          </w:tcPr>
          <w:p>
            <w:pPr>
              <w:spacing w:after="0"/>
              <w:rPr>
                <w:sz w:val="18"/>
                <w:szCs w:val="18"/>
                <w:color w:val="auto"/>
              </w:rPr>
            </w:pPr>
          </w:p>
        </w:tc>
        <w:tc>
          <w:tcPr>
            <w:tcW w:w="180" w:type="dxa"/>
            <w:vAlign w:val="bottom"/>
            <w:tcBorders>
              <w:bottom w:val="single" w:sz="8" w:color="auto"/>
            </w:tcBorders>
            <w:shd w:val="clear" w:color="auto" w:fill="B2B2B2"/>
          </w:tcPr>
          <w:p>
            <w:pPr>
              <w:spacing w:after="0"/>
              <w:rPr>
                <w:sz w:val="18"/>
                <w:szCs w:val="18"/>
                <w:color w:val="auto"/>
              </w:rPr>
            </w:pPr>
          </w:p>
        </w:tc>
        <w:tc>
          <w:tcPr>
            <w:tcW w:w="13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203,954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color w:val="auto"/>
              </w:rPr>
              <w:t>Securities available-for-sale, at fair value</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379,971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422,665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760" w:type="dxa"/>
            <w:vAlign w:val="bottom"/>
            <w:gridSpan w:val="3"/>
            <w:shd w:val="clear" w:color="auto" w:fill="B2B2B2"/>
          </w:tcPr>
          <w:p>
            <w:pPr>
              <w:spacing w:after="0"/>
              <w:rPr>
                <w:sz w:val="20"/>
                <w:szCs w:val="20"/>
                <w:color w:val="auto"/>
              </w:rPr>
            </w:pPr>
            <w:r>
              <w:rPr>
                <w:rFonts w:ascii="Arial" w:cs="Arial" w:eastAsia="Arial" w:hAnsi="Arial"/>
                <w:sz w:val="18"/>
                <w:szCs w:val="18"/>
                <w:color w:val="auto"/>
              </w:rPr>
              <w:t>Loans</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54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963,726</w:t>
            </w: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772,638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tcBorders>
              <w:bottom w:val="single" w:sz="8" w:color="B2B2B2"/>
            </w:tcBorders>
            <w:gridSpan w:val="3"/>
          </w:tcPr>
          <w:p>
            <w:pPr>
              <w:ind w:left="360"/>
              <w:spacing w:after="0"/>
              <w:rPr>
                <w:sz w:val="20"/>
                <w:szCs w:val="20"/>
                <w:color w:val="auto"/>
              </w:rPr>
            </w:pPr>
            <w:r>
              <w:rPr>
                <w:rFonts w:ascii="Arial" w:cs="Arial" w:eastAsia="Arial" w:hAnsi="Arial"/>
                <w:sz w:val="18"/>
                <w:szCs w:val="18"/>
                <w:color w:val="auto"/>
              </w:rPr>
              <w:t>Less: Allowance for loan losses</w:t>
            </w:r>
          </w:p>
        </w:tc>
        <w:tc>
          <w:tcPr>
            <w:tcW w:w="120" w:type="dxa"/>
            <w:vAlign w:val="bottom"/>
            <w:tcBorders>
              <w:bottom w:val="single" w:sz="8" w:color="B2B2B2"/>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11,292</w:t>
            </w:r>
          </w:p>
        </w:tc>
        <w:tc>
          <w:tcPr>
            <w:tcW w:w="220" w:type="dxa"/>
            <w:vAlign w:val="bottom"/>
            <w:tcBorders>
              <w:bottom w:val="single" w:sz="8" w:color="B2B2B2"/>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gridSpan w:val="3"/>
            <w:shd w:val="clear" w:color="auto" w:fill="B2B2B2"/>
          </w:tcPr>
          <w:p>
            <w:pPr>
              <w:ind w:left="720"/>
              <w:spacing w:after="0"/>
              <w:rPr>
                <w:sz w:val="20"/>
                <w:szCs w:val="20"/>
                <w:color w:val="auto"/>
              </w:rPr>
            </w:pPr>
            <w:r>
              <w:rPr>
                <w:rFonts w:ascii="Arial" w:cs="Arial" w:eastAsia="Arial" w:hAnsi="Arial"/>
                <w:sz w:val="18"/>
                <w:szCs w:val="18"/>
                <w:color w:val="auto"/>
              </w:rPr>
              <w:t>Loans, net</w:t>
            </w:r>
          </w:p>
        </w:tc>
        <w:tc>
          <w:tcPr>
            <w:tcW w:w="120" w:type="dxa"/>
            <w:vAlign w:val="bottom"/>
            <w:shd w:val="clear" w:color="auto" w:fill="B2B2B2"/>
          </w:tcPr>
          <w:p>
            <w:pPr>
              <w:spacing w:after="0"/>
              <w:rPr>
                <w:sz w:val="18"/>
                <w:szCs w:val="18"/>
                <w:color w:val="auto"/>
              </w:rPr>
            </w:pPr>
          </w:p>
        </w:tc>
        <w:tc>
          <w:tcPr>
            <w:tcW w:w="260" w:type="dxa"/>
            <w:vAlign w:val="bottom"/>
            <w:tcBorders>
              <w:bottom w:val="single" w:sz="8" w:color="auto"/>
            </w:tcBorders>
            <w:shd w:val="clear" w:color="auto" w:fill="B2B2B2"/>
          </w:tcPr>
          <w:p>
            <w:pPr>
              <w:spacing w:after="0"/>
              <w:rPr>
                <w:sz w:val="18"/>
                <w:szCs w:val="18"/>
                <w:color w:val="auto"/>
              </w:rPr>
            </w:pPr>
          </w:p>
        </w:tc>
        <w:tc>
          <w:tcPr>
            <w:tcW w:w="13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952,434</w:t>
            </w:r>
          </w:p>
        </w:tc>
        <w:tc>
          <w:tcPr>
            <w:tcW w:w="220" w:type="dxa"/>
            <w:vAlign w:val="bottom"/>
            <w:shd w:val="clear" w:color="auto" w:fill="B2B2B2"/>
          </w:tcPr>
          <w:p>
            <w:pPr>
              <w:spacing w:after="0"/>
              <w:rPr>
                <w:sz w:val="18"/>
                <w:szCs w:val="18"/>
                <w:color w:val="auto"/>
              </w:rPr>
            </w:pPr>
          </w:p>
        </w:tc>
        <w:tc>
          <w:tcPr>
            <w:tcW w:w="180" w:type="dxa"/>
            <w:vAlign w:val="bottom"/>
            <w:tcBorders>
              <w:bottom w:val="single" w:sz="8" w:color="auto"/>
            </w:tcBorders>
            <w:shd w:val="clear" w:color="auto" w:fill="B2B2B2"/>
          </w:tcPr>
          <w:p>
            <w:pPr>
              <w:spacing w:after="0"/>
              <w:rPr>
                <w:sz w:val="18"/>
                <w:szCs w:val="18"/>
                <w:color w:val="auto"/>
              </w:rPr>
            </w:pPr>
          </w:p>
        </w:tc>
        <w:tc>
          <w:tcPr>
            <w:tcW w:w="13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762,082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gridSpan w:val="3"/>
          </w:tcPr>
          <w:p>
            <w:pPr>
              <w:spacing w:after="0"/>
              <w:rPr>
                <w:sz w:val="20"/>
                <w:szCs w:val="20"/>
                <w:color w:val="auto"/>
              </w:rPr>
            </w:pPr>
            <w:r>
              <w:rPr>
                <w:rFonts w:ascii="Arial" w:cs="Arial" w:eastAsia="Arial" w:hAnsi="Arial"/>
                <w:sz w:val="18"/>
                <w:szCs w:val="18"/>
                <w:color w:val="auto"/>
              </w:rPr>
              <w:t>Payments in excess of funding</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162,210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206,158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3"/>
            <w:shd w:val="clear" w:color="auto" w:fill="B2B2B2"/>
          </w:tcPr>
          <w:p>
            <w:pPr>
              <w:spacing w:after="0"/>
              <w:rPr>
                <w:sz w:val="20"/>
                <w:szCs w:val="20"/>
                <w:color w:val="auto"/>
              </w:rPr>
            </w:pPr>
            <w:r>
              <w:rPr>
                <w:rFonts w:ascii="Arial" w:cs="Arial" w:eastAsia="Arial" w:hAnsi="Arial"/>
                <w:sz w:val="18"/>
                <w:szCs w:val="18"/>
                <w:color w:val="auto"/>
              </w:rPr>
              <w:t>Premises and equipment, net</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54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19,695</w:t>
            </w: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Investment in bank-owned life insurance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17,827</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3"/>
            <w:shd w:val="clear" w:color="auto" w:fill="B2B2B2"/>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54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14,262</w:t>
            </w: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Other intangible assets,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3,852</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3"/>
            <w:shd w:val="clear" w:color="auto" w:fill="B2B2B2"/>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54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46,594</w:t>
            </w: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112,715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gridSpan w:val="3"/>
          </w:tcPr>
          <w:p>
            <w:pPr>
              <w:ind w:left="36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1,828,984</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1,764,243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760" w:type="dxa"/>
            <w:vAlign w:val="bottom"/>
            <w:gridSpan w:val="3"/>
            <w:shd w:val="clear" w:color="auto" w:fill="B2B2B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3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0" w:type="dxa"/>
            <w:vAlign w:val="bottom"/>
            <w:tcBorders>
              <w:top w:val="single" w:sz="8" w:color="auto"/>
            </w:tcBorders>
            <w:shd w:val="clear" w:color="auto" w:fill="B2B2B2"/>
          </w:tcPr>
          <w:p>
            <w:pPr>
              <w:spacing w:after="0" w:line="195" w:lineRule="exact"/>
              <w:rPr>
                <w:sz w:val="20"/>
                <w:szCs w:val="20"/>
                <w:color w:val="auto"/>
              </w:rPr>
            </w:pPr>
            <w:r>
              <w:rPr>
                <w:rFonts w:ascii="Arial" w:cs="Arial" w:eastAsia="Arial" w:hAnsi="Arial"/>
                <w:sz w:val="18"/>
                <w:szCs w:val="18"/>
                <w:color w:val="auto"/>
              </w:rPr>
              <w:t>Deposits:</w:t>
            </w:r>
          </w:p>
        </w:tc>
        <w:tc>
          <w:tcPr>
            <w:tcW w:w="800" w:type="dxa"/>
            <w:vAlign w:val="bottom"/>
            <w:tcBorders>
              <w:top w:val="single" w:sz="8" w:color="B2B2B2"/>
            </w:tcBorders>
            <w:shd w:val="clear" w:color="auto" w:fill="B2B2B2"/>
          </w:tcPr>
          <w:p>
            <w:pPr>
              <w:spacing w:after="0"/>
              <w:rPr>
                <w:sz w:val="17"/>
                <w:szCs w:val="17"/>
                <w:color w:val="auto"/>
              </w:rPr>
            </w:pPr>
          </w:p>
        </w:tc>
        <w:tc>
          <w:tcPr>
            <w:tcW w:w="6180" w:type="dxa"/>
            <w:vAlign w:val="bottom"/>
            <w:tcBorders>
              <w:top w:val="single" w:sz="8" w:color="B2B2B2"/>
            </w:tcBorders>
            <w:shd w:val="clear" w:color="auto" w:fill="B2B2B2"/>
          </w:tcPr>
          <w:p>
            <w:pPr>
              <w:spacing w:after="0"/>
              <w:rPr>
                <w:sz w:val="17"/>
                <w:szCs w:val="17"/>
                <w:color w:val="auto"/>
              </w:rPr>
            </w:pPr>
          </w:p>
        </w:tc>
        <w:tc>
          <w:tcPr>
            <w:tcW w:w="120" w:type="dxa"/>
            <w:vAlign w:val="bottom"/>
            <w:tcBorders>
              <w:top w:val="single" w:sz="8" w:color="B2B2B2"/>
            </w:tcBorders>
            <w:shd w:val="clear" w:color="auto" w:fill="B2B2B2"/>
          </w:tcPr>
          <w:p>
            <w:pPr>
              <w:spacing w:after="0"/>
              <w:rPr>
                <w:sz w:val="17"/>
                <w:szCs w:val="17"/>
                <w:color w:val="auto"/>
              </w:rPr>
            </w:pPr>
          </w:p>
        </w:tc>
        <w:tc>
          <w:tcPr>
            <w:tcW w:w="260" w:type="dxa"/>
            <w:vAlign w:val="bottom"/>
            <w:tcBorders>
              <w:top w:val="single" w:sz="8" w:color="B2B2B2"/>
            </w:tcBorders>
            <w:shd w:val="clear" w:color="auto" w:fill="B2B2B2"/>
          </w:tcPr>
          <w:p>
            <w:pPr>
              <w:spacing w:after="0"/>
              <w:rPr>
                <w:sz w:val="17"/>
                <w:szCs w:val="17"/>
                <w:color w:val="auto"/>
              </w:rPr>
            </w:pPr>
          </w:p>
        </w:tc>
        <w:tc>
          <w:tcPr>
            <w:tcW w:w="1320" w:type="dxa"/>
            <w:vAlign w:val="bottom"/>
            <w:tcBorders>
              <w:top w:val="single" w:sz="8" w:color="B2B2B2"/>
            </w:tcBorders>
            <w:shd w:val="clear" w:color="auto" w:fill="B2B2B2"/>
          </w:tcPr>
          <w:p>
            <w:pPr>
              <w:spacing w:after="0"/>
              <w:rPr>
                <w:sz w:val="17"/>
                <w:szCs w:val="17"/>
                <w:color w:val="auto"/>
              </w:rPr>
            </w:pPr>
          </w:p>
        </w:tc>
        <w:tc>
          <w:tcPr>
            <w:tcW w:w="220" w:type="dxa"/>
            <w:vAlign w:val="bottom"/>
            <w:tcBorders>
              <w:top w:val="single" w:sz="8" w:color="B2B2B2"/>
            </w:tcBorders>
            <w:shd w:val="clear" w:color="auto" w:fill="B2B2B2"/>
          </w:tcPr>
          <w:p>
            <w:pPr>
              <w:spacing w:after="0"/>
              <w:rPr>
                <w:sz w:val="17"/>
                <w:szCs w:val="17"/>
                <w:color w:val="auto"/>
              </w:rPr>
            </w:pPr>
          </w:p>
        </w:tc>
        <w:tc>
          <w:tcPr>
            <w:tcW w:w="180" w:type="dxa"/>
            <w:vAlign w:val="bottom"/>
            <w:tcBorders>
              <w:top w:val="single" w:sz="8" w:color="B2B2B2"/>
            </w:tcBorders>
            <w:shd w:val="clear" w:color="auto" w:fill="B2B2B2"/>
          </w:tcPr>
          <w:p>
            <w:pPr>
              <w:spacing w:after="0"/>
              <w:rPr>
                <w:sz w:val="17"/>
                <w:szCs w:val="17"/>
                <w:color w:val="auto"/>
              </w:rPr>
            </w:pPr>
          </w:p>
        </w:tc>
        <w:tc>
          <w:tcPr>
            <w:tcW w:w="1380" w:type="dxa"/>
            <w:vAlign w:val="bottom"/>
            <w:tcBorders>
              <w:top w:val="single" w:sz="8" w:color="B2B2B2"/>
            </w:tcBorders>
            <w:shd w:val="clear" w:color="auto" w:fill="B2B2B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760" w:type="dxa"/>
            <w:vAlign w:val="bottom"/>
            <w:gridSpan w:val="3"/>
          </w:tcPr>
          <w:p>
            <w:pPr>
              <w:ind w:left="180"/>
              <w:spacing w:after="0"/>
              <w:rPr>
                <w:sz w:val="20"/>
                <w:szCs w:val="20"/>
                <w:color w:val="auto"/>
              </w:rPr>
            </w:pPr>
            <w:r>
              <w:rPr>
                <w:rFonts w:ascii="Arial" w:cs="Arial" w:eastAsia="Arial" w:hAnsi="Arial"/>
                <w:sz w:val="18"/>
                <w:szCs w:val="18"/>
                <w:color w:val="auto"/>
              </w:rPr>
              <w:t>Noninterest-bearing</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343,567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351,091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3"/>
            <w:shd w:val="clear" w:color="auto" w:fill="B2B2B2"/>
          </w:tcPr>
          <w:p>
            <w:pPr>
              <w:ind w:left="180"/>
              <w:spacing w:after="0"/>
              <w:rPr>
                <w:sz w:val="20"/>
                <w:szCs w:val="20"/>
                <w:color w:val="auto"/>
              </w:rPr>
            </w:pPr>
            <w:r>
              <w:rPr>
                <w:rFonts w:ascii="Arial" w:cs="Arial" w:eastAsia="Arial" w:hAnsi="Arial"/>
                <w:sz w:val="18"/>
                <w:szCs w:val="18"/>
                <w:color w:val="auto"/>
              </w:rPr>
              <w:t>Interest-bearing</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54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482,389</w:t>
            </w: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406,045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tcBorders>
              <w:bottom w:val="single" w:sz="8" w:color="B2B2B2"/>
            </w:tcBorders>
            <w:gridSpan w:val="3"/>
          </w:tcPr>
          <w:p>
            <w:pPr>
              <w:ind w:left="360"/>
              <w:spacing w:after="0"/>
              <w:rPr>
                <w:sz w:val="20"/>
                <w:szCs w:val="20"/>
                <w:color w:val="auto"/>
              </w:rPr>
            </w:pPr>
            <w:r>
              <w:rPr>
                <w:rFonts w:ascii="Arial" w:cs="Arial" w:eastAsia="Arial" w:hAnsi="Arial"/>
                <w:sz w:val="18"/>
                <w:szCs w:val="18"/>
                <w:color w:val="auto"/>
              </w:rPr>
              <w:t>Total deposits</w:t>
            </w:r>
          </w:p>
        </w:tc>
        <w:tc>
          <w:tcPr>
            <w:tcW w:w="120" w:type="dxa"/>
            <w:vAlign w:val="bottom"/>
            <w:tcBorders>
              <w:bottom w:val="single" w:sz="8" w:color="B2B2B2"/>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825,956</w:t>
            </w:r>
          </w:p>
        </w:tc>
        <w:tc>
          <w:tcPr>
            <w:tcW w:w="220" w:type="dxa"/>
            <w:vAlign w:val="bottom"/>
            <w:tcBorders>
              <w:bottom w:val="single" w:sz="8" w:color="B2B2B2"/>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gridSpan w:val="3"/>
            <w:shd w:val="clear" w:color="auto" w:fill="B2B2B2"/>
          </w:tcPr>
          <w:p>
            <w:pPr>
              <w:spacing w:after="0"/>
              <w:rPr>
                <w:sz w:val="20"/>
                <w:szCs w:val="20"/>
                <w:color w:val="auto"/>
              </w:rPr>
            </w:pPr>
            <w:r>
              <w:rPr>
                <w:rFonts w:ascii="Arial" w:cs="Arial" w:eastAsia="Arial" w:hAnsi="Arial"/>
                <w:sz w:val="18"/>
                <w:szCs w:val="18"/>
                <w:color w:val="auto"/>
              </w:rPr>
              <w:t>Accounts and drafts payable</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3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687,538</w:t>
            </w:r>
          </w:p>
        </w:tc>
        <w:tc>
          <w:tcPr>
            <w:tcW w:w="2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684,295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3"/>
            <w:shd w:val="clear" w:color="auto" w:fill="B2B2B2"/>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54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66,963</w:t>
            </w: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60,622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gridSpan w:val="3"/>
          </w:tcPr>
          <w:p>
            <w:pPr>
              <w:ind w:left="36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1,580,457</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580" w:type="dxa"/>
            <w:vAlign w:val="bottom"/>
            <w:tcBorders>
              <w:bottom w:val="single" w:sz="8" w:color="auto"/>
            </w:tcBorders>
            <w:gridSpan w:val="2"/>
            <w:shd w:val="clear" w:color="auto" w:fill="B2B2B2"/>
          </w:tcPr>
          <w:p>
            <w:pPr>
              <w:spacing w:after="0"/>
              <w:rPr>
                <w:sz w:val="20"/>
                <w:szCs w:val="20"/>
                <w:color w:val="auto"/>
              </w:rPr>
            </w:pPr>
            <w:r>
              <w:rPr>
                <w:rFonts w:ascii="Arial" w:cs="Arial" w:eastAsia="Arial" w:hAnsi="Arial"/>
                <w:sz w:val="18"/>
                <w:szCs w:val="18"/>
                <w:color w:val="auto"/>
                <w:w w:val="91"/>
              </w:rPr>
              <w:t>Shareholders’ Equity:</w:t>
            </w:r>
          </w:p>
        </w:tc>
        <w:tc>
          <w:tcPr>
            <w:tcW w:w="61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3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60" w:type="dxa"/>
            <w:vAlign w:val="bottom"/>
            <w:gridSpan w:val="3"/>
          </w:tcPr>
          <w:p>
            <w:pPr>
              <w:spacing w:after="0" w:line="195" w:lineRule="exact"/>
              <w:rPr>
                <w:sz w:val="20"/>
                <w:szCs w:val="20"/>
                <w:color w:val="auto"/>
              </w:rPr>
            </w:pPr>
            <w:r>
              <w:rPr>
                <w:rFonts w:ascii="Arial" w:cs="Arial" w:eastAsia="Arial" w:hAnsi="Arial"/>
                <w:sz w:val="18"/>
                <w:szCs w:val="18"/>
                <w:color w:val="auto"/>
              </w:rPr>
              <w:t>Preferred stock, par value $.50 per share; 2,000,000 shares authorized and no shares issued</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right"/>
              <w:ind w:right="220"/>
              <w:spacing w:after="0" w:line="195"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60" w:type="dxa"/>
            <w:vAlign w:val="bottom"/>
            <w:gridSpan w:val="3"/>
            <w:shd w:val="clear" w:color="auto" w:fill="B2B2B2"/>
          </w:tcPr>
          <w:p>
            <w:pPr>
              <w:spacing w:after="0" w:line="201" w:lineRule="exact"/>
              <w:rPr>
                <w:sz w:val="20"/>
                <w:szCs w:val="20"/>
                <w:color w:val="auto"/>
              </w:rPr>
            </w:pPr>
            <w:r>
              <w:rPr>
                <w:rFonts w:ascii="Arial" w:cs="Arial" w:eastAsia="Arial" w:hAnsi="Arial"/>
                <w:sz w:val="18"/>
                <w:szCs w:val="18"/>
                <w:color w:val="auto"/>
                <w:w w:val="92"/>
              </w:rPr>
              <w:t>Common stock, par value $.50 per share; 40,000,000 shares authorized and 15,505,772 shares issued at</w:t>
            </w:r>
          </w:p>
        </w:tc>
        <w:tc>
          <w:tcPr>
            <w:tcW w:w="120" w:type="dxa"/>
            <w:vAlign w:val="bottom"/>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132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180" w:type="dxa"/>
            <w:vAlign w:val="bottom"/>
            <w:shd w:val="clear" w:color="auto" w:fill="B2B2B2"/>
          </w:tcPr>
          <w:p>
            <w:pPr>
              <w:spacing w:after="0"/>
              <w:rPr>
                <w:sz w:val="17"/>
                <w:szCs w:val="17"/>
                <w:color w:val="auto"/>
              </w:rPr>
            </w:pPr>
          </w:p>
        </w:tc>
        <w:tc>
          <w:tcPr>
            <w:tcW w:w="1380" w:type="dxa"/>
            <w:vAlign w:val="bottom"/>
            <w:shd w:val="clear" w:color="auto" w:fill="B2B2B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B2B2B2"/>
          </w:tcPr>
          <w:p>
            <w:pPr>
              <w:ind w:left="180"/>
              <w:spacing w:after="0"/>
              <w:rPr>
                <w:sz w:val="20"/>
                <w:szCs w:val="20"/>
                <w:color w:val="auto"/>
              </w:rPr>
            </w:pPr>
            <w:r>
              <w:rPr>
                <w:rFonts w:ascii="Arial" w:cs="Arial" w:eastAsia="Arial" w:hAnsi="Arial"/>
                <w:sz w:val="18"/>
                <w:szCs w:val="18"/>
                <w:color w:val="auto"/>
              </w:rPr>
              <w:t>June 30, 2020 and December 31, 2019</w:t>
            </w:r>
          </w:p>
        </w:tc>
        <w:tc>
          <w:tcPr>
            <w:tcW w:w="120" w:type="dxa"/>
            <w:vAlign w:val="bottom"/>
            <w:shd w:val="clear" w:color="auto" w:fill="B2B2B2"/>
          </w:tcPr>
          <w:p>
            <w:pPr>
              <w:spacing w:after="0"/>
              <w:rPr>
                <w:sz w:val="19"/>
                <w:szCs w:val="19"/>
                <w:color w:val="auto"/>
              </w:rPr>
            </w:pPr>
          </w:p>
        </w:tc>
        <w:tc>
          <w:tcPr>
            <w:tcW w:w="260" w:type="dxa"/>
            <w:vAlign w:val="bottom"/>
            <w:shd w:val="clear" w:color="auto" w:fill="B2B2B2"/>
          </w:tcPr>
          <w:p>
            <w:pPr>
              <w:spacing w:after="0"/>
              <w:rPr>
                <w:sz w:val="19"/>
                <w:szCs w:val="19"/>
                <w:color w:val="auto"/>
              </w:rPr>
            </w:pPr>
          </w:p>
        </w:tc>
        <w:tc>
          <w:tcPr>
            <w:tcW w:w="154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7,753</w:t>
            </w:r>
          </w:p>
        </w:tc>
        <w:tc>
          <w:tcPr>
            <w:tcW w:w="180" w:type="dxa"/>
            <w:vAlign w:val="bottom"/>
            <w:shd w:val="clear" w:color="auto" w:fill="B2B2B2"/>
          </w:tcPr>
          <w:p>
            <w:pPr>
              <w:spacing w:after="0"/>
              <w:rPr>
                <w:sz w:val="19"/>
                <w:szCs w:val="19"/>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7,753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204,258</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205,397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3"/>
            <w:shd w:val="clear" w:color="auto" w:fill="B2B2B2"/>
          </w:tcPr>
          <w:p>
            <w:pPr>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54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95,514</w:t>
            </w: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90,341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760" w:type="dxa"/>
            <w:vAlign w:val="bottom"/>
            <w:gridSpan w:val="3"/>
          </w:tcPr>
          <w:p>
            <w:pPr>
              <w:spacing w:after="0" w:line="201" w:lineRule="exact"/>
              <w:rPr>
                <w:sz w:val="20"/>
                <w:szCs w:val="20"/>
                <w:color w:val="auto"/>
              </w:rPr>
            </w:pPr>
            <w:r>
              <w:rPr>
                <w:rFonts w:ascii="Arial" w:cs="Arial" w:eastAsia="Arial" w:hAnsi="Arial"/>
                <w:sz w:val="18"/>
                <w:szCs w:val="18"/>
                <w:color w:val="auto"/>
                <w:w w:val="91"/>
              </w:rPr>
              <w:t>Common shares in treasury, at cost (1,084,693 shares at June 30, 2020 and 991,406 shares at December</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gridSpan w:val="2"/>
          </w:tcPr>
          <w:p>
            <w:pPr>
              <w:ind w:left="180"/>
              <w:spacing w:after="0"/>
              <w:rPr>
                <w:sz w:val="20"/>
                <w:szCs w:val="20"/>
                <w:color w:val="auto"/>
              </w:rPr>
            </w:pPr>
            <w:r>
              <w:rPr>
                <w:rFonts w:ascii="Arial" w:cs="Arial" w:eastAsia="Arial" w:hAnsi="Arial"/>
                <w:sz w:val="18"/>
                <w:szCs w:val="18"/>
                <w:color w:val="auto"/>
              </w:rPr>
              <w:t>31, 2019)</w:t>
            </w: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(49,457)</w:t>
            </w:r>
          </w:p>
        </w:tc>
        <w:tc>
          <w:tcPr>
            <w:tcW w:w="18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(45,381)</w:t>
            </w:r>
          </w:p>
        </w:tc>
        <w:tc>
          <w:tcPr>
            <w:tcW w:w="0" w:type="dxa"/>
            <w:vAlign w:val="bottom"/>
          </w:tcPr>
          <w:p>
            <w:pPr>
              <w:spacing w:after="0"/>
              <w:rPr>
                <w:sz w:val="1"/>
                <w:szCs w:val="1"/>
                <w:color w:val="auto"/>
              </w:rPr>
            </w:pPr>
          </w:p>
        </w:tc>
      </w:tr>
      <w:tr>
        <w:trPr>
          <w:trHeight w:val="215"/>
        </w:trPr>
        <w:tc>
          <w:tcPr>
            <w:tcW w:w="7760" w:type="dxa"/>
            <w:vAlign w:val="bottom"/>
            <w:gridSpan w:val="3"/>
            <w:shd w:val="clear" w:color="auto" w:fill="B2B2B2"/>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54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(9,541)</w:t>
            </w: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tcBorders>
              <w:bottom w:val="single" w:sz="8" w:color="B2B2B2"/>
            </w:tcBorders>
            <w:gridSpan w:val="3"/>
          </w:tcPr>
          <w:p>
            <w:pPr>
              <w:ind w:left="36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B2B2B2"/>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248,527</w:t>
            </w:r>
          </w:p>
        </w:tc>
        <w:tc>
          <w:tcPr>
            <w:tcW w:w="220" w:type="dxa"/>
            <w:vAlign w:val="bottom"/>
            <w:tcBorders>
              <w:bottom w:val="single" w:sz="8" w:color="B2B2B2"/>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tcBorders>
              <w:bottom w:val="single" w:sz="8" w:color="B2B2B2"/>
            </w:tcBorders>
            <w:gridSpan w:val="3"/>
            <w:shd w:val="clear" w:color="auto" w:fill="B2B2B2"/>
          </w:tcPr>
          <w:p>
            <w:pPr>
              <w:ind w:left="54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B2B2B2"/>
            </w:tcBorders>
            <w:shd w:val="clear" w:color="auto" w:fill="B2B2B2"/>
          </w:tcPr>
          <w:p>
            <w:pPr>
              <w:spacing w:after="0"/>
              <w:rPr>
                <w:sz w:val="18"/>
                <w:szCs w:val="18"/>
                <w:color w:val="auto"/>
              </w:rPr>
            </w:pPr>
          </w:p>
        </w:tc>
        <w:tc>
          <w:tcPr>
            <w:tcW w:w="26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1,828,984</w:t>
            </w:r>
          </w:p>
        </w:tc>
        <w:tc>
          <w:tcPr>
            <w:tcW w:w="220" w:type="dxa"/>
            <w:vAlign w:val="bottom"/>
            <w:tcBorders>
              <w:bottom w:val="single" w:sz="8" w:color="B2B2B2"/>
            </w:tcBorders>
            <w:shd w:val="clear" w:color="auto" w:fill="B2B2B2"/>
          </w:tcPr>
          <w:p>
            <w:pPr>
              <w:spacing w:after="0"/>
              <w:rPr>
                <w:sz w:val="18"/>
                <w:szCs w:val="18"/>
                <w:color w:val="auto"/>
              </w:rPr>
            </w:pPr>
          </w:p>
        </w:tc>
        <w:tc>
          <w:tcPr>
            <w:tcW w:w="180" w:type="dxa"/>
            <w:vAlign w:val="bottom"/>
            <w:tcBorders>
              <w:bottom w:val="single" w:sz="8" w:color="auto"/>
            </w:tcBorders>
            <w:shd w:val="clear" w:color="auto" w:fill="B2B2B2"/>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1,764,243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6"/>
          </w:tcPr>
          <w:p>
            <w:pPr>
              <w:ind w:left="3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9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B2B2B2"/>
          </w:tcPr>
          <w:p>
            <w:pPr>
              <w:spacing w:after="0"/>
              <w:rPr>
                <w:sz w:val="20"/>
                <w:szCs w:val="20"/>
                <w:color w:val="auto"/>
              </w:rPr>
            </w:pPr>
            <w:r>
              <w:rPr>
                <w:rFonts w:ascii="Arial" w:cs="Arial" w:eastAsia="Arial" w:hAnsi="Arial"/>
                <w:sz w:val="18"/>
                <w:szCs w:val="18"/>
                <w:b w:val="1"/>
                <w:bCs w:val="1"/>
                <w:color w:val="auto"/>
              </w:rPr>
              <w:t>Fee Revenue and Other Income:</w:t>
            </w:r>
          </w:p>
        </w:tc>
        <w:tc>
          <w:tcPr>
            <w:tcW w:w="26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Information services payment and processing revenue</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22,661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26,852</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48,164</w:t>
            </w:r>
          </w:p>
        </w:tc>
        <w:tc>
          <w:tcPr>
            <w:tcW w:w="40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B2B2B2"/>
          </w:tcPr>
          <w:p>
            <w:pPr>
              <w:spacing w:after="0"/>
              <w:rPr>
                <w:sz w:val="20"/>
                <w:szCs w:val="20"/>
                <w:color w:val="auto"/>
              </w:rPr>
            </w:pPr>
            <w:r>
              <w:rPr>
                <w:rFonts w:ascii="Arial" w:cs="Arial" w:eastAsia="Arial" w:hAnsi="Arial"/>
                <w:sz w:val="18"/>
                <w:szCs w:val="18"/>
                <w:color w:val="auto"/>
              </w:rPr>
              <w:t>Bank service fees</w:t>
            </w:r>
          </w:p>
        </w:tc>
        <w:tc>
          <w:tcPr>
            <w:tcW w:w="26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398</w:t>
            </w:r>
          </w:p>
        </w:tc>
        <w:tc>
          <w:tcPr>
            <w:tcW w:w="340" w:type="dxa"/>
            <w:vAlign w:val="bottom"/>
            <w:shd w:val="clear" w:color="auto" w:fill="B2B2B2"/>
          </w:tcPr>
          <w:p>
            <w:pPr>
              <w:spacing w:after="0"/>
              <w:rPr>
                <w:sz w:val="18"/>
                <w:szCs w:val="18"/>
                <w:color w:val="auto"/>
              </w:rPr>
            </w:pPr>
          </w:p>
        </w:tc>
        <w:tc>
          <w:tcPr>
            <w:tcW w:w="94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301</w:t>
            </w:r>
          </w:p>
        </w:tc>
        <w:tc>
          <w:tcPr>
            <w:tcW w:w="6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2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808</w:t>
            </w:r>
          </w:p>
        </w:tc>
        <w:tc>
          <w:tcPr>
            <w:tcW w:w="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Gains on sales of securities</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1,069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B2B2B2"/>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B2B2B2"/>
          </w:tcPr>
          <w:p>
            <w:pPr>
              <w:spacing w:after="0"/>
              <w:rPr>
                <w:sz w:val="18"/>
                <w:szCs w:val="18"/>
                <w:color w:val="auto"/>
              </w:rPr>
            </w:pPr>
          </w:p>
        </w:tc>
        <w:tc>
          <w:tcPr>
            <w:tcW w:w="94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211</w:t>
            </w:r>
          </w:p>
        </w:tc>
        <w:tc>
          <w:tcPr>
            <w:tcW w:w="6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2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228</w:t>
            </w:r>
          </w:p>
        </w:tc>
        <w:tc>
          <w:tcPr>
            <w:tcW w:w="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360"/>
              <w:spacing w:after="0"/>
              <w:rPr>
                <w:sz w:val="20"/>
                <w:szCs w:val="20"/>
                <w:color w:val="auto"/>
              </w:rPr>
            </w:pPr>
            <w:r>
              <w:rPr>
                <w:rFonts w:ascii="Arial" w:cs="Arial" w:eastAsia="Arial" w:hAnsi="Arial"/>
                <w:sz w:val="18"/>
                <w:szCs w:val="18"/>
                <w:color w:val="auto"/>
              </w:rPr>
              <w:t>Total fee revenue and other income</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23,174</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27,372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50,269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B2B2B2"/>
          </w:tcPr>
          <w:p>
            <w:pPr>
              <w:spacing w:after="0"/>
              <w:rPr>
                <w:sz w:val="20"/>
                <w:szCs w:val="20"/>
                <w:color w:val="auto"/>
              </w:rPr>
            </w:pPr>
            <w:r>
              <w:rPr>
                <w:rFonts w:ascii="Arial" w:cs="Arial" w:eastAsia="Arial" w:hAnsi="Arial"/>
                <w:sz w:val="18"/>
                <w:szCs w:val="18"/>
                <w:b w:val="1"/>
                <w:bCs w:val="1"/>
                <w:color w:val="auto"/>
              </w:rPr>
              <w:t>Interest Income:</w:t>
            </w:r>
          </w:p>
        </w:tc>
        <w:tc>
          <w:tcPr>
            <w:tcW w:w="26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Interest and fees on loans</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9,298</w:t>
            </w:r>
          </w:p>
        </w:tc>
        <w:tc>
          <w:tcPr>
            <w:tcW w:w="3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9,387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18,299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B2B2B2"/>
          </w:tcPr>
          <w:p>
            <w:pPr>
              <w:spacing w:after="0"/>
              <w:rPr>
                <w:sz w:val="20"/>
                <w:szCs w:val="20"/>
                <w:color w:val="auto"/>
              </w:rPr>
            </w:pPr>
            <w:r>
              <w:rPr>
                <w:rFonts w:ascii="Arial" w:cs="Arial" w:eastAsia="Arial" w:hAnsi="Arial"/>
                <w:sz w:val="18"/>
                <w:szCs w:val="18"/>
                <w:color w:val="auto"/>
              </w:rPr>
              <w:t>Interest and dividends on securities:</w:t>
            </w:r>
          </w:p>
        </w:tc>
        <w:tc>
          <w:tcPr>
            <w:tcW w:w="26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360"/>
              <w:spacing w:after="0"/>
              <w:rPr>
                <w:sz w:val="20"/>
                <w:szCs w:val="20"/>
                <w:color w:val="auto"/>
              </w:rPr>
            </w:pPr>
            <w:r>
              <w:rPr>
                <w:rFonts w:ascii="Arial" w:cs="Arial" w:eastAsia="Arial" w:hAnsi="Arial"/>
                <w:sz w:val="18"/>
                <w:szCs w:val="18"/>
                <w:color w:val="auto"/>
              </w:rPr>
              <w:t>Taxable</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473</w:t>
            </w:r>
          </w:p>
        </w:tc>
        <w:tc>
          <w:tcPr>
            <w:tcW w:w="3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639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1,033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B2B2B2"/>
          </w:tcPr>
          <w:p>
            <w:pPr>
              <w:ind w:left="360"/>
              <w:spacing w:after="0"/>
              <w:rPr>
                <w:sz w:val="20"/>
                <w:szCs w:val="20"/>
                <w:color w:val="auto"/>
              </w:rPr>
            </w:pPr>
            <w:r>
              <w:rPr>
                <w:rFonts w:ascii="Arial" w:cs="Arial" w:eastAsia="Arial" w:hAnsi="Arial"/>
                <w:sz w:val="18"/>
                <w:szCs w:val="18"/>
                <w:color w:val="auto"/>
              </w:rPr>
              <w:t>Exempt from federal income taxes</w:t>
            </w:r>
          </w:p>
        </w:tc>
        <w:tc>
          <w:tcPr>
            <w:tcW w:w="26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1,785</w:t>
            </w:r>
          </w:p>
        </w:tc>
        <w:tc>
          <w:tcPr>
            <w:tcW w:w="340" w:type="dxa"/>
            <w:vAlign w:val="bottom"/>
            <w:shd w:val="clear" w:color="auto" w:fill="B2B2B2"/>
          </w:tcPr>
          <w:p>
            <w:pPr>
              <w:spacing w:after="0"/>
              <w:rPr>
                <w:sz w:val="18"/>
                <w:szCs w:val="18"/>
                <w:color w:val="auto"/>
              </w:rPr>
            </w:pPr>
          </w:p>
        </w:tc>
        <w:tc>
          <w:tcPr>
            <w:tcW w:w="94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1,994</w:t>
            </w:r>
          </w:p>
        </w:tc>
        <w:tc>
          <w:tcPr>
            <w:tcW w:w="6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2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3,604</w:t>
            </w:r>
          </w:p>
        </w:tc>
        <w:tc>
          <w:tcPr>
            <w:tcW w:w="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Interest on federal funds sold and other short-term investments</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3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1,307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1,044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top w:val="single" w:sz="8" w:color="B2B2B2"/>
              <w:bottom w:val="single" w:sz="8" w:color="B2B2B2"/>
            </w:tcBorders>
            <w:shd w:val="clear" w:color="auto" w:fill="B2B2B2"/>
          </w:tcPr>
          <w:p>
            <w:pPr>
              <w:ind w:left="360"/>
              <w:spacing w:after="0"/>
              <w:rPr>
                <w:sz w:val="20"/>
                <w:szCs w:val="20"/>
                <w:color w:val="auto"/>
              </w:rPr>
            </w:pPr>
            <w:r>
              <w:rPr>
                <w:rFonts w:ascii="Arial" w:cs="Arial" w:eastAsia="Arial" w:hAnsi="Arial"/>
                <w:sz w:val="18"/>
                <w:szCs w:val="18"/>
                <w:color w:val="auto"/>
              </w:rPr>
              <w:t>Total interest income</w:t>
            </w:r>
          </w:p>
        </w:tc>
        <w:tc>
          <w:tcPr>
            <w:tcW w:w="260" w:type="dxa"/>
            <w:vAlign w:val="bottom"/>
            <w:tcBorders>
              <w:top w:val="single" w:sz="8" w:color="auto"/>
              <w:bottom w:val="single" w:sz="8" w:color="auto"/>
            </w:tcBorders>
            <w:shd w:val="clear" w:color="auto" w:fill="B2B2B2"/>
          </w:tcPr>
          <w:p>
            <w:pPr>
              <w:spacing w:after="0"/>
              <w:rPr>
                <w:sz w:val="18"/>
                <w:szCs w:val="18"/>
                <w:color w:val="auto"/>
              </w:rPr>
            </w:pPr>
          </w:p>
        </w:tc>
        <w:tc>
          <w:tcPr>
            <w:tcW w:w="9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11,642</w:t>
            </w:r>
          </w:p>
        </w:tc>
        <w:tc>
          <w:tcPr>
            <w:tcW w:w="120" w:type="dxa"/>
            <w:vAlign w:val="bottom"/>
            <w:tcBorders>
              <w:top w:val="single" w:sz="8" w:color="B2B2B2"/>
              <w:bottom w:val="single" w:sz="8" w:color="B2B2B2"/>
            </w:tcBorders>
            <w:shd w:val="clear" w:color="auto" w:fill="B2B2B2"/>
          </w:tcPr>
          <w:p>
            <w:pPr>
              <w:spacing w:after="0"/>
              <w:rPr>
                <w:sz w:val="18"/>
                <w:szCs w:val="18"/>
                <w:color w:val="auto"/>
              </w:rPr>
            </w:pPr>
          </w:p>
        </w:tc>
        <w:tc>
          <w:tcPr>
            <w:tcW w:w="340" w:type="dxa"/>
            <w:vAlign w:val="bottom"/>
            <w:tcBorders>
              <w:top w:val="single" w:sz="8" w:color="auto"/>
              <w:bottom w:val="single" w:sz="8" w:color="auto"/>
            </w:tcBorders>
            <w:shd w:val="clear" w:color="auto" w:fill="B2B2B2"/>
          </w:tcPr>
          <w:p>
            <w:pPr>
              <w:spacing w:after="0"/>
              <w:rPr>
                <w:sz w:val="18"/>
                <w:szCs w:val="18"/>
                <w:color w:val="auto"/>
              </w:rPr>
            </w:pPr>
          </w:p>
        </w:tc>
        <w:tc>
          <w:tcPr>
            <w:tcW w:w="9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13,327</w:t>
            </w:r>
          </w:p>
        </w:tc>
        <w:tc>
          <w:tcPr>
            <w:tcW w:w="40" w:type="dxa"/>
            <w:vAlign w:val="bottom"/>
            <w:tcBorders>
              <w:top w:val="single" w:sz="8" w:color="B2B2B2"/>
              <w:bottom w:val="single" w:sz="8" w:color="B2B2B2"/>
            </w:tcBorders>
            <w:shd w:val="clear" w:color="auto" w:fill="B2B2B2"/>
          </w:tcPr>
          <w:p>
            <w:pPr>
              <w:spacing w:after="0"/>
              <w:rPr>
                <w:sz w:val="18"/>
                <w:szCs w:val="18"/>
                <w:color w:val="auto"/>
              </w:rPr>
            </w:pPr>
          </w:p>
        </w:tc>
        <w:tc>
          <w:tcPr>
            <w:tcW w:w="60" w:type="dxa"/>
            <w:vAlign w:val="bottom"/>
            <w:tcBorders>
              <w:top w:val="single" w:sz="8" w:color="B2B2B2"/>
              <w:bottom w:val="single" w:sz="8" w:color="B2B2B2"/>
            </w:tcBorders>
            <w:shd w:val="clear" w:color="auto" w:fill="B2B2B2"/>
          </w:tcPr>
          <w:p>
            <w:pPr>
              <w:spacing w:after="0"/>
              <w:rPr>
                <w:sz w:val="18"/>
                <w:szCs w:val="18"/>
                <w:color w:val="auto"/>
              </w:rPr>
            </w:pPr>
          </w:p>
        </w:tc>
        <w:tc>
          <w:tcPr>
            <w:tcW w:w="260" w:type="dxa"/>
            <w:vAlign w:val="bottom"/>
            <w:tcBorders>
              <w:top w:val="single" w:sz="8" w:color="auto"/>
              <w:bottom w:val="single" w:sz="8" w:color="auto"/>
            </w:tcBorders>
            <w:shd w:val="clear" w:color="auto" w:fill="B2B2B2"/>
          </w:tcPr>
          <w:p>
            <w:pPr>
              <w:spacing w:after="0"/>
              <w:rPr>
                <w:sz w:val="18"/>
                <w:szCs w:val="18"/>
                <w:color w:val="auto"/>
              </w:rPr>
            </w:pPr>
          </w:p>
        </w:tc>
        <w:tc>
          <w:tcPr>
            <w:tcW w:w="96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23,980</w:t>
            </w:r>
          </w:p>
        </w:tc>
        <w:tc>
          <w:tcPr>
            <w:tcW w:w="60" w:type="dxa"/>
            <w:vAlign w:val="bottom"/>
            <w:tcBorders>
              <w:top w:val="single" w:sz="8" w:color="B2B2B2"/>
              <w:bottom w:val="single" w:sz="8" w:color="B2B2B2"/>
            </w:tcBorders>
            <w:shd w:val="clear" w:color="auto" w:fill="B2B2B2"/>
          </w:tcPr>
          <w:p>
            <w:pPr>
              <w:spacing w:after="0"/>
              <w:rPr>
                <w:sz w:val="18"/>
                <w:szCs w:val="18"/>
                <w:color w:val="auto"/>
              </w:rPr>
            </w:pPr>
          </w:p>
        </w:tc>
        <w:tc>
          <w:tcPr>
            <w:tcW w:w="60" w:type="dxa"/>
            <w:vAlign w:val="bottom"/>
            <w:tcBorders>
              <w:top w:val="single" w:sz="8" w:color="B2B2B2"/>
              <w:bottom w:val="single" w:sz="8" w:color="B2B2B2"/>
            </w:tcBorders>
            <w:shd w:val="clear" w:color="auto" w:fill="B2B2B2"/>
          </w:tcPr>
          <w:p>
            <w:pPr>
              <w:spacing w:after="0"/>
              <w:rPr>
                <w:sz w:val="18"/>
                <w:szCs w:val="18"/>
                <w:color w:val="auto"/>
              </w:rPr>
            </w:pPr>
          </w:p>
        </w:tc>
        <w:tc>
          <w:tcPr>
            <w:tcW w:w="340" w:type="dxa"/>
            <w:vAlign w:val="bottom"/>
            <w:tcBorders>
              <w:top w:val="single" w:sz="8" w:color="auto"/>
              <w:bottom w:val="single" w:sz="8" w:color="auto"/>
            </w:tcBorders>
            <w:shd w:val="clear" w:color="auto" w:fill="B2B2B2"/>
          </w:tcPr>
          <w:p>
            <w:pPr>
              <w:spacing w:after="0"/>
              <w:rPr>
                <w:sz w:val="18"/>
                <w:szCs w:val="18"/>
                <w:color w:val="auto"/>
              </w:rPr>
            </w:pPr>
          </w:p>
        </w:tc>
        <w:tc>
          <w:tcPr>
            <w:tcW w:w="8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26,224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980" w:type="dxa"/>
            <w:vAlign w:val="bottom"/>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98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340" w:type="dxa"/>
            <w:vAlign w:val="bottom"/>
            <w:shd w:val="clear" w:color="auto" w:fill="B2B2B2"/>
          </w:tcPr>
          <w:p>
            <w:pPr>
              <w:spacing w:after="0"/>
              <w:rPr>
                <w:sz w:val="17"/>
                <w:szCs w:val="17"/>
                <w:color w:val="auto"/>
              </w:rPr>
            </w:pPr>
          </w:p>
        </w:tc>
        <w:tc>
          <w:tcPr>
            <w:tcW w:w="900" w:type="dxa"/>
            <w:vAlign w:val="bottom"/>
            <w:shd w:val="clear" w:color="auto" w:fill="B2B2B2"/>
          </w:tcPr>
          <w:p>
            <w:pPr>
              <w:spacing w:after="0"/>
              <w:rPr>
                <w:sz w:val="17"/>
                <w:szCs w:val="17"/>
                <w:color w:val="auto"/>
              </w:rPr>
            </w:pPr>
          </w:p>
        </w:tc>
        <w:tc>
          <w:tcPr>
            <w:tcW w:w="40" w:type="dxa"/>
            <w:vAlign w:val="bottom"/>
            <w:shd w:val="clear" w:color="auto" w:fill="B2B2B2"/>
          </w:tcPr>
          <w:p>
            <w:pPr>
              <w:spacing w:after="0"/>
              <w:rPr>
                <w:sz w:val="17"/>
                <w:szCs w:val="17"/>
                <w:color w:val="auto"/>
              </w:rPr>
            </w:pPr>
          </w:p>
        </w:tc>
        <w:tc>
          <w:tcPr>
            <w:tcW w:w="60" w:type="dxa"/>
            <w:vAlign w:val="bottom"/>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960" w:type="dxa"/>
            <w:vAlign w:val="bottom"/>
            <w:shd w:val="clear" w:color="auto" w:fill="B2B2B2"/>
          </w:tcPr>
          <w:p>
            <w:pPr>
              <w:spacing w:after="0"/>
              <w:rPr>
                <w:sz w:val="17"/>
                <w:szCs w:val="17"/>
                <w:color w:val="auto"/>
              </w:rPr>
            </w:pPr>
          </w:p>
        </w:tc>
        <w:tc>
          <w:tcPr>
            <w:tcW w:w="60" w:type="dxa"/>
            <w:vAlign w:val="bottom"/>
            <w:shd w:val="clear" w:color="auto" w:fill="B2B2B2"/>
          </w:tcPr>
          <w:p>
            <w:pPr>
              <w:spacing w:after="0"/>
              <w:rPr>
                <w:sz w:val="17"/>
                <w:szCs w:val="17"/>
                <w:color w:val="auto"/>
              </w:rPr>
            </w:pPr>
          </w:p>
        </w:tc>
        <w:tc>
          <w:tcPr>
            <w:tcW w:w="60" w:type="dxa"/>
            <w:vAlign w:val="bottom"/>
            <w:shd w:val="clear" w:color="auto" w:fill="B2B2B2"/>
          </w:tcPr>
          <w:p>
            <w:pPr>
              <w:spacing w:after="0"/>
              <w:rPr>
                <w:sz w:val="17"/>
                <w:szCs w:val="17"/>
                <w:color w:val="auto"/>
              </w:rPr>
            </w:pPr>
          </w:p>
        </w:tc>
        <w:tc>
          <w:tcPr>
            <w:tcW w:w="340" w:type="dxa"/>
            <w:vAlign w:val="bottom"/>
            <w:shd w:val="clear" w:color="auto" w:fill="B2B2B2"/>
          </w:tcPr>
          <w:p>
            <w:pPr>
              <w:spacing w:after="0"/>
              <w:rPr>
                <w:sz w:val="17"/>
                <w:szCs w:val="17"/>
                <w:color w:val="auto"/>
              </w:rPr>
            </w:pPr>
          </w:p>
        </w:tc>
        <w:tc>
          <w:tcPr>
            <w:tcW w:w="880" w:type="dxa"/>
            <w:vAlign w:val="bottom"/>
            <w:shd w:val="clear" w:color="auto" w:fill="B2B2B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B2B2B2"/>
          </w:tcPr>
          <w:p>
            <w:pPr>
              <w:spacing w:after="0"/>
              <w:rPr>
                <w:sz w:val="20"/>
                <w:szCs w:val="20"/>
                <w:color w:val="auto"/>
              </w:rPr>
            </w:pPr>
            <w:r>
              <w:rPr>
                <w:rFonts w:ascii="Arial" w:cs="Arial" w:eastAsia="Arial" w:hAnsi="Arial"/>
                <w:sz w:val="18"/>
                <w:szCs w:val="18"/>
                <w:color w:val="auto"/>
              </w:rPr>
              <w:t>Interest on deposits</w:t>
            </w:r>
          </w:p>
        </w:tc>
        <w:tc>
          <w:tcPr>
            <w:tcW w:w="26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481</w:t>
            </w:r>
          </w:p>
        </w:tc>
        <w:tc>
          <w:tcPr>
            <w:tcW w:w="340" w:type="dxa"/>
            <w:vAlign w:val="bottom"/>
            <w:shd w:val="clear" w:color="auto" w:fill="B2B2B2"/>
          </w:tcPr>
          <w:p>
            <w:pPr>
              <w:spacing w:after="0"/>
              <w:rPr>
                <w:sz w:val="18"/>
                <w:szCs w:val="18"/>
                <w:color w:val="auto"/>
              </w:rPr>
            </w:pPr>
          </w:p>
        </w:tc>
        <w:tc>
          <w:tcPr>
            <w:tcW w:w="94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1,305</w:t>
            </w:r>
          </w:p>
        </w:tc>
        <w:tc>
          <w:tcPr>
            <w:tcW w:w="6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2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1,444</w:t>
            </w:r>
          </w:p>
        </w:tc>
        <w:tc>
          <w:tcPr>
            <w:tcW w:w="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Interest on short-term borrowings</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top w:val="single" w:sz="8" w:color="B2B2B2"/>
            </w:tcBorders>
            <w:shd w:val="clear" w:color="auto" w:fill="B2B2B2"/>
          </w:tcPr>
          <w:p>
            <w:pPr>
              <w:ind w:left="360"/>
              <w:spacing w:after="0"/>
              <w:rPr>
                <w:sz w:val="20"/>
                <w:szCs w:val="20"/>
                <w:color w:val="auto"/>
              </w:rPr>
            </w:pPr>
            <w:r>
              <w:rPr>
                <w:rFonts w:ascii="Arial" w:cs="Arial" w:eastAsia="Arial" w:hAnsi="Arial"/>
                <w:sz w:val="18"/>
                <w:szCs w:val="18"/>
                <w:color w:val="auto"/>
              </w:rPr>
              <w:t>Total interest expense</w:t>
            </w:r>
          </w:p>
        </w:tc>
        <w:tc>
          <w:tcPr>
            <w:tcW w:w="260" w:type="dxa"/>
            <w:vAlign w:val="bottom"/>
            <w:tcBorders>
              <w:top w:val="single" w:sz="8" w:color="auto"/>
              <w:bottom w:val="single" w:sz="8" w:color="auto"/>
            </w:tcBorders>
            <w:shd w:val="clear" w:color="auto" w:fill="B2B2B2"/>
          </w:tcPr>
          <w:p>
            <w:pPr>
              <w:spacing w:after="0"/>
              <w:rPr>
                <w:sz w:val="18"/>
                <w:szCs w:val="18"/>
                <w:color w:val="auto"/>
              </w:rPr>
            </w:pPr>
          </w:p>
        </w:tc>
        <w:tc>
          <w:tcPr>
            <w:tcW w:w="9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Borders>
              <w:top w:val="single" w:sz="8" w:color="B2B2B2"/>
            </w:tcBorders>
            <w:shd w:val="clear" w:color="auto" w:fill="B2B2B2"/>
          </w:tcPr>
          <w:p>
            <w:pPr>
              <w:spacing w:after="0"/>
              <w:rPr>
                <w:sz w:val="18"/>
                <w:szCs w:val="18"/>
                <w:color w:val="auto"/>
              </w:rPr>
            </w:pPr>
          </w:p>
        </w:tc>
        <w:tc>
          <w:tcPr>
            <w:tcW w:w="340" w:type="dxa"/>
            <w:vAlign w:val="bottom"/>
            <w:tcBorders>
              <w:top w:val="single" w:sz="8" w:color="auto"/>
              <w:bottom w:val="single" w:sz="8" w:color="auto"/>
            </w:tcBorders>
            <w:shd w:val="clear" w:color="auto" w:fill="B2B2B2"/>
          </w:tcPr>
          <w:p>
            <w:pPr>
              <w:spacing w:after="0"/>
              <w:rPr>
                <w:sz w:val="18"/>
                <w:szCs w:val="18"/>
                <w:color w:val="auto"/>
              </w:rPr>
            </w:pPr>
          </w:p>
        </w:tc>
        <w:tc>
          <w:tcPr>
            <w:tcW w:w="9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1,305</w:t>
            </w:r>
          </w:p>
        </w:tc>
        <w:tc>
          <w:tcPr>
            <w:tcW w:w="40" w:type="dxa"/>
            <w:vAlign w:val="bottom"/>
            <w:tcBorders>
              <w:top w:val="single" w:sz="8" w:color="B2B2B2"/>
            </w:tcBorders>
            <w:shd w:val="clear" w:color="auto" w:fill="B2B2B2"/>
          </w:tcPr>
          <w:p>
            <w:pPr>
              <w:spacing w:after="0"/>
              <w:rPr>
                <w:sz w:val="18"/>
                <w:szCs w:val="18"/>
                <w:color w:val="auto"/>
              </w:rPr>
            </w:pPr>
          </w:p>
        </w:tc>
        <w:tc>
          <w:tcPr>
            <w:tcW w:w="60" w:type="dxa"/>
            <w:vAlign w:val="bottom"/>
            <w:tcBorders>
              <w:top w:val="single" w:sz="8" w:color="B2B2B2"/>
            </w:tcBorders>
            <w:shd w:val="clear" w:color="auto" w:fill="B2B2B2"/>
          </w:tcPr>
          <w:p>
            <w:pPr>
              <w:spacing w:after="0"/>
              <w:rPr>
                <w:sz w:val="18"/>
                <w:szCs w:val="18"/>
                <w:color w:val="auto"/>
              </w:rPr>
            </w:pPr>
          </w:p>
        </w:tc>
        <w:tc>
          <w:tcPr>
            <w:tcW w:w="260" w:type="dxa"/>
            <w:vAlign w:val="bottom"/>
            <w:tcBorders>
              <w:top w:val="single" w:sz="8" w:color="auto"/>
              <w:bottom w:val="single" w:sz="8" w:color="auto"/>
            </w:tcBorders>
            <w:shd w:val="clear" w:color="auto" w:fill="B2B2B2"/>
          </w:tcPr>
          <w:p>
            <w:pPr>
              <w:spacing w:after="0"/>
              <w:rPr>
                <w:sz w:val="18"/>
                <w:szCs w:val="18"/>
                <w:color w:val="auto"/>
              </w:rPr>
            </w:pPr>
          </w:p>
        </w:tc>
        <w:tc>
          <w:tcPr>
            <w:tcW w:w="96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1,446</w:t>
            </w:r>
          </w:p>
        </w:tc>
        <w:tc>
          <w:tcPr>
            <w:tcW w:w="60" w:type="dxa"/>
            <w:vAlign w:val="bottom"/>
            <w:tcBorders>
              <w:top w:val="single" w:sz="8" w:color="B2B2B2"/>
            </w:tcBorders>
            <w:shd w:val="clear" w:color="auto" w:fill="B2B2B2"/>
          </w:tcPr>
          <w:p>
            <w:pPr>
              <w:spacing w:after="0"/>
              <w:rPr>
                <w:sz w:val="18"/>
                <w:szCs w:val="18"/>
                <w:color w:val="auto"/>
              </w:rPr>
            </w:pPr>
          </w:p>
        </w:tc>
        <w:tc>
          <w:tcPr>
            <w:tcW w:w="60" w:type="dxa"/>
            <w:vAlign w:val="bottom"/>
            <w:tcBorders>
              <w:top w:val="single" w:sz="8" w:color="B2B2B2"/>
            </w:tcBorders>
            <w:shd w:val="clear" w:color="auto" w:fill="B2B2B2"/>
          </w:tcPr>
          <w:p>
            <w:pPr>
              <w:spacing w:after="0"/>
              <w:rPr>
                <w:sz w:val="18"/>
                <w:szCs w:val="18"/>
                <w:color w:val="auto"/>
              </w:rPr>
            </w:pPr>
          </w:p>
        </w:tc>
        <w:tc>
          <w:tcPr>
            <w:tcW w:w="340" w:type="dxa"/>
            <w:vAlign w:val="bottom"/>
            <w:tcBorders>
              <w:top w:val="single" w:sz="8" w:color="auto"/>
              <w:bottom w:val="single" w:sz="8" w:color="auto"/>
            </w:tcBorders>
            <w:shd w:val="clear" w:color="auto" w:fill="B2B2B2"/>
          </w:tcPr>
          <w:p>
            <w:pPr>
              <w:spacing w:after="0"/>
              <w:rPr>
                <w:sz w:val="18"/>
                <w:szCs w:val="18"/>
                <w:color w:val="auto"/>
              </w:rPr>
            </w:pPr>
          </w:p>
        </w:tc>
        <w:tc>
          <w:tcPr>
            <w:tcW w:w="8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360"/>
              <w:spacing w:after="0"/>
              <w:rPr>
                <w:sz w:val="20"/>
                <w:szCs w:val="20"/>
                <w:color w:val="auto"/>
              </w:rPr>
            </w:pPr>
            <w:r>
              <w:rPr>
                <w:rFonts w:ascii="Arial" w:cs="Arial" w:eastAsia="Arial" w:hAnsi="Arial"/>
                <w:sz w:val="18"/>
                <w:szCs w:val="18"/>
                <w:color w:val="auto"/>
              </w:rPr>
              <w:t>Net interest income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11,161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22,534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B2B2B2"/>
          </w:tcPr>
          <w:p>
            <w:pPr>
              <w:spacing w:after="0"/>
              <w:rPr>
                <w:sz w:val="20"/>
                <w:szCs w:val="20"/>
                <w:color w:val="auto"/>
              </w:rPr>
            </w:pPr>
            <w:r>
              <w:rPr>
                <w:rFonts w:ascii="Arial" w:cs="Arial" w:eastAsia="Arial" w:hAnsi="Arial"/>
                <w:sz w:val="18"/>
                <w:szCs w:val="18"/>
                <w:color w:val="auto"/>
              </w:rPr>
              <w:t>Provision for loan losses</w:t>
            </w:r>
          </w:p>
        </w:tc>
        <w:tc>
          <w:tcPr>
            <w:tcW w:w="26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400</w:t>
            </w:r>
          </w:p>
        </w:tc>
        <w:tc>
          <w:tcPr>
            <w:tcW w:w="340" w:type="dxa"/>
            <w:vAlign w:val="bottom"/>
            <w:shd w:val="clear" w:color="auto" w:fill="B2B2B2"/>
          </w:tcPr>
          <w:p>
            <w:pPr>
              <w:spacing w:after="0"/>
              <w:rPr>
                <w:sz w:val="18"/>
                <w:szCs w:val="18"/>
                <w:color w:val="auto"/>
              </w:rPr>
            </w:pPr>
          </w:p>
        </w:tc>
        <w:tc>
          <w:tcPr>
            <w:tcW w:w="94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2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725</w:t>
            </w:r>
          </w:p>
        </w:tc>
        <w:tc>
          <w:tcPr>
            <w:tcW w:w="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bottom w:val="single" w:sz="8" w:color="B2B2B2"/>
            </w:tcBorders>
          </w:tcPr>
          <w:p>
            <w:pPr>
              <w:ind w:left="540"/>
              <w:spacing w:after="0"/>
              <w:rPr>
                <w:sz w:val="20"/>
                <w:szCs w:val="20"/>
                <w:color w:val="auto"/>
              </w:rPr>
            </w:pPr>
            <w:r>
              <w:rPr>
                <w:rFonts w:ascii="Arial" w:cs="Arial" w:eastAsia="Arial" w:hAnsi="Arial"/>
                <w:sz w:val="18"/>
                <w:szCs w:val="18"/>
                <w:color w:val="auto"/>
              </w:rPr>
              <w:t>Net interest income after provision for loan losses</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10,761</w:t>
            </w:r>
          </w:p>
        </w:tc>
        <w:tc>
          <w:tcPr>
            <w:tcW w:w="120" w:type="dxa"/>
            <w:vAlign w:val="bottom"/>
            <w:tcBorders>
              <w:bottom w:val="single" w:sz="8" w:color="B2B2B2"/>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12,022</w:t>
            </w:r>
          </w:p>
        </w:tc>
        <w:tc>
          <w:tcPr>
            <w:tcW w:w="40" w:type="dxa"/>
            <w:vAlign w:val="bottom"/>
            <w:tcBorders>
              <w:bottom w:val="single" w:sz="8" w:color="B2B2B2"/>
            </w:tcBorders>
          </w:tcPr>
          <w:p>
            <w:pPr>
              <w:spacing w:after="0"/>
              <w:rPr>
                <w:sz w:val="18"/>
                <w:szCs w:val="18"/>
                <w:color w:val="auto"/>
              </w:rPr>
            </w:pPr>
          </w:p>
        </w:tc>
        <w:tc>
          <w:tcPr>
            <w:tcW w:w="60" w:type="dxa"/>
            <w:vAlign w:val="bottom"/>
            <w:tcBorders>
              <w:bottom w:val="single" w:sz="8" w:color="B2B2B2"/>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21,809</w:t>
            </w:r>
          </w:p>
        </w:tc>
        <w:tc>
          <w:tcPr>
            <w:tcW w:w="60" w:type="dxa"/>
            <w:vAlign w:val="bottom"/>
            <w:tcBorders>
              <w:bottom w:val="single" w:sz="8" w:color="B2B2B2"/>
            </w:tcBorders>
          </w:tcPr>
          <w:p>
            <w:pPr>
              <w:spacing w:after="0"/>
              <w:rPr>
                <w:sz w:val="18"/>
                <w:szCs w:val="18"/>
                <w:color w:val="auto"/>
              </w:rPr>
            </w:pPr>
          </w:p>
        </w:tc>
        <w:tc>
          <w:tcPr>
            <w:tcW w:w="60" w:type="dxa"/>
            <w:vAlign w:val="bottom"/>
            <w:tcBorders>
              <w:bottom w:val="single" w:sz="8" w:color="B2B2B2"/>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B2B2B2"/>
          </w:tcPr>
          <w:p>
            <w:pPr>
              <w:ind w:left="540"/>
              <w:spacing w:after="0"/>
              <w:rPr>
                <w:sz w:val="20"/>
                <w:szCs w:val="20"/>
                <w:color w:val="auto"/>
              </w:rPr>
            </w:pPr>
            <w:r>
              <w:rPr>
                <w:rFonts w:ascii="Arial" w:cs="Arial" w:eastAsia="Arial" w:hAnsi="Arial"/>
                <w:sz w:val="18"/>
                <w:szCs w:val="18"/>
                <w:color w:val="auto"/>
              </w:rPr>
              <w:t>Total net revenue</w:t>
            </w:r>
          </w:p>
        </w:tc>
        <w:tc>
          <w:tcPr>
            <w:tcW w:w="26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33,935</w:t>
            </w:r>
          </w:p>
        </w:tc>
        <w:tc>
          <w:tcPr>
            <w:tcW w:w="1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39,394</w:t>
            </w: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72,078</w:t>
            </w: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77,764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B2B2B2"/>
          </w:tcPr>
          <w:p>
            <w:pPr>
              <w:spacing w:after="0"/>
              <w:rPr>
                <w:sz w:val="20"/>
                <w:szCs w:val="20"/>
                <w:color w:val="auto"/>
              </w:rPr>
            </w:pPr>
            <w:r>
              <w:rPr>
                <w:rFonts w:ascii="Arial" w:cs="Arial" w:eastAsia="Arial" w:hAnsi="Arial"/>
                <w:sz w:val="18"/>
                <w:szCs w:val="18"/>
                <w:color w:val="auto"/>
              </w:rPr>
              <w:t>Personnel</w:t>
            </w:r>
          </w:p>
        </w:tc>
        <w:tc>
          <w:tcPr>
            <w:tcW w:w="26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20,891</w:t>
            </w:r>
          </w:p>
        </w:tc>
        <w:tc>
          <w:tcPr>
            <w:tcW w:w="340" w:type="dxa"/>
            <w:vAlign w:val="bottom"/>
            <w:shd w:val="clear" w:color="auto" w:fill="B2B2B2"/>
          </w:tcPr>
          <w:p>
            <w:pPr>
              <w:spacing w:after="0"/>
              <w:rPr>
                <w:sz w:val="18"/>
                <w:szCs w:val="18"/>
                <w:color w:val="auto"/>
              </w:rPr>
            </w:pPr>
          </w:p>
        </w:tc>
        <w:tc>
          <w:tcPr>
            <w:tcW w:w="94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22,803</w:t>
            </w:r>
          </w:p>
        </w:tc>
        <w:tc>
          <w:tcPr>
            <w:tcW w:w="6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2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43,318</w:t>
            </w:r>
          </w:p>
        </w:tc>
        <w:tc>
          <w:tcPr>
            <w:tcW w:w="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45,080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Occupancy</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938</w:t>
            </w:r>
          </w:p>
        </w:tc>
        <w:tc>
          <w:tcPr>
            <w:tcW w:w="3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998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1,879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B2B2B2"/>
          </w:tcPr>
          <w:p>
            <w:pPr>
              <w:spacing w:after="0"/>
              <w:rPr>
                <w:sz w:val="20"/>
                <w:szCs w:val="20"/>
                <w:color w:val="auto"/>
              </w:rPr>
            </w:pPr>
            <w:r>
              <w:rPr>
                <w:rFonts w:ascii="Arial" w:cs="Arial" w:eastAsia="Arial" w:hAnsi="Arial"/>
                <w:sz w:val="18"/>
                <w:szCs w:val="18"/>
                <w:color w:val="auto"/>
              </w:rPr>
              <w:t>Equipment</w:t>
            </w:r>
          </w:p>
        </w:tc>
        <w:tc>
          <w:tcPr>
            <w:tcW w:w="26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1,617</w:t>
            </w:r>
          </w:p>
        </w:tc>
        <w:tc>
          <w:tcPr>
            <w:tcW w:w="340" w:type="dxa"/>
            <w:vAlign w:val="bottom"/>
            <w:shd w:val="clear" w:color="auto" w:fill="B2B2B2"/>
          </w:tcPr>
          <w:p>
            <w:pPr>
              <w:spacing w:after="0"/>
              <w:rPr>
                <w:sz w:val="18"/>
                <w:szCs w:val="18"/>
                <w:color w:val="auto"/>
              </w:rPr>
            </w:pPr>
          </w:p>
        </w:tc>
        <w:tc>
          <w:tcPr>
            <w:tcW w:w="94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1,552</w:t>
            </w:r>
          </w:p>
        </w:tc>
        <w:tc>
          <w:tcPr>
            <w:tcW w:w="6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2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3,252</w:t>
            </w:r>
          </w:p>
        </w:tc>
        <w:tc>
          <w:tcPr>
            <w:tcW w:w="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214</w:t>
            </w:r>
          </w:p>
        </w:tc>
        <w:tc>
          <w:tcPr>
            <w:tcW w:w="3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429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B2B2B2"/>
          </w:tcPr>
          <w:p>
            <w:pPr>
              <w:spacing w:after="0"/>
              <w:rPr>
                <w:sz w:val="20"/>
                <w:szCs w:val="20"/>
                <w:color w:val="auto"/>
              </w:rPr>
            </w:pPr>
            <w:r>
              <w:rPr>
                <w:rFonts w:ascii="Arial" w:cs="Arial" w:eastAsia="Arial" w:hAnsi="Arial"/>
                <w:sz w:val="18"/>
                <w:szCs w:val="18"/>
                <w:color w:val="auto"/>
              </w:rPr>
              <w:t>Other operating expense</w:t>
            </w:r>
          </w:p>
        </w:tc>
        <w:tc>
          <w:tcPr>
            <w:tcW w:w="26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3,697</w:t>
            </w:r>
          </w:p>
        </w:tc>
        <w:tc>
          <w:tcPr>
            <w:tcW w:w="340" w:type="dxa"/>
            <w:vAlign w:val="bottom"/>
            <w:shd w:val="clear" w:color="auto" w:fill="B2B2B2"/>
          </w:tcPr>
          <w:p>
            <w:pPr>
              <w:spacing w:after="0"/>
              <w:rPr>
                <w:sz w:val="18"/>
                <w:szCs w:val="18"/>
                <w:color w:val="auto"/>
              </w:rPr>
            </w:pPr>
          </w:p>
        </w:tc>
        <w:tc>
          <w:tcPr>
            <w:tcW w:w="94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4,516</w:t>
            </w:r>
          </w:p>
        </w:tc>
        <w:tc>
          <w:tcPr>
            <w:tcW w:w="6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2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7,408</w:t>
            </w:r>
          </w:p>
        </w:tc>
        <w:tc>
          <w:tcPr>
            <w:tcW w:w="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bottom w:val="single" w:sz="8" w:color="B2B2B2"/>
            </w:tcBorders>
          </w:tcPr>
          <w:p>
            <w:pPr>
              <w:ind w:left="360"/>
              <w:spacing w:after="0"/>
              <w:rPr>
                <w:sz w:val="20"/>
                <w:szCs w:val="20"/>
                <w:color w:val="auto"/>
              </w:rPr>
            </w:pPr>
            <w:r>
              <w:rPr>
                <w:rFonts w:ascii="Arial" w:cs="Arial" w:eastAsia="Arial" w:hAnsi="Arial"/>
                <w:sz w:val="18"/>
                <w:szCs w:val="18"/>
                <w:color w:val="auto"/>
              </w:rPr>
              <w:t>Total operating expense</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27,357</w:t>
            </w:r>
          </w:p>
        </w:tc>
        <w:tc>
          <w:tcPr>
            <w:tcW w:w="120" w:type="dxa"/>
            <w:vAlign w:val="bottom"/>
            <w:tcBorders>
              <w:bottom w:val="single" w:sz="8" w:color="B2B2B2"/>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29,971</w:t>
            </w:r>
          </w:p>
        </w:tc>
        <w:tc>
          <w:tcPr>
            <w:tcW w:w="40" w:type="dxa"/>
            <w:vAlign w:val="bottom"/>
            <w:tcBorders>
              <w:bottom w:val="single" w:sz="8" w:color="B2B2B2"/>
            </w:tcBorders>
          </w:tcPr>
          <w:p>
            <w:pPr>
              <w:spacing w:after="0"/>
              <w:rPr>
                <w:sz w:val="18"/>
                <w:szCs w:val="18"/>
                <w:color w:val="auto"/>
              </w:rPr>
            </w:pPr>
          </w:p>
        </w:tc>
        <w:tc>
          <w:tcPr>
            <w:tcW w:w="60" w:type="dxa"/>
            <w:vAlign w:val="bottom"/>
            <w:tcBorders>
              <w:bottom w:val="single" w:sz="8" w:color="B2B2B2"/>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56,286</w:t>
            </w:r>
          </w:p>
        </w:tc>
        <w:tc>
          <w:tcPr>
            <w:tcW w:w="60" w:type="dxa"/>
            <w:vAlign w:val="bottom"/>
            <w:tcBorders>
              <w:bottom w:val="single" w:sz="8" w:color="B2B2B2"/>
            </w:tcBorders>
          </w:tcPr>
          <w:p>
            <w:pPr>
              <w:spacing w:after="0"/>
              <w:rPr>
                <w:sz w:val="18"/>
                <w:szCs w:val="18"/>
                <w:color w:val="auto"/>
              </w:rPr>
            </w:pPr>
          </w:p>
        </w:tc>
        <w:tc>
          <w:tcPr>
            <w:tcW w:w="60" w:type="dxa"/>
            <w:vAlign w:val="bottom"/>
            <w:tcBorders>
              <w:bottom w:val="single" w:sz="8" w:color="B2B2B2"/>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B2B2B2"/>
          </w:tcPr>
          <w:p>
            <w:pPr>
              <w:ind w:left="540"/>
              <w:spacing w:after="0"/>
              <w:rPr>
                <w:sz w:val="20"/>
                <w:szCs w:val="20"/>
                <w:color w:val="auto"/>
              </w:rPr>
            </w:pPr>
            <w:r>
              <w:rPr>
                <w:rFonts w:ascii="Arial" w:cs="Arial" w:eastAsia="Arial" w:hAnsi="Arial"/>
                <w:sz w:val="18"/>
                <w:szCs w:val="18"/>
                <w:color w:val="auto"/>
              </w:rPr>
              <w:t>Income before income tax expense</w:t>
            </w:r>
          </w:p>
        </w:tc>
        <w:tc>
          <w:tcPr>
            <w:tcW w:w="26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6,578</w:t>
            </w:r>
          </w:p>
        </w:tc>
        <w:tc>
          <w:tcPr>
            <w:tcW w:w="1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9,423</w:t>
            </w: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15,792</w:t>
            </w: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19,331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1,139</w:t>
            </w:r>
          </w:p>
        </w:tc>
        <w:tc>
          <w:tcPr>
            <w:tcW w:w="3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1,739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2,808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tcBorders>
              <w:top w:val="single" w:sz="8" w:color="B2B2B2"/>
              <w:bottom w:val="single" w:sz="8" w:color="B2B2B2"/>
            </w:tcBorders>
            <w:shd w:val="clear" w:color="auto" w:fill="B2B2B2"/>
          </w:tcPr>
          <w:p>
            <w:pPr>
              <w:ind w:left="5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shd w:val="clear" w:color="auto" w:fill="B2B2B2"/>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5,439</w:t>
            </w:r>
          </w:p>
        </w:tc>
        <w:tc>
          <w:tcPr>
            <w:tcW w:w="120" w:type="dxa"/>
            <w:vAlign w:val="bottom"/>
            <w:tcBorders>
              <w:top w:val="single" w:sz="8" w:color="B2B2B2"/>
              <w:bottom w:val="single" w:sz="8" w:color="B2B2B2"/>
            </w:tcBorders>
            <w:shd w:val="clear" w:color="auto" w:fill="B2B2B2"/>
          </w:tcPr>
          <w:p>
            <w:pPr>
              <w:spacing w:after="0"/>
              <w:rPr>
                <w:sz w:val="21"/>
                <w:szCs w:val="21"/>
                <w:color w:val="auto"/>
              </w:rPr>
            </w:pPr>
          </w:p>
        </w:tc>
        <w:tc>
          <w:tcPr>
            <w:tcW w:w="340" w:type="dxa"/>
            <w:vAlign w:val="bottom"/>
            <w:tcBorders>
              <w:top w:val="single" w:sz="8" w:color="auto"/>
              <w:bottom w:val="single" w:sz="8" w:color="auto"/>
            </w:tcBorders>
            <w:shd w:val="clear" w:color="auto" w:fill="B2B2B2"/>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7,684</w:t>
            </w:r>
          </w:p>
        </w:tc>
        <w:tc>
          <w:tcPr>
            <w:tcW w:w="40" w:type="dxa"/>
            <w:vAlign w:val="bottom"/>
            <w:tcBorders>
              <w:top w:val="single" w:sz="8" w:color="B2B2B2"/>
              <w:bottom w:val="single" w:sz="8" w:color="B2B2B2"/>
            </w:tcBorders>
            <w:shd w:val="clear" w:color="auto" w:fill="B2B2B2"/>
          </w:tcPr>
          <w:p>
            <w:pPr>
              <w:spacing w:after="0"/>
              <w:rPr>
                <w:sz w:val="21"/>
                <w:szCs w:val="21"/>
                <w:color w:val="auto"/>
              </w:rPr>
            </w:pPr>
          </w:p>
        </w:tc>
        <w:tc>
          <w:tcPr>
            <w:tcW w:w="60" w:type="dxa"/>
            <w:vAlign w:val="bottom"/>
            <w:tcBorders>
              <w:top w:val="single" w:sz="8" w:color="B2B2B2"/>
              <w:bottom w:val="single" w:sz="8" w:color="B2B2B2"/>
            </w:tcBorders>
            <w:shd w:val="clear" w:color="auto" w:fill="B2B2B2"/>
          </w:tcPr>
          <w:p>
            <w:pPr>
              <w:spacing w:after="0"/>
              <w:rPr>
                <w:sz w:val="21"/>
                <w:szCs w:val="21"/>
                <w:color w:val="auto"/>
              </w:rPr>
            </w:pPr>
          </w:p>
        </w:tc>
        <w:tc>
          <w:tcPr>
            <w:tcW w:w="260" w:type="dxa"/>
            <w:vAlign w:val="bottom"/>
            <w:tcBorders>
              <w:top w:val="single" w:sz="8" w:color="auto"/>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12,984</w:t>
            </w:r>
          </w:p>
        </w:tc>
        <w:tc>
          <w:tcPr>
            <w:tcW w:w="60" w:type="dxa"/>
            <w:vAlign w:val="bottom"/>
            <w:tcBorders>
              <w:top w:val="single" w:sz="8" w:color="B2B2B2"/>
              <w:bottom w:val="single" w:sz="8" w:color="B2B2B2"/>
            </w:tcBorders>
            <w:shd w:val="clear" w:color="auto" w:fill="B2B2B2"/>
          </w:tcPr>
          <w:p>
            <w:pPr>
              <w:spacing w:after="0"/>
              <w:rPr>
                <w:sz w:val="21"/>
                <w:szCs w:val="21"/>
                <w:color w:val="auto"/>
              </w:rPr>
            </w:pPr>
          </w:p>
        </w:tc>
        <w:tc>
          <w:tcPr>
            <w:tcW w:w="60" w:type="dxa"/>
            <w:vAlign w:val="bottom"/>
            <w:tcBorders>
              <w:top w:val="single" w:sz="8" w:color="B2B2B2"/>
              <w:bottom w:val="single" w:sz="8" w:color="B2B2B2"/>
            </w:tcBorders>
            <w:shd w:val="clear" w:color="auto" w:fill="B2B2B2"/>
          </w:tcPr>
          <w:p>
            <w:pPr>
              <w:spacing w:after="0"/>
              <w:rPr>
                <w:sz w:val="21"/>
                <w:szCs w:val="21"/>
                <w:color w:val="auto"/>
              </w:rPr>
            </w:pPr>
          </w:p>
        </w:tc>
        <w:tc>
          <w:tcPr>
            <w:tcW w:w="340" w:type="dxa"/>
            <w:vAlign w:val="bottom"/>
            <w:tcBorders>
              <w:top w:val="single" w:sz="8" w:color="auto"/>
              <w:bottom w:val="single" w:sz="8" w:color="auto"/>
            </w:tcBorders>
            <w:shd w:val="clear" w:color="auto" w:fill="B2B2B2"/>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15,847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980" w:type="dxa"/>
            <w:vAlign w:val="bottom"/>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98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340" w:type="dxa"/>
            <w:vAlign w:val="bottom"/>
            <w:shd w:val="clear" w:color="auto" w:fill="B2B2B2"/>
          </w:tcPr>
          <w:p>
            <w:pPr>
              <w:spacing w:after="0"/>
              <w:rPr>
                <w:sz w:val="17"/>
                <w:szCs w:val="17"/>
                <w:color w:val="auto"/>
              </w:rPr>
            </w:pPr>
          </w:p>
        </w:tc>
        <w:tc>
          <w:tcPr>
            <w:tcW w:w="900" w:type="dxa"/>
            <w:vAlign w:val="bottom"/>
            <w:shd w:val="clear" w:color="auto" w:fill="B2B2B2"/>
          </w:tcPr>
          <w:p>
            <w:pPr>
              <w:spacing w:after="0"/>
              <w:rPr>
                <w:sz w:val="17"/>
                <w:szCs w:val="17"/>
                <w:color w:val="auto"/>
              </w:rPr>
            </w:pPr>
          </w:p>
        </w:tc>
        <w:tc>
          <w:tcPr>
            <w:tcW w:w="40" w:type="dxa"/>
            <w:vAlign w:val="bottom"/>
            <w:shd w:val="clear" w:color="auto" w:fill="B2B2B2"/>
          </w:tcPr>
          <w:p>
            <w:pPr>
              <w:spacing w:after="0"/>
              <w:rPr>
                <w:sz w:val="17"/>
                <w:szCs w:val="17"/>
                <w:color w:val="auto"/>
              </w:rPr>
            </w:pPr>
          </w:p>
        </w:tc>
        <w:tc>
          <w:tcPr>
            <w:tcW w:w="60" w:type="dxa"/>
            <w:vAlign w:val="bottom"/>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960" w:type="dxa"/>
            <w:vAlign w:val="bottom"/>
            <w:shd w:val="clear" w:color="auto" w:fill="B2B2B2"/>
          </w:tcPr>
          <w:p>
            <w:pPr>
              <w:spacing w:after="0"/>
              <w:rPr>
                <w:sz w:val="17"/>
                <w:szCs w:val="17"/>
                <w:color w:val="auto"/>
              </w:rPr>
            </w:pPr>
          </w:p>
        </w:tc>
        <w:tc>
          <w:tcPr>
            <w:tcW w:w="60" w:type="dxa"/>
            <w:vAlign w:val="bottom"/>
            <w:shd w:val="clear" w:color="auto" w:fill="B2B2B2"/>
          </w:tcPr>
          <w:p>
            <w:pPr>
              <w:spacing w:after="0"/>
              <w:rPr>
                <w:sz w:val="17"/>
                <w:szCs w:val="17"/>
                <w:color w:val="auto"/>
              </w:rPr>
            </w:pPr>
          </w:p>
        </w:tc>
        <w:tc>
          <w:tcPr>
            <w:tcW w:w="60" w:type="dxa"/>
            <w:vAlign w:val="bottom"/>
            <w:shd w:val="clear" w:color="auto" w:fill="B2B2B2"/>
          </w:tcPr>
          <w:p>
            <w:pPr>
              <w:spacing w:after="0"/>
              <w:rPr>
                <w:sz w:val="17"/>
                <w:szCs w:val="17"/>
                <w:color w:val="auto"/>
              </w:rPr>
            </w:pPr>
          </w:p>
        </w:tc>
        <w:tc>
          <w:tcPr>
            <w:tcW w:w="340" w:type="dxa"/>
            <w:vAlign w:val="bottom"/>
            <w:shd w:val="clear" w:color="auto" w:fill="B2B2B2"/>
          </w:tcPr>
          <w:p>
            <w:pPr>
              <w:spacing w:after="0"/>
              <w:rPr>
                <w:sz w:val="17"/>
                <w:szCs w:val="17"/>
                <w:color w:val="auto"/>
              </w:rPr>
            </w:pPr>
          </w:p>
        </w:tc>
        <w:tc>
          <w:tcPr>
            <w:tcW w:w="880" w:type="dxa"/>
            <w:vAlign w:val="bottom"/>
            <w:shd w:val="clear" w:color="auto" w:fill="B2B2B2"/>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40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B2B2B2"/>
          </w:tcPr>
          <w:p>
            <w:pPr>
              <w:spacing w:after="0"/>
              <w:rPr>
                <w:sz w:val="20"/>
                <w:szCs w:val="20"/>
                <w:color w:val="auto"/>
              </w:rPr>
            </w:pPr>
            <w:r>
              <w:rPr>
                <w:rFonts w:ascii="Arial" w:cs="Arial" w:eastAsia="Arial" w:hAnsi="Arial"/>
                <w:sz w:val="18"/>
                <w:szCs w:val="18"/>
                <w:color w:val="auto"/>
              </w:rPr>
              <w:t>Diluted earnings per share</w:t>
            </w:r>
          </w:p>
        </w:tc>
        <w:tc>
          <w:tcPr>
            <w:tcW w:w="26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.37</w:t>
            </w:r>
          </w:p>
        </w:tc>
        <w:tc>
          <w:tcPr>
            <w:tcW w:w="340" w:type="dxa"/>
            <w:vAlign w:val="bottom"/>
            <w:shd w:val="clear" w:color="auto" w:fill="B2B2B2"/>
          </w:tcPr>
          <w:p>
            <w:pPr>
              <w:spacing w:after="0"/>
              <w:rPr>
                <w:sz w:val="18"/>
                <w:szCs w:val="18"/>
                <w:color w:val="auto"/>
              </w:rPr>
            </w:pPr>
          </w:p>
        </w:tc>
        <w:tc>
          <w:tcPr>
            <w:tcW w:w="94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.52</w:t>
            </w:r>
          </w:p>
        </w:tc>
        <w:tc>
          <w:tcPr>
            <w:tcW w:w="6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2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.89</w:t>
            </w:r>
          </w:p>
        </w:tc>
        <w:tc>
          <w:tcPr>
            <w:tcW w:w="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6"/>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gridSpan w:val="5"/>
          </w:tcPr>
          <w:p>
            <w:pPr>
              <w:jc w:val="right"/>
              <w:ind w:right="37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222"/>
        </w:trPr>
        <w:tc>
          <w:tcPr>
            <w:tcW w:w="5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2019</w:t>
            </w:r>
          </w:p>
        </w:tc>
      </w:tr>
      <w:tr>
        <w:trPr>
          <w:trHeight w:val="215"/>
        </w:trPr>
        <w:tc>
          <w:tcPr>
            <w:tcW w:w="5180" w:type="dxa"/>
            <w:vAlign w:val="bottom"/>
            <w:shd w:val="clear" w:color="auto" w:fill="B2B2B2"/>
          </w:tcPr>
          <w:p>
            <w:pPr>
              <w:spacing w:after="0"/>
              <w:rPr>
                <w:sz w:val="20"/>
                <w:szCs w:val="20"/>
                <w:color w:val="auto"/>
              </w:rPr>
            </w:pPr>
            <w:r>
              <w:rPr>
                <w:rFonts w:ascii="Arial" w:cs="Arial" w:eastAsia="Arial" w:hAnsi="Arial"/>
                <w:sz w:val="18"/>
                <w:szCs w:val="18"/>
                <w:b w:val="1"/>
                <w:bCs w:val="1"/>
                <w:color w:val="auto"/>
              </w:rPr>
              <w:t>Comprehensive Income</w:t>
            </w:r>
            <w:r>
              <w:rPr>
                <w:rFonts w:ascii="Arial" w:cs="Arial" w:eastAsia="Arial" w:hAnsi="Arial"/>
                <w:sz w:val="18"/>
                <w:szCs w:val="18"/>
                <w:color w:val="auto"/>
              </w:rPr>
              <w:t>:</w:t>
            </w:r>
          </w:p>
        </w:tc>
        <w:tc>
          <w:tcPr>
            <w:tcW w:w="56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640" w:type="dxa"/>
            <w:vAlign w:val="bottom"/>
            <w:shd w:val="clear" w:color="auto" w:fill="B2B2B2"/>
          </w:tcPr>
          <w:p>
            <w:pPr>
              <w:spacing w:after="0"/>
              <w:rPr>
                <w:sz w:val="18"/>
                <w:szCs w:val="18"/>
                <w:color w:val="auto"/>
              </w:rPr>
            </w:pP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5,439</w:t>
            </w:r>
          </w:p>
        </w:tc>
        <w:tc>
          <w:tcPr>
            <w:tcW w:w="4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7,684</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12,984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15,847</w:t>
            </w:r>
          </w:p>
        </w:tc>
      </w:tr>
      <w:tr>
        <w:trPr>
          <w:trHeight w:val="215"/>
        </w:trPr>
        <w:tc>
          <w:tcPr>
            <w:tcW w:w="5180" w:type="dxa"/>
            <w:vAlign w:val="bottom"/>
            <w:shd w:val="clear" w:color="auto" w:fill="B2B2B2"/>
          </w:tcPr>
          <w:p>
            <w:pPr>
              <w:spacing w:after="0"/>
              <w:rPr>
                <w:sz w:val="20"/>
                <w:szCs w:val="20"/>
                <w:color w:val="auto"/>
              </w:rPr>
            </w:pPr>
            <w:r>
              <w:rPr>
                <w:rFonts w:ascii="Arial" w:cs="Arial" w:eastAsia="Arial" w:hAnsi="Arial"/>
                <w:sz w:val="18"/>
                <w:szCs w:val="18"/>
                <w:color w:val="auto"/>
              </w:rPr>
              <w:t>Other comprehensive income:</w:t>
            </w:r>
          </w:p>
        </w:tc>
        <w:tc>
          <w:tcPr>
            <w:tcW w:w="56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640" w:type="dxa"/>
            <w:vAlign w:val="bottom"/>
            <w:shd w:val="clear" w:color="auto" w:fill="B2B2B2"/>
          </w:tcPr>
          <w:p>
            <w:pPr>
              <w:spacing w:after="0"/>
              <w:rPr>
                <w:sz w:val="18"/>
                <w:szCs w:val="18"/>
                <w:color w:val="auto"/>
              </w:rPr>
            </w:pPr>
          </w:p>
        </w:tc>
      </w:tr>
      <w:tr>
        <w:trPr>
          <w:trHeight w:val="215"/>
        </w:trPr>
        <w:tc>
          <w:tcPr>
            <w:tcW w:w="5180" w:type="dxa"/>
            <w:vAlign w:val="bottom"/>
          </w:tcPr>
          <w:p>
            <w:pPr>
              <w:ind w:left="180"/>
              <w:spacing w:after="0"/>
              <w:rPr>
                <w:sz w:val="20"/>
                <w:szCs w:val="20"/>
                <w:color w:val="auto"/>
              </w:rPr>
            </w:pPr>
            <w:r>
              <w:rPr>
                <w:rFonts w:ascii="Arial" w:cs="Arial" w:eastAsia="Arial" w:hAnsi="Arial"/>
                <w:sz w:val="18"/>
                <w:szCs w:val="18"/>
                <w:color w:val="auto"/>
              </w:rPr>
              <w:t>Net unrealized gain on securities available-for-sale</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6,407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6,985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11,746</w:t>
            </w:r>
          </w:p>
        </w:tc>
      </w:tr>
      <w:tr>
        <w:trPr>
          <w:trHeight w:val="215"/>
        </w:trPr>
        <w:tc>
          <w:tcPr>
            <w:tcW w:w="5180" w:type="dxa"/>
            <w:vAlign w:val="bottom"/>
            <w:shd w:val="clear" w:color="auto" w:fill="B2B2B2"/>
          </w:tcPr>
          <w:p>
            <w:pPr>
              <w:ind w:left="360"/>
              <w:spacing w:after="0"/>
              <w:rPr>
                <w:sz w:val="20"/>
                <w:szCs w:val="20"/>
                <w:color w:val="auto"/>
              </w:rPr>
            </w:pPr>
            <w:r>
              <w:rPr>
                <w:rFonts w:ascii="Arial" w:cs="Arial" w:eastAsia="Arial" w:hAnsi="Arial"/>
                <w:sz w:val="18"/>
                <w:szCs w:val="18"/>
                <w:color w:val="auto"/>
              </w:rPr>
              <w:t>Tax effect</w:t>
            </w:r>
          </w:p>
        </w:tc>
        <w:tc>
          <w:tcPr>
            <w:tcW w:w="56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18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(1,525)</w:t>
            </w:r>
          </w:p>
        </w:tc>
        <w:tc>
          <w:tcPr>
            <w:tcW w:w="1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12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(1,097)</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(1,663)</w:t>
            </w:r>
          </w:p>
        </w:tc>
        <w:tc>
          <w:tcPr>
            <w:tcW w:w="18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6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(2,796)</w:t>
            </w:r>
          </w:p>
        </w:tc>
      </w:tr>
      <w:tr>
        <w:trPr>
          <w:trHeight w:val="215"/>
        </w:trPr>
        <w:tc>
          <w:tcPr>
            <w:tcW w:w="5180" w:type="dxa"/>
            <w:vAlign w:val="bottom"/>
          </w:tcPr>
          <w:p>
            <w:pPr>
              <w:ind w:left="180"/>
              <w:spacing w:after="0"/>
              <w:rPr>
                <w:sz w:val="20"/>
                <w:szCs w:val="20"/>
                <w:color w:val="auto"/>
              </w:rPr>
            </w:pPr>
            <w:r>
              <w:rPr>
                <w:rFonts w:ascii="Arial" w:cs="Arial" w:eastAsia="Arial" w:hAnsi="Arial"/>
                <w:sz w:val="18"/>
                <w:szCs w:val="18"/>
                <w:color w:val="auto"/>
              </w:rPr>
              <w:t>Reclassification adjustments for gains included in net income</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5"/>
        </w:trPr>
        <w:tc>
          <w:tcPr>
            <w:tcW w:w="5180" w:type="dxa"/>
            <w:vAlign w:val="bottom"/>
            <w:shd w:val="clear" w:color="auto" w:fill="B2B2B2"/>
          </w:tcPr>
          <w:p>
            <w:pPr>
              <w:ind w:left="360"/>
              <w:spacing w:after="0"/>
              <w:rPr>
                <w:sz w:val="20"/>
                <w:szCs w:val="20"/>
                <w:color w:val="auto"/>
              </w:rPr>
            </w:pPr>
            <w:r>
              <w:rPr>
                <w:rFonts w:ascii="Arial" w:cs="Arial" w:eastAsia="Arial" w:hAnsi="Arial"/>
                <w:sz w:val="18"/>
                <w:szCs w:val="18"/>
                <w:color w:val="auto"/>
              </w:rPr>
              <w:t>Tax effect</w:t>
            </w:r>
          </w:p>
        </w:tc>
        <w:tc>
          <w:tcPr>
            <w:tcW w:w="56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18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12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240" w:type="dxa"/>
            <w:vAlign w:val="bottom"/>
            <w:gridSpan w:val="2"/>
            <w:shd w:val="clear" w:color="auto" w:fill="B2B2B2"/>
          </w:tcPr>
          <w:p>
            <w:pPr>
              <w:jc w:val="right"/>
              <w:ind w:right="180"/>
              <w:spacing w:after="0"/>
              <w:rPr>
                <w:sz w:val="20"/>
                <w:szCs w:val="20"/>
                <w:color w:val="auto"/>
              </w:rPr>
            </w:pPr>
            <w:r>
              <w:rPr>
                <w:rFonts w:ascii="Arial" w:cs="Arial" w:eastAsia="Arial" w:hAnsi="Arial"/>
                <w:sz w:val="18"/>
                <w:szCs w:val="18"/>
                <w:color w:val="auto"/>
              </w:rPr>
              <w:t>254</w:t>
            </w:r>
          </w:p>
        </w:tc>
        <w:tc>
          <w:tcPr>
            <w:tcW w:w="4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6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w:t>
            </w:r>
          </w:p>
        </w:tc>
      </w:tr>
      <w:tr>
        <w:trPr>
          <w:trHeight w:val="215"/>
        </w:trPr>
        <w:tc>
          <w:tcPr>
            <w:tcW w:w="51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9"/>
        </w:trPr>
        <w:tc>
          <w:tcPr>
            <w:tcW w:w="5180" w:type="dxa"/>
            <w:vAlign w:val="bottom"/>
            <w:tcBorders>
              <w:top w:val="single" w:sz="8" w:color="B2B2B2"/>
              <w:bottom w:val="single" w:sz="8" w:color="B2B2B2"/>
            </w:tcBorders>
            <w:shd w:val="clear" w:color="auto" w:fill="B2B2B2"/>
          </w:tcPr>
          <w:p>
            <w:pPr>
              <w:spacing w:after="0"/>
              <w:rPr>
                <w:sz w:val="20"/>
                <w:szCs w:val="20"/>
                <w:color w:val="auto"/>
              </w:rPr>
            </w:pPr>
            <w:r>
              <w:rPr>
                <w:rFonts w:ascii="Arial" w:cs="Arial" w:eastAsia="Arial" w:hAnsi="Arial"/>
                <w:sz w:val="18"/>
                <w:szCs w:val="18"/>
                <w:color w:val="auto"/>
              </w:rPr>
              <w:t>Total comprehensive income</w:t>
            </w:r>
          </w:p>
        </w:tc>
        <w:tc>
          <w:tcPr>
            <w:tcW w:w="560" w:type="dxa"/>
            <w:vAlign w:val="bottom"/>
            <w:tcBorders>
              <w:top w:val="single" w:sz="8" w:color="B2B2B2"/>
              <w:bottom w:val="single" w:sz="8" w:color="B2B2B2"/>
            </w:tcBorders>
            <w:shd w:val="clear" w:color="auto" w:fill="B2B2B2"/>
          </w:tcPr>
          <w:p>
            <w:pPr>
              <w:spacing w:after="0"/>
              <w:rPr>
                <w:sz w:val="18"/>
                <w:szCs w:val="18"/>
                <w:color w:val="auto"/>
              </w:rPr>
            </w:pPr>
          </w:p>
        </w:tc>
        <w:tc>
          <w:tcPr>
            <w:tcW w:w="300" w:type="dxa"/>
            <w:vAlign w:val="bottom"/>
            <w:tcBorders>
              <w:top w:val="single" w:sz="8" w:color="auto"/>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10,337</w:t>
            </w:r>
          </w:p>
        </w:tc>
        <w:tc>
          <w:tcPr>
            <w:tcW w:w="120" w:type="dxa"/>
            <w:vAlign w:val="bottom"/>
            <w:tcBorders>
              <w:top w:val="single" w:sz="8" w:color="B2B2B2"/>
              <w:bottom w:val="single" w:sz="8" w:color="B2B2B2"/>
            </w:tcBorders>
            <w:shd w:val="clear" w:color="auto" w:fill="B2B2B2"/>
          </w:tcPr>
          <w:p>
            <w:pPr>
              <w:spacing w:after="0"/>
              <w:rPr>
                <w:sz w:val="18"/>
                <w:szCs w:val="18"/>
                <w:color w:val="auto"/>
              </w:rPr>
            </w:pPr>
          </w:p>
        </w:tc>
        <w:tc>
          <w:tcPr>
            <w:tcW w:w="120" w:type="dxa"/>
            <w:vAlign w:val="bottom"/>
            <w:tcBorders>
              <w:top w:val="single" w:sz="8" w:color="B2B2B2"/>
              <w:bottom w:val="single" w:sz="8" w:color="B2B2B2"/>
            </w:tcBorders>
            <w:shd w:val="clear" w:color="auto" w:fill="B2B2B2"/>
          </w:tcPr>
          <w:p>
            <w:pPr>
              <w:spacing w:after="0"/>
              <w:rPr>
                <w:sz w:val="18"/>
                <w:szCs w:val="18"/>
                <w:color w:val="auto"/>
              </w:rPr>
            </w:pPr>
          </w:p>
        </w:tc>
        <w:tc>
          <w:tcPr>
            <w:tcW w:w="340" w:type="dxa"/>
            <w:vAlign w:val="bottom"/>
            <w:tcBorders>
              <w:top w:val="single" w:sz="8" w:color="auto"/>
              <w:bottom w:val="single" w:sz="8" w:color="auto"/>
            </w:tcBorders>
            <w:shd w:val="clear" w:color="auto" w:fill="B2B2B2"/>
          </w:tcPr>
          <w:p>
            <w:pPr>
              <w:jc w:val="right"/>
              <w:ind w:right="1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11,208</w:t>
            </w:r>
          </w:p>
        </w:tc>
        <w:tc>
          <w:tcPr>
            <w:tcW w:w="100" w:type="dxa"/>
            <w:vAlign w:val="bottom"/>
            <w:tcBorders>
              <w:top w:val="single" w:sz="8" w:color="B2B2B2"/>
              <w:bottom w:val="single" w:sz="8" w:color="B2B2B2"/>
            </w:tcBorders>
            <w:shd w:val="clear" w:color="auto" w:fill="B2B2B2"/>
          </w:tcPr>
          <w:p>
            <w:pPr>
              <w:spacing w:after="0"/>
              <w:rPr>
                <w:sz w:val="18"/>
                <w:szCs w:val="18"/>
                <w:color w:val="auto"/>
              </w:rPr>
            </w:pPr>
          </w:p>
        </w:tc>
        <w:tc>
          <w:tcPr>
            <w:tcW w:w="120" w:type="dxa"/>
            <w:vAlign w:val="bottom"/>
            <w:tcBorders>
              <w:top w:val="single" w:sz="8" w:color="B2B2B2"/>
              <w:bottom w:val="single" w:sz="8" w:color="B2B2B2"/>
            </w:tcBorders>
            <w:shd w:val="clear" w:color="auto" w:fill="B2B2B2"/>
          </w:tcPr>
          <w:p>
            <w:pPr>
              <w:spacing w:after="0"/>
              <w:rPr>
                <w:sz w:val="18"/>
                <w:szCs w:val="18"/>
                <w:color w:val="auto"/>
              </w:rPr>
            </w:pPr>
          </w:p>
        </w:tc>
        <w:tc>
          <w:tcPr>
            <w:tcW w:w="260" w:type="dxa"/>
            <w:vAlign w:val="bottom"/>
            <w:tcBorders>
              <w:top w:val="single" w:sz="8" w:color="auto"/>
              <w:bottom w:val="single" w:sz="8" w:color="auto"/>
            </w:tcBorders>
            <w:shd w:val="clear" w:color="auto" w:fill="B2B2B2"/>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17,363</w:t>
            </w:r>
          </w:p>
        </w:tc>
        <w:tc>
          <w:tcPr>
            <w:tcW w:w="180" w:type="dxa"/>
            <w:vAlign w:val="bottom"/>
            <w:tcBorders>
              <w:top w:val="single" w:sz="8" w:color="B2B2B2"/>
              <w:bottom w:val="single" w:sz="8" w:color="B2B2B2"/>
            </w:tcBorders>
            <w:shd w:val="clear" w:color="auto" w:fill="B2B2B2"/>
          </w:tcPr>
          <w:p>
            <w:pPr>
              <w:spacing w:after="0"/>
              <w:rPr>
                <w:sz w:val="18"/>
                <w:szCs w:val="18"/>
                <w:color w:val="auto"/>
              </w:rPr>
            </w:pPr>
          </w:p>
        </w:tc>
        <w:tc>
          <w:tcPr>
            <w:tcW w:w="40" w:type="dxa"/>
            <w:vAlign w:val="bottom"/>
            <w:tcBorders>
              <w:top w:val="single" w:sz="8" w:color="B2B2B2"/>
              <w:bottom w:val="single" w:sz="8" w:color="B2B2B2"/>
            </w:tcBorders>
            <w:shd w:val="clear" w:color="auto" w:fill="B2B2B2"/>
          </w:tcPr>
          <w:p>
            <w:pPr>
              <w:spacing w:after="0"/>
              <w:rPr>
                <w:sz w:val="18"/>
                <w:szCs w:val="18"/>
                <w:color w:val="auto"/>
              </w:rPr>
            </w:pPr>
          </w:p>
        </w:tc>
        <w:tc>
          <w:tcPr>
            <w:tcW w:w="1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24,787</w:t>
            </w:r>
          </w:p>
        </w:tc>
      </w:tr>
      <w:tr>
        <w:trPr>
          <w:trHeight w:val="20"/>
        </w:trPr>
        <w:tc>
          <w:tcPr>
            <w:tcW w:w="5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5"/>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8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r>
      <w:tr>
        <w:trPr>
          <w:trHeight w:val="222"/>
        </w:trPr>
        <w:tc>
          <w:tcPr>
            <w:tcW w:w="8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15"/>
        </w:trPr>
        <w:tc>
          <w:tcPr>
            <w:tcW w:w="8100" w:type="dxa"/>
            <w:vAlign w:val="bottom"/>
            <w:shd w:val="clear" w:color="auto" w:fill="B2B2B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r>
      <w:tr>
        <w:trPr>
          <w:trHeight w:val="215"/>
        </w:trPr>
        <w:tc>
          <w:tcPr>
            <w:tcW w:w="810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12,984</w:t>
            </w:r>
          </w:p>
        </w:tc>
        <w:tc>
          <w:tcPr>
            <w:tcW w:w="4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15,847</w:t>
            </w:r>
          </w:p>
        </w:tc>
      </w:tr>
      <w:tr>
        <w:trPr>
          <w:trHeight w:val="215"/>
        </w:trPr>
        <w:tc>
          <w:tcPr>
            <w:tcW w:w="8100" w:type="dxa"/>
            <w:vAlign w:val="bottom"/>
            <w:shd w:val="clear" w:color="auto" w:fill="B2B2B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5,564</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5,366</w:t>
            </w:r>
          </w:p>
        </w:tc>
      </w:tr>
      <w:tr>
        <w:trPr>
          <w:trHeight w:val="215"/>
        </w:trPr>
        <w:tc>
          <w:tcPr>
            <w:tcW w:w="8100" w:type="dxa"/>
            <w:vAlign w:val="bottom"/>
            <w:shd w:val="clear" w:color="auto" w:fill="B2B2B2"/>
          </w:tcPr>
          <w:p>
            <w:pPr>
              <w:ind w:left="360"/>
              <w:spacing w:after="0"/>
              <w:rPr>
                <w:sz w:val="20"/>
                <w:szCs w:val="20"/>
                <w:color w:val="auto"/>
              </w:rPr>
            </w:pPr>
            <w:r>
              <w:rPr>
                <w:rFonts w:ascii="Arial" w:cs="Arial" w:eastAsia="Arial" w:hAnsi="Arial"/>
                <w:sz w:val="18"/>
                <w:szCs w:val="18"/>
                <w:color w:val="auto"/>
              </w:rPr>
              <w:t>Gains on sales of securities</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(1,069)</w:t>
            </w: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(19)</w:t>
            </w:r>
          </w:p>
        </w:tc>
      </w:tr>
      <w:tr>
        <w:trPr>
          <w:trHeight w:val="215"/>
        </w:trPr>
        <w:tc>
          <w:tcPr>
            <w:tcW w:w="810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1,478</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1,417</w:t>
            </w:r>
          </w:p>
        </w:tc>
      </w:tr>
      <w:tr>
        <w:trPr>
          <w:trHeight w:val="215"/>
        </w:trPr>
        <w:tc>
          <w:tcPr>
            <w:tcW w:w="8100" w:type="dxa"/>
            <w:vAlign w:val="bottom"/>
            <w:shd w:val="clear" w:color="auto" w:fill="B2B2B2"/>
          </w:tcPr>
          <w:p>
            <w:pPr>
              <w:ind w:left="360"/>
              <w:spacing w:after="0"/>
              <w:rPr>
                <w:sz w:val="20"/>
                <w:szCs w:val="20"/>
                <w:color w:val="auto"/>
              </w:rPr>
            </w:pPr>
            <w:r>
              <w:rPr>
                <w:rFonts w:ascii="Arial" w:cs="Arial" w:eastAsia="Arial" w:hAnsi="Arial"/>
                <w:sz w:val="18"/>
                <w:szCs w:val="18"/>
                <w:color w:val="auto"/>
              </w:rPr>
              <w:t>Provision for loan losses</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725</w:t>
            </w: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250</w:t>
            </w:r>
          </w:p>
        </w:tc>
      </w:tr>
      <w:tr>
        <w:trPr>
          <w:trHeight w:val="215"/>
        </w:trPr>
        <w:tc>
          <w:tcPr>
            <w:tcW w:w="8100" w:type="dxa"/>
            <w:vAlign w:val="bottom"/>
          </w:tcPr>
          <w:p>
            <w:pPr>
              <w:ind w:left="360"/>
              <w:spacing w:after="0"/>
              <w:rPr>
                <w:sz w:val="20"/>
                <w:szCs w:val="20"/>
                <w:color w:val="auto"/>
              </w:rPr>
            </w:pPr>
            <w:r>
              <w:rPr>
                <w:rFonts w:ascii="Arial" w:cs="Arial" w:eastAsia="Arial" w:hAnsi="Arial"/>
                <w:sz w:val="18"/>
                <w:szCs w:val="18"/>
                <w:color w:val="auto"/>
              </w:rPr>
              <w:t>Decrease (increase) in income tax liability</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593</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(1,054)</w:t>
            </w:r>
          </w:p>
        </w:tc>
      </w:tr>
      <w:tr>
        <w:trPr>
          <w:trHeight w:val="215"/>
        </w:trPr>
        <w:tc>
          <w:tcPr>
            <w:tcW w:w="8100" w:type="dxa"/>
            <w:vAlign w:val="bottom"/>
            <w:shd w:val="clear" w:color="auto" w:fill="B2B2B2"/>
          </w:tcPr>
          <w:p>
            <w:pPr>
              <w:ind w:left="360"/>
              <w:spacing w:after="0"/>
              <w:rPr>
                <w:sz w:val="20"/>
                <w:szCs w:val="20"/>
                <w:color w:val="auto"/>
              </w:rPr>
            </w:pPr>
            <w:r>
              <w:rPr>
                <w:rFonts w:ascii="Arial" w:cs="Arial" w:eastAsia="Arial" w:hAnsi="Arial"/>
                <w:sz w:val="18"/>
                <w:szCs w:val="18"/>
                <w:color w:val="auto"/>
              </w:rPr>
              <w:t>Increase in pension liability</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2,167</w:t>
            </w: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2,590</w:t>
            </w:r>
          </w:p>
        </w:tc>
      </w:tr>
      <w:tr>
        <w:trPr>
          <w:trHeight w:val="215"/>
        </w:trPr>
        <w:tc>
          <w:tcPr>
            <w:tcW w:w="8100" w:type="dxa"/>
            <w:vAlign w:val="bottom"/>
          </w:tcPr>
          <w:p>
            <w:pPr>
              <w:ind w:left="360"/>
              <w:spacing w:after="0"/>
              <w:rPr>
                <w:sz w:val="20"/>
                <w:szCs w:val="20"/>
                <w:color w:val="auto"/>
              </w:rPr>
            </w:pPr>
            <w:r>
              <w:rPr>
                <w:rFonts w:ascii="Arial" w:cs="Arial" w:eastAsia="Arial" w:hAnsi="Arial"/>
                <w:sz w:val="18"/>
                <w:szCs w:val="18"/>
                <w:color w:val="auto"/>
              </w:rPr>
              <w:t>Decrease (increase) in accounts receivable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1,472</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(1,351)</w:t>
            </w:r>
          </w:p>
        </w:tc>
      </w:tr>
      <w:tr>
        <w:trPr>
          <w:trHeight w:val="215"/>
        </w:trPr>
        <w:tc>
          <w:tcPr>
            <w:tcW w:w="8100" w:type="dxa"/>
            <w:vAlign w:val="bottom"/>
            <w:shd w:val="clear" w:color="auto" w:fill="B2B2B2"/>
          </w:tcPr>
          <w:p>
            <w:pPr>
              <w:ind w:left="360"/>
              <w:spacing w:after="0"/>
              <w:rPr>
                <w:sz w:val="20"/>
                <w:szCs w:val="20"/>
                <w:color w:val="auto"/>
              </w:rPr>
            </w:pPr>
            <w:r>
              <w:rPr>
                <w:rFonts w:ascii="Arial" w:cs="Arial" w:eastAsia="Arial" w:hAnsi="Arial"/>
                <w:sz w:val="18"/>
                <w:szCs w:val="18"/>
                <w:color w:val="auto"/>
              </w:rPr>
              <w:t>Other operating activities, net</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8,741</w:t>
            </w: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3,327</w:t>
            </w:r>
          </w:p>
        </w:tc>
      </w:tr>
      <w:tr>
        <w:trPr>
          <w:trHeight w:val="209"/>
        </w:trPr>
        <w:tc>
          <w:tcPr>
            <w:tcW w:w="8100" w:type="dxa"/>
            <w:vAlign w:val="bottom"/>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32,655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26,373</w:t>
            </w:r>
          </w:p>
        </w:tc>
      </w:tr>
      <w:tr>
        <w:trPr>
          <w:trHeight w:val="195"/>
        </w:trPr>
        <w:tc>
          <w:tcPr>
            <w:tcW w:w="8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5"/>
        </w:trPr>
        <w:tc>
          <w:tcPr>
            <w:tcW w:w="8100" w:type="dxa"/>
            <w:vAlign w:val="bottom"/>
            <w:shd w:val="clear" w:color="auto" w:fill="B2B2B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r>
      <w:tr>
        <w:trPr>
          <w:trHeight w:val="215"/>
        </w:trPr>
        <w:tc>
          <w:tcPr>
            <w:tcW w:w="8100" w:type="dxa"/>
            <w:vAlign w:val="bottom"/>
          </w:tcPr>
          <w:p>
            <w:pPr>
              <w:spacing w:after="0"/>
              <w:rPr>
                <w:sz w:val="20"/>
                <w:szCs w:val="20"/>
                <w:color w:val="auto"/>
              </w:rPr>
            </w:pPr>
            <w:r>
              <w:rPr>
                <w:rFonts w:ascii="Arial" w:cs="Arial" w:eastAsia="Arial" w:hAnsi="Arial"/>
                <w:sz w:val="18"/>
                <w:szCs w:val="18"/>
                <w:color w:val="auto"/>
              </w:rPr>
              <w:t>Proceeds from sales of securities available-for-sale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19,629</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4,648</w:t>
            </w:r>
          </w:p>
        </w:tc>
      </w:tr>
      <w:tr>
        <w:trPr>
          <w:trHeight w:val="215"/>
        </w:trPr>
        <w:tc>
          <w:tcPr>
            <w:tcW w:w="8100" w:type="dxa"/>
            <w:vAlign w:val="bottom"/>
            <w:shd w:val="clear" w:color="auto" w:fill="B2B2B2"/>
          </w:tcPr>
          <w:p>
            <w:pPr>
              <w:spacing w:after="0"/>
              <w:rPr>
                <w:sz w:val="20"/>
                <w:szCs w:val="20"/>
                <w:color w:val="auto"/>
              </w:rPr>
            </w:pPr>
            <w:r>
              <w:rPr>
                <w:rFonts w:ascii="Arial" w:cs="Arial" w:eastAsia="Arial" w:hAnsi="Arial"/>
                <w:sz w:val="18"/>
                <w:szCs w:val="18"/>
                <w:color w:val="auto"/>
              </w:rPr>
              <w:t>Proceeds from maturities of securities available-for-sale</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27,130</w:t>
            </w: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10,161</w:t>
            </w:r>
          </w:p>
        </w:tc>
      </w:tr>
      <w:tr>
        <w:trPr>
          <w:trHeight w:val="215"/>
        </w:trPr>
        <w:tc>
          <w:tcPr>
            <w:tcW w:w="8100" w:type="dxa"/>
            <w:vAlign w:val="bottom"/>
          </w:tcPr>
          <w:p>
            <w:pPr>
              <w:spacing w:after="0"/>
              <w:rPr>
                <w:sz w:val="20"/>
                <w:szCs w:val="20"/>
                <w:color w:val="auto"/>
              </w:rPr>
            </w:pPr>
            <w:r>
              <w:rPr>
                <w:rFonts w:ascii="Arial" w:cs="Arial" w:eastAsia="Arial" w:hAnsi="Arial"/>
                <w:sz w:val="18"/>
                <w:szCs w:val="18"/>
                <w:color w:val="auto"/>
              </w:rPr>
              <w:t>Net increase in loans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(191,077)</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(68,934)</w:t>
            </w:r>
          </w:p>
        </w:tc>
      </w:tr>
      <w:tr>
        <w:trPr>
          <w:trHeight w:val="215"/>
        </w:trPr>
        <w:tc>
          <w:tcPr>
            <w:tcW w:w="8100" w:type="dxa"/>
            <w:vAlign w:val="bottom"/>
            <w:shd w:val="clear" w:color="auto" w:fill="B2B2B2"/>
          </w:tcPr>
          <w:p>
            <w:pPr>
              <w:spacing w:after="0"/>
              <w:rPr>
                <w:sz w:val="20"/>
                <w:szCs w:val="20"/>
                <w:color w:val="auto"/>
              </w:rPr>
            </w:pPr>
            <w:r>
              <w:rPr>
                <w:rFonts w:ascii="Arial" w:cs="Arial" w:eastAsia="Arial" w:hAnsi="Arial"/>
                <w:sz w:val="18"/>
                <w:szCs w:val="18"/>
                <w:color w:val="auto"/>
              </w:rPr>
              <w:t>Decrease (increase) in payments in excess of funding</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43,948</w:t>
            </w: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(13,571)</w:t>
            </w:r>
          </w:p>
        </w:tc>
      </w:tr>
      <w:tr>
        <w:trPr>
          <w:trHeight w:val="215"/>
        </w:trPr>
        <w:tc>
          <w:tcPr>
            <w:tcW w:w="8100" w:type="dxa"/>
            <w:vAlign w:val="bottom"/>
          </w:tcPr>
          <w:p>
            <w:pPr>
              <w:spacing w:after="0"/>
              <w:rPr>
                <w:sz w:val="20"/>
                <w:szCs w:val="20"/>
                <w:color w:val="auto"/>
              </w:rPr>
            </w:pPr>
            <w:r>
              <w:rPr>
                <w:rFonts w:ascii="Arial" w:cs="Arial" w:eastAsia="Arial" w:hAnsi="Arial"/>
                <w:sz w:val="18"/>
                <w:szCs w:val="18"/>
                <w:color w:val="auto"/>
              </w:rPr>
              <w:t>Purchases of premises and equipment, net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(1,383)</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(1,202)</w:t>
            </w:r>
          </w:p>
        </w:tc>
      </w:tr>
      <w:tr>
        <w:trPr>
          <w:trHeight w:val="209"/>
        </w:trPr>
        <w:tc>
          <w:tcPr>
            <w:tcW w:w="8100" w:type="dxa"/>
            <w:vAlign w:val="bottom"/>
            <w:tcBorders>
              <w:top w:val="single" w:sz="8" w:color="B2B2B2"/>
              <w:bottom w:val="single" w:sz="8" w:color="B2B2B2"/>
            </w:tcBorders>
            <w:shd w:val="clear" w:color="auto" w:fill="B2B2B2"/>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B2B2B2"/>
              <w:bottom w:val="single" w:sz="8" w:color="B2B2B2"/>
            </w:tcBorders>
            <w:shd w:val="clear" w:color="auto" w:fill="B2B2B2"/>
          </w:tcPr>
          <w:p>
            <w:pPr>
              <w:spacing w:after="0"/>
              <w:rPr>
                <w:sz w:val="18"/>
                <w:szCs w:val="18"/>
                <w:color w:val="auto"/>
              </w:rPr>
            </w:pPr>
          </w:p>
        </w:tc>
        <w:tc>
          <w:tcPr>
            <w:tcW w:w="320" w:type="dxa"/>
            <w:vAlign w:val="bottom"/>
            <w:tcBorders>
              <w:top w:val="single" w:sz="8" w:color="auto"/>
              <w:bottom w:val="single" w:sz="8" w:color="auto"/>
            </w:tcBorders>
            <w:shd w:val="clear" w:color="auto" w:fill="B2B2B2"/>
          </w:tcPr>
          <w:p>
            <w:pPr>
              <w:spacing w:after="0"/>
              <w:rPr>
                <w:sz w:val="18"/>
                <w:szCs w:val="18"/>
                <w:color w:val="auto"/>
              </w:rPr>
            </w:pPr>
          </w:p>
        </w:tc>
        <w:tc>
          <w:tcPr>
            <w:tcW w:w="11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(101,753)</w:t>
            </w:r>
          </w:p>
        </w:tc>
        <w:tc>
          <w:tcPr>
            <w:tcW w:w="60" w:type="dxa"/>
            <w:vAlign w:val="bottom"/>
            <w:tcBorders>
              <w:top w:val="single" w:sz="8" w:color="B2B2B2"/>
              <w:bottom w:val="single" w:sz="8" w:color="B2B2B2"/>
            </w:tcBorders>
            <w:shd w:val="clear" w:color="auto" w:fill="B2B2B2"/>
          </w:tcPr>
          <w:p>
            <w:pPr>
              <w:spacing w:after="0"/>
              <w:rPr>
                <w:sz w:val="18"/>
                <w:szCs w:val="18"/>
                <w:color w:val="auto"/>
              </w:rPr>
            </w:pPr>
          </w:p>
        </w:tc>
        <w:tc>
          <w:tcPr>
            <w:tcW w:w="40" w:type="dxa"/>
            <w:vAlign w:val="bottom"/>
            <w:tcBorders>
              <w:top w:val="single" w:sz="8" w:color="B2B2B2"/>
              <w:bottom w:val="single" w:sz="8" w:color="B2B2B2"/>
            </w:tcBorders>
            <w:shd w:val="clear" w:color="auto" w:fill="B2B2B2"/>
          </w:tcPr>
          <w:p>
            <w:pPr>
              <w:spacing w:after="0"/>
              <w:rPr>
                <w:sz w:val="18"/>
                <w:szCs w:val="18"/>
                <w:color w:val="auto"/>
              </w:rPr>
            </w:pPr>
          </w:p>
        </w:tc>
        <w:tc>
          <w:tcPr>
            <w:tcW w:w="420" w:type="dxa"/>
            <w:vAlign w:val="bottom"/>
            <w:tcBorders>
              <w:top w:val="single" w:sz="8" w:color="auto"/>
              <w:bottom w:val="single" w:sz="8" w:color="auto"/>
            </w:tcBorders>
            <w:shd w:val="clear" w:color="auto" w:fill="B2B2B2"/>
          </w:tcPr>
          <w:p>
            <w:pPr>
              <w:spacing w:after="0"/>
              <w:rPr>
                <w:sz w:val="18"/>
                <w:szCs w:val="18"/>
                <w:color w:val="auto"/>
              </w:rPr>
            </w:pPr>
          </w:p>
        </w:tc>
        <w:tc>
          <w:tcPr>
            <w:tcW w:w="10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(68,898)</w:t>
            </w:r>
          </w:p>
        </w:tc>
      </w:tr>
      <w:tr>
        <w:trPr>
          <w:trHeight w:val="209"/>
        </w:trPr>
        <w:tc>
          <w:tcPr>
            <w:tcW w:w="8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r>
      <w:tr>
        <w:trPr>
          <w:trHeight w:val="215"/>
        </w:trPr>
        <w:tc>
          <w:tcPr>
            <w:tcW w:w="81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8100" w:type="dxa"/>
            <w:vAlign w:val="bottom"/>
            <w:shd w:val="clear" w:color="auto" w:fill="B2B2B2"/>
          </w:tcPr>
          <w:p>
            <w:pPr>
              <w:spacing w:after="0"/>
              <w:rPr>
                <w:sz w:val="20"/>
                <w:szCs w:val="20"/>
                <w:color w:val="auto"/>
              </w:rPr>
            </w:pPr>
            <w:r>
              <w:rPr>
                <w:rFonts w:ascii="Arial" w:cs="Arial" w:eastAsia="Arial" w:hAnsi="Arial"/>
                <w:sz w:val="18"/>
                <w:szCs w:val="18"/>
                <w:color w:val="auto"/>
              </w:rPr>
              <w:t>Net decrease in noninterest-bearing demand deposits</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(7,524)</w:t>
            </w: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(54,176)</w:t>
            </w:r>
          </w:p>
        </w:tc>
      </w:tr>
      <w:tr>
        <w:trPr>
          <w:trHeight w:val="215"/>
        </w:trPr>
        <w:tc>
          <w:tcPr>
            <w:tcW w:w="8100" w:type="dxa"/>
            <w:vAlign w:val="bottom"/>
          </w:tcPr>
          <w:p>
            <w:pPr>
              <w:spacing w:after="0"/>
              <w:rPr>
                <w:sz w:val="20"/>
                <w:szCs w:val="20"/>
                <w:color w:val="auto"/>
              </w:rPr>
            </w:pPr>
            <w:r>
              <w:rPr>
                <w:rFonts w:ascii="Arial" w:cs="Arial" w:eastAsia="Arial" w:hAnsi="Arial"/>
                <w:sz w:val="18"/>
                <w:szCs w:val="18"/>
                <w:color w:val="auto"/>
              </w:rPr>
              <w:t>Net increase (decrease) in interest-bearing demand and savings deposits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79,066</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(32,058)</w:t>
            </w:r>
          </w:p>
        </w:tc>
      </w:tr>
      <w:tr>
        <w:trPr>
          <w:trHeight w:val="215"/>
        </w:trPr>
        <w:tc>
          <w:tcPr>
            <w:tcW w:w="8100" w:type="dxa"/>
            <w:vAlign w:val="bottom"/>
            <w:shd w:val="clear" w:color="auto" w:fill="B2B2B2"/>
          </w:tcPr>
          <w:p>
            <w:pPr>
              <w:spacing w:after="0"/>
              <w:rPr>
                <w:sz w:val="20"/>
                <w:szCs w:val="20"/>
                <w:color w:val="auto"/>
              </w:rPr>
            </w:pPr>
            <w:r>
              <w:rPr>
                <w:rFonts w:ascii="Arial" w:cs="Arial" w:eastAsia="Arial" w:hAnsi="Arial"/>
                <w:sz w:val="18"/>
                <w:szCs w:val="18"/>
                <w:color w:val="auto"/>
              </w:rPr>
              <w:t>Net (decrease) increase in time deposits</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(2,721)</w:t>
            </w: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937</w:t>
            </w:r>
          </w:p>
        </w:tc>
      </w:tr>
      <w:tr>
        <w:trPr>
          <w:trHeight w:val="215"/>
        </w:trPr>
        <w:tc>
          <w:tcPr>
            <w:tcW w:w="8100" w:type="dxa"/>
            <w:vAlign w:val="bottom"/>
          </w:tcPr>
          <w:p>
            <w:pPr>
              <w:spacing w:after="0"/>
              <w:rPr>
                <w:sz w:val="20"/>
                <w:szCs w:val="20"/>
                <w:color w:val="auto"/>
              </w:rPr>
            </w:pPr>
            <w:r>
              <w:rPr>
                <w:rFonts w:ascii="Arial" w:cs="Arial" w:eastAsia="Arial" w:hAnsi="Arial"/>
                <w:sz w:val="18"/>
                <w:szCs w:val="18"/>
                <w:color w:val="auto"/>
              </w:rPr>
              <w:t>Net increase in accounts and drafts payable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60,966</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96,033</w:t>
            </w:r>
          </w:p>
        </w:tc>
      </w:tr>
      <w:tr>
        <w:trPr>
          <w:trHeight w:val="215"/>
        </w:trPr>
        <w:tc>
          <w:tcPr>
            <w:tcW w:w="8100" w:type="dxa"/>
            <w:vAlign w:val="bottom"/>
            <w:shd w:val="clear" w:color="auto" w:fill="B2B2B2"/>
          </w:tcPr>
          <w:p>
            <w:pPr>
              <w:spacing w:after="0"/>
              <w:rPr>
                <w:sz w:val="20"/>
                <w:szCs w:val="20"/>
                <w:color w:val="auto"/>
              </w:rPr>
            </w:pPr>
            <w:r>
              <w:rPr>
                <w:rFonts w:ascii="Arial" w:cs="Arial" w:eastAsia="Arial" w:hAnsi="Arial"/>
                <w:sz w:val="18"/>
                <w:szCs w:val="18"/>
                <w:color w:val="auto"/>
              </w:rPr>
              <w:t>Net decrease in short-term borrowings</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(18,000)</w:t>
            </w: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8100" w:type="dxa"/>
            <w:vAlign w:val="bottom"/>
          </w:tcPr>
          <w:p>
            <w:pPr>
              <w:spacing w:after="0"/>
              <w:rPr>
                <w:sz w:val="20"/>
                <w:szCs w:val="20"/>
                <w:color w:val="auto"/>
              </w:rPr>
            </w:pPr>
            <w:r>
              <w:rPr>
                <w:rFonts w:ascii="Arial" w:cs="Arial" w:eastAsia="Arial" w:hAnsi="Arial"/>
                <w:sz w:val="18"/>
                <w:szCs w:val="18"/>
                <w:color w:val="auto"/>
              </w:rPr>
              <w:t>Cash dividends paid</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(7,811)</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(7,548)</w:t>
            </w:r>
          </w:p>
        </w:tc>
      </w:tr>
      <w:tr>
        <w:trPr>
          <w:trHeight w:val="215"/>
        </w:trPr>
        <w:tc>
          <w:tcPr>
            <w:tcW w:w="8100" w:type="dxa"/>
            <w:vAlign w:val="bottom"/>
            <w:shd w:val="clear" w:color="auto" w:fill="B2B2B2"/>
          </w:tcPr>
          <w:p>
            <w:pPr>
              <w:spacing w:after="0"/>
              <w:rPr>
                <w:sz w:val="20"/>
                <w:szCs w:val="20"/>
                <w:color w:val="auto"/>
              </w:rPr>
            </w:pPr>
            <w:r>
              <w:rPr>
                <w:rFonts w:ascii="Arial" w:cs="Arial" w:eastAsia="Arial" w:hAnsi="Arial"/>
                <w:sz w:val="18"/>
                <w:szCs w:val="18"/>
                <w:color w:val="auto"/>
              </w:rPr>
              <w:t>Purchase of common shares for treasury</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(5,508)</w:t>
            </w: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(7,799)</w:t>
            </w:r>
          </w:p>
        </w:tc>
      </w:tr>
      <w:tr>
        <w:trPr>
          <w:trHeight w:val="215"/>
        </w:trPr>
        <w:tc>
          <w:tcPr>
            <w:tcW w:w="8100" w:type="dxa"/>
            <w:vAlign w:val="bottom"/>
          </w:tcPr>
          <w:p>
            <w:pPr>
              <w:spacing w:after="0"/>
              <w:rPr>
                <w:sz w:val="20"/>
                <w:szCs w:val="20"/>
                <w:color w:val="auto"/>
              </w:rPr>
            </w:pPr>
            <w:r>
              <w:rPr>
                <w:rFonts w:ascii="Arial" w:cs="Arial" w:eastAsia="Arial" w:hAnsi="Arial"/>
                <w:sz w:val="18"/>
                <w:szCs w:val="18"/>
                <w:color w:val="auto"/>
              </w:rPr>
              <w:t>Other financing activities, net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(1,185)</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09"/>
        </w:trPr>
        <w:tc>
          <w:tcPr>
            <w:tcW w:w="8100" w:type="dxa"/>
            <w:vAlign w:val="bottom"/>
            <w:tcBorders>
              <w:top w:val="single" w:sz="8" w:color="B2B2B2"/>
            </w:tcBorders>
            <w:shd w:val="clear" w:color="auto" w:fill="B2B2B2"/>
          </w:tcPr>
          <w:p>
            <w:pPr>
              <w:ind w:left="54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Borders>
              <w:top w:val="single" w:sz="8" w:color="B2B2B2"/>
            </w:tcBorders>
            <w:shd w:val="clear" w:color="auto" w:fill="B2B2B2"/>
          </w:tcPr>
          <w:p>
            <w:pPr>
              <w:spacing w:after="0"/>
              <w:rPr>
                <w:sz w:val="18"/>
                <w:szCs w:val="18"/>
                <w:color w:val="auto"/>
              </w:rPr>
            </w:pPr>
          </w:p>
        </w:tc>
        <w:tc>
          <w:tcPr>
            <w:tcW w:w="320" w:type="dxa"/>
            <w:vAlign w:val="bottom"/>
            <w:tcBorders>
              <w:top w:val="single" w:sz="8" w:color="auto"/>
              <w:bottom w:val="single" w:sz="8" w:color="auto"/>
            </w:tcBorders>
            <w:shd w:val="clear" w:color="auto" w:fill="B2B2B2"/>
          </w:tcPr>
          <w:p>
            <w:pPr>
              <w:spacing w:after="0"/>
              <w:rPr>
                <w:sz w:val="18"/>
                <w:szCs w:val="18"/>
                <w:color w:val="auto"/>
              </w:rPr>
            </w:pPr>
          </w:p>
        </w:tc>
        <w:tc>
          <w:tcPr>
            <w:tcW w:w="11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97,283</w:t>
            </w:r>
          </w:p>
        </w:tc>
        <w:tc>
          <w:tcPr>
            <w:tcW w:w="60" w:type="dxa"/>
            <w:vAlign w:val="bottom"/>
            <w:tcBorders>
              <w:top w:val="single" w:sz="8" w:color="B2B2B2"/>
            </w:tcBorders>
            <w:shd w:val="clear" w:color="auto" w:fill="B2B2B2"/>
          </w:tcPr>
          <w:p>
            <w:pPr>
              <w:spacing w:after="0"/>
              <w:rPr>
                <w:sz w:val="18"/>
                <w:szCs w:val="18"/>
                <w:color w:val="auto"/>
              </w:rPr>
            </w:pPr>
          </w:p>
        </w:tc>
        <w:tc>
          <w:tcPr>
            <w:tcW w:w="40" w:type="dxa"/>
            <w:vAlign w:val="bottom"/>
            <w:tcBorders>
              <w:top w:val="single" w:sz="8" w:color="B2B2B2"/>
            </w:tcBorders>
            <w:shd w:val="clear" w:color="auto" w:fill="B2B2B2"/>
          </w:tcPr>
          <w:p>
            <w:pPr>
              <w:spacing w:after="0"/>
              <w:rPr>
                <w:sz w:val="18"/>
                <w:szCs w:val="18"/>
                <w:color w:val="auto"/>
              </w:rPr>
            </w:pPr>
          </w:p>
        </w:tc>
        <w:tc>
          <w:tcPr>
            <w:tcW w:w="420" w:type="dxa"/>
            <w:vAlign w:val="bottom"/>
            <w:tcBorders>
              <w:top w:val="single" w:sz="8" w:color="auto"/>
              <w:bottom w:val="single" w:sz="8" w:color="auto"/>
            </w:tcBorders>
            <w:shd w:val="clear" w:color="auto" w:fill="B2B2B2"/>
          </w:tcPr>
          <w:p>
            <w:pPr>
              <w:spacing w:after="0"/>
              <w:rPr>
                <w:sz w:val="18"/>
                <w:szCs w:val="18"/>
                <w:color w:val="auto"/>
              </w:rPr>
            </w:pPr>
          </w:p>
        </w:tc>
        <w:tc>
          <w:tcPr>
            <w:tcW w:w="10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(4,895)</w:t>
            </w:r>
          </w:p>
        </w:tc>
      </w:tr>
      <w:tr>
        <w:trPr>
          <w:trHeight w:val="209"/>
        </w:trPr>
        <w:tc>
          <w:tcPr>
            <w:tcW w:w="81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28,185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(47,420)</w:t>
            </w:r>
          </w:p>
        </w:tc>
      </w:tr>
      <w:tr>
        <w:trPr>
          <w:trHeight w:val="215"/>
        </w:trPr>
        <w:tc>
          <w:tcPr>
            <w:tcW w:w="8100" w:type="dxa"/>
            <w:vAlign w:val="bottom"/>
            <w:shd w:val="clear" w:color="auto" w:fill="B2B2B2"/>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203,954</w:t>
            </w: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230,933</w:t>
            </w:r>
          </w:p>
        </w:tc>
      </w:tr>
      <w:tr>
        <w:trPr>
          <w:trHeight w:val="209"/>
        </w:trPr>
        <w:tc>
          <w:tcPr>
            <w:tcW w:w="81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232,139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183,513</w:t>
            </w: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8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5"/>
        </w:trPr>
        <w:tc>
          <w:tcPr>
            <w:tcW w:w="8100" w:type="dxa"/>
            <w:vAlign w:val="bottom"/>
            <w:shd w:val="clear" w:color="auto" w:fill="B2B2B2"/>
          </w:tcPr>
          <w:p>
            <w:pPr>
              <w:spacing w:after="0"/>
              <w:rPr>
                <w:sz w:val="20"/>
                <w:szCs w:val="20"/>
                <w:color w:val="auto"/>
              </w:rPr>
            </w:pPr>
            <w:r>
              <w:rPr>
                <w:rFonts w:ascii="Arial" w:cs="Arial" w:eastAsia="Arial" w:hAnsi="Arial"/>
                <w:sz w:val="18"/>
                <w:szCs w:val="18"/>
                <w:color w:val="auto"/>
              </w:rPr>
              <w:t>Supplemental information:</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8"/>
                <w:szCs w:val="18"/>
                <w:color w:val="auto"/>
              </w:rPr>
              <w:t>Cash paid for interest</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1,429</w:t>
            </w:r>
          </w:p>
        </w:tc>
        <w:tc>
          <w:tcPr>
            <w:tcW w:w="4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2,496</w:t>
            </w:r>
          </w:p>
        </w:tc>
      </w:tr>
      <w:tr>
        <w:trPr>
          <w:trHeight w:val="215"/>
        </w:trPr>
        <w:tc>
          <w:tcPr>
            <w:tcW w:w="8100" w:type="dxa"/>
            <w:vAlign w:val="bottom"/>
            <w:shd w:val="clear" w:color="auto" w:fill="B2B2B2"/>
          </w:tcPr>
          <w:p>
            <w:pPr>
              <w:ind w:left="360"/>
              <w:spacing w:after="0"/>
              <w:rPr>
                <w:sz w:val="20"/>
                <w:szCs w:val="20"/>
                <w:color w:val="auto"/>
              </w:rPr>
            </w:pPr>
            <w:r>
              <w:rPr>
                <w:rFonts w:ascii="Arial" w:cs="Arial" w:eastAsia="Arial" w:hAnsi="Arial"/>
                <w:sz w:val="18"/>
                <w:szCs w:val="18"/>
                <w:color w:val="auto"/>
              </w:rPr>
              <w:t>Cash paid for income taxes</w:t>
            </w:r>
          </w:p>
        </w:tc>
        <w:tc>
          <w:tcPr>
            <w:tcW w:w="1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2,219</w:t>
            </w: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4,545</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2019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102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8"/>
              <w:spacing w:after="0" w:line="148"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8"/>
              <w:spacing w:after="0" w:line="148"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180" w:type="dxa"/>
            <w:vAlign w:val="bottom"/>
            <w:tcBorders>
              <w:bottom w:val="single" w:sz="8" w:color="B2B2B2"/>
            </w:tcBorders>
          </w:tcPr>
          <w:p>
            <w:pPr>
              <w:spacing w:after="0"/>
              <w:rPr>
                <w:sz w:val="15"/>
                <w:szCs w:val="15"/>
                <w:color w:val="auto"/>
              </w:rPr>
            </w:pPr>
          </w:p>
        </w:tc>
        <w:tc>
          <w:tcPr>
            <w:tcW w:w="80" w:type="dxa"/>
            <w:vAlign w:val="bottom"/>
            <w:tcBorders>
              <w:bottom w:val="single" w:sz="8" w:color="B2B2B2"/>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Borders>
              <w:bottom w:val="single" w:sz="8" w:color="B2B2B2"/>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B2B2B2"/>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B2B2B2"/>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Borders>
              <w:bottom w:val="single" w:sz="8" w:color="B2B2B2"/>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(Loss) Income</w:t>
            </w:r>
          </w:p>
        </w:tc>
        <w:tc>
          <w:tcPr>
            <w:tcW w:w="120" w:type="dxa"/>
            <w:vAlign w:val="bottom"/>
            <w:tcBorders>
              <w:bottom w:val="single" w:sz="8" w:color="B2B2B2"/>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180" w:type="dxa"/>
            <w:vAlign w:val="bottom"/>
            <w:shd w:val="clear" w:color="auto" w:fill="B2B2B2"/>
          </w:tcPr>
          <w:p>
            <w:pPr>
              <w:ind w:left="40"/>
              <w:spacing w:after="0"/>
              <w:rPr>
                <w:sz w:val="20"/>
                <w:szCs w:val="20"/>
                <w:color w:val="auto"/>
              </w:rPr>
            </w:pPr>
            <w:r>
              <w:rPr>
                <w:rFonts w:ascii="Arial" w:cs="Arial" w:eastAsia="Arial" w:hAnsi="Arial"/>
                <w:sz w:val="16"/>
                <w:szCs w:val="16"/>
                <w:color w:val="auto"/>
              </w:rPr>
              <w:t>Balance, March 31, 2019</w:t>
            </w:r>
          </w:p>
        </w:tc>
        <w:tc>
          <w:tcPr>
            <w:tcW w:w="80" w:type="dxa"/>
            <w:vAlign w:val="bottom"/>
            <w:shd w:val="clear" w:color="auto" w:fill="B2B2B2"/>
          </w:tcPr>
          <w:p>
            <w:pPr>
              <w:spacing w:after="0"/>
              <w:rPr>
                <w:sz w:val="17"/>
                <w:szCs w:val="17"/>
                <w:color w:val="auto"/>
              </w:rPr>
            </w:pPr>
          </w:p>
        </w:tc>
        <w:tc>
          <w:tcPr>
            <w:tcW w:w="220" w:type="dxa"/>
            <w:vAlign w:val="bottom"/>
            <w:shd w:val="clear" w:color="auto" w:fill="B2B2B2"/>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B2B2B2"/>
          </w:tcPr>
          <w:p>
            <w:pPr>
              <w:jc w:val="right"/>
              <w:spacing w:after="0"/>
              <w:rPr>
                <w:sz w:val="20"/>
                <w:szCs w:val="20"/>
                <w:color w:val="auto"/>
              </w:rPr>
            </w:pPr>
            <w:r>
              <w:rPr>
                <w:rFonts w:ascii="Arial" w:cs="Arial" w:eastAsia="Arial" w:hAnsi="Arial"/>
                <w:sz w:val="14"/>
                <w:szCs w:val="14"/>
                <w:color w:val="auto"/>
              </w:rPr>
              <w:t>7,753</w:t>
            </w:r>
          </w:p>
        </w:tc>
        <w:tc>
          <w:tcPr>
            <w:tcW w:w="120" w:type="dxa"/>
            <w:vAlign w:val="bottom"/>
            <w:tcBorders>
              <w:left w:val="single" w:sz="8" w:color="B2B2B2"/>
            </w:tcBorders>
            <w:shd w:val="clear" w:color="auto" w:fill="B2B2B2"/>
          </w:tcPr>
          <w:p>
            <w:pPr>
              <w:spacing w:after="0"/>
              <w:rPr>
                <w:sz w:val="17"/>
                <w:szCs w:val="17"/>
                <w:color w:val="auto"/>
              </w:rPr>
            </w:pPr>
          </w:p>
        </w:tc>
        <w:tc>
          <w:tcPr>
            <w:tcW w:w="200" w:type="dxa"/>
            <w:vAlign w:val="bottom"/>
            <w:shd w:val="clear" w:color="auto" w:fill="B2B2B2"/>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B2B2B2"/>
          </w:tcPr>
          <w:p>
            <w:pPr>
              <w:jc w:val="right"/>
              <w:ind w:right="120"/>
              <w:spacing w:after="0"/>
              <w:rPr>
                <w:sz w:val="20"/>
                <w:szCs w:val="20"/>
                <w:color w:val="auto"/>
              </w:rPr>
            </w:pPr>
            <w:r>
              <w:rPr>
                <w:rFonts w:ascii="Arial" w:cs="Arial" w:eastAsia="Arial" w:hAnsi="Arial"/>
                <w:sz w:val="14"/>
                <w:szCs w:val="14"/>
                <w:color w:val="auto"/>
              </w:rPr>
              <w:t>205,310</w:t>
            </w:r>
          </w:p>
        </w:tc>
        <w:tc>
          <w:tcPr>
            <w:tcW w:w="200" w:type="dxa"/>
            <w:vAlign w:val="bottom"/>
            <w:shd w:val="clear" w:color="auto" w:fill="B2B2B2"/>
          </w:tcPr>
          <w:p>
            <w:pPr>
              <w:jc w:val="right"/>
              <w:ind w:right="4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B2B2B2"/>
          </w:tcPr>
          <w:p>
            <w:pPr>
              <w:jc w:val="right"/>
              <w:ind w:right="100"/>
              <w:spacing w:after="0"/>
              <w:rPr>
                <w:sz w:val="20"/>
                <w:szCs w:val="20"/>
                <w:color w:val="auto"/>
              </w:rPr>
            </w:pPr>
            <w:r>
              <w:rPr>
                <w:rFonts w:ascii="Arial" w:cs="Arial" w:eastAsia="Arial" w:hAnsi="Arial"/>
                <w:sz w:val="14"/>
                <w:szCs w:val="14"/>
                <w:color w:val="auto"/>
              </w:rPr>
              <w:t>79,558</w:t>
            </w:r>
          </w:p>
        </w:tc>
        <w:tc>
          <w:tcPr>
            <w:tcW w:w="220" w:type="dxa"/>
            <w:vAlign w:val="bottom"/>
            <w:shd w:val="clear" w:color="auto" w:fill="B2B2B2"/>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B2B2B2"/>
          </w:tcPr>
          <w:p>
            <w:pPr>
              <w:jc w:val="right"/>
              <w:spacing w:after="0"/>
              <w:rPr>
                <w:sz w:val="20"/>
                <w:szCs w:val="20"/>
                <w:color w:val="auto"/>
              </w:rPr>
            </w:pPr>
            <w:r>
              <w:rPr>
                <w:rFonts w:ascii="Arial" w:cs="Arial" w:eastAsia="Arial" w:hAnsi="Arial"/>
                <w:sz w:val="14"/>
                <w:szCs w:val="14"/>
                <w:color w:val="auto"/>
              </w:rPr>
              <w:t>(44,685)</w:t>
            </w:r>
          </w:p>
        </w:tc>
        <w:tc>
          <w:tcPr>
            <w:tcW w:w="100" w:type="dxa"/>
            <w:vAlign w:val="bottom"/>
            <w:tcBorders>
              <w:left w:val="single" w:sz="8" w:color="B2B2B2"/>
            </w:tcBorders>
            <w:shd w:val="clear" w:color="auto" w:fill="B2B2B2"/>
          </w:tcPr>
          <w:p>
            <w:pPr>
              <w:spacing w:after="0"/>
              <w:rPr>
                <w:sz w:val="17"/>
                <w:szCs w:val="17"/>
                <w:color w:val="auto"/>
              </w:rPr>
            </w:pPr>
          </w:p>
        </w:tc>
        <w:tc>
          <w:tcPr>
            <w:tcW w:w="100" w:type="dxa"/>
            <w:vAlign w:val="bottom"/>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B2B2B2"/>
          </w:tcPr>
          <w:p>
            <w:pPr>
              <w:jc w:val="right"/>
              <w:spacing w:after="0"/>
              <w:rPr>
                <w:sz w:val="20"/>
                <w:szCs w:val="20"/>
                <w:color w:val="auto"/>
              </w:rPr>
            </w:pPr>
            <w:r>
              <w:rPr>
                <w:rFonts w:ascii="Arial" w:cs="Arial" w:eastAsia="Arial" w:hAnsi="Arial"/>
                <w:sz w:val="14"/>
                <w:szCs w:val="14"/>
                <w:color w:val="auto"/>
              </w:rPr>
              <w:t>(13,456)</w:t>
            </w:r>
          </w:p>
        </w:tc>
        <w:tc>
          <w:tcPr>
            <w:tcW w:w="120" w:type="dxa"/>
            <w:vAlign w:val="bottom"/>
            <w:tcBorders>
              <w:left w:val="single" w:sz="8" w:color="B2B2B2"/>
            </w:tcBorders>
            <w:shd w:val="clear" w:color="auto" w:fill="B2B2B2"/>
          </w:tcPr>
          <w:p>
            <w:pPr>
              <w:spacing w:after="0"/>
              <w:rPr>
                <w:sz w:val="17"/>
                <w:szCs w:val="17"/>
                <w:color w:val="auto"/>
              </w:rPr>
            </w:pPr>
          </w:p>
        </w:tc>
        <w:tc>
          <w:tcPr>
            <w:tcW w:w="260" w:type="dxa"/>
            <w:vAlign w:val="bottom"/>
            <w:shd w:val="clear" w:color="auto" w:fill="B2B2B2"/>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234,480</w:t>
            </w:r>
          </w:p>
        </w:tc>
        <w:tc>
          <w:tcPr>
            <w:tcW w:w="0" w:type="dxa"/>
            <w:vAlign w:val="bottom"/>
          </w:tcPr>
          <w:p>
            <w:pPr>
              <w:spacing w:after="0"/>
              <w:rPr>
                <w:sz w:val="1"/>
                <w:szCs w:val="1"/>
                <w:color w:val="auto"/>
              </w:rPr>
            </w:pPr>
          </w:p>
        </w:tc>
      </w:tr>
      <w:tr>
        <w:trPr>
          <w:trHeight w:val="256"/>
        </w:trPr>
        <w:tc>
          <w:tcPr>
            <w:tcW w:w="3180" w:type="dxa"/>
            <w:vAlign w:val="bottom"/>
            <w:shd w:val="clear" w:color="auto" w:fill="B2B2B2"/>
          </w:tcPr>
          <w:p>
            <w:pPr>
              <w:spacing w:after="0"/>
              <w:rPr>
                <w:sz w:val="22"/>
                <w:szCs w:val="22"/>
                <w:color w:val="auto"/>
              </w:rPr>
            </w:pPr>
          </w:p>
        </w:tc>
        <w:tc>
          <w:tcPr>
            <w:tcW w:w="80" w:type="dxa"/>
            <w:vAlign w:val="bottom"/>
            <w:shd w:val="clear" w:color="auto" w:fill="B2B2B2"/>
          </w:tcPr>
          <w:p>
            <w:pPr>
              <w:spacing w:after="0"/>
              <w:rPr>
                <w:sz w:val="22"/>
                <w:szCs w:val="22"/>
                <w:color w:val="auto"/>
              </w:rPr>
            </w:pPr>
          </w:p>
        </w:tc>
        <w:tc>
          <w:tcPr>
            <w:tcW w:w="220" w:type="dxa"/>
            <w:vAlign w:val="bottom"/>
            <w:shd w:val="clear" w:color="auto" w:fill="B2B2B2"/>
          </w:tcPr>
          <w:p>
            <w:pPr>
              <w:spacing w:after="0"/>
              <w:rPr>
                <w:sz w:val="22"/>
                <w:szCs w:val="22"/>
                <w:color w:val="auto"/>
              </w:rPr>
            </w:pPr>
          </w:p>
        </w:tc>
        <w:tc>
          <w:tcPr>
            <w:tcW w:w="1040" w:type="dxa"/>
            <w:vAlign w:val="bottom"/>
            <w:shd w:val="clear" w:color="auto" w:fill="B2B2B2"/>
          </w:tcPr>
          <w:p>
            <w:pPr>
              <w:spacing w:after="0"/>
              <w:rPr>
                <w:sz w:val="22"/>
                <w:szCs w:val="22"/>
                <w:color w:val="auto"/>
              </w:rPr>
            </w:pPr>
          </w:p>
        </w:tc>
        <w:tc>
          <w:tcPr>
            <w:tcW w:w="120" w:type="dxa"/>
            <w:vAlign w:val="bottom"/>
            <w:tcBorders>
              <w:left w:val="single" w:sz="8" w:color="B2B2B2"/>
            </w:tcBorders>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60" w:type="dxa"/>
            <w:vAlign w:val="bottom"/>
            <w:shd w:val="clear" w:color="auto" w:fill="B2B2B2"/>
          </w:tcPr>
          <w:p>
            <w:pPr>
              <w:spacing w:after="0"/>
              <w:rPr>
                <w:sz w:val="22"/>
                <w:szCs w:val="22"/>
                <w:color w:val="auto"/>
              </w:rPr>
            </w:pPr>
          </w:p>
        </w:tc>
        <w:tc>
          <w:tcPr>
            <w:tcW w:w="12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22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100" w:type="dxa"/>
            <w:vAlign w:val="bottom"/>
            <w:tcBorders>
              <w:left w:val="single" w:sz="8" w:color="B2B2B2"/>
            </w:tcBorders>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1120" w:type="dxa"/>
            <w:vAlign w:val="bottom"/>
            <w:shd w:val="clear" w:color="auto" w:fill="B2B2B2"/>
          </w:tcPr>
          <w:p>
            <w:pPr>
              <w:spacing w:after="0"/>
              <w:rPr>
                <w:sz w:val="22"/>
                <w:szCs w:val="22"/>
                <w:color w:val="auto"/>
              </w:rPr>
            </w:pPr>
          </w:p>
        </w:tc>
        <w:tc>
          <w:tcPr>
            <w:tcW w:w="120" w:type="dxa"/>
            <w:vAlign w:val="bottom"/>
            <w:tcBorders>
              <w:left w:val="single" w:sz="8" w:color="B2B2B2"/>
            </w:tcBorders>
            <w:shd w:val="clear" w:color="auto" w:fill="B2B2B2"/>
          </w:tcPr>
          <w:p>
            <w:pPr>
              <w:spacing w:after="0"/>
              <w:rPr>
                <w:sz w:val="22"/>
                <w:szCs w:val="22"/>
                <w:color w:val="auto"/>
              </w:rPr>
            </w:pPr>
          </w:p>
        </w:tc>
        <w:tc>
          <w:tcPr>
            <w:tcW w:w="260" w:type="dxa"/>
            <w:vAlign w:val="bottom"/>
            <w:shd w:val="clear" w:color="auto" w:fill="B2B2B2"/>
          </w:tcPr>
          <w:p>
            <w:pPr>
              <w:spacing w:after="0"/>
              <w:rPr>
                <w:sz w:val="22"/>
                <w:szCs w:val="22"/>
                <w:color w:val="auto"/>
              </w:rPr>
            </w:pPr>
          </w:p>
        </w:tc>
        <w:tc>
          <w:tcPr>
            <w:tcW w:w="960" w:type="dxa"/>
            <w:vAlign w:val="bottom"/>
            <w:shd w:val="clear" w:color="auto" w:fill="B2B2B2"/>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1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7,684</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7,684</w:t>
            </w:r>
          </w:p>
        </w:tc>
        <w:tc>
          <w:tcPr>
            <w:tcW w:w="0" w:type="dxa"/>
            <w:vAlign w:val="bottom"/>
          </w:tcPr>
          <w:p>
            <w:pPr>
              <w:spacing w:after="0"/>
              <w:rPr>
                <w:sz w:val="1"/>
                <w:szCs w:val="1"/>
                <w:color w:val="auto"/>
              </w:rPr>
            </w:pPr>
          </w:p>
        </w:tc>
      </w:tr>
      <w:tr>
        <w:trPr>
          <w:trHeight w:val="202"/>
        </w:trPr>
        <w:tc>
          <w:tcPr>
            <w:tcW w:w="3180" w:type="dxa"/>
            <w:vAlign w:val="bottom"/>
            <w:shd w:val="clear" w:color="auto" w:fill="B2B2B2"/>
          </w:tcPr>
          <w:p>
            <w:pPr>
              <w:ind w:left="40"/>
              <w:spacing w:after="0"/>
              <w:rPr>
                <w:sz w:val="20"/>
                <w:szCs w:val="20"/>
                <w:color w:val="auto"/>
              </w:rPr>
            </w:pPr>
            <w:r>
              <w:rPr>
                <w:rFonts w:ascii="Arial" w:cs="Arial" w:eastAsia="Arial" w:hAnsi="Arial"/>
                <w:sz w:val="16"/>
                <w:szCs w:val="16"/>
                <w:color w:val="auto"/>
              </w:rPr>
              <w:t>Cash dividends ($.26 per share)</w:t>
            </w:r>
          </w:p>
        </w:tc>
        <w:tc>
          <w:tcPr>
            <w:tcW w:w="8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104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06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120" w:type="dxa"/>
            <w:vAlign w:val="bottom"/>
            <w:gridSpan w:val="2"/>
            <w:shd w:val="clear" w:color="auto" w:fill="B2B2B2"/>
          </w:tcPr>
          <w:p>
            <w:pPr>
              <w:jc w:val="right"/>
              <w:ind w:right="100"/>
              <w:spacing w:after="0"/>
              <w:rPr>
                <w:sz w:val="20"/>
                <w:szCs w:val="20"/>
                <w:color w:val="auto"/>
              </w:rPr>
            </w:pPr>
            <w:r>
              <w:rPr>
                <w:rFonts w:ascii="Arial" w:cs="Arial" w:eastAsia="Arial" w:hAnsi="Arial"/>
                <w:sz w:val="14"/>
                <w:szCs w:val="14"/>
                <w:color w:val="auto"/>
              </w:rPr>
              <w:t>(3,772)</w:t>
            </w:r>
          </w:p>
        </w:tc>
        <w:tc>
          <w:tcPr>
            <w:tcW w:w="220" w:type="dxa"/>
            <w:vAlign w:val="bottom"/>
            <w:shd w:val="clear" w:color="auto" w:fill="B2B2B2"/>
          </w:tcPr>
          <w:p>
            <w:pPr>
              <w:spacing w:after="0"/>
              <w:rPr>
                <w:sz w:val="17"/>
                <w:szCs w:val="17"/>
                <w:color w:val="auto"/>
              </w:rPr>
            </w:pPr>
          </w:p>
        </w:tc>
        <w:tc>
          <w:tcPr>
            <w:tcW w:w="1020" w:type="dxa"/>
            <w:vAlign w:val="bottom"/>
            <w:shd w:val="clear" w:color="auto" w:fill="B2B2B2"/>
          </w:tcPr>
          <w:p>
            <w:pPr>
              <w:spacing w:after="0"/>
              <w:rPr>
                <w:sz w:val="17"/>
                <w:szCs w:val="17"/>
                <w:color w:val="auto"/>
              </w:rPr>
            </w:pPr>
          </w:p>
        </w:tc>
        <w:tc>
          <w:tcPr>
            <w:tcW w:w="100" w:type="dxa"/>
            <w:vAlign w:val="bottom"/>
            <w:tcBorders>
              <w:left w:val="single" w:sz="8" w:color="B2B2B2"/>
            </w:tcBorders>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12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(3,772)</w:t>
            </w:r>
          </w:p>
        </w:tc>
        <w:tc>
          <w:tcPr>
            <w:tcW w:w="0" w:type="dxa"/>
            <w:vAlign w:val="bottom"/>
          </w:tcPr>
          <w:p>
            <w:pPr>
              <w:spacing w:after="0"/>
              <w:rPr>
                <w:sz w:val="1"/>
                <w:szCs w:val="1"/>
                <w:color w:val="auto"/>
              </w:rPr>
            </w:pPr>
          </w:p>
        </w:tc>
      </w:tr>
      <w:tr>
        <w:trPr>
          <w:trHeight w:val="192"/>
        </w:trPr>
        <w:tc>
          <w:tcPr>
            <w:tcW w:w="3180" w:type="dxa"/>
            <w:vAlign w:val="bottom"/>
          </w:tcPr>
          <w:p>
            <w:pPr>
              <w:ind w:left="40"/>
              <w:spacing w:after="0"/>
              <w:rPr>
                <w:sz w:val="20"/>
                <w:szCs w:val="20"/>
                <w:color w:val="auto"/>
              </w:rPr>
            </w:pPr>
            <w:r>
              <w:rPr>
                <w:rFonts w:ascii="Arial" w:cs="Arial" w:eastAsia="Arial" w:hAnsi="Arial"/>
                <w:sz w:val="16"/>
                <w:szCs w:val="16"/>
                <w:color w:val="auto"/>
                <w:w w:val="94"/>
              </w:rPr>
              <w:t>Issuance of 8,968 common shares pursuant to</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180" w:type="dxa"/>
            <w:vAlign w:val="bottom"/>
          </w:tcPr>
          <w:p>
            <w:pPr>
              <w:ind w:left="220"/>
              <w:spacing w:after="0"/>
              <w:rPr>
                <w:sz w:val="20"/>
                <w:szCs w:val="20"/>
                <w:color w:val="auto"/>
              </w:rPr>
            </w:pPr>
            <w:r>
              <w:rPr>
                <w:rFonts w:ascii="Arial" w:cs="Arial" w:eastAsia="Arial" w:hAnsi="Arial"/>
                <w:sz w:val="16"/>
                <w:szCs w:val="16"/>
                <w:color w:val="auto"/>
              </w:rPr>
              <w:t>stock-based compensation plan, net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(407)</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2"/>
        </w:trPr>
        <w:tc>
          <w:tcPr>
            <w:tcW w:w="3180" w:type="dxa"/>
            <w:vAlign w:val="bottom"/>
            <w:shd w:val="clear" w:color="auto" w:fill="B2B2B2"/>
          </w:tcPr>
          <w:p>
            <w:pPr>
              <w:ind w:left="40"/>
              <w:spacing w:after="0"/>
              <w:rPr>
                <w:sz w:val="20"/>
                <w:szCs w:val="20"/>
                <w:color w:val="auto"/>
              </w:rPr>
            </w:pPr>
            <w:r>
              <w:rPr>
                <w:rFonts w:ascii="Arial" w:cs="Arial" w:eastAsia="Arial" w:hAnsi="Arial"/>
                <w:sz w:val="16"/>
                <w:szCs w:val="16"/>
                <w:color w:val="auto"/>
              </w:rPr>
              <w:t>Stock-based compensation expense</w:t>
            </w:r>
          </w:p>
        </w:tc>
        <w:tc>
          <w:tcPr>
            <w:tcW w:w="8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104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180" w:type="dxa"/>
            <w:vAlign w:val="bottom"/>
            <w:gridSpan w:val="2"/>
            <w:shd w:val="clear" w:color="auto" w:fill="B2B2B2"/>
          </w:tcPr>
          <w:p>
            <w:pPr>
              <w:jc w:val="right"/>
              <w:ind w:right="120"/>
              <w:spacing w:after="0"/>
              <w:rPr>
                <w:sz w:val="20"/>
                <w:szCs w:val="20"/>
                <w:color w:val="auto"/>
              </w:rPr>
            </w:pPr>
            <w:r>
              <w:rPr>
                <w:rFonts w:ascii="Arial" w:cs="Arial" w:eastAsia="Arial" w:hAnsi="Arial"/>
                <w:sz w:val="14"/>
                <w:szCs w:val="14"/>
                <w:color w:val="auto"/>
              </w:rPr>
              <w:t>560</w:t>
            </w:r>
          </w:p>
        </w:tc>
        <w:tc>
          <w:tcPr>
            <w:tcW w:w="200" w:type="dxa"/>
            <w:vAlign w:val="bottom"/>
            <w:shd w:val="clear" w:color="auto" w:fill="B2B2B2"/>
          </w:tcPr>
          <w:p>
            <w:pPr>
              <w:spacing w:after="0"/>
              <w:rPr>
                <w:sz w:val="17"/>
                <w:szCs w:val="17"/>
                <w:color w:val="auto"/>
              </w:rPr>
            </w:pPr>
          </w:p>
        </w:tc>
        <w:tc>
          <w:tcPr>
            <w:tcW w:w="10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1020" w:type="dxa"/>
            <w:vAlign w:val="bottom"/>
            <w:shd w:val="clear" w:color="auto" w:fill="B2B2B2"/>
          </w:tcPr>
          <w:p>
            <w:pPr>
              <w:spacing w:after="0"/>
              <w:rPr>
                <w:sz w:val="17"/>
                <w:szCs w:val="17"/>
                <w:color w:val="auto"/>
              </w:rPr>
            </w:pPr>
          </w:p>
        </w:tc>
        <w:tc>
          <w:tcPr>
            <w:tcW w:w="100" w:type="dxa"/>
            <w:vAlign w:val="bottom"/>
            <w:tcBorders>
              <w:left w:val="single" w:sz="8" w:color="B2B2B2"/>
            </w:tcBorders>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12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202"/>
        </w:trPr>
        <w:tc>
          <w:tcPr>
            <w:tcW w:w="3180" w:type="dxa"/>
            <w:vAlign w:val="bottom"/>
          </w:tcPr>
          <w:p>
            <w:pPr>
              <w:ind w:left="40"/>
              <w:spacing w:after="0"/>
              <w:rPr>
                <w:sz w:val="20"/>
                <w:szCs w:val="20"/>
                <w:color w:val="auto"/>
              </w:rPr>
            </w:pPr>
            <w:r>
              <w:rPr>
                <w:rFonts w:ascii="Arial" w:cs="Arial" w:eastAsia="Arial" w:hAnsi="Arial"/>
                <w:sz w:val="16"/>
                <w:szCs w:val="16"/>
                <w:color w:val="auto"/>
              </w:rPr>
              <w:t>Purchase of 46,778 common shares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(2,098)</w:t>
            </w:r>
          </w:p>
        </w:tc>
        <w:tc>
          <w:tcPr>
            <w:tcW w:w="0" w:type="dxa"/>
            <w:vAlign w:val="bottom"/>
          </w:tcPr>
          <w:p>
            <w:pPr>
              <w:spacing w:after="0"/>
              <w:rPr>
                <w:sz w:val="1"/>
                <w:szCs w:val="1"/>
                <w:color w:val="auto"/>
              </w:rPr>
            </w:pPr>
          </w:p>
        </w:tc>
      </w:tr>
      <w:tr>
        <w:trPr>
          <w:trHeight w:val="202"/>
        </w:trPr>
        <w:tc>
          <w:tcPr>
            <w:tcW w:w="3180" w:type="dxa"/>
            <w:vAlign w:val="bottom"/>
            <w:shd w:val="clear" w:color="auto" w:fill="B2B2B2"/>
          </w:tcPr>
          <w:p>
            <w:pPr>
              <w:ind w:left="40"/>
              <w:spacing w:after="0"/>
              <w:rPr>
                <w:sz w:val="20"/>
                <w:szCs w:val="20"/>
                <w:color w:val="auto"/>
              </w:rPr>
            </w:pPr>
            <w:r>
              <w:rPr>
                <w:rFonts w:ascii="Arial" w:cs="Arial" w:eastAsia="Arial" w:hAnsi="Arial"/>
                <w:sz w:val="16"/>
                <w:szCs w:val="16"/>
                <w:color w:val="auto"/>
              </w:rPr>
              <w:t>Other comprehensive income</w:t>
            </w:r>
          </w:p>
        </w:tc>
        <w:tc>
          <w:tcPr>
            <w:tcW w:w="8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104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06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0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1020" w:type="dxa"/>
            <w:vAlign w:val="bottom"/>
            <w:shd w:val="clear" w:color="auto" w:fill="B2B2B2"/>
          </w:tcPr>
          <w:p>
            <w:pPr>
              <w:spacing w:after="0"/>
              <w:rPr>
                <w:sz w:val="17"/>
                <w:szCs w:val="17"/>
                <w:color w:val="auto"/>
              </w:rPr>
            </w:pPr>
          </w:p>
        </w:tc>
        <w:tc>
          <w:tcPr>
            <w:tcW w:w="100" w:type="dxa"/>
            <w:vAlign w:val="bottom"/>
            <w:tcBorders>
              <w:left w:val="single" w:sz="8" w:color="B2B2B2"/>
            </w:tcBorders>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4"/>
                <w:szCs w:val="14"/>
                <w:color w:val="auto"/>
              </w:rPr>
              <w:t>3,524</w:t>
            </w:r>
          </w:p>
        </w:tc>
        <w:tc>
          <w:tcPr>
            <w:tcW w:w="120" w:type="dxa"/>
            <w:vAlign w:val="bottom"/>
            <w:tcBorders>
              <w:left w:val="single" w:sz="8" w:color="B2B2B2"/>
            </w:tcBorders>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3,524</w:t>
            </w:r>
          </w:p>
        </w:tc>
        <w:tc>
          <w:tcPr>
            <w:tcW w:w="0" w:type="dxa"/>
            <w:vAlign w:val="bottom"/>
          </w:tcPr>
          <w:p>
            <w:pPr>
              <w:spacing w:after="0"/>
              <w:rPr>
                <w:sz w:val="1"/>
                <w:szCs w:val="1"/>
                <w:color w:val="auto"/>
              </w:rPr>
            </w:pPr>
          </w:p>
        </w:tc>
      </w:tr>
      <w:tr>
        <w:trPr>
          <w:trHeight w:val="20"/>
        </w:trPr>
        <w:tc>
          <w:tcPr>
            <w:tcW w:w="3180" w:type="dxa"/>
            <w:vAlign w:val="bottom"/>
            <w:vMerge w:val="restart"/>
          </w:tcPr>
          <w:p>
            <w:pPr>
              <w:ind w:left="40"/>
              <w:spacing w:after="0"/>
              <w:rPr>
                <w:sz w:val="20"/>
                <w:szCs w:val="20"/>
                <w:color w:val="auto"/>
              </w:rPr>
            </w:pPr>
            <w:r>
              <w:rPr>
                <w:rFonts w:ascii="Arial" w:cs="Arial" w:eastAsia="Arial" w:hAnsi="Arial"/>
                <w:sz w:val="16"/>
                <w:szCs w:val="16"/>
                <w:color w:val="auto"/>
              </w:rPr>
              <w:t>Balance, June 30, 2019</w:t>
            </w: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1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7,753</w:t>
            </w:r>
          </w:p>
        </w:tc>
        <w:tc>
          <w:tcPr>
            <w:tcW w:w="120" w:type="dxa"/>
            <w:vAlign w:val="bottom"/>
            <w:vMerge w:val="continue"/>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205,463</w:t>
            </w:r>
          </w:p>
        </w:tc>
        <w:tc>
          <w:tcPr>
            <w:tcW w:w="12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83,470</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(46,333)</w:t>
            </w:r>
          </w:p>
        </w:tc>
        <w:tc>
          <w:tcPr>
            <w:tcW w:w="1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(9,932)</w:t>
            </w:r>
          </w:p>
        </w:tc>
        <w:tc>
          <w:tcPr>
            <w:tcW w:w="120" w:type="dxa"/>
            <w:vAlign w:val="bottom"/>
            <w:vMerge w:val="continue"/>
          </w:tcPr>
          <w:p>
            <w:pPr>
              <w:spacing w:after="0"/>
              <w:rPr>
                <w:sz w:val="17"/>
                <w:szCs w:val="17"/>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240,421</w:t>
            </w:r>
          </w:p>
        </w:tc>
        <w:tc>
          <w:tcPr>
            <w:tcW w:w="0" w:type="dxa"/>
            <w:vAlign w:val="bottom"/>
          </w:tcPr>
          <w:p>
            <w:pPr>
              <w:spacing w:after="0"/>
              <w:rPr>
                <w:sz w:val="1"/>
                <w:szCs w:val="1"/>
                <w:color w:val="auto"/>
              </w:rPr>
            </w:pPr>
          </w:p>
        </w:tc>
      </w:tr>
      <w:tr>
        <w:trPr>
          <w:trHeight w:val="236"/>
        </w:trPr>
        <w:tc>
          <w:tcPr>
            <w:tcW w:w="3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180" w:type="dxa"/>
            <w:vAlign w:val="bottom"/>
            <w:shd w:val="clear" w:color="auto" w:fill="B2B2B2"/>
          </w:tcPr>
          <w:p>
            <w:pPr>
              <w:ind w:left="40"/>
              <w:spacing w:after="0"/>
              <w:rPr>
                <w:sz w:val="20"/>
                <w:szCs w:val="20"/>
                <w:color w:val="auto"/>
              </w:rPr>
            </w:pPr>
            <w:r>
              <w:rPr>
                <w:rFonts w:ascii="Arial" w:cs="Arial" w:eastAsia="Arial" w:hAnsi="Arial"/>
                <w:sz w:val="16"/>
                <w:szCs w:val="16"/>
                <w:color w:val="auto"/>
              </w:rPr>
              <w:t>Balance, March 31, 2020</w:t>
            </w:r>
          </w:p>
        </w:tc>
        <w:tc>
          <w:tcPr>
            <w:tcW w:w="80" w:type="dxa"/>
            <w:vAlign w:val="bottom"/>
            <w:shd w:val="clear" w:color="auto" w:fill="B2B2B2"/>
          </w:tcPr>
          <w:p>
            <w:pPr>
              <w:spacing w:after="0"/>
              <w:rPr>
                <w:sz w:val="17"/>
                <w:szCs w:val="17"/>
                <w:color w:val="auto"/>
              </w:rPr>
            </w:pPr>
          </w:p>
        </w:tc>
        <w:tc>
          <w:tcPr>
            <w:tcW w:w="220" w:type="dxa"/>
            <w:vAlign w:val="bottom"/>
            <w:shd w:val="clear" w:color="auto" w:fill="B2B2B2"/>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B2B2B2"/>
          </w:tcPr>
          <w:p>
            <w:pPr>
              <w:jc w:val="right"/>
              <w:spacing w:after="0"/>
              <w:rPr>
                <w:sz w:val="20"/>
                <w:szCs w:val="20"/>
                <w:color w:val="auto"/>
              </w:rPr>
            </w:pPr>
            <w:r>
              <w:rPr>
                <w:rFonts w:ascii="Arial" w:cs="Arial" w:eastAsia="Arial" w:hAnsi="Arial"/>
                <w:sz w:val="14"/>
                <w:szCs w:val="14"/>
                <w:color w:val="auto"/>
              </w:rPr>
              <w:t>7,753</w:t>
            </w:r>
          </w:p>
        </w:tc>
        <w:tc>
          <w:tcPr>
            <w:tcW w:w="320" w:type="dxa"/>
            <w:vAlign w:val="bottom"/>
            <w:tcBorders>
              <w:left w:val="single" w:sz="8" w:color="B2B2B2"/>
            </w:tcBorders>
            <w:gridSpan w:val="2"/>
            <w:shd w:val="clear" w:color="auto" w:fill="B2B2B2"/>
          </w:tcPr>
          <w:p>
            <w:pPr>
              <w:jc w:val="right"/>
              <w:ind w:right="44"/>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B2B2B2"/>
          </w:tcPr>
          <w:p>
            <w:pPr>
              <w:jc w:val="right"/>
              <w:ind w:right="120"/>
              <w:spacing w:after="0"/>
              <w:rPr>
                <w:sz w:val="20"/>
                <w:szCs w:val="20"/>
                <w:color w:val="auto"/>
              </w:rPr>
            </w:pPr>
            <w:r>
              <w:rPr>
                <w:rFonts w:ascii="Arial" w:cs="Arial" w:eastAsia="Arial" w:hAnsi="Arial"/>
                <w:sz w:val="14"/>
                <w:szCs w:val="14"/>
                <w:color w:val="auto"/>
              </w:rPr>
              <w:t>203,801</w:t>
            </w:r>
          </w:p>
        </w:tc>
        <w:tc>
          <w:tcPr>
            <w:tcW w:w="200" w:type="dxa"/>
            <w:vAlign w:val="bottom"/>
            <w:shd w:val="clear" w:color="auto" w:fill="B2B2B2"/>
          </w:tcPr>
          <w:p>
            <w:pPr>
              <w:jc w:val="right"/>
              <w:ind w:right="4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B2B2B2"/>
          </w:tcPr>
          <w:p>
            <w:pPr>
              <w:jc w:val="right"/>
              <w:ind w:right="100"/>
              <w:spacing w:after="0"/>
              <w:rPr>
                <w:sz w:val="20"/>
                <w:szCs w:val="20"/>
                <w:color w:val="auto"/>
              </w:rPr>
            </w:pPr>
            <w:r>
              <w:rPr>
                <w:rFonts w:ascii="Arial" w:cs="Arial" w:eastAsia="Arial" w:hAnsi="Arial"/>
                <w:sz w:val="14"/>
                <w:szCs w:val="14"/>
                <w:color w:val="auto"/>
              </w:rPr>
              <w:t>93,968</w:t>
            </w:r>
          </w:p>
        </w:tc>
        <w:tc>
          <w:tcPr>
            <w:tcW w:w="220" w:type="dxa"/>
            <w:vAlign w:val="bottom"/>
            <w:shd w:val="clear" w:color="auto" w:fill="B2B2B2"/>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B2B2B2"/>
          </w:tcPr>
          <w:p>
            <w:pPr>
              <w:jc w:val="right"/>
              <w:spacing w:after="0"/>
              <w:rPr>
                <w:sz w:val="20"/>
                <w:szCs w:val="20"/>
                <w:color w:val="auto"/>
              </w:rPr>
            </w:pPr>
            <w:r>
              <w:rPr>
                <w:rFonts w:ascii="Arial" w:cs="Arial" w:eastAsia="Arial" w:hAnsi="Arial"/>
                <w:sz w:val="14"/>
                <w:szCs w:val="14"/>
                <w:color w:val="auto"/>
              </w:rPr>
              <w:t>(49,800)</w:t>
            </w:r>
          </w:p>
        </w:tc>
        <w:tc>
          <w:tcPr>
            <w:tcW w:w="200" w:type="dxa"/>
            <w:vAlign w:val="bottom"/>
            <w:tcBorders>
              <w:left w:val="single" w:sz="8" w:color="B2B2B2"/>
            </w:tcBorders>
            <w:gridSpan w:val="2"/>
            <w:shd w:val="clear" w:color="auto" w:fill="B2B2B2"/>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B2B2B2"/>
          </w:tcPr>
          <w:p>
            <w:pPr>
              <w:jc w:val="right"/>
              <w:spacing w:after="0"/>
              <w:rPr>
                <w:sz w:val="20"/>
                <w:szCs w:val="20"/>
                <w:color w:val="auto"/>
              </w:rPr>
            </w:pPr>
            <w:r>
              <w:rPr>
                <w:rFonts w:ascii="Arial" w:cs="Arial" w:eastAsia="Arial" w:hAnsi="Arial"/>
                <w:sz w:val="14"/>
                <w:szCs w:val="14"/>
                <w:color w:val="auto"/>
              </w:rPr>
              <w:t>(14,439)</w:t>
            </w:r>
          </w:p>
        </w:tc>
        <w:tc>
          <w:tcPr>
            <w:tcW w:w="380" w:type="dxa"/>
            <w:vAlign w:val="bottom"/>
            <w:tcBorders>
              <w:left w:val="single" w:sz="8" w:color="B2B2B2"/>
            </w:tcBorders>
            <w:gridSpan w:val="2"/>
            <w:shd w:val="clear" w:color="auto" w:fill="B2B2B2"/>
          </w:tcPr>
          <w:p>
            <w:pPr>
              <w:jc w:val="right"/>
              <w:ind w:right="104"/>
              <w:spacing w:after="0"/>
              <w:rPr>
                <w:sz w:val="20"/>
                <w:szCs w:val="20"/>
                <w:color w:val="auto"/>
              </w:rPr>
            </w:pPr>
            <w:r>
              <w:rPr>
                <w:rFonts w:ascii="Arial" w:cs="Arial" w:eastAsia="Arial" w:hAnsi="Arial"/>
                <w:sz w:val="16"/>
                <w:szCs w:val="16"/>
                <w:color w:val="auto"/>
              </w:rPr>
              <w:t>$</w:t>
            </w:r>
          </w:p>
        </w:tc>
        <w:tc>
          <w:tcPr>
            <w:tcW w:w="9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241,283</w:t>
            </w:r>
          </w:p>
        </w:tc>
        <w:tc>
          <w:tcPr>
            <w:tcW w:w="0" w:type="dxa"/>
            <w:vAlign w:val="bottom"/>
          </w:tcPr>
          <w:p>
            <w:pPr>
              <w:spacing w:after="0"/>
              <w:rPr>
                <w:sz w:val="1"/>
                <w:szCs w:val="1"/>
                <w:color w:val="auto"/>
              </w:rPr>
            </w:pPr>
          </w:p>
        </w:tc>
      </w:tr>
      <w:tr>
        <w:trPr>
          <w:trHeight w:val="256"/>
        </w:trPr>
        <w:tc>
          <w:tcPr>
            <w:tcW w:w="3180" w:type="dxa"/>
            <w:vAlign w:val="bottom"/>
            <w:shd w:val="clear" w:color="auto" w:fill="B2B2B2"/>
          </w:tcPr>
          <w:p>
            <w:pPr>
              <w:spacing w:after="0"/>
              <w:rPr>
                <w:sz w:val="22"/>
                <w:szCs w:val="22"/>
                <w:color w:val="auto"/>
              </w:rPr>
            </w:pPr>
          </w:p>
        </w:tc>
        <w:tc>
          <w:tcPr>
            <w:tcW w:w="80" w:type="dxa"/>
            <w:vAlign w:val="bottom"/>
            <w:shd w:val="clear" w:color="auto" w:fill="B2B2B2"/>
          </w:tcPr>
          <w:p>
            <w:pPr>
              <w:spacing w:after="0"/>
              <w:rPr>
                <w:sz w:val="22"/>
                <w:szCs w:val="22"/>
                <w:color w:val="auto"/>
              </w:rPr>
            </w:pPr>
          </w:p>
        </w:tc>
        <w:tc>
          <w:tcPr>
            <w:tcW w:w="220" w:type="dxa"/>
            <w:vAlign w:val="bottom"/>
            <w:shd w:val="clear" w:color="auto" w:fill="B2B2B2"/>
          </w:tcPr>
          <w:p>
            <w:pPr>
              <w:spacing w:after="0"/>
              <w:rPr>
                <w:sz w:val="22"/>
                <w:szCs w:val="22"/>
                <w:color w:val="auto"/>
              </w:rPr>
            </w:pPr>
          </w:p>
        </w:tc>
        <w:tc>
          <w:tcPr>
            <w:tcW w:w="1040" w:type="dxa"/>
            <w:vAlign w:val="bottom"/>
            <w:shd w:val="clear" w:color="auto" w:fill="B2B2B2"/>
          </w:tcPr>
          <w:p>
            <w:pPr>
              <w:spacing w:after="0"/>
              <w:rPr>
                <w:sz w:val="22"/>
                <w:szCs w:val="22"/>
                <w:color w:val="auto"/>
              </w:rPr>
            </w:pPr>
          </w:p>
        </w:tc>
        <w:tc>
          <w:tcPr>
            <w:tcW w:w="120" w:type="dxa"/>
            <w:vAlign w:val="bottom"/>
            <w:tcBorders>
              <w:left w:val="single" w:sz="8" w:color="B2B2B2"/>
            </w:tcBorders>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60" w:type="dxa"/>
            <w:vAlign w:val="bottom"/>
            <w:shd w:val="clear" w:color="auto" w:fill="B2B2B2"/>
          </w:tcPr>
          <w:p>
            <w:pPr>
              <w:spacing w:after="0"/>
              <w:rPr>
                <w:sz w:val="22"/>
                <w:szCs w:val="22"/>
                <w:color w:val="auto"/>
              </w:rPr>
            </w:pPr>
          </w:p>
        </w:tc>
        <w:tc>
          <w:tcPr>
            <w:tcW w:w="12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22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100" w:type="dxa"/>
            <w:vAlign w:val="bottom"/>
            <w:tcBorders>
              <w:left w:val="single" w:sz="8" w:color="B2B2B2"/>
            </w:tcBorders>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1120" w:type="dxa"/>
            <w:vAlign w:val="bottom"/>
            <w:shd w:val="clear" w:color="auto" w:fill="B2B2B2"/>
          </w:tcPr>
          <w:p>
            <w:pPr>
              <w:spacing w:after="0"/>
              <w:rPr>
                <w:sz w:val="22"/>
                <w:szCs w:val="22"/>
                <w:color w:val="auto"/>
              </w:rPr>
            </w:pPr>
          </w:p>
        </w:tc>
        <w:tc>
          <w:tcPr>
            <w:tcW w:w="120" w:type="dxa"/>
            <w:vAlign w:val="bottom"/>
            <w:tcBorders>
              <w:left w:val="single" w:sz="8" w:color="B2B2B2"/>
            </w:tcBorders>
            <w:shd w:val="clear" w:color="auto" w:fill="B2B2B2"/>
          </w:tcPr>
          <w:p>
            <w:pPr>
              <w:spacing w:after="0"/>
              <w:rPr>
                <w:sz w:val="22"/>
                <w:szCs w:val="22"/>
                <w:color w:val="auto"/>
              </w:rPr>
            </w:pPr>
          </w:p>
        </w:tc>
        <w:tc>
          <w:tcPr>
            <w:tcW w:w="260" w:type="dxa"/>
            <w:vAlign w:val="bottom"/>
            <w:shd w:val="clear" w:color="auto" w:fill="B2B2B2"/>
          </w:tcPr>
          <w:p>
            <w:pPr>
              <w:spacing w:after="0"/>
              <w:rPr>
                <w:sz w:val="22"/>
                <w:szCs w:val="22"/>
                <w:color w:val="auto"/>
              </w:rPr>
            </w:pPr>
          </w:p>
        </w:tc>
        <w:tc>
          <w:tcPr>
            <w:tcW w:w="960" w:type="dxa"/>
            <w:vAlign w:val="bottom"/>
            <w:shd w:val="clear" w:color="auto" w:fill="B2B2B2"/>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1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5,439</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5,439</w:t>
            </w:r>
          </w:p>
        </w:tc>
        <w:tc>
          <w:tcPr>
            <w:tcW w:w="0" w:type="dxa"/>
            <w:vAlign w:val="bottom"/>
          </w:tcPr>
          <w:p>
            <w:pPr>
              <w:spacing w:after="0"/>
              <w:rPr>
                <w:sz w:val="1"/>
                <w:szCs w:val="1"/>
                <w:color w:val="auto"/>
              </w:rPr>
            </w:pPr>
          </w:p>
        </w:tc>
      </w:tr>
      <w:tr>
        <w:trPr>
          <w:trHeight w:val="202"/>
        </w:trPr>
        <w:tc>
          <w:tcPr>
            <w:tcW w:w="3180" w:type="dxa"/>
            <w:vAlign w:val="bottom"/>
            <w:shd w:val="clear" w:color="auto" w:fill="B2B2B2"/>
          </w:tcPr>
          <w:p>
            <w:pPr>
              <w:ind w:left="40"/>
              <w:spacing w:after="0"/>
              <w:rPr>
                <w:sz w:val="20"/>
                <w:szCs w:val="20"/>
                <w:color w:val="auto"/>
              </w:rPr>
            </w:pPr>
            <w:r>
              <w:rPr>
                <w:rFonts w:ascii="Arial" w:cs="Arial" w:eastAsia="Arial" w:hAnsi="Arial"/>
                <w:sz w:val="16"/>
                <w:szCs w:val="16"/>
                <w:color w:val="auto"/>
              </w:rPr>
              <w:t>Cash dividends ($.27 per share)</w:t>
            </w:r>
          </w:p>
        </w:tc>
        <w:tc>
          <w:tcPr>
            <w:tcW w:w="8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104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06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120" w:type="dxa"/>
            <w:vAlign w:val="bottom"/>
            <w:gridSpan w:val="2"/>
            <w:shd w:val="clear" w:color="auto" w:fill="B2B2B2"/>
          </w:tcPr>
          <w:p>
            <w:pPr>
              <w:jc w:val="right"/>
              <w:ind w:right="100"/>
              <w:spacing w:after="0"/>
              <w:rPr>
                <w:sz w:val="20"/>
                <w:szCs w:val="20"/>
                <w:color w:val="auto"/>
              </w:rPr>
            </w:pPr>
            <w:r>
              <w:rPr>
                <w:rFonts w:ascii="Arial" w:cs="Arial" w:eastAsia="Arial" w:hAnsi="Arial"/>
                <w:sz w:val="14"/>
                <w:szCs w:val="14"/>
                <w:color w:val="auto"/>
              </w:rPr>
              <w:t>(3,893)</w:t>
            </w:r>
          </w:p>
        </w:tc>
        <w:tc>
          <w:tcPr>
            <w:tcW w:w="220" w:type="dxa"/>
            <w:vAlign w:val="bottom"/>
            <w:shd w:val="clear" w:color="auto" w:fill="B2B2B2"/>
          </w:tcPr>
          <w:p>
            <w:pPr>
              <w:spacing w:after="0"/>
              <w:rPr>
                <w:sz w:val="17"/>
                <w:szCs w:val="17"/>
                <w:color w:val="auto"/>
              </w:rPr>
            </w:pPr>
          </w:p>
        </w:tc>
        <w:tc>
          <w:tcPr>
            <w:tcW w:w="1020" w:type="dxa"/>
            <w:vAlign w:val="bottom"/>
            <w:shd w:val="clear" w:color="auto" w:fill="B2B2B2"/>
          </w:tcPr>
          <w:p>
            <w:pPr>
              <w:spacing w:after="0"/>
              <w:rPr>
                <w:sz w:val="17"/>
                <w:szCs w:val="17"/>
                <w:color w:val="auto"/>
              </w:rPr>
            </w:pPr>
          </w:p>
        </w:tc>
        <w:tc>
          <w:tcPr>
            <w:tcW w:w="100" w:type="dxa"/>
            <w:vAlign w:val="bottom"/>
            <w:tcBorders>
              <w:left w:val="single" w:sz="8" w:color="B2B2B2"/>
            </w:tcBorders>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12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(3,893)</w:t>
            </w:r>
          </w:p>
        </w:tc>
        <w:tc>
          <w:tcPr>
            <w:tcW w:w="0" w:type="dxa"/>
            <w:vAlign w:val="bottom"/>
          </w:tcPr>
          <w:p>
            <w:pPr>
              <w:spacing w:after="0"/>
              <w:rPr>
                <w:sz w:val="1"/>
                <w:szCs w:val="1"/>
                <w:color w:val="auto"/>
              </w:rPr>
            </w:pPr>
          </w:p>
        </w:tc>
      </w:tr>
      <w:tr>
        <w:trPr>
          <w:trHeight w:val="192"/>
        </w:trPr>
        <w:tc>
          <w:tcPr>
            <w:tcW w:w="3180" w:type="dxa"/>
            <w:vAlign w:val="bottom"/>
          </w:tcPr>
          <w:p>
            <w:pPr>
              <w:ind w:left="40"/>
              <w:spacing w:after="0"/>
              <w:rPr>
                <w:sz w:val="20"/>
                <w:szCs w:val="20"/>
                <w:color w:val="auto"/>
              </w:rPr>
            </w:pPr>
            <w:r>
              <w:rPr>
                <w:rFonts w:ascii="Arial" w:cs="Arial" w:eastAsia="Arial" w:hAnsi="Arial"/>
                <w:sz w:val="16"/>
                <w:szCs w:val="16"/>
                <w:color w:val="auto"/>
                <w:w w:val="94"/>
              </w:rPr>
              <w:t>Issuance of 9,292 common shares pursuant to</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180" w:type="dxa"/>
            <w:vAlign w:val="bottom"/>
          </w:tcPr>
          <w:p>
            <w:pPr>
              <w:ind w:left="220"/>
              <w:spacing w:after="0"/>
              <w:rPr>
                <w:sz w:val="20"/>
                <w:szCs w:val="20"/>
                <w:color w:val="auto"/>
              </w:rPr>
            </w:pPr>
            <w:r>
              <w:rPr>
                <w:rFonts w:ascii="Arial" w:cs="Arial" w:eastAsia="Arial" w:hAnsi="Arial"/>
                <w:sz w:val="16"/>
                <w:szCs w:val="16"/>
                <w:color w:val="auto"/>
              </w:rPr>
              <w:t>stock-based compensation plan, net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(299)</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2"/>
        </w:trPr>
        <w:tc>
          <w:tcPr>
            <w:tcW w:w="3180" w:type="dxa"/>
            <w:vAlign w:val="bottom"/>
            <w:shd w:val="clear" w:color="auto" w:fill="B2B2B2"/>
          </w:tcPr>
          <w:p>
            <w:pPr>
              <w:ind w:left="40"/>
              <w:spacing w:after="0"/>
              <w:rPr>
                <w:sz w:val="20"/>
                <w:szCs w:val="20"/>
                <w:color w:val="auto"/>
              </w:rPr>
            </w:pPr>
            <w:r>
              <w:rPr>
                <w:rFonts w:ascii="Arial" w:cs="Arial" w:eastAsia="Arial" w:hAnsi="Arial"/>
                <w:sz w:val="16"/>
                <w:szCs w:val="16"/>
                <w:color w:val="auto"/>
              </w:rPr>
              <w:t>Stock-based compensation expense</w:t>
            </w:r>
          </w:p>
        </w:tc>
        <w:tc>
          <w:tcPr>
            <w:tcW w:w="8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104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180" w:type="dxa"/>
            <w:vAlign w:val="bottom"/>
            <w:gridSpan w:val="2"/>
            <w:shd w:val="clear" w:color="auto" w:fill="B2B2B2"/>
          </w:tcPr>
          <w:p>
            <w:pPr>
              <w:jc w:val="right"/>
              <w:ind w:right="120"/>
              <w:spacing w:after="0"/>
              <w:rPr>
                <w:sz w:val="20"/>
                <w:szCs w:val="20"/>
                <w:color w:val="auto"/>
              </w:rPr>
            </w:pPr>
            <w:r>
              <w:rPr>
                <w:rFonts w:ascii="Arial" w:cs="Arial" w:eastAsia="Arial" w:hAnsi="Arial"/>
                <w:sz w:val="14"/>
                <w:szCs w:val="14"/>
                <w:color w:val="auto"/>
              </w:rPr>
              <w:t>756</w:t>
            </w:r>
          </w:p>
        </w:tc>
        <w:tc>
          <w:tcPr>
            <w:tcW w:w="200" w:type="dxa"/>
            <w:vAlign w:val="bottom"/>
            <w:shd w:val="clear" w:color="auto" w:fill="B2B2B2"/>
          </w:tcPr>
          <w:p>
            <w:pPr>
              <w:spacing w:after="0"/>
              <w:rPr>
                <w:sz w:val="17"/>
                <w:szCs w:val="17"/>
                <w:color w:val="auto"/>
              </w:rPr>
            </w:pPr>
          </w:p>
        </w:tc>
        <w:tc>
          <w:tcPr>
            <w:tcW w:w="10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1020" w:type="dxa"/>
            <w:vAlign w:val="bottom"/>
            <w:shd w:val="clear" w:color="auto" w:fill="B2B2B2"/>
          </w:tcPr>
          <w:p>
            <w:pPr>
              <w:spacing w:after="0"/>
              <w:rPr>
                <w:sz w:val="17"/>
                <w:szCs w:val="17"/>
                <w:color w:val="auto"/>
              </w:rPr>
            </w:pPr>
          </w:p>
        </w:tc>
        <w:tc>
          <w:tcPr>
            <w:tcW w:w="100" w:type="dxa"/>
            <w:vAlign w:val="bottom"/>
            <w:tcBorders>
              <w:left w:val="single" w:sz="8" w:color="B2B2B2"/>
            </w:tcBorders>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12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202"/>
        </w:trPr>
        <w:tc>
          <w:tcPr>
            <w:tcW w:w="318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4,898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4,898</w:t>
            </w:r>
          </w:p>
        </w:tc>
        <w:tc>
          <w:tcPr>
            <w:tcW w:w="0" w:type="dxa"/>
            <w:vAlign w:val="bottom"/>
          </w:tcPr>
          <w:p>
            <w:pPr>
              <w:spacing w:after="0"/>
              <w:rPr>
                <w:sz w:val="1"/>
                <w:szCs w:val="1"/>
                <w:color w:val="auto"/>
              </w:rPr>
            </w:pPr>
          </w:p>
        </w:tc>
      </w:tr>
      <w:tr>
        <w:trPr>
          <w:trHeight w:val="20"/>
        </w:trPr>
        <w:tc>
          <w:tcPr>
            <w:tcW w:w="3180" w:type="dxa"/>
            <w:vAlign w:val="bottom"/>
            <w:vMerge w:val="restart"/>
            <w:shd w:val="clear" w:color="auto" w:fill="B2B2B2"/>
          </w:tcPr>
          <w:p>
            <w:pPr>
              <w:ind w:left="40"/>
              <w:spacing w:after="0"/>
              <w:rPr>
                <w:sz w:val="20"/>
                <w:szCs w:val="20"/>
                <w:color w:val="auto"/>
              </w:rPr>
            </w:pPr>
            <w:r>
              <w:rPr>
                <w:rFonts w:ascii="Arial" w:cs="Arial" w:eastAsia="Arial" w:hAnsi="Arial"/>
                <w:sz w:val="16"/>
                <w:szCs w:val="16"/>
                <w:color w:val="auto"/>
              </w:rPr>
              <w:t>Balance, June 30, 2020</w:t>
            </w:r>
          </w:p>
        </w:tc>
        <w:tc>
          <w:tcPr>
            <w:tcW w:w="80" w:type="dxa"/>
            <w:vAlign w:val="bottom"/>
            <w:vMerge w:val="restart"/>
            <w:shd w:val="clear" w:color="auto" w:fill="B2B2B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Borders>
              <w:left w:val="single" w:sz="8" w:color="B2B2B2"/>
            </w:tcBorders>
            <w:vMerge w:val="restart"/>
            <w:shd w:val="clear" w:color="auto" w:fill="B2B2B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B2B2B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B2B2B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Borders>
              <w:left w:val="single" w:sz="8" w:color="B2B2B2"/>
            </w:tcBorders>
            <w:vMerge w:val="restart"/>
            <w:shd w:val="clear" w:color="auto" w:fill="B2B2B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Borders>
              <w:left w:val="single" w:sz="8" w:color="B2B2B2"/>
            </w:tcBorders>
            <w:vMerge w:val="restart"/>
            <w:shd w:val="clear" w:color="auto" w:fill="B2B2B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180" w:type="dxa"/>
            <w:vAlign w:val="bottom"/>
            <w:vMerge w:val="continue"/>
            <w:shd w:val="clear" w:color="auto" w:fill="B2B2B2"/>
          </w:tcPr>
          <w:p>
            <w:pPr>
              <w:spacing w:after="0"/>
              <w:rPr>
                <w:sz w:val="17"/>
                <w:szCs w:val="17"/>
                <w:color w:val="auto"/>
              </w:rPr>
            </w:pPr>
          </w:p>
        </w:tc>
        <w:tc>
          <w:tcPr>
            <w:tcW w:w="80" w:type="dxa"/>
            <w:vAlign w:val="bottom"/>
            <w:vMerge w:val="continue"/>
            <w:shd w:val="clear" w:color="auto" w:fill="B2B2B2"/>
          </w:tcPr>
          <w:p>
            <w:pPr>
              <w:spacing w:after="0"/>
              <w:rPr>
                <w:sz w:val="17"/>
                <w:szCs w:val="17"/>
                <w:color w:val="auto"/>
              </w:rPr>
            </w:pPr>
          </w:p>
        </w:tc>
        <w:tc>
          <w:tcPr>
            <w:tcW w:w="220" w:type="dxa"/>
            <w:vAlign w:val="bottom"/>
            <w:shd w:val="clear" w:color="auto" w:fill="B2B2B2"/>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B2B2B2"/>
          </w:tcPr>
          <w:p>
            <w:pPr>
              <w:jc w:val="right"/>
              <w:spacing w:after="0"/>
              <w:rPr>
                <w:sz w:val="20"/>
                <w:szCs w:val="20"/>
                <w:color w:val="auto"/>
              </w:rPr>
            </w:pPr>
            <w:r>
              <w:rPr>
                <w:rFonts w:ascii="Arial" w:cs="Arial" w:eastAsia="Arial" w:hAnsi="Arial"/>
                <w:sz w:val="14"/>
                <w:szCs w:val="14"/>
                <w:color w:val="auto"/>
              </w:rPr>
              <w:t>7,753</w:t>
            </w:r>
          </w:p>
        </w:tc>
        <w:tc>
          <w:tcPr>
            <w:tcW w:w="120" w:type="dxa"/>
            <w:vAlign w:val="bottom"/>
            <w:tcBorders>
              <w:left w:val="single" w:sz="8" w:color="B2B2B2"/>
            </w:tcBorders>
            <w:vMerge w:val="continue"/>
            <w:shd w:val="clear" w:color="auto" w:fill="B2B2B2"/>
          </w:tcPr>
          <w:p>
            <w:pPr>
              <w:spacing w:after="0"/>
              <w:rPr>
                <w:sz w:val="17"/>
                <w:szCs w:val="17"/>
                <w:color w:val="auto"/>
              </w:rPr>
            </w:pPr>
          </w:p>
        </w:tc>
        <w:tc>
          <w:tcPr>
            <w:tcW w:w="200" w:type="dxa"/>
            <w:vAlign w:val="bottom"/>
            <w:shd w:val="clear" w:color="auto" w:fill="B2B2B2"/>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204,258</w:t>
            </w:r>
          </w:p>
        </w:tc>
        <w:tc>
          <w:tcPr>
            <w:tcW w:w="120" w:type="dxa"/>
            <w:vAlign w:val="bottom"/>
            <w:shd w:val="clear" w:color="auto" w:fill="B2B2B2"/>
          </w:tcPr>
          <w:p>
            <w:pPr>
              <w:spacing w:after="0"/>
              <w:rPr>
                <w:sz w:val="17"/>
                <w:szCs w:val="17"/>
                <w:color w:val="auto"/>
              </w:rPr>
            </w:pPr>
          </w:p>
        </w:tc>
        <w:tc>
          <w:tcPr>
            <w:tcW w:w="200" w:type="dxa"/>
            <w:vAlign w:val="bottom"/>
            <w:shd w:val="clear" w:color="auto" w:fill="B2B2B2"/>
          </w:tcPr>
          <w:p>
            <w:pPr>
              <w:jc w:val="right"/>
              <w:ind w:right="4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B2B2B2"/>
          </w:tcPr>
          <w:p>
            <w:pPr>
              <w:jc w:val="right"/>
              <w:ind w:right="100"/>
              <w:spacing w:after="0"/>
              <w:rPr>
                <w:sz w:val="20"/>
                <w:szCs w:val="20"/>
                <w:color w:val="auto"/>
              </w:rPr>
            </w:pPr>
            <w:r>
              <w:rPr>
                <w:rFonts w:ascii="Arial" w:cs="Arial" w:eastAsia="Arial" w:hAnsi="Arial"/>
                <w:sz w:val="14"/>
                <w:szCs w:val="14"/>
                <w:color w:val="auto"/>
              </w:rPr>
              <w:t>95,514</w:t>
            </w:r>
          </w:p>
        </w:tc>
        <w:tc>
          <w:tcPr>
            <w:tcW w:w="220" w:type="dxa"/>
            <w:vAlign w:val="bottom"/>
            <w:shd w:val="clear" w:color="auto" w:fill="B2B2B2"/>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B2B2B2"/>
          </w:tcPr>
          <w:p>
            <w:pPr>
              <w:jc w:val="right"/>
              <w:spacing w:after="0"/>
              <w:rPr>
                <w:sz w:val="20"/>
                <w:szCs w:val="20"/>
                <w:color w:val="auto"/>
              </w:rPr>
            </w:pPr>
            <w:r>
              <w:rPr>
                <w:rFonts w:ascii="Arial" w:cs="Arial" w:eastAsia="Arial" w:hAnsi="Arial"/>
                <w:sz w:val="14"/>
                <w:szCs w:val="14"/>
                <w:color w:val="auto"/>
              </w:rPr>
              <w:t>(49,457)</w:t>
            </w:r>
          </w:p>
        </w:tc>
        <w:tc>
          <w:tcPr>
            <w:tcW w:w="100" w:type="dxa"/>
            <w:vAlign w:val="bottom"/>
            <w:tcBorders>
              <w:left w:val="single" w:sz="8" w:color="B2B2B2"/>
            </w:tcBorders>
            <w:vMerge w:val="continue"/>
            <w:shd w:val="clear" w:color="auto" w:fill="B2B2B2"/>
          </w:tcPr>
          <w:p>
            <w:pPr>
              <w:spacing w:after="0"/>
              <w:rPr>
                <w:sz w:val="17"/>
                <w:szCs w:val="17"/>
                <w:color w:val="auto"/>
              </w:rPr>
            </w:pPr>
          </w:p>
        </w:tc>
        <w:tc>
          <w:tcPr>
            <w:tcW w:w="100" w:type="dxa"/>
            <w:vAlign w:val="bottom"/>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B2B2B2"/>
          </w:tcPr>
          <w:p>
            <w:pPr>
              <w:jc w:val="right"/>
              <w:spacing w:after="0"/>
              <w:rPr>
                <w:sz w:val="20"/>
                <w:szCs w:val="20"/>
                <w:color w:val="auto"/>
              </w:rPr>
            </w:pPr>
            <w:r>
              <w:rPr>
                <w:rFonts w:ascii="Arial" w:cs="Arial" w:eastAsia="Arial" w:hAnsi="Arial"/>
                <w:sz w:val="14"/>
                <w:szCs w:val="14"/>
                <w:color w:val="auto"/>
              </w:rPr>
              <w:t>(9,541)</w:t>
            </w:r>
          </w:p>
        </w:tc>
        <w:tc>
          <w:tcPr>
            <w:tcW w:w="120" w:type="dxa"/>
            <w:vAlign w:val="bottom"/>
            <w:tcBorders>
              <w:left w:val="single" w:sz="8" w:color="B2B2B2"/>
            </w:tcBorders>
            <w:vMerge w:val="continue"/>
            <w:shd w:val="clear" w:color="auto" w:fill="B2B2B2"/>
          </w:tcPr>
          <w:p>
            <w:pPr>
              <w:spacing w:after="0"/>
              <w:rPr>
                <w:sz w:val="17"/>
                <w:szCs w:val="17"/>
                <w:color w:val="auto"/>
              </w:rPr>
            </w:pPr>
          </w:p>
        </w:tc>
        <w:tc>
          <w:tcPr>
            <w:tcW w:w="260" w:type="dxa"/>
            <w:vAlign w:val="bottom"/>
            <w:shd w:val="clear" w:color="auto" w:fill="B2B2B2"/>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248,527</w:t>
            </w:r>
          </w:p>
        </w:tc>
        <w:tc>
          <w:tcPr>
            <w:tcW w:w="0" w:type="dxa"/>
            <w:vAlign w:val="bottom"/>
          </w:tcPr>
          <w:p>
            <w:pPr>
              <w:spacing w:after="0"/>
              <w:rPr>
                <w:sz w:val="1"/>
                <w:szCs w:val="1"/>
                <w:color w:val="auto"/>
              </w:rPr>
            </w:pPr>
          </w:p>
        </w:tc>
      </w:tr>
      <w:tr>
        <w:trPr>
          <w:trHeight w:val="281"/>
        </w:trPr>
        <w:tc>
          <w:tcPr>
            <w:tcW w:w="3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vMerge w:val="restart"/>
          </w:tcPr>
          <w:p>
            <w:pPr>
              <w:jc w:val="center"/>
              <w:ind w:right="128"/>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vMerge w:val="restart"/>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102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8"/>
              <w:spacing w:after="0" w:line="148"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8"/>
              <w:spacing w:after="0" w:line="148"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180" w:type="dxa"/>
            <w:vAlign w:val="bottom"/>
            <w:tcBorders>
              <w:bottom w:val="single" w:sz="8" w:color="B2B2B2"/>
            </w:tcBorders>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80" w:type="dxa"/>
            <w:vAlign w:val="bottom"/>
            <w:tcBorders>
              <w:bottom w:val="single" w:sz="8" w:color="B2B2B2"/>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Borders>
              <w:bottom w:val="single" w:sz="8" w:color="B2B2B2"/>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B2B2B2"/>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B2B2B2"/>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Borders>
              <w:bottom w:val="single" w:sz="8" w:color="B2B2B2"/>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Borders>
              <w:bottom w:val="single" w:sz="8" w:color="B2B2B2"/>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3180" w:type="dxa"/>
            <w:vAlign w:val="bottom"/>
            <w:shd w:val="clear" w:color="auto" w:fill="B2B2B2"/>
          </w:tcPr>
          <w:p>
            <w:pPr>
              <w:ind w:left="40"/>
              <w:spacing w:after="0"/>
              <w:rPr>
                <w:sz w:val="20"/>
                <w:szCs w:val="20"/>
                <w:color w:val="auto"/>
              </w:rPr>
            </w:pPr>
            <w:r>
              <w:rPr>
                <w:rFonts w:ascii="Arial" w:cs="Arial" w:eastAsia="Arial" w:hAnsi="Arial"/>
                <w:sz w:val="16"/>
                <w:szCs w:val="16"/>
                <w:color w:val="auto"/>
              </w:rPr>
              <w:t>Balance, December 31, 2018</w:t>
            </w:r>
          </w:p>
        </w:tc>
        <w:tc>
          <w:tcPr>
            <w:tcW w:w="80" w:type="dxa"/>
            <w:vAlign w:val="bottom"/>
            <w:shd w:val="clear" w:color="auto" w:fill="B2B2B2"/>
          </w:tcPr>
          <w:p>
            <w:pPr>
              <w:spacing w:after="0"/>
              <w:rPr>
                <w:sz w:val="17"/>
                <w:szCs w:val="17"/>
                <w:color w:val="auto"/>
              </w:rPr>
            </w:pPr>
          </w:p>
        </w:tc>
        <w:tc>
          <w:tcPr>
            <w:tcW w:w="220" w:type="dxa"/>
            <w:vAlign w:val="bottom"/>
            <w:shd w:val="clear" w:color="auto" w:fill="B2B2B2"/>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B2B2B2"/>
          </w:tcPr>
          <w:p>
            <w:pPr>
              <w:jc w:val="right"/>
              <w:spacing w:after="0"/>
              <w:rPr>
                <w:sz w:val="20"/>
                <w:szCs w:val="20"/>
                <w:color w:val="auto"/>
              </w:rPr>
            </w:pPr>
            <w:r>
              <w:rPr>
                <w:rFonts w:ascii="Arial" w:cs="Arial" w:eastAsia="Arial" w:hAnsi="Arial"/>
                <w:sz w:val="14"/>
                <w:szCs w:val="14"/>
                <w:color w:val="auto"/>
              </w:rPr>
              <w:t>7,753</w:t>
            </w:r>
          </w:p>
        </w:tc>
        <w:tc>
          <w:tcPr>
            <w:tcW w:w="120" w:type="dxa"/>
            <w:vAlign w:val="bottom"/>
            <w:tcBorders>
              <w:left w:val="single" w:sz="8" w:color="B2B2B2"/>
            </w:tcBorders>
            <w:shd w:val="clear" w:color="auto" w:fill="B2B2B2"/>
          </w:tcPr>
          <w:p>
            <w:pPr>
              <w:spacing w:after="0"/>
              <w:rPr>
                <w:sz w:val="17"/>
                <w:szCs w:val="17"/>
                <w:color w:val="auto"/>
              </w:rPr>
            </w:pPr>
          </w:p>
        </w:tc>
        <w:tc>
          <w:tcPr>
            <w:tcW w:w="200" w:type="dxa"/>
            <w:vAlign w:val="bottom"/>
            <w:shd w:val="clear" w:color="auto" w:fill="B2B2B2"/>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B2B2B2"/>
          </w:tcPr>
          <w:p>
            <w:pPr>
              <w:jc w:val="right"/>
              <w:ind w:right="120"/>
              <w:spacing w:after="0"/>
              <w:rPr>
                <w:sz w:val="20"/>
                <w:szCs w:val="20"/>
                <w:color w:val="auto"/>
              </w:rPr>
            </w:pPr>
            <w:r>
              <w:rPr>
                <w:rFonts w:ascii="Arial" w:cs="Arial" w:eastAsia="Arial" w:hAnsi="Arial"/>
                <w:sz w:val="14"/>
                <w:szCs w:val="14"/>
                <w:color w:val="auto"/>
              </w:rPr>
              <w:t>205,770</w:t>
            </w:r>
          </w:p>
        </w:tc>
        <w:tc>
          <w:tcPr>
            <w:tcW w:w="200" w:type="dxa"/>
            <w:vAlign w:val="bottom"/>
            <w:shd w:val="clear" w:color="auto" w:fill="B2B2B2"/>
          </w:tcPr>
          <w:p>
            <w:pPr>
              <w:jc w:val="right"/>
              <w:ind w:right="4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B2B2B2"/>
          </w:tcPr>
          <w:p>
            <w:pPr>
              <w:jc w:val="right"/>
              <w:ind w:right="100"/>
              <w:spacing w:after="0"/>
              <w:rPr>
                <w:sz w:val="20"/>
                <w:szCs w:val="20"/>
                <w:color w:val="auto"/>
              </w:rPr>
            </w:pPr>
            <w:r>
              <w:rPr>
                <w:rFonts w:ascii="Arial" w:cs="Arial" w:eastAsia="Arial" w:hAnsi="Arial"/>
                <w:sz w:val="14"/>
                <w:szCs w:val="14"/>
                <w:color w:val="auto"/>
              </w:rPr>
              <w:t>75,171</w:t>
            </w:r>
          </w:p>
        </w:tc>
        <w:tc>
          <w:tcPr>
            <w:tcW w:w="220" w:type="dxa"/>
            <w:vAlign w:val="bottom"/>
            <w:shd w:val="clear" w:color="auto" w:fill="B2B2B2"/>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B2B2B2"/>
          </w:tcPr>
          <w:p>
            <w:pPr>
              <w:jc w:val="right"/>
              <w:spacing w:after="0"/>
              <w:rPr>
                <w:sz w:val="20"/>
                <w:szCs w:val="20"/>
                <w:color w:val="auto"/>
              </w:rPr>
            </w:pPr>
            <w:r>
              <w:rPr>
                <w:rFonts w:ascii="Arial" w:cs="Arial" w:eastAsia="Arial" w:hAnsi="Arial"/>
                <w:sz w:val="14"/>
                <w:szCs w:val="14"/>
                <w:color w:val="auto"/>
              </w:rPr>
              <w:t>(39,974)</w:t>
            </w:r>
          </w:p>
        </w:tc>
        <w:tc>
          <w:tcPr>
            <w:tcW w:w="100" w:type="dxa"/>
            <w:vAlign w:val="bottom"/>
            <w:tcBorders>
              <w:left w:val="single" w:sz="8" w:color="B2B2B2"/>
            </w:tcBorders>
            <w:shd w:val="clear" w:color="auto" w:fill="B2B2B2"/>
          </w:tcPr>
          <w:p>
            <w:pPr>
              <w:spacing w:after="0"/>
              <w:rPr>
                <w:sz w:val="17"/>
                <w:szCs w:val="17"/>
                <w:color w:val="auto"/>
              </w:rPr>
            </w:pPr>
          </w:p>
        </w:tc>
        <w:tc>
          <w:tcPr>
            <w:tcW w:w="100" w:type="dxa"/>
            <w:vAlign w:val="bottom"/>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B2B2B2"/>
          </w:tcPr>
          <w:p>
            <w:pPr>
              <w:jc w:val="right"/>
              <w:spacing w:after="0"/>
              <w:rPr>
                <w:sz w:val="20"/>
                <w:szCs w:val="20"/>
                <w:color w:val="auto"/>
              </w:rPr>
            </w:pPr>
            <w:r>
              <w:rPr>
                <w:rFonts w:ascii="Arial" w:cs="Arial" w:eastAsia="Arial" w:hAnsi="Arial"/>
                <w:sz w:val="14"/>
                <w:szCs w:val="14"/>
                <w:color w:val="auto"/>
              </w:rPr>
              <w:t>(18,872)</w:t>
            </w:r>
          </w:p>
        </w:tc>
        <w:tc>
          <w:tcPr>
            <w:tcW w:w="120" w:type="dxa"/>
            <w:vAlign w:val="bottom"/>
            <w:tcBorders>
              <w:left w:val="single" w:sz="8" w:color="B2B2B2"/>
            </w:tcBorders>
            <w:shd w:val="clear" w:color="auto" w:fill="B2B2B2"/>
          </w:tcPr>
          <w:p>
            <w:pPr>
              <w:spacing w:after="0"/>
              <w:rPr>
                <w:sz w:val="17"/>
                <w:szCs w:val="17"/>
                <w:color w:val="auto"/>
              </w:rPr>
            </w:pPr>
          </w:p>
        </w:tc>
        <w:tc>
          <w:tcPr>
            <w:tcW w:w="260" w:type="dxa"/>
            <w:vAlign w:val="bottom"/>
            <w:shd w:val="clear" w:color="auto" w:fill="B2B2B2"/>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229,848</w:t>
            </w:r>
          </w:p>
        </w:tc>
        <w:tc>
          <w:tcPr>
            <w:tcW w:w="0" w:type="dxa"/>
            <w:vAlign w:val="bottom"/>
          </w:tcPr>
          <w:p>
            <w:pPr>
              <w:spacing w:after="0"/>
              <w:rPr>
                <w:sz w:val="1"/>
                <w:szCs w:val="1"/>
                <w:color w:val="auto"/>
              </w:rPr>
            </w:pPr>
          </w:p>
        </w:tc>
      </w:tr>
      <w:tr>
        <w:trPr>
          <w:trHeight w:val="256"/>
        </w:trPr>
        <w:tc>
          <w:tcPr>
            <w:tcW w:w="3180" w:type="dxa"/>
            <w:vAlign w:val="bottom"/>
            <w:shd w:val="clear" w:color="auto" w:fill="B2B2B2"/>
          </w:tcPr>
          <w:p>
            <w:pPr>
              <w:spacing w:after="0"/>
              <w:rPr>
                <w:sz w:val="22"/>
                <w:szCs w:val="22"/>
                <w:color w:val="auto"/>
              </w:rPr>
            </w:pPr>
          </w:p>
        </w:tc>
        <w:tc>
          <w:tcPr>
            <w:tcW w:w="80" w:type="dxa"/>
            <w:vAlign w:val="bottom"/>
            <w:shd w:val="clear" w:color="auto" w:fill="B2B2B2"/>
          </w:tcPr>
          <w:p>
            <w:pPr>
              <w:spacing w:after="0"/>
              <w:rPr>
                <w:sz w:val="22"/>
                <w:szCs w:val="22"/>
                <w:color w:val="auto"/>
              </w:rPr>
            </w:pPr>
          </w:p>
        </w:tc>
        <w:tc>
          <w:tcPr>
            <w:tcW w:w="220" w:type="dxa"/>
            <w:vAlign w:val="bottom"/>
            <w:shd w:val="clear" w:color="auto" w:fill="B2B2B2"/>
          </w:tcPr>
          <w:p>
            <w:pPr>
              <w:spacing w:after="0"/>
              <w:rPr>
                <w:sz w:val="22"/>
                <w:szCs w:val="22"/>
                <w:color w:val="auto"/>
              </w:rPr>
            </w:pPr>
          </w:p>
        </w:tc>
        <w:tc>
          <w:tcPr>
            <w:tcW w:w="1040" w:type="dxa"/>
            <w:vAlign w:val="bottom"/>
            <w:shd w:val="clear" w:color="auto" w:fill="B2B2B2"/>
          </w:tcPr>
          <w:p>
            <w:pPr>
              <w:spacing w:after="0"/>
              <w:rPr>
                <w:sz w:val="22"/>
                <w:szCs w:val="22"/>
                <w:color w:val="auto"/>
              </w:rPr>
            </w:pPr>
          </w:p>
        </w:tc>
        <w:tc>
          <w:tcPr>
            <w:tcW w:w="120" w:type="dxa"/>
            <w:vAlign w:val="bottom"/>
            <w:tcBorders>
              <w:left w:val="single" w:sz="8" w:color="B2B2B2"/>
            </w:tcBorders>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60" w:type="dxa"/>
            <w:vAlign w:val="bottom"/>
            <w:shd w:val="clear" w:color="auto" w:fill="B2B2B2"/>
          </w:tcPr>
          <w:p>
            <w:pPr>
              <w:spacing w:after="0"/>
              <w:rPr>
                <w:sz w:val="22"/>
                <w:szCs w:val="22"/>
                <w:color w:val="auto"/>
              </w:rPr>
            </w:pPr>
          </w:p>
        </w:tc>
        <w:tc>
          <w:tcPr>
            <w:tcW w:w="12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120" w:type="dxa"/>
            <w:vAlign w:val="bottom"/>
            <w:gridSpan w:val="2"/>
            <w:shd w:val="clear" w:color="auto" w:fill="B2B2B2"/>
          </w:tcPr>
          <w:p>
            <w:pPr>
              <w:spacing w:after="0"/>
              <w:rPr>
                <w:sz w:val="22"/>
                <w:szCs w:val="22"/>
                <w:color w:val="auto"/>
              </w:rPr>
            </w:pPr>
          </w:p>
        </w:tc>
        <w:tc>
          <w:tcPr>
            <w:tcW w:w="22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100" w:type="dxa"/>
            <w:vAlign w:val="bottom"/>
            <w:tcBorders>
              <w:left w:val="single" w:sz="8" w:color="B2B2B2"/>
            </w:tcBorders>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1120" w:type="dxa"/>
            <w:vAlign w:val="bottom"/>
            <w:shd w:val="clear" w:color="auto" w:fill="B2B2B2"/>
          </w:tcPr>
          <w:p>
            <w:pPr>
              <w:spacing w:after="0"/>
              <w:rPr>
                <w:sz w:val="22"/>
                <w:szCs w:val="22"/>
                <w:color w:val="auto"/>
              </w:rPr>
            </w:pPr>
          </w:p>
        </w:tc>
        <w:tc>
          <w:tcPr>
            <w:tcW w:w="120" w:type="dxa"/>
            <w:vAlign w:val="bottom"/>
            <w:tcBorders>
              <w:left w:val="single" w:sz="8" w:color="B2B2B2"/>
            </w:tcBorders>
            <w:shd w:val="clear" w:color="auto" w:fill="B2B2B2"/>
          </w:tcPr>
          <w:p>
            <w:pPr>
              <w:spacing w:after="0"/>
              <w:rPr>
                <w:sz w:val="22"/>
                <w:szCs w:val="22"/>
                <w:color w:val="auto"/>
              </w:rPr>
            </w:pPr>
          </w:p>
        </w:tc>
        <w:tc>
          <w:tcPr>
            <w:tcW w:w="260" w:type="dxa"/>
            <w:vAlign w:val="bottom"/>
            <w:shd w:val="clear" w:color="auto" w:fill="B2B2B2"/>
          </w:tcPr>
          <w:p>
            <w:pPr>
              <w:spacing w:after="0"/>
              <w:rPr>
                <w:sz w:val="22"/>
                <w:szCs w:val="22"/>
                <w:color w:val="auto"/>
              </w:rPr>
            </w:pPr>
          </w:p>
        </w:tc>
        <w:tc>
          <w:tcPr>
            <w:tcW w:w="960" w:type="dxa"/>
            <w:vAlign w:val="bottom"/>
            <w:shd w:val="clear" w:color="auto" w:fill="B2B2B2"/>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1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15,847</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15,847</w:t>
            </w:r>
          </w:p>
        </w:tc>
        <w:tc>
          <w:tcPr>
            <w:tcW w:w="0" w:type="dxa"/>
            <w:vAlign w:val="bottom"/>
          </w:tcPr>
          <w:p>
            <w:pPr>
              <w:spacing w:after="0"/>
              <w:rPr>
                <w:sz w:val="1"/>
                <w:szCs w:val="1"/>
                <w:color w:val="auto"/>
              </w:rPr>
            </w:pPr>
          </w:p>
        </w:tc>
      </w:tr>
      <w:tr>
        <w:trPr>
          <w:trHeight w:val="202"/>
        </w:trPr>
        <w:tc>
          <w:tcPr>
            <w:tcW w:w="3180" w:type="dxa"/>
            <w:vAlign w:val="bottom"/>
            <w:shd w:val="clear" w:color="auto" w:fill="B2B2B2"/>
          </w:tcPr>
          <w:p>
            <w:pPr>
              <w:ind w:left="40"/>
              <w:spacing w:after="0"/>
              <w:rPr>
                <w:sz w:val="20"/>
                <w:szCs w:val="20"/>
                <w:color w:val="auto"/>
              </w:rPr>
            </w:pPr>
            <w:r>
              <w:rPr>
                <w:rFonts w:ascii="Arial" w:cs="Arial" w:eastAsia="Arial" w:hAnsi="Arial"/>
                <w:sz w:val="16"/>
                <w:szCs w:val="16"/>
                <w:color w:val="auto"/>
              </w:rPr>
              <w:t>Cash dividends ($.26 per share)</w:t>
            </w:r>
          </w:p>
        </w:tc>
        <w:tc>
          <w:tcPr>
            <w:tcW w:w="8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104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06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120" w:type="dxa"/>
            <w:vAlign w:val="bottom"/>
            <w:gridSpan w:val="2"/>
            <w:shd w:val="clear" w:color="auto" w:fill="B2B2B2"/>
          </w:tcPr>
          <w:p>
            <w:pPr>
              <w:jc w:val="right"/>
              <w:ind w:right="100"/>
              <w:spacing w:after="0"/>
              <w:rPr>
                <w:sz w:val="20"/>
                <w:szCs w:val="20"/>
                <w:color w:val="auto"/>
              </w:rPr>
            </w:pPr>
            <w:r>
              <w:rPr>
                <w:rFonts w:ascii="Arial" w:cs="Arial" w:eastAsia="Arial" w:hAnsi="Arial"/>
                <w:sz w:val="14"/>
                <w:szCs w:val="14"/>
                <w:color w:val="auto"/>
              </w:rPr>
              <w:t>(7,548)</w:t>
            </w:r>
          </w:p>
        </w:tc>
        <w:tc>
          <w:tcPr>
            <w:tcW w:w="220" w:type="dxa"/>
            <w:vAlign w:val="bottom"/>
            <w:shd w:val="clear" w:color="auto" w:fill="B2B2B2"/>
          </w:tcPr>
          <w:p>
            <w:pPr>
              <w:spacing w:after="0"/>
              <w:rPr>
                <w:sz w:val="17"/>
                <w:szCs w:val="17"/>
                <w:color w:val="auto"/>
              </w:rPr>
            </w:pPr>
          </w:p>
        </w:tc>
        <w:tc>
          <w:tcPr>
            <w:tcW w:w="1020" w:type="dxa"/>
            <w:vAlign w:val="bottom"/>
            <w:shd w:val="clear" w:color="auto" w:fill="B2B2B2"/>
          </w:tcPr>
          <w:p>
            <w:pPr>
              <w:spacing w:after="0"/>
              <w:rPr>
                <w:sz w:val="17"/>
                <w:szCs w:val="17"/>
                <w:color w:val="auto"/>
              </w:rPr>
            </w:pPr>
          </w:p>
        </w:tc>
        <w:tc>
          <w:tcPr>
            <w:tcW w:w="100" w:type="dxa"/>
            <w:vAlign w:val="bottom"/>
            <w:tcBorders>
              <w:left w:val="single" w:sz="8" w:color="B2B2B2"/>
            </w:tcBorders>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12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(7,548)</w:t>
            </w:r>
          </w:p>
        </w:tc>
        <w:tc>
          <w:tcPr>
            <w:tcW w:w="0" w:type="dxa"/>
            <w:vAlign w:val="bottom"/>
          </w:tcPr>
          <w:p>
            <w:pPr>
              <w:spacing w:after="0"/>
              <w:rPr>
                <w:sz w:val="1"/>
                <w:szCs w:val="1"/>
                <w:color w:val="auto"/>
              </w:rPr>
            </w:pPr>
          </w:p>
        </w:tc>
      </w:tr>
      <w:tr>
        <w:trPr>
          <w:trHeight w:val="192"/>
        </w:trPr>
        <w:tc>
          <w:tcPr>
            <w:tcW w:w="3180" w:type="dxa"/>
            <w:vAlign w:val="bottom"/>
          </w:tcPr>
          <w:p>
            <w:pPr>
              <w:ind w:left="40"/>
              <w:spacing w:after="0"/>
              <w:rPr>
                <w:sz w:val="20"/>
                <w:szCs w:val="20"/>
                <w:color w:val="auto"/>
              </w:rPr>
            </w:pPr>
            <w:r>
              <w:rPr>
                <w:rFonts w:ascii="Arial" w:cs="Arial" w:eastAsia="Arial" w:hAnsi="Arial"/>
                <w:sz w:val="16"/>
                <w:szCs w:val="16"/>
                <w:color w:val="auto"/>
                <w:w w:val="92"/>
              </w:rPr>
              <w:t>Issuance of 34,092 common shares pursuant to</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180" w:type="dxa"/>
            <w:vAlign w:val="bottom"/>
          </w:tcPr>
          <w:p>
            <w:pPr>
              <w:ind w:left="220"/>
              <w:spacing w:after="0"/>
              <w:rPr>
                <w:sz w:val="20"/>
                <w:szCs w:val="20"/>
                <w:color w:val="auto"/>
              </w:rPr>
            </w:pPr>
            <w:r>
              <w:rPr>
                <w:rFonts w:ascii="Arial" w:cs="Arial" w:eastAsia="Arial" w:hAnsi="Arial"/>
                <w:sz w:val="16"/>
                <w:szCs w:val="16"/>
                <w:color w:val="auto"/>
              </w:rPr>
              <w:t>stock-based compensation plan, net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(1,421)</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02"/>
        </w:trPr>
        <w:tc>
          <w:tcPr>
            <w:tcW w:w="3180" w:type="dxa"/>
            <w:vAlign w:val="bottom"/>
            <w:shd w:val="clear" w:color="auto" w:fill="B2B2B2"/>
          </w:tcPr>
          <w:p>
            <w:pPr>
              <w:ind w:left="40"/>
              <w:spacing w:after="0"/>
              <w:rPr>
                <w:sz w:val="20"/>
                <w:szCs w:val="20"/>
                <w:color w:val="auto"/>
              </w:rPr>
            </w:pPr>
            <w:r>
              <w:rPr>
                <w:rFonts w:ascii="Arial" w:cs="Arial" w:eastAsia="Arial" w:hAnsi="Arial"/>
                <w:sz w:val="16"/>
                <w:szCs w:val="16"/>
                <w:color w:val="auto"/>
              </w:rPr>
              <w:t>Exercise of SARs</w:t>
            </w:r>
          </w:p>
        </w:tc>
        <w:tc>
          <w:tcPr>
            <w:tcW w:w="8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104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180" w:type="dxa"/>
            <w:vAlign w:val="bottom"/>
            <w:gridSpan w:val="2"/>
            <w:shd w:val="clear" w:color="auto" w:fill="B2B2B2"/>
          </w:tcPr>
          <w:p>
            <w:pPr>
              <w:jc w:val="right"/>
              <w:ind w:right="120"/>
              <w:spacing w:after="0"/>
              <w:rPr>
                <w:sz w:val="20"/>
                <w:szCs w:val="20"/>
                <w:color w:val="auto"/>
              </w:rPr>
            </w:pPr>
            <w:r>
              <w:rPr>
                <w:rFonts w:ascii="Arial" w:cs="Arial" w:eastAsia="Arial" w:hAnsi="Arial"/>
                <w:sz w:val="14"/>
                <w:szCs w:val="14"/>
                <w:color w:val="auto"/>
              </w:rPr>
              <w:t>(303)</w:t>
            </w:r>
          </w:p>
        </w:tc>
        <w:tc>
          <w:tcPr>
            <w:tcW w:w="200" w:type="dxa"/>
            <w:vAlign w:val="bottom"/>
            <w:shd w:val="clear" w:color="auto" w:fill="B2B2B2"/>
          </w:tcPr>
          <w:p>
            <w:pPr>
              <w:spacing w:after="0"/>
              <w:rPr>
                <w:sz w:val="17"/>
                <w:szCs w:val="17"/>
                <w:color w:val="auto"/>
              </w:rPr>
            </w:pPr>
          </w:p>
        </w:tc>
        <w:tc>
          <w:tcPr>
            <w:tcW w:w="10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Borders>
              <w:left w:val="single" w:sz="8" w:color="B2B2B2"/>
            </w:tcBorders>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12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02"/>
        </w:trPr>
        <w:tc>
          <w:tcPr>
            <w:tcW w:w="318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1,417</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1,417</w:t>
            </w:r>
          </w:p>
        </w:tc>
        <w:tc>
          <w:tcPr>
            <w:tcW w:w="0" w:type="dxa"/>
            <w:vAlign w:val="bottom"/>
          </w:tcPr>
          <w:p>
            <w:pPr>
              <w:spacing w:after="0"/>
              <w:rPr>
                <w:sz w:val="1"/>
                <w:szCs w:val="1"/>
                <w:color w:val="auto"/>
              </w:rPr>
            </w:pPr>
          </w:p>
        </w:tc>
      </w:tr>
      <w:tr>
        <w:trPr>
          <w:trHeight w:val="202"/>
        </w:trPr>
        <w:tc>
          <w:tcPr>
            <w:tcW w:w="3180" w:type="dxa"/>
            <w:vAlign w:val="bottom"/>
            <w:shd w:val="clear" w:color="auto" w:fill="B2B2B2"/>
          </w:tcPr>
          <w:p>
            <w:pPr>
              <w:ind w:left="40"/>
              <w:spacing w:after="0"/>
              <w:rPr>
                <w:sz w:val="20"/>
                <w:szCs w:val="20"/>
                <w:color w:val="auto"/>
              </w:rPr>
            </w:pPr>
            <w:r>
              <w:rPr>
                <w:rFonts w:ascii="Arial" w:cs="Arial" w:eastAsia="Arial" w:hAnsi="Arial"/>
                <w:sz w:val="16"/>
                <w:szCs w:val="16"/>
                <w:color w:val="auto"/>
              </w:rPr>
              <w:t>Purchase of 154,593 common shares</w:t>
            </w:r>
          </w:p>
        </w:tc>
        <w:tc>
          <w:tcPr>
            <w:tcW w:w="8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104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06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0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1020" w:type="dxa"/>
            <w:vAlign w:val="bottom"/>
            <w:shd w:val="clear" w:color="auto" w:fill="B2B2B2"/>
          </w:tcPr>
          <w:p>
            <w:pPr>
              <w:jc w:val="right"/>
              <w:ind w:right="228"/>
              <w:spacing w:after="0"/>
              <w:rPr>
                <w:sz w:val="20"/>
                <w:szCs w:val="20"/>
                <w:color w:val="auto"/>
              </w:rPr>
            </w:pPr>
            <w:r>
              <w:rPr>
                <w:rFonts w:ascii="Arial" w:cs="Arial" w:eastAsia="Arial" w:hAnsi="Arial"/>
                <w:sz w:val="16"/>
                <w:szCs w:val="16"/>
                <w:color w:val="auto"/>
              </w:rPr>
              <w:t>(7,799)</w:t>
            </w:r>
          </w:p>
        </w:tc>
        <w:tc>
          <w:tcPr>
            <w:tcW w:w="100" w:type="dxa"/>
            <w:vAlign w:val="bottom"/>
            <w:tcBorders>
              <w:left w:val="single" w:sz="8" w:color="B2B2B2"/>
            </w:tcBorders>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120" w:type="dxa"/>
            <w:vAlign w:val="bottom"/>
            <w:shd w:val="clear" w:color="auto" w:fill="B2B2B2"/>
          </w:tcPr>
          <w:p>
            <w:pPr>
              <w:spacing w:after="0"/>
              <w:rPr>
                <w:sz w:val="17"/>
                <w:szCs w:val="17"/>
                <w:color w:val="auto"/>
              </w:rPr>
            </w:pPr>
          </w:p>
        </w:tc>
        <w:tc>
          <w:tcPr>
            <w:tcW w:w="120" w:type="dxa"/>
            <w:vAlign w:val="bottom"/>
            <w:tcBorders>
              <w:left w:val="single" w:sz="8" w:color="B2B2B2"/>
            </w:tcBorders>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(7,799)</w:t>
            </w:r>
          </w:p>
        </w:tc>
        <w:tc>
          <w:tcPr>
            <w:tcW w:w="0" w:type="dxa"/>
            <w:vAlign w:val="bottom"/>
          </w:tcPr>
          <w:p>
            <w:pPr>
              <w:spacing w:after="0"/>
              <w:rPr>
                <w:sz w:val="1"/>
                <w:szCs w:val="1"/>
                <w:color w:val="auto"/>
              </w:rPr>
            </w:pPr>
          </w:p>
        </w:tc>
      </w:tr>
      <w:tr>
        <w:trPr>
          <w:trHeight w:val="202"/>
        </w:trPr>
        <w:tc>
          <w:tcPr>
            <w:tcW w:w="318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8,940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8,940</w:t>
            </w:r>
          </w:p>
        </w:tc>
        <w:tc>
          <w:tcPr>
            <w:tcW w:w="0" w:type="dxa"/>
            <w:vAlign w:val="bottom"/>
          </w:tcPr>
          <w:p>
            <w:pPr>
              <w:spacing w:after="0"/>
              <w:rPr>
                <w:sz w:val="1"/>
                <w:szCs w:val="1"/>
                <w:color w:val="auto"/>
              </w:rPr>
            </w:pPr>
          </w:p>
        </w:tc>
      </w:tr>
      <w:tr>
        <w:trPr>
          <w:trHeight w:val="20"/>
        </w:trPr>
        <w:tc>
          <w:tcPr>
            <w:tcW w:w="3180" w:type="dxa"/>
            <w:vAlign w:val="bottom"/>
            <w:vMerge w:val="restart"/>
            <w:shd w:val="clear" w:color="auto" w:fill="B2B2B2"/>
          </w:tcPr>
          <w:p>
            <w:pPr>
              <w:ind w:left="40"/>
              <w:spacing w:after="0"/>
              <w:rPr>
                <w:sz w:val="20"/>
                <w:szCs w:val="20"/>
                <w:color w:val="auto"/>
              </w:rPr>
            </w:pPr>
            <w:r>
              <w:rPr>
                <w:rFonts w:ascii="Arial" w:cs="Arial" w:eastAsia="Arial" w:hAnsi="Arial"/>
                <w:sz w:val="16"/>
                <w:szCs w:val="16"/>
                <w:color w:val="auto"/>
              </w:rPr>
              <w:t>Balance, June 30, 2019</w:t>
            </w:r>
          </w:p>
        </w:tc>
        <w:tc>
          <w:tcPr>
            <w:tcW w:w="80" w:type="dxa"/>
            <w:vAlign w:val="bottom"/>
            <w:shd w:val="clear" w:color="auto" w:fill="B2B2B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Borders>
              <w:left w:val="single" w:sz="8" w:color="B2B2B2"/>
            </w:tcBorders>
            <w:vMerge w:val="restart"/>
            <w:shd w:val="clear" w:color="auto" w:fill="B2B2B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B2B2B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B2B2B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Borders>
              <w:left w:val="single" w:sz="8" w:color="B2B2B2"/>
            </w:tcBorders>
            <w:vMerge w:val="restart"/>
            <w:shd w:val="clear" w:color="auto" w:fill="B2B2B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Borders>
              <w:left w:val="single" w:sz="8" w:color="B2B2B2"/>
            </w:tcBorders>
            <w:vMerge w:val="restart"/>
            <w:shd w:val="clear" w:color="auto" w:fill="B2B2B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180" w:type="dxa"/>
            <w:vAlign w:val="bottom"/>
            <w:vMerge w:val="continue"/>
            <w:shd w:val="clear" w:color="auto" w:fill="B2B2B2"/>
          </w:tcPr>
          <w:p>
            <w:pPr>
              <w:spacing w:after="0"/>
              <w:rPr>
                <w:sz w:val="17"/>
                <w:szCs w:val="17"/>
                <w:color w:val="auto"/>
              </w:rPr>
            </w:pPr>
          </w:p>
        </w:tc>
        <w:tc>
          <w:tcPr>
            <w:tcW w:w="80" w:type="dxa"/>
            <w:vAlign w:val="bottom"/>
            <w:shd w:val="clear" w:color="auto" w:fill="B2B2B2"/>
          </w:tcPr>
          <w:p>
            <w:pPr>
              <w:spacing w:after="0"/>
              <w:rPr>
                <w:sz w:val="17"/>
                <w:szCs w:val="17"/>
                <w:color w:val="auto"/>
              </w:rPr>
            </w:pPr>
          </w:p>
        </w:tc>
        <w:tc>
          <w:tcPr>
            <w:tcW w:w="220" w:type="dxa"/>
            <w:vAlign w:val="bottom"/>
            <w:shd w:val="clear" w:color="auto" w:fill="B2B2B2"/>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B2B2B2"/>
          </w:tcPr>
          <w:p>
            <w:pPr>
              <w:jc w:val="right"/>
              <w:spacing w:after="0"/>
              <w:rPr>
                <w:sz w:val="20"/>
                <w:szCs w:val="20"/>
                <w:color w:val="auto"/>
              </w:rPr>
            </w:pPr>
            <w:r>
              <w:rPr>
                <w:rFonts w:ascii="Arial" w:cs="Arial" w:eastAsia="Arial" w:hAnsi="Arial"/>
                <w:sz w:val="14"/>
                <w:szCs w:val="14"/>
                <w:color w:val="auto"/>
              </w:rPr>
              <w:t>7,753</w:t>
            </w:r>
          </w:p>
        </w:tc>
        <w:tc>
          <w:tcPr>
            <w:tcW w:w="120" w:type="dxa"/>
            <w:vAlign w:val="bottom"/>
            <w:tcBorders>
              <w:left w:val="single" w:sz="8" w:color="B2B2B2"/>
            </w:tcBorders>
            <w:vMerge w:val="continue"/>
            <w:shd w:val="clear" w:color="auto" w:fill="B2B2B2"/>
          </w:tcPr>
          <w:p>
            <w:pPr>
              <w:spacing w:after="0"/>
              <w:rPr>
                <w:sz w:val="17"/>
                <w:szCs w:val="17"/>
                <w:color w:val="auto"/>
              </w:rPr>
            </w:pPr>
          </w:p>
        </w:tc>
        <w:tc>
          <w:tcPr>
            <w:tcW w:w="200" w:type="dxa"/>
            <w:vAlign w:val="bottom"/>
            <w:shd w:val="clear" w:color="auto" w:fill="B2B2B2"/>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205,463</w:t>
            </w:r>
          </w:p>
        </w:tc>
        <w:tc>
          <w:tcPr>
            <w:tcW w:w="120" w:type="dxa"/>
            <w:vAlign w:val="bottom"/>
            <w:shd w:val="clear" w:color="auto" w:fill="B2B2B2"/>
          </w:tcPr>
          <w:p>
            <w:pPr>
              <w:spacing w:after="0"/>
              <w:rPr>
                <w:sz w:val="17"/>
                <w:szCs w:val="17"/>
                <w:color w:val="auto"/>
              </w:rPr>
            </w:pPr>
          </w:p>
        </w:tc>
        <w:tc>
          <w:tcPr>
            <w:tcW w:w="200" w:type="dxa"/>
            <w:vAlign w:val="bottom"/>
            <w:shd w:val="clear" w:color="auto" w:fill="B2B2B2"/>
          </w:tcPr>
          <w:p>
            <w:pPr>
              <w:jc w:val="right"/>
              <w:ind w:right="4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B2B2B2"/>
          </w:tcPr>
          <w:p>
            <w:pPr>
              <w:jc w:val="right"/>
              <w:ind w:right="100"/>
              <w:spacing w:after="0"/>
              <w:rPr>
                <w:sz w:val="20"/>
                <w:szCs w:val="20"/>
                <w:color w:val="auto"/>
              </w:rPr>
            </w:pPr>
            <w:r>
              <w:rPr>
                <w:rFonts w:ascii="Arial" w:cs="Arial" w:eastAsia="Arial" w:hAnsi="Arial"/>
                <w:sz w:val="14"/>
                <w:szCs w:val="14"/>
                <w:color w:val="auto"/>
              </w:rPr>
              <w:t>83,470</w:t>
            </w:r>
          </w:p>
        </w:tc>
        <w:tc>
          <w:tcPr>
            <w:tcW w:w="220" w:type="dxa"/>
            <w:vAlign w:val="bottom"/>
            <w:shd w:val="clear" w:color="auto" w:fill="B2B2B2"/>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B2B2B2"/>
          </w:tcPr>
          <w:p>
            <w:pPr>
              <w:jc w:val="right"/>
              <w:spacing w:after="0"/>
              <w:rPr>
                <w:sz w:val="20"/>
                <w:szCs w:val="20"/>
                <w:color w:val="auto"/>
              </w:rPr>
            </w:pPr>
            <w:r>
              <w:rPr>
                <w:rFonts w:ascii="Arial" w:cs="Arial" w:eastAsia="Arial" w:hAnsi="Arial"/>
                <w:sz w:val="14"/>
                <w:szCs w:val="14"/>
                <w:color w:val="auto"/>
              </w:rPr>
              <w:t>(46,333)</w:t>
            </w:r>
          </w:p>
        </w:tc>
        <w:tc>
          <w:tcPr>
            <w:tcW w:w="100" w:type="dxa"/>
            <w:vAlign w:val="bottom"/>
            <w:tcBorders>
              <w:left w:val="single" w:sz="8" w:color="B2B2B2"/>
            </w:tcBorders>
            <w:vMerge w:val="continue"/>
            <w:shd w:val="clear" w:color="auto" w:fill="B2B2B2"/>
          </w:tcPr>
          <w:p>
            <w:pPr>
              <w:spacing w:after="0"/>
              <w:rPr>
                <w:sz w:val="17"/>
                <w:szCs w:val="17"/>
                <w:color w:val="auto"/>
              </w:rPr>
            </w:pPr>
          </w:p>
        </w:tc>
        <w:tc>
          <w:tcPr>
            <w:tcW w:w="100" w:type="dxa"/>
            <w:vAlign w:val="bottom"/>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B2B2B2"/>
          </w:tcPr>
          <w:p>
            <w:pPr>
              <w:jc w:val="right"/>
              <w:spacing w:after="0"/>
              <w:rPr>
                <w:sz w:val="20"/>
                <w:szCs w:val="20"/>
                <w:color w:val="auto"/>
              </w:rPr>
            </w:pPr>
            <w:r>
              <w:rPr>
                <w:rFonts w:ascii="Arial" w:cs="Arial" w:eastAsia="Arial" w:hAnsi="Arial"/>
                <w:sz w:val="14"/>
                <w:szCs w:val="14"/>
                <w:color w:val="auto"/>
              </w:rPr>
              <w:t>(9,932)</w:t>
            </w:r>
          </w:p>
        </w:tc>
        <w:tc>
          <w:tcPr>
            <w:tcW w:w="120" w:type="dxa"/>
            <w:vAlign w:val="bottom"/>
            <w:tcBorders>
              <w:left w:val="single" w:sz="8" w:color="B2B2B2"/>
            </w:tcBorders>
            <w:vMerge w:val="continue"/>
            <w:shd w:val="clear" w:color="auto" w:fill="B2B2B2"/>
          </w:tcPr>
          <w:p>
            <w:pPr>
              <w:spacing w:after="0"/>
              <w:rPr>
                <w:sz w:val="17"/>
                <w:szCs w:val="17"/>
                <w:color w:val="auto"/>
              </w:rPr>
            </w:pPr>
          </w:p>
        </w:tc>
        <w:tc>
          <w:tcPr>
            <w:tcW w:w="260" w:type="dxa"/>
            <w:vAlign w:val="bottom"/>
            <w:shd w:val="clear" w:color="auto" w:fill="B2B2B2"/>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240,421</w:t>
            </w:r>
          </w:p>
        </w:tc>
        <w:tc>
          <w:tcPr>
            <w:tcW w:w="0" w:type="dxa"/>
            <w:vAlign w:val="bottom"/>
          </w:tcPr>
          <w:p>
            <w:pPr>
              <w:spacing w:after="0"/>
              <w:rPr>
                <w:sz w:val="1"/>
                <w:szCs w:val="1"/>
                <w:color w:val="auto"/>
              </w:rPr>
            </w:pPr>
          </w:p>
        </w:tc>
      </w:tr>
      <w:tr>
        <w:trPr>
          <w:trHeight w:val="236"/>
        </w:trPr>
        <w:tc>
          <w:tcPr>
            <w:tcW w:w="3180" w:type="dxa"/>
            <w:vAlign w:val="bottom"/>
            <w:tcBorders>
              <w:top w:val="single" w:sz="8" w:color="B2B2B2"/>
              <w:bottom w:val="single" w:sz="8" w:color="auto"/>
            </w:tcBorders>
            <w:shd w:val="clear" w:color="auto" w:fill="B2B2B2"/>
          </w:tcPr>
          <w:p>
            <w:pPr>
              <w:spacing w:after="0"/>
              <w:rPr>
                <w:sz w:val="20"/>
                <w:szCs w:val="20"/>
                <w:color w:val="auto"/>
              </w:rPr>
            </w:pPr>
          </w:p>
        </w:tc>
        <w:tc>
          <w:tcPr>
            <w:tcW w:w="80" w:type="dxa"/>
            <w:vAlign w:val="bottom"/>
            <w:tcBorders>
              <w:top w:val="single" w:sz="8" w:color="B2B2B2"/>
              <w:bottom w:val="single" w:sz="8" w:color="auto"/>
            </w:tcBorders>
            <w:shd w:val="clear" w:color="auto" w:fill="B2B2B2"/>
          </w:tcPr>
          <w:p>
            <w:pPr>
              <w:spacing w:after="0"/>
              <w:rPr>
                <w:sz w:val="20"/>
                <w:szCs w:val="20"/>
                <w:color w:val="auto"/>
              </w:rPr>
            </w:pPr>
          </w:p>
        </w:tc>
        <w:tc>
          <w:tcPr>
            <w:tcW w:w="220" w:type="dxa"/>
            <w:vAlign w:val="bottom"/>
            <w:tcBorders>
              <w:top w:val="single" w:sz="8" w:color="auto"/>
              <w:bottom w:val="single" w:sz="8" w:color="auto"/>
            </w:tcBorders>
            <w:shd w:val="clear" w:color="auto" w:fill="B2B2B2"/>
          </w:tcPr>
          <w:p>
            <w:pPr>
              <w:spacing w:after="0"/>
              <w:rPr>
                <w:sz w:val="20"/>
                <w:szCs w:val="20"/>
                <w:color w:val="auto"/>
              </w:rPr>
            </w:pPr>
          </w:p>
        </w:tc>
        <w:tc>
          <w:tcPr>
            <w:tcW w:w="1040" w:type="dxa"/>
            <w:vAlign w:val="bottom"/>
            <w:tcBorders>
              <w:top w:val="single" w:sz="8" w:color="auto"/>
              <w:bottom w:val="single" w:sz="8" w:color="auto"/>
            </w:tcBorders>
            <w:shd w:val="clear" w:color="auto" w:fill="B2B2B2"/>
          </w:tcPr>
          <w:p>
            <w:pPr>
              <w:spacing w:after="0"/>
              <w:rPr>
                <w:sz w:val="20"/>
                <w:szCs w:val="20"/>
                <w:color w:val="auto"/>
              </w:rPr>
            </w:pPr>
          </w:p>
        </w:tc>
        <w:tc>
          <w:tcPr>
            <w:tcW w:w="120" w:type="dxa"/>
            <w:vAlign w:val="bottom"/>
            <w:tcBorders>
              <w:top w:val="single" w:sz="8" w:color="B2B2B2"/>
              <w:left w:val="single" w:sz="8" w:color="B2B2B2"/>
              <w:bottom w:val="single" w:sz="8" w:color="auto"/>
            </w:tcBorders>
            <w:shd w:val="clear" w:color="auto" w:fill="B2B2B2"/>
          </w:tcPr>
          <w:p>
            <w:pPr>
              <w:spacing w:after="0"/>
              <w:rPr>
                <w:sz w:val="20"/>
                <w:szCs w:val="20"/>
                <w:color w:val="auto"/>
              </w:rPr>
            </w:pPr>
          </w:p>
        </w:tc>
        <w:tc>
          <w:tcPr>
            <w:tcW w:w="200" w:type="dxa"/>
            <w:vAlign w:val="bottom"/>
            <w:tcBorders>
              <w:top w:val="single" w:sz="8" w:color="auto"/>
              <w:bottom w:val="single" w:sz="8" w:color="auto"/>
            </w:tcBorders>
            <w:shd w:val="clear" w:color="auto" w:fill="B2B2B2"/>
          </w:tcPr>
          <w:p>
            <w:pPr>
              <w:spacing w:after="0"/>
              <w:rPr>
                <w:sz w:val="20"/>
                <w:szCs w:val="20"/>
                <w:color w:val="auto"/>
              </w:rPr>
            </w:pPr>
          </w:p>
        </w:tc>
        <w:tc>
          <w:tcPr>
            <w:tcW w:w="1060" w:type="dxa"/>
            <w:vAlign w:val="bottom"/>
            <w:tcBorders>
              <w:top w:val="single" w:sz="8" w:color="auto"/>
              <w:bottom w:val="single" w:sz="8" w:color="auto"/>
            </w:tcBorders>
            <w:shd w:val="clear" w:color="auto" w:fill="B2B2B2"/>
          </w:tcPr>
          <w:p>
            <w:pPr>
              <w:spacing w:after="0"/>
              <w:rPr>
                <w:sz w:val="20"/>
                <w:szCs w:val="20"/>
                <w:color w:val="auto"/>
              </w:rPr>
            </w:pPr>
          </w:p>
        </w:tc>
        <w:tc>
          <w:tcPr>
            <w:tcW w:w="120" w:type="dxa"/>
            <w:vAlign w:val="bottom"/>
            <w:tcBorders>
              <w:top w:val="single" w:sz="8" w:color="B2B2B2"/>
              <w:bottom w:val="single" w:sz="8" w:color="auto"/>
            </w:tcBorders>
            <w:shd w:val="clear" w:color="auto" w:fill="B2B2B2"/>
          </w:tcPr>
          <w:p>
            <w:pPr>
              <w:spacing w:after="0"/>
              <w:rPr>
                <w:sz w:val="20"/>
                <w:szCs w:val="20"/>
                <w:color w:val="auto"/>
              </w:rPr>
            </w:pPr>
          </w:p>
        </w:tc>
        <w:tc>
          <w:tcPr>
            <w:tcW w:w="200" w:type="dxa"/>
            <w:vAlign w:val="bottom"/>
            <w:tcBorders>
              <w:top w:val="single" w:sz="8" w:color="auto"/>
              <w:bottom w:val="single" w:sz="8" w:color="auto"/>
            </w:tcBorders>
            <w:shd w:val="clear" w:color="auto" w:fill="B2B2B2"/>
          </w:tcPr>
          <w:p>
            <w:pPr>
              <w:spacing w:after="0"/>
              <w:rPr>
                <w:sz w:val="20"/>
                <w:szCs w:val="20"/>
                <w:color w:val="auto"/>
              </w:rPr>
            </w:pPr>
          </w:p>
        </w:tc>
        <w:tc>
          <w:tcPr>
            <w:tcW w:w="1020" w:type="dxa"/>
            <w:vAlign w:val="bottom"/>
            <w:tcBorders>
              <w:top w:val="single" w:sz="8" w:color="auto"/>
              <w:bottom w:val="single" w:sz="8" w:color="auto"/>
            </w:tcBorders>
            <w:shd w:val="clear" w:color="auto" w:fill="B2B2B2"/>
          </w:tcPr>
          <w:p>
            <w:pPr>
              <w:spacing w:after="0"/>
              <w:rPr>
                <w:sz w:val="20"/>
                <w:szCs w:val="20"/>
                <w:color w:val="auto"/>
              </w:rPr>
            </w:pPr>
          </w:p>
        </w:tc>
        <w:tc>
          <w:tcPr>
            <w:tcW w:w="100" w:type="dxa"/>
            <w:vAlign w:val="bottom"/>
            <w:tcBorders>
              <w:top w:val="single" w:sz="8" w:color="B2B2B2"/>
              <w:bottom w:val="single" w:sz="8" w:color="auto"/>
            </w:tcBorders>
            <w:shd w:val="clear" w:color="auto" w:fill="B2B2B2"/>
          </w:tcPr>
          <w:p>
            <w:pPr>
              <w:spacing w:after="0"/>
              <w:rPr>
                <w:sz w:val="20"/>
                <w:szCs w:val="20"/>
                <w:color w:val="auto"/>
              </w:rPr>
            </w:pPr>
          </w:p>
        </w:tc>
        <w:tc>
          <w:tcPr>
            <w:tcW w:w="220" w:type="dxa"/>
            <w:vAlign w:val="bottom"/>
            <w:tcBorders>
              <w:top w:val="single" w:sz="8" w:color="auto"/>
              <w:bottom w:val="single" w:sz="8" w:color="auto"/>
            </w:tcBorders>
            <w:shd w:val="clear" w:color="auto" w:fill="B2B2B2"/>
          </w:tcPr>
          <w:p>
            <w:pPr>
              <w:spacing w:after="0"/>
              <w:rPr>
                <w:sz w:val="20"/>
                <w:szCs w:val="20"/>
                <w:color w:val="auto"/>
              </w:rPr>
            </w:pPr>
          </w:p>
        </w:tc>
        <w:tc>
          <w:tcPr>
            <w:tcW w:w="1020" w:type="dxa"/>
            <w:vAlign w:val="bottom"/>
            <w:tcBorders>
              <w:top w:val="single" w:sz="8" w:color="auto"/>
              <w:bottom w:val="single" w:sz="8" w:color="auto"/>
            </w:tcBorders>
            <w:shd w:val="clear" w:color="auto" w:fill="B2B2B2"/>
          </w:tcPr>
          <w:p>
            <w:pPr>
              <w:spacing w:after="0"/>
              <w:rPr>
                <w:sz w:val="20"/>
                <w:szCs w:val="20"/>
                <w:color w:val="auto"/>
              </w:rPr>
            </w:pPr>
          </w:p>
        </w:tc>
        <w:tc>
          <w:tcPr>
            <w:tcW w:w="100" w:type="dxa"/>
            <w:vAlign w:val="bottom"/>
            <w:tcBorders>
              <w:top w:val="single" w:sz="8" w:color="B2B2B2"/>
              <w:left w:val="single" w:sz="8" w:color="B2B2B2"/>
              <w:bottom w:val="single" w:sz="8" w:color="auto"/>
            </w:tcBorders>
            <w:shd w:val="clear" w:color="auto" w:fill="B2B2B2"/>
          </w:tcPr>
          <w:p>
            <w:pPr>
              <w:spacing w:after="0"/>
              <w:rPr>
                <w:sz w:val="20"/>
                <w:szCs w:val="20"/>
                <w:color w:val="auto"/>
              </w:rPr>
            </w:pPr>
          </w:p>
        </w:tc>
        <w:tc>
          <w:tcPr>
            <w:tcW w:w="100" w:type="dxa"/>
            <w:vAlign w:val="bottom"/>
            <w:tcBorders>
              <w:top w:val="single" w:sz="8" w:color="auto"/>
              <w:bottom w:val="single" w:sz="8" w:color="auto"/>
            </w:tcBorders>
            <w:shd w:val="clear" w:color="auto" w:fill="B2B2B2"/>
          </w:tcPr>
          <w:p>
            <w:pPr>
              <w:spacing w:after="0"/>
              <w:rPr>
                <w:sz w:val="20"/>
                <w:szCs w:val="20"/>
                <w:color w:val="auto"/>
              </w:rPr>
            </w:pPr>
          </w:p>
        </w:tc>
        <w:tc>
          <w:tcPr>
            <w:tcW w:w="1120" w:type="dxa"/>
            <w:vAlign w:val="bottom"/>
            <w:tcBorders>
              <w:top w:val="single" w:sz="8" w:color="auto"/>
              <w:bottom w:val="single" w:sz="8" w:color="auto"/>
            </w:tcBorders>
            <w:shd w:val="clear" w:color="auto" w:fill="B2B2B2"/>
          </w:tcPr>
          <w:p>
            <w:pPr>
              <w:spacing w:after="0"/>
              <w:rPr>
                <w:sz w:val="20"/>
                <w:szCs w:val="20"/>
                <w:color w:val="auto"/>
              </w:rPr>
            </w:pPr>
          </w:p>
        </w:tc>
        <w:tc>
          <w:tcPr>
            <w:tcW w:w="120" w:type="dxa"/>
            <w:vAlign w:val="bottom"/>
            <w:tcBorders>
              <w:top w:val="single" w:sz="8" w:color="B2B2B2"/>
              <w:left w:val="single" w:sz="8" w:color="B2B2B2"/>
              <w:bottom w:val="single" w:sz="8" w:color="auto"/>
            </w:tcBorders>
            <w:shd w:val="clear" w:color="auto" w:fill="B2B2B2"/>
          </w:tcPr>
          <w:p>
            <w:pPr>
              <w:spacing w:after="0"/>
              <w:rPr>
                <w:sz w:val="20"/>
                <w:szCs w:val="20"/>
                <w:color w:val="auto"/>
              </w:rPr>
            </w:pPr>
          </w:p>
        </w:tc>
        <w:tc>
          <w:tcPr>
            <w:tcW w:w="260" w:type="dxa"/>
            <w:vAlign w:val="bottom"/>
            <w:tcBorders>
              <w:top w:val="single" w:sz="8" w:color="auto"/>
              <w:bottom w:val="single" w:sz="8" w:color="auto"/>
            </w:tcBorders>
            <w:shd w:val="clear" w:color="auto" w:fill="B2B2B2"/>
          </w:tcPr>
          <w:p>
            <w:pPr>
              <w:spacing w:after="0"/>
              <w:rPr>
                <w:sz w:val="20"/>
                <w:szCs w:val="20"/>
                <w:color w:val="auto"/>
              </w:rPr>
            </w:pPr>
          </w:p>
        </w:tc>
        <w:tc>
          <w:tcPr>
            <w:tcW w:w="960" w:type="dxa"/>
            <w:vAlign w:val="bottom"/>
            <w:tcBorders>
              <w:top w:val="single" w:sz="8" w:color="auto"/>
              <w:bottom w:val="single" w:sz="8" w:color="auto"/>
            </w:tcBorders>
            <w:shd w:val="clear" w:color="auto" w:fill="B2B2B2"/>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23" w:right="339" w:bottom="1440" w:gutter="0" w:footer="0" w:header="0"/>
        </w:sectPr>
      </w:pPr>
    </w:p>
    <w:p>
      <w:pPr>
        <w:ind w:left="40"/>
        <w:spacing w:after="0"/>
        <w:tabs>
          <w:tab w:leader="none" w:pos="3240" w:val="left"/>
        </w:tabs>
        <w:rPr>
          <w:sz w:val="20"/>
          <w:szCs w:val="20"/>
          <w:color w:val="auto"/>
        </w:rPr>
      </w:pPr>
      <w:r>
        <w:rPr>
          <w:rFonts w:ascii="Arial" w:cs="Arial" w:eastAsia="Arial" w:hAnsi="Arial"/>
          <w:sz w:val="16"/>
          <w:szCs w:val="16"/>
          <w:color w:val="auto"/>
        </w:rPr>
        <w:t>Balance, December 31, 2019</w:t>
      </w:r>
      <w:r>
        <w:rPr>
          <w:sz w:val="20"/>
          <w:szCs w:val="20"/>
          <w:color w:val="auto"/>
        </w:rPr>
        <w:tab/>
      </w:r>
      <w:r>
        <w:rPr>
          <w:rFonts w:ascii="Arial" w:cs="Arial" w:eastAsia="Arial" w:hAnsi="Arial"/>
          <w:sz w:val="14"/>
          <w:szCs w:val="14"/>
          <w:color w:val="auto"/>
        </w:rPr>
        <w:t>$</w:t>
      </w:r>
    </w:p>
    <w:p>
      <w:pPr>
        <w:spacing w:after="0" w:line="2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dividends ($.27 per share)</w:t>
      </w:r>
    </w:p>
    <w:p>
      <w:pPr>
        <w:spacing w:after="0" w:line="18" w:lineRule="exact"/>
        <w:rPr>
          <w:sz w:val="20"/>
          <w:szCs w:val="20"/>
          <w:color w:val="auto"/>
        </w:rPr>
      </w:pPr>
    </w:p>
    <w:p>
      <w:pPr>
        <w:ind w:left="220" w:right="400" w:hanging="178"/>
        <w:spacing w:after="0" w:line="281" w:lineRule="auto"/>
        <w:rPr>
          <w:sz w:val="20"/>
          <w:szCs w:val="20"/>
          <w:color w:val="auto"/>
        </w:rPr>
      </w:pPr>
      <w:r>
        <w:rPr>
          <w:rFonts w:ascii="Arial" w:cs="Arial" w:eastAsia="Arial" w:hAnsi="Arial"/>
          <w:sz w:val="15"/>
          <w:szCs w:val="15"/>
          <w:color w:val="auto"/>
        </w:rPr>
        <w:t>Issuance of 66,625 common shares pursuant to stock-based compensation plan, net</w:t>
      </w:r>
    </w:p>
    <w:p>
      <w:pPr>
        <w:ind w:left="40"/>
        <w:spacing w:after="0"/>
        <w:rPr>
          <w:sz w:val="20"/>
          <w:szCs w:val="20"/>
          <w:color w:val="auto"/>
        </w:rPr>
      </w:pPr>
      <w:r>
        <w:rPr>
          <w:rFonts w:ascii="Arial" w:cs="Arial" w:eastAsia="Arial" w:hAnsi="Arial"/>
          <w:sz w:val="16"/>
          <w:szCs w:val="16"/>
          <w:color w:val="auto"/>
        </w:rPr>
        <w:t>Exercise of SARs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Stock-based compensation expense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Purchase of 128,779 common shares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income</w:t>
      </w:r>
    </w:p>
    <w:p>
      <w:pPr>
        <w:spacing w:after="0" w:line="28" w:lineRule="exact"/>
        <w:rPr>
          <w:sz w:val="20"/>
          <w:szCs w:val="20"/>
          <w:color w:val="auto"/>
        </w:rPr>
      </w:pPr>
    </w:p>
    <w:p>
      <w:pPr>
        <w:ind w:left="40"/>
        <w:spacing w:after="0"/>
        <w:tabs>
          <w:tab w:leader="none" w:pos="3240" w:val="left"/>
        </w:tabs>
        <w:rPr>
          <w:sz w:val="20"/>
          <w:szCs w:val="20"/>
          <w:color w:val="auto"/>
        </w:rPr>
      </w:pPr>
      <w:r>
        <w:rPr>
          <w:rFonts w:ascii="Arial" w:cs="Arial" w:eastAsia="Arial" w:hAnsi="Arial"/>
          <w:sz w:val="16"/>
          <w:szCs w:val="16"/>
          <w:color w:val="auto"/>
        </w:rPr>
        <w:t>Balance, June 30, 2020</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380" w:type="dxa"/>
            <w:vAlign w:val="bottom"/>
          </w:tcPr>
          <w:p>
            <w:pPr>
              <w:jc w:val="right"/>
              <w:spacing w:after="0"/>
              <w:rPr>
                <w:sz w:val="20"/>
                <w:szCs w:val="20"/>
                <w:color w:val="auto"/>
              </w:rPr>
            </w:pPr>
            <w:r>
              <w:rPr>
                <w:rFonts w:ascii="Arial" w:cs="Arial" w:eastAsia="Arial" w:hAnsi="Arial"/>
                <w:sz w:val="14"/>
                <w:szCs w:val="14"/>
                <w:color w:val="auto"/>
                <w:w w:val="85"/>
              </w:rPr>
              <w:t>7,753</w:t>
            </w:r>
          </w:p>
        </w:tc>
        <w:tc>
          <w:tcPr>
            <w:tcW w:w="500" w:type="dxa"/>
            <w:vAlign w:val="bottom"/>
            <w:gridSpan w:val="2"/>
          </w:tcPr>
          <w:p>
            <w:pPr>
              <w:jc w:val="right"/>
              <w:ind w:right="284"/>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205,397</w:t>
            </w: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90,341</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(45,381)</w:t>
            </w:r>
          </w:p>
        </w:tc>
        <w:tc>
          <w:tcPr>
            <w:tcW w:w="460" w:type="dxa"/>
            <w:vAlign w:val="bottom"/>
            <w:gridSpan w:val="2"/>
          </w:tcPr>
          <w:p>
            <w:pPr>
              <w:jc w:val="right"/>
              <w:ind w:right="244"/>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(13,920)</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244,190</w:t>
            </w:r>
          </w:p>
        </w:tc>
        <w:tc>
          <w:tcPr>
            <w:tcW w:w="0" w:type="dxa"/>
            <w:vAlign w:val="bottom"/>
          </w:tcPr>
          <w:p>
            <w:pPr>
              <w:spacing w:after="0"/>
              <w:rPr>
                <w:sz w:val="1"/>
                <w:szCs w:val="1"/>
                <w:color w:val="auto"/>
              </w:rPr>
            </w:pPr>
          </w:p>
        </w:tc>
      </w:tr>
      <w:tr>
        <w:trPr>
          <w:trHeight w:val="458"/>
        </w:trPr>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12,984</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12,984</w:t>
            </w: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(7,811)</w:t>
            </w: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(7,811)</w:t>
            </w:r>
          </w:p>
        </w:tc>
        <w:tc>
          <w:tcPr>
            <w:tcW w:w="0" w:type="dxa"/>
            <w:vAlign w:val="bottom"/>
          </w:tcPr>
          <w:p>
            <w:pPr>
              <w:spacing w:after="0"/>
              <w:rPr>
                <w:sz w:val="1"/>
                <w:szCs w:val="1"/>
                <w:color w:val="auto"/>
              </w:rPr>
            </w:pPr>
          </w:p>
        </w:tc>
      </w:tr>
      <w:tr>
        <w:trPr>
          <w:trHeight w:val="379"/>
        </w:trPr>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(2,374)</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1,291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(1,083)</w:t>
            </w:r>
          </w:p>
        </w:tc>
        <w:tc>
          <w:tcPr>
            <w:tcW w:w="0" w:type="dxa"/>
            <w:vAlign w:val="bottom"/>
          </w:tcPr>
          <w:p>
            <w:pPr>
              <w:spacing w:after="0"/>
              <w:rPr>
                <w:sz w:val="1"/>
                <w:szCs w:val="1"/>
                <w:color w:val="auto"/>
              </w:rPr>
            </w:pPr>
          </w:p>
        </w:tc>
      </w:tr>
      <w:tr>
        <w:trPr>
          <w:trHeight w:val="227"/>
        </w:trPr>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(243)</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141</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287"/>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1,478</w:t>
            </w: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1,478</w:t>
            </w: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(5,508)</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(5,508)</w:t>
            </w:r>
          </w:p>
        </w:tc>
        <w:tc>
          <w:tcPr>
            <w:tcW w:w="0" w:type="dxa"/>
            <w:vAlign w:val="bottom"/>
          </w:tcPr>
          <w:p>
            <w:pPr>
              <w:spacing w:after="0"/>
              <w:rPr>
                <w:sz w:val="1"/>
                <w:szCs w:val="1"/>
                <w:color w:val="auto"/>
              </w:rPr>
            </w:pPr>
          </w:p>
        </w:tc>
      </w:tr>
      <w:tr>
        <w:trPr>
          <w:trHeight w:val="187"/>
        </w:trPr>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4,379</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4,379</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0" w:type="dxa"/>
            <w:vAlign w:val="bottom"/>
          </w:tcPr>
          <w:p>
            <w:pPr>
              <w:jc w:val="right"/>
              <w:spacing w:after="0"/>
              <w:rPr>
                <w:sz w:val="20"/>
                <w:szCs w:val="20"/>
                <w:color w:val="auto"/>
              </w:rPr>
            </w:pPr>
            <w:r>
              <w:rPr>
                <w:rFonts w:ascii="Arial" w:cs="Arial" w:eastAsia="Arial" w:hAnsi="Arial"/>
                <w:sz w:val="14"/>
                <w:szCs w:val="14"/>
                <w:color w:val="auto"/>
                <w:w w:val="85"/>
              </w:rPr>
              <w:t>7,753</w:t>
            </w:r>
          </w:p>
        </w:tc>
        <w:tc>
          <w:tcPr>
            <w:tcW w:w="60" w:type="dxa"/>
            <w:vAlign w:val="bottom"/>
            <w:vMerge w:val="continue"/>
          </w:tcPr>
          <w:p>
            <w:pPr>
              <w:spacing w:after="0"/>
              <w:rPr>
                <w:sz w:val="17"/>
                <w:szCs w:val="17"/>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204,258</w:t>
            </w:r>
          </w:p>
        </w:tc>
        <w:tc>
          <w:tcPr>
            <w:tcW w:w="120" w:type="dxa"/>
            <w:vAlign w:val="bottom"/>
          </w:tcPr>
          <w:p>
            <w:pPr>
              <w:spacing w:after="0"/>
              <w:rPr>
                <w:sz w:val="17"/>
                <w:szCs w:val="17"/>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95,514</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(49,457)</w:t>
            </w:r>
          </w:p>
        </w:tc>
        <w:tc>
          <w:tcPr>
            <w:tcW w:w="60" w:type="dxa"/>
            <w:vAlign w:val="bottom"/>
            <w:vMerge w:val="continue"/>
          </w:tcPr>
          <w:p>
            <w:pPr>
              <w:spacing w:after="0"/>
              <w:rPr>
                <w:sz w:val="17"/>
                <w:szCs w:val="17"/>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(9,541)</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248,527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-1170940</wp:posOffset>
            </wp:positionV>
            <wp:extent cx="7132955" cy="128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2827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-914400</wp:posOffset>
            </wp:positionV>
            <wp:extent cx="7132955" cy="256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25654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-529590</wp:posOffset>
            </wp:positionV>
            <wp:extent cx="713295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2827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-273050</wp:posOffset>
            </wp:positionV>
            <wp:extent cx="7132955" cy="273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2736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720"/>
            <w:col w:w="7040"/>
          </w:cols>
          <w:pgMar w:left="320" w:top="323"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unaudited consolidated financial statements.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955"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Note 1 – Basis of Presentation</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Certain amounts in prior-period financial statements have been reclassified to conform to the current period’s presentation. For further information, refer to the audited consolidated financial statements and related footnotes included in Cass Information System, Inc.’s (the “Company” or “Cass”) Annual Report on Form 10-K for the year ended December 31,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11, 2020, the World Health Organization declared the outbreak of a novel coronavirus (“COVID-19”) as a global pandemic, which continues to spread throughout the United States and around the world. The declaration of a global pandemic indicates that almost all public commerce and related business activities must be, to varying degrees, curtailed with the goal of decreasing the rate of new infections.</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has evaluated subsequent events after the consolidated balance sheet date of June 30, 2020 and the breadth of the impact of the global emergence of COVID-19 on the Company’s business is currently unknown. Cass is closely monitoring developments related to COVID-19 checking regularly for updated information and recommendations from the World Health Organization and the U.S. Centers for Disease Control and Prevention, from national, state, and local governments, and courses of action being taken by peers.</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Financial position and results of operations - The global health crisis caused by COVID-19 has and will continue to negatively impact business activity throughout the world. The COVID-19 outbreak and associated counter-acting measures implemented by governments around the world, as well as increased business uncertainty, are having an adverse impact on the Company’s financial results and are discussed in more detail below. When and if COVID-19 is demonstrably contained, the Company anticipates a rebound in economic activity; however, any such rebound is contingent upon the rate and effectiveness of the containment efforts deployed by federal, state, and local governments. In light of the evolving health, social, economic and business environment, governmental regulations or mandates, and business disruptions that have occurred and could continue to occur, the potential impact that COVID-19 could have on the Company’s financial condition and operating results remains highly uncertain.</w:t>
      </w:r>
    </w:p>
    <w:p>
      <w:pPr>
        <w:spacing w:after="0" w:line="15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response to COVID-19, the Federal Reserve has taken action to lower the Federal Funds rate, which has adversely affected interest income and therefore, the Company’s results of operations and financial condition.</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the business disruption continues for an extended period, additional cost management actions will be considered. Future asset impairment charges, increases in allowance for loan losses, or restructuring charges could be more likely and will be dependent on the severity and duration of this crisis.</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payment processing services, business closures, including constrictions in the manufacturing sector, have led to a decrease in the number of transactions and dollars processed due to the decline in customers’ business activity. In addition, the dampened demand for oil and resulting plummet in oil prices has had, and can continue to have, a negative effect on both the number of freight transactions processed and the dollar amount of invoices processed. Other financial impact could occur though such potential impact is unknown at this time.</w:t>
      </w:r>
    </w:p>
    <w:p>
      <w:pPr>
        <w:spacing w:after="0" w:line="16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i w:val="1"/>
          <w:iCs w:val="1"/>
          <w:color w:val="auto"/>
        </w:rPr>
        <w:t xml:space="preserve">Lending operations and credit </w:t>
      </w:r>
      <w:r>
        <w:rPr>
          <w:rFonts w:ascii="Arial" w:cs="Arial" w:eastAsia="Arial" w:hAnsi="Arial"/>
          <w:sz w:val="16"/>
          <w:szCs w:val="16"/>
          <w:color w:val="auto"/>
        </w:rPr>
        <w:t>- Bank regulatory agencies and various governmental authorities are urging financial institutions to work prudently with</w:t>
      </w:r>
      <w:r>
        <w:rPr>
          <w:rFonts w:ascii="Arial" w:cs="Arial" w:eastAsia="Arial" w:hAnsi="Arial"/>
          <w:sz w:val="16"/>
          <w:szCs w:val="16"/>
          <w:i w:val="1"/>
          <w:iCs w:val="1"/>
          <w:color w:val="auto"/>
        </w:rPr>
        <w:t xml:space="preserve"> </w:t>
      </w:r>
      <w:r>
        <w:rPr>
          <w:rFonts w:ascii="Arial" w:cs="Arial" w:eastAsia="Arial" w:hAnsi="Arial"/>
          <w:sz w:val="16"/>
          <w:szCs w:val="16"/>
          <w:color w:val="auto"/>
        </w:rPr>
        <w:t>borrowers who are or may be unable to meet their contractual payment obligations because of the effects of COVID-19. Accordingly, and in coordination with its primary regulators, the Company has deferred borrower principal payments on loans, on an as needed basis, for periods of up to six months.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Capital and liquidity - </w:t>
      </w:r>
      <w:r>
        <w:rPr>
          <w:rFonts w:ascii="Arial" w:cs="Arial" w:eastAsia="Arial" w:hAnsi="Arial"/>
          <w:sz w:val="18"/>
          <w:szCs w:val="18"/>
          <w:color w:val="auto"/>
        </w:rPr>
        <w:t>While the Company believes that it has sufficient capital to withstand an extended economic recession brought about by COVID-19,</w:t>
      </w:r>
      <w:r>
        <w:rPr>
          <w:rFonts w:ascii="Arial" w:cs="Arial" w:eastAsia="Arial" w:hAnsi="Arial"/>
          <w:sz w:val="18"/>
          <w:szCs w:val="18"/>
          <w:i w:val="1"/>
          <w:iCs w:val="1"/>
          <w:color w:val="auto"/>
        </w:rPr>
        <w:t xml:space="preserve"> </w:t>
      </w:r>
      <w:r>
        <w:rPr>
          <w:rFonts w:ascii="Arial" w:cs="Arial" w:eastAsia="Arial" w:hAnsi="Arial"/>
          <w:sz w:val="18"/>
          <w:szCs w:val="18"/>
          <w:color w:val="auto"/>
        </w:rPr>
        <w:t>its reported and regulatory capital ratios could be adversely impacted by future financial losses.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 w:name="page9"/>
    <w:bookmarkEnd w:id="8"/>
    <w:p>
      <w:pPr>
        <w:jc w:val="both"/>
        <w:spacing w:after="0" w:line="258" w:lineRule="auto"/>
        <w:rPr>
          <w:sz w:val="20"/>
          <w:szCs w:val="20"/>
          <w:color w:val="auto"/>
        </w:rPr>
      </w:pPr>
      <w:r>
        <w:rPr>
          <w:rFonts w:ascii="Arial" w:cs="Arial" w:eastAsia="Arial" w:hAnsi="Arial"/>
          <w:sz w:val="18"/>
          <w:szCs w:val="18"/>
          <w:color w:val="auto"/>
        </w:rPr>
        <w:t>The Company maintains access to multiple sources of liquidity. Wholesale funding markets have remained available, but rates for short term funding have recently been volatile. If funding costs are elevated for an extended period of time, it could have an adverse effect on the Company’s net interest margin. If an extended recession caused large numbers of the Bank’s customers to draw down deposits, the Company might become more reliant on volatile or more expensive sources of funding.</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Asset valuation - </w:t>
      </w:r>
      <w:r>
        <w:rPr>
          <w:rFonts w:ascii="Arial" w:cs="Arial" w:eastAsia="Arial" w:hAnsi="Arial"/>
          <w:sz w:val="18"/>
          <w:szCs w:val="18"/>
          <w:color w:val="auto"/>
        </w:rPr>
        <w:t>Currently, the Company does not expect COVID-19 to affect its ability to fairly value the assets on its balance sheet; however, this could</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future periods. While certain valuation assumptions and judgments will change to account for pandemic-related circumstances such as widening credit spreads, the Company does not anticipate significant changes in methodology used to determine the fair value of assets measured in accordance with GAAP.</w:t>
      </w:r>
    </w:p>
    <w:p>
      <w:pPr>
        <w:spacing w:after="0" w:line="17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COVID-19 could cause a further and sustained decline in the Company’s stock price or the occurrence of what management would deem to be a triggering event that could, under certain circumstances, necessitate a goodwill or intangible asset impairment test and result in an impairment charge being recorded for that period. In the event that the Company concludes that all or a portion of its goodwill is impaired, a non-cash charge for the amount of such impairment would be recorded to earnings. Such a charge would have no impact on tangible capital or regulatory capital.</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Processes, controls and business continuity - </w:t>
      </w:r>
      <w:r>
        <w:rPr>
          <w:rFonts w:ascii="Arial" w:cs="Arial" w:eastAsia="Arial" w:hAnsi="Arial"/>
          <w:sz w:val="18"/>
          <w:szCs w:val="18"/>
          <w:color w:val="auto"/>
        </w:rPr>
        <w:t>In accord with its federally mandated Pandemic Plan and Business Continuity Plan, Cass has deployed its</w:t>
      </w:r>
      <w:r>
        <w:rPr>
          <w:rFonts w:ascii="Arial" w:cs="Arial" w:eastAsia="Arial" w:hAnsi="Arial"/>
          <w:sz w:val="18"/>
          <w:szCs w:val="18"/>
          <w:i w:val="1"/>
          <w:iCs w:val="1"/>
          <w:color w:val="auto"/>
        </w:rPr>
        <w:t xml:space="preserve"> </w:t>
      </w:r>
      <w:r>
        <w:rPr>
          <w:rFonts w:ascii="Arial" w:cs="Arial" w:eastAsia="Arial" w:hAnsi="Arial"/>
          <w:sz w:val="18"/>
          <w:szCs w:val="18"/>
          <w:color w:val="auto"/>
        </w:rPr>
        <w:t>remote workforce program. Most Cass employees around the globe are now working and conducting business remotely. Employees necessary to oversee certain business coordination activities or to conduct essential physical activities such as mail handling and scanning operations, remain in offices. In addition, employees are now being permitted to return to the offices on a voluntary basis. Employees are required to report any exposure or diagnosis and must adhere to the defined safety protocol to enter the offices.</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past several years, Cass has invested in sophisticated technology initiatives that enable employees to operate remotely with full system(s) access along with unified and transparent voice and electronic communications capabilities, ensuring seamless service delivery. The Company cannot predict when or how it will fully lift the actions put in place as part of the Business Continuity Plan, including work from home requirements and travel restrictions. Cass does not believe the work from home protocol has materially adversely impacted internal controls, financial reporting systems, or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Note 2 – Intangible Assets</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 xml:space="preserve">The Company accounts for intangible assets in accordance with Financial Accounting Standards Board (“FASB”) Accounting Standards Codification (“ASC”) 350,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xml:space="preserve"> (“FASB ASC 350”), which requires that intangibles with indefinite useful lives be tested annually for impairment, or when management deems there is a triggering event, and those with finite useful lives be amortized over their useful lives.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Details of the Company’s intangible assets are as follows: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11"/>
        </w:trPr>
        <w:tc>
          <w:tcPr>
            <w:tcW w:w="6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 2020</w:t>
            </w: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December 31, 2019</w:t>
            </w:r>
          </w:p>
        </w:tc>
      </w:tr>
      <w:tr>
        <w:trPr>
          <w:trHeight w:val="197"/>
        </w:trPr>
        <w:tc>
          <w:tcPr>
            <w:tcW w:w="6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center"/>
              <w:ind w:right="110"/>
              <w:spacing w:after="0" w:line="197" w:lineRule="exact"/>
              <w:rPr>
                <w:sz w:val="20"/>
                <w:szCs w:val="20"/>
                <w:color w:val="auto"/>
              </w:rPr>
            </w:pPr>
            <w:r>
              <w:rPr>
                <w:rFonts w:ascii="Arial" w:cs="Arial" w:eastAsia="Arial" w:hAnsi="Arial"/>
                <w:sz w:val="18"/>
                <w:szCs w:val="18"/>
                <w:b w:val="1"/>
                <w:bCs w:val="1"/>
                <w:color w:val="auto"/>
                <w:w w:val="84"/>
              </w:rPr>
              <w:t>Gross</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90"/>
              <w:spacing w:after="0" w:line="197" w:lineRule="exact"/>
              <w:rPr>
                <w:sz w:val="20"/>
                <w:szCs w:val="20"/>
                <w:color w:val="auto"/>
              </w:rPr>
            </w:pPr>
            <w:r>
              <w:rPr>
                <w:rFonts w:ascii="Arial" w:cs="Arial" w:eastAsia="Arial" w:hAnsi="Arial"/>
                <w:sz w:val="18"/>
                <w:szCs w:val="18"/>
                <w:b w:val="1"/>
                <w:bCs w:val="1"/>
                <w:color w:val="auto"/>
                <w:w w:val="84"/>
              </w:rPr>
              <w:t>Gross</w:t>
            </w: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5"/>
        </w:trPr>
        <w:tc>
          <w:tcPr>
            <w:tcW w:w="6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Carrying</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Accumulated</w:t>
            </w:r>
          </w:p>
        </w:tc>
        <w:tc>
          <w:tcPr>
            <w:tcW w:w="2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Carrying</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Accumulated</w:t>
            </w:r>
          </w:p>
        </w:tc>
      </w:tr>
      <w:tr>
        <w:trPr>
          <w:trHeight w:val="241"/>
        </w:trPr>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Amount</w:t>
            </w:r>
          </w:p>
        </w:tc>
        <w:tc>
          <w:tcPr>
            <w:tcW w:w="1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Amortization</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Amount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Amortization</w:t>
            </w:r>
          </w:p>
        </w:tc>
      </w:tr>
      <w:tr>
        <w:trPr>
          <w:trHeight w:val="215"/>
        </w:trPr>
        <w:tc>
          <w:tcPr>
            <w:tcW w:w="6320" w:type="dxa"/>
            <w:vAlign w:val="bottom"/>
            <w:shd w:val="clear" w:color="auto" w:fill="B2B2B2"/>
          </w:tcPr>
          <w:p>
            <w:pPr>
              <w:spacing w:after="0"/>
              <w:rPr>
                <w:sz w:val="20"/>
                <w:szCs w:val="20"/>
                <w:color w:val="auto"/>
              </w:rPr>
            </w:pPr>
            <w:r>
              <w:rPr>
                <w:rFonts w:ascii="Arial" w:cs="Arial" w:eastAsia="Arial" w:hAnsi="Arial"/>
                <w:sz w:val="18"/>
                <w:szCs w:val="18"/>
                <w:color w:val="auto"/>
              </w:rPr>
              <w:t>Assets eligible for amortization:</w:t>
            </w:r>
          </w:p>
        </w:tc>
        <w:tc>
          <w:tcPr>
            <w:tcW w:w="26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6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r>
      <w:tr>
        <w:trPr>
          <w:trHeight w:val="215"/>
        </w:trPr>
        <w:tc>
          <w:tcPr>
            <w:tcW w:w="6320" w:type="dxa"/>
            <w:vAlign w:val="bottom"/>
          </w:tcPr>
          <w:p>
            <w:pPr>
              <w:ind w:left="180"/>
              <w:spacing w:after="0"/>
              <w:rPr>
                <w:sz w:val="20"/>
                <w:szCs w:val="20"/>
                <w:color w:val="auto"/>
              </w:rPr>
            </w:pPr>
            <w:r>
              <w:rPr>
                <w:rFonts w:ascii="Arial" w:cs="Arial" w:eastAsia="Arial" w:hAnsi="Arial"/>
                <w:sz w:val="18"/>
                <w:szCs w:val="18"/>
                <w:color w:val="auto"/>
              </w:rPr>
              <w:t>Customer lists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4,778</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(3,682)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4,778</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(3,463)</w:t>
            </w:r>
          </w:p>
        </w:tc>
      </w:tr>
      <w:tr>
        <w:trPr>
          <w:trHeight w:val="215"/>
        </w:trPr>
        <w:tc>
          <w:tcPr>
            <w:tcW w:w="63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Patents</w:t>
            </w:r>
          </w:p>
        </w:tc>
        <w:tc>
          <w:tcPr>
            <w:tcW w:w="26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72</w:t>
            </w:r>
          </w:p>
        </w:tc>
        <w:tc>
          <w:tcPr>
            <w:tcW w:w="580" w:type="dxa"/>
            <w:vAlign w:val="bottom"/>
            <w:shd w:val="clear" w:color="auto" w:fill="B2B2B2"/>
          </w:tcPr>
          <w:p>
            <w:pPr>
              <w:spacing w:after="0"/>
              <w:rPr>
                <w:sz w:val="18"/>
                <w:szCs w:val="18"/>
                <w:color w:val="auto"/>
              </w:rPr>
            </w:pPr>
          </w:p>
        </w:tc>
        <w:tc>
          <w:tcPr>
            <w:tcW w:w="6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72</w:t>
            </w:r>
          </w:p>
        </w:tc>
        <w:tc>
          <w:tcPr>
            <w:tcW w:w="40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w:t>
            </w:r>
          </w:p>
        </w:tc>
      </w:tr>
      <w:tr>
        <w:trPr>
          <w:trHeight w:val="215"/>
        </w:trPr>
        <w:tc>
          <w:tcPr>
            <w:tcW w:w="6320" w:type="dxa"/>
            <w:vAlign w:val="bottom"/>
          </w:tcPr>
          <w:p>
            <w:pPr>
              <w:ind w:left="180"/>
              <w:spacing w:after="0"/>
              <w:rPr>
                <w:sz w:val="20"/>
                <w:szCs w:val="20"/>
                <w:color w:val="auto"/>
              </w:rPr>
            </w:pPr>
            <w:r>
              <w:rPr>
                <w:rFonts w:ascii="Arial" w:cs="Arial" w:eastAsia="Arial" w:hAnsi="Arial"/>
                <w:sz w:val="18"/>
                <w:szCs w:val="18"/>
                <w:color w:val="auto"/>
              </w:rPr>
              <w:t>Non-compete agreements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w:t>
            </w:r>
          </w:p>
        </w:tc>
        <w:tc>
          <w:tcPr>
            <w:tcW w:w="5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15"/>
        </w:trPr>
        <w:tc>
          <w:tcPr>
            <w:tcW w:w="63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Software</w:t>
            </w:r>
          </w:p>
        </w:tc>
        <w:tc>
          <w:tcPr>
            <w:tcW w:w="26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2,844</w:t>
            </w:r>
          </w:p>
        </w:tc>
        <w:tc>
          <w:tcPr>
            <w:tcW w:w="580" w:type="dxa"/>
            <w:vAlign w:val="bottom"/>
            <w:shd w:val="clear" w:color="auto" w:fill="B2B2B2"/>
          </w:tcPr>
          <w:p>
            <w:pPr>
              <w:spacing w:after="0"/>
              <w:rPr>
                <w:sz w:val="18"/>
                <w:szCs w:val="18"/>
                <w:color w:val="auto"/>
              </w:rPr>
            </w:pPr>
          </w:p>
        </w:tc>
        <w:tc>
          <w:tcPr>
            <w:tcW w:w="6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(545)</w:t>
            </w: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2,844</w:t>
            </w:r>
          </w:p>
        </w:tc>
        <w:tc>
          <w:tcPr>
            <w:tcW w:w="40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(358)</w:t>
            </w:r>
          </w:p>
        </w:tc>
      </w:tr>
      <w:tr>
        <w:trPr>
          <w:trHeight w:val="215"/>
        </w:trPr>
        <w:tc>
          <w:tcPr>
            <w:tcW w:w="6320" w:type="dxa"/>
            <w:vAlign w:val="bottom"/>
          </w:tcPr>
          <w:p>
            <w:pPr>
              <w:spacing w:after="0"/>
              <w:rPr>
                <w:sz w:val="20"/>
                <w:szCs w:val="20"/>
                <w:color w:val="auto"/>
              </w:rPr>
            </w:pPr>
            <w:r>
              <w:rPr>
                <w:rFonts w:ascii="Arial" w:cs="Arial" w:eastAsia="Arial" w:hAnsi="Arial"/>
                <w:sz w:val="18"/>
                <w:szCs w:val="18"/>
                <w:color w:val="auto"/>
              </w:rPr>
              <w:t>Trade Name</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w:t>
            </w:r>
          </w:p>
        </w:tc>
        <w:tc>
          <w:tcPr>
            <w:tcW w:w="5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5"/>
        </w:trPr>
        <w:tc>
          <w:tcPr>
            <w:tcW w:w="63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500</w:t>
            </w:r>
          </w:p>
        </w:tc>
        <w:tc>
          <w:tcPr>
            <w:tcW w:w="580" w:type="dxa"/>
            <w:vAlign w:val="bottom"/>
            <w:shd w:val="clear" w:color="auto" w:fill="B2B2B2"/>
          </w:tcPr>
          <w:p>
            <w:pPr>
              <w:spacing w:after="0"/>
              <w:rPr>
                <w:sz w:val="18"/>
                <w:szCs w:val="18"/>
                <w:color w:val="auto"/>
              </w:rPr>
            </w:pPr>
          </w:p>
        </w:tc>
        <w:tc>
          <w:tcPr>
            <w:tcW w:w="6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500</w:t>
            </w:r>
          </w:p>
        </w:tc>
        <w:tc>
          <w:tcPr>
            <w:tcW w:w="40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(259)</w:t>
            </w:r>
          </w:p>
        </w:tc>
      </w:tr>
      <w:tr>
        <w:trPr>
          <w:trHeight w:val="215"/>
        </w:trPr>
        <w:tc>
          <w:tcPr>
            <w:tcW w:w="6320" w:type="dxa"/>
            <w:vAlign w:val="bottom"/>
          </w:tcPr>
          <w:p>
            <w:pPr>
              <w:spacing w:after="0"/>
              <w:rPr>
                <w:sz w:val="20"/>
                <w:szCs w:val="20"/>
                <w:color w:val="auto"/>
              </w:rPr>
            </w:pPr>
            <w:r>
              <w:rPr>
                <w:rFonts w:ascii="Arial" w:cs="Arial" w:eastAsia="Arial" w:hAnsi="Arial"/>
                <w:sz w:val="18"/>
                <w:szCs w:val="18"/>
                <w:color w:val="auto"/>
              </w:rPr>
              <w:t>Unamortized intangible assets: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56"/>
        </w:trPr>
        <w:tc>
          <w:tcPr>
            <w:tcW w:w="6320" w:type="dxa"/>
            <w:vAlign w:val="bottom"/>
            <w:tcBorders>
              <w:bottom w:val="single" w:sz="8" w:color="auto"/>
            </w:tcBorders>
            <w:shd w:val="clear" w:color="auto" w:fill="B2B2B2"/>
          </w:tcPr>
          <w:p>
            <w:pPr>
              <w:ind w:left="180"/>
              <w:spacing w:after="0" w:line="256" w:lineRule="exact"/>
              <w:rPr>
                <w:sz w:val="20"/>
                <w:szCs w:val="20"/>
                <w:color w:val="auto"/>
              </w:rPr>
            </w:pPr>
            <w:r>
              <w:rPr>
                <w:rFonts w:ascii="Arial" w:cs="Arial" w:eastAsia="Arial" w:hAnsi="Arial"/>
                <w:sz w:val="18"/>
                <w:szCs w:val="18"/>
                <w:color w:val="auto"/>
              </w:rPr>
              <w:t>Goodwill</w:t>
            </w:r>
            <w:r>
              <w:rPr>
                <w:rFonts w:ascii="Arial" w:cs="Arial" w:eastAsia="Arial" w:hAnsi="Arial"/>
                <w:sz w:val="29"/>
                <w:szCs w:val="29"/>
                <w:color w:val="auto"/>
                <w:vertAlign w:val="superscript"/>
              </w:rPr>
              <w:t>1</w:t>
            </w:r>
          </w:p>
        </w:tc>
        <w:tc>
          <w:tcPr>
            <w:tcW w:w="260" w:type="dxa"/>
            <w:vAlign w:val="bottom"/>
            <w:tcBorders>
              <w:bottom w:val="single" w:sz="8" w:color="auto"/>
            </w:tcBorders>
            <w:shd w:val="clear" w:color="auto" w:fill="B2B2B2"/>
          </w:tcPr>
          <w:p>
            <w:pPr>
              <w:spacing w:after="0"/>
              <w:rPr>
                <w:sz w:val="22"/>
                <w:szCs w:val="22"/>
                <w:color w:val="auto"/>
              </w:rPr>
            </w:pPr>
          </w:p>
        </w:tc>
        <w:tc>
          <w:tcPr>
            <w:tcW w:w="10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14,489</w:t>
            </w:r>
          </w:p>
        </w:tc>
        <w:tc>
          <w:tcPr>
            <w:tcW w:w="580" w:type="dxa"/>
            <w:vAlign w:val="bottom"/>
            <w:tcBorders>
              <w:bottom w:val="single" w:sz="8" w:color="auto"/>
            </w:tcBorders>
            <w:shd w:val="clear" w:color="auto" w:fill="B2B2B2"/>
          </w:tcPr>
          <w:p>
            <w:pPr>
              <w:spacing w:after="0"/>
              <w:rPr>
                <w:sz w:val="22"/>
                <w:szCs w:val="22"/>
                <w:color w:val="auto"/>
              </w:rPr>
            </w:pPr>
          </w:p>
        </w:tc>
        <w:tc>
          <w:tcPr>
            <w:tcW w:w="6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Borders>
              <w:bottom w:val="single" w:sz="8" w:color="auto"/>
            </w:tcBorders>
            <w:shd w:val="clear" w:color="auto" w:fill="B2B2B2"/>
          </w:tcPr>
          <w:p>
            <w:pPr>
              <w:spacing w:after="0"/>
              <w:rPr>
                <w:sz w:val="22"/>
                <w:szCs w:val="22"/>
                <w:color w:val="auto"/>
              </w:rPr>
            </w:pPr>
          </w:p>
        </w:tc>
        <w:tc>
          <w:tcPr>
            <w:tcW w:w="10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14,489</w:t>
            </w:r>
          </w:p>
        </w:tc>
        <w:tc>
          <w:tcPr>
            <w:tcW w:w="400" w:type="dxa"/>
            <w:vAlign w:val="bottom"/>
            <w:tcBorders>
              <w:bottom w:val="single" w:sz="8" w:color="auto"/>
            </w:tcBorders>
            <w:shd w:val="clear" w:color="auto" w:fill="B2B2B2"/>
          </w:tcPr>
          <w:p>
            <w:pPr>
              <w:spacing w:after="0"/>
              <w:rPr>
                <w:sz w:val="22"/>
                <w:szCs w:val="22"/>
                <w:color w:val="auto"/>
              </w:rPr>
            </w:pPr>
          </w:p>
        </w:tc>
        <w:tc>
          <w:tcPr>
            <w:tcW w:w="7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(227)</w:t>
            </w: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23,205</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(5,091)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23,205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ind w:left="100" w:hanging="92"/>
        <w:spacing w:after="0" w:line="187" w:lineRule="auto"/>
        <w:tabs>
          <w:tab w:leader="none" w:pos="10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Amortization through December 31, 2001 prior to adoption of FASB ASC 350.</w:t>
      </w:r>
    </w:p>
    <w:p>
      <w:pPr>
        <w:spacing w:after="0" w:line="34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customer lists are amortized over 7 and 10 years; the patents over 18 years; the non-compete agreements over 2 and 5 years; software over 3 years and 7 years, the trade name over 20 years and other intangible assets over 15 years. Amortization of intangible assets amounted to $429,000 and $209,000 for the six-month periods ended June 30, 2020 and 2019, respectively. Estimated future amortization of intangibles is $859,000 in both 2020 and 2021, $540,000 in both 2022 and 2023, and $498,000 in 2024.</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Note 3 – Earnings Per Share</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 Under the treasury stock method, stock appreciation rights (“SARs”) are dilutive when the average market price of the Company’s common stock, combined with the effect of any unamortized compensation expense, exceeds the SAR price during a period. Anti-dilutive shares are those SARs with prices in excess of the current market value. The calculations of basic and diluted earnings per share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0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252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2"/>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 except share and per share data)</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89"/>
              </w:rPr>
              <w:t>2019</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2019</w:t>
            </w:r>
          </w:p>
        </w:tc>
      </w:tr>
      <w:tr>
        <w:trPr>
          <w:trHeight w:val="215"/>
        </w:trPr>
        <w:tc>
          <w:tcPr>
            <w:tcW w:w="5080" w:type="dxa"/>
            <w:vAlign w:val="bottom"/>
            <w:shd w:val="clear" w:color="auto" w:fill="B2B2B2"/>
          </w:tcPr>
          <w:p>
            <w:pPr>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B2B2B2"/>
          </w:tcPr>
          <w:p>
            <w:pPr>
              <w:spacing w:after="0"/>
              <w:rPr>
                <w:sz w:val="18"/>
                <w:szCs w:val="18"/>
                <w:color w:val="auto"/>
              </w:rPr>
            </w:pPr>
          </w:p>
        </w:tc>
        <w:tc>
          <w:tcPr>
            <w:tcW w:w="15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14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r>
      <w:tr>
        <w:trPr>
          <w:trHeight w:val="215"/>
        </w:trPr>
        <w:tc>
          <w:tcPr>
            <w:tcW w:w="50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5,439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7,684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12,984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15,847</w:t>
            </w:r>
          </w:p>
        </w:tc>
      </w:tr>
      <w:tr>
        <w:trPr>
          <w:trHeight w:val="215"/>
        </w:trPr>
        <w:tc>
          <w:tcPr>
            <w:tcW w:w="5080" w:type="dxa"/>
            <w:vAlign w:val="bottom"/>
            <w:shd w:val="clear" w:color="auto" w:fill="B2B2B2"/>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shd w:val="clear" w:color="auto" w:fill="B2B2B2"/>
          </w:tcPr>
          <w:p>
            <w:pPr>
              <w:spacing w:after="0"/>
              <w:rPr>
                <w:sz w:val="18"/>
                <w:szCs w:val="18"/>
                <w:color w:val="auto"/>
              </w:rPr>
            </w:pPr>
          </w:p>
        </w:tc>
        <w:tc>
          <w:tcPr>
            <w:tcW w:w="1520" w:type="dxa"/>
            <w:vAlign w:val="bottom"/>
            <w:shd w:val="clear" w:color="auto" w:fill="B2B2B2"/>
          </w:tcPr>
          <w:p>
            <w:pPr>
              <w:jc w:val="right"/>
              <w:ind w:right="410"/>
              <w:spacing w:after="0"/>
              <w:rPr>
                <w:sz w:val="20"/>
                <w:szCs w:val="20"/>
                <w:color w:val="auto"/>
              </w:rPr>
            </w:pPr>
            <w:r>
              <w:rPr>
                <w:rFonts w:ascii="Arial" w:cs="Arial" w:eastAsia="Arial" w:hAnsi="Arial"/>
                <w:sz w:val="18"/>
                <w:szCs w:val="18"/>
                <w:color w:val="auto"/>
              </w:rPr>
              <w:t>14,349,040</w:t>
            </w:r>
          </w:p>
        </w:tc>
        <w:tc>
          <w:tcPr>
            <w:tcW w:w="20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210"/>
              <w:spacing w:after="0"/>
              <w:rPr>
                <w:sz w:val="20"/>
                <w:szCs w:val="20"/>
                <w:color w:val="auto"/>
              </w:rPr>
            </w:pPr>
            <w:r>
              <w:rPr>
                <w:rFonts w:ascii="Arial" w:cs="Arial" w:eastAsia="Arial" w:hAnsi="Arial"/>
                <w:sz w:val="18"/>
                <w:szCs w:val="18"/>
                <w:color w:val="auto"/>
                <w:w w:val="95"/>
              </w:rPr>
              <w:t>14,434,232</w:t>
            </w:r>
          </w:p>
        </w:tc>
        <w:tc>
          <w:tcPr>
            <w:tcW w:w="400" w:type="dxa"/>
            <w:vAlign w:val="bottom"/>
            <w:shd w:val="clear" w:color="auto" w:fill="B2B2B2"/>
          </w:tcPr>
          <w:p>
            <w:pPr>
              <w:spacing w:after="0"/>
              <w:rPr>
                <w:sz w:val="18"/>
                <w:szCs w:val="18"/>
                <w:color w:val="auto"/>
              </w:rPr>
            </w:pPr>
          </w:p>
        </w:tc>
        <w:tc>
          <w:tcPr>
            <w:tcW w:w="1420" w:type="dxa"/>
            <w:vAlign w:val="bottom"/>
            <w:shd w:val="clear" w:color="auto" w:fill="B2B2B2"/>
          </w:tcPr>
          <w:p>
            <w:pPr>
              <w:jc w:val="right"/>
              <w:ind w:right="430"/>
              <w:spacing w:after="0"/>
              <w:rPr>
                <w:sz w:val="20"/>
                <w:szCs w:val="20"/>
                <w:color w:val="auto"/>
              </w:rPr>
            </w:pPr>
            <w:r>
              <w:rPr>
                <w:rFonts w:ascii="Arial" w:cs="Arial" w:eastAsia="Arial" w:hAnsi="Arial"/>
                <w:sz w:val="18"/>
                <w:szCs w:val="18"/>
                <w:color w:val="auto"/>
                <w:w w:val="97"/>
              </w:rPr>
              <w:t>14,385,927</w:t>
            </w:r>
          </w:p>
        </w:tc>
        <w:tc>
          <w:tcPr>
            <w:tcW w:w="18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9"/>
              </w:rPr>
              <w:t>14,444,821</w:t>
            </w:r>
          </w:p>
        </w:tc>
      </w:tr>
      <w:tr>
        <w:trPr>
          <w:trHeight w:val="215"/>
        </w:trPr>
        <w:tc>
          <w:tcPr>
            <w:tcW w:w="50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Basic earnings per share</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.90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09"/>
        </w:trPr>
        <w:tc>
          <w:tcPr>
            <w:tcW w:w="5080" w:type="dxa"/>
            <w:vAlign w:val="bottom"/>
            <w:tcBorders>
              <w:bottom w:val="single" w:sz="8" w:color="auto"/>
            </w:tcBorders>
            <w:shd w:val="clear" w:color="auto" w:fill="B2B2B2"/>
          </w:tcPr>
          <w:p>
            <w:pPr>
              <w:spacing w:after="0"/>
              <w:rPr>
                <w:sz w:val="18"/>
                <w:szCs w:val="18"/>
                <w:color w:val="auto"/>
              </w:rPr>
            </w:pPr>
          </w:p>
        </w:tc>
        <w:tc>
          <w:tcPr>
            <w:tcW w:w="340" w:type="dxa"/>
            <w:vAlign w:val="bottom"/>
            <w:tcBorders>
              <w:bottom w:val="single" w:sz="8" w:color="auto"/>
            </w:tcBorders>
            <w:shd w:val="clear" w:color="auto" w:fill="B2B2B2"/>
          </w:tcPr>
          <w:p>
            <w:pPr>
              <w:spacing w:after="0"/>
              <w:rPr>
                <w:sz w:val="18"/>
                <w:szCs w:val="18"/>
                <w:color w:val="auto"/>
              </w:rPr>
            </w:pPr>
          </w:p>
        </w:tc>
        <w:tc>
          <w:tcPr>
            <w:tcW w:w="152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1180" w:type="dxa"/>
            <w:vAlign w:val="bottom"/>
            <w:tcBorders>
              <w:bottom w:val="single" w:sz="8" w:color="auto"/>
            </w:tcBorders>
            <w:shd w:val="clear" w:color="auto" w:fill="B2B2B2"/>
          </w:tcPr>
          <w:p>
            <w:pPr>
              <w:spacing w:after="0"/>
              <w:rPr>
                <w:sz w:val="18"/>
                <w:szCs w:val="18"/>
                <w:color w:val="auto"/>
              </w:rPr>
            </w:pPr>
          </w:p>
        </w:tc>
        <w:tc>
          <w:tcPr>
            <w:tcW w:w="400" w:type="dxa"/>
            <w:vAlign w:val="bottom"/>
            <w:tcBorders>
              <w:bottom w:val="single" w:sz="8" w:color="auto"/>
            </w:tcBorders>
            <w:shd w:val="clear" w:color="auto" w:fill="B2B2B2"/>
          </w:tcPr>
          <w:p>
            <w:pPr>
              <w:spacing w:after="0"/>
              <w:rPr>
                <w:sz w:val="18"/>
                <w:szCs w:val="18"/>
                <w:color w:val="auto"/>
              </w:rPr>
            </w:pPr>
          </w:p>
        </w:tc>
        <w:tc>
          <w:tcPr>
            <w:tcW w:w="1420" w:type="dxa"/>
            <w:vAlign w:val="bottom"/>
            <w:tcBorders>
              <w:bottom w:val="single" w:sz="8" w:color="auto"/>
            </w:tcBorders>
            <w:shd w:val="clear" w:color="auto" w:fill="B2B2B2"/>
          </w:tcPr>
          <w:p>
            <w:pPr>
              <w:spacing w:after="0"/>
              <w:rPr>
                <w:sz w:val="18"/>
                <w:szCs w:val="18"/>
                <w:color w:val="auto"/>
              </w:rPr>
            </w:pPr>
          </w:p>
        </w:tc>
        <w:tc>
          <w:tcPr>
            <w:tcW w:w="18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spacing w:after="0"/>
              <w:rPr>
                <w:sz w:val="18"/>
                <w:szCs w:val="18"/>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5080" w:type="dxa"/>
            <w:vAlign w:val="bottom"/>
            <w:shd w:val="clear" w:color="auto" w:fill="B2B2B2"/>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B2B2B2"/>
          </w:tcPr>
          <w:p>
            <w:pPr>
              <w:jc w:val="right"/>
              <w:ind w:right="410"/>
              <w:spacing w:after="0"/>
              <w:rPr>
                <w:sz w:val="20"/>
                <w:szCs w:val="20"/>
                <w:color w:val="auto"/>
              </w:rPr>
            </w:pPr>
            <w:r>
              <w:rPr>
                <w:rFonts w:ascii="Arial" w:cs="Arial" w:eastAsia="Arial" w:hAnsi="Arial"/>
                <w:sz w:val="18"/>
                <w:szCs w:val="18"/>
                <w:color w:val="auto"/>
              </w:rPr>
              <w:t>5,439</w:t>
            </w:r>
          </w:p>
        </w:tc>
        <w:tc>
          <w:tcPr>
            <w:tcW w:w="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B2B2B2"/>
          </w:tcPr>
          <w:p>
            <w:pPr>
              <w:jc w:val="right"/>
              <w:ind w:right="210"/>
              <w:spacing w:after="0"/>
              <w:rPr>
                <w:sz w:val="20"/>
                <w:szCs w:val="20"/>
                <w:color w:val="auto"/>
              </w:rPr>
            </w:pPr>
            <w:r>
              <w:rPr>
                <w:rFonts w:ascii="Arial" w:cs="Arial" w:eastAsia="Arial" w:hAnsi="Arial"/>
                <w:sz w:val="18"/>
                <w:szCs w:val="18"/>
                <w:color w:val="auto"/>
              </w:rPr>
              <w:t>7,684</w:t>
            </w:r>
          </w:p>
        </w:tc>
        <w:tc>
          <w:tcPr>
            <w:tcW w:w="4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B2B2B2"/>
          </w:tcPr>
          <w:p>
            <w:pPr>
              <w:jc w:val="right"/>
              <w:ind w:right="430"/>
              <w:spacing w:after="0"/>
              <w:rPr>
                <w:sz w:val="20"/>
                <w:szCs w:val="20"/>
                <w:color w:val="auto"/>
              </w:rPr>
            </w:pPr>
            <w:r>
              <w:rPr>
                <w:rFonts w:ascii="Arial" w:cs="Arial" w:eastAsia="Arial" w:hAnsi="Arial"/>
                <w:sz w:val="18"/>
                <w:szCs w:val="18"/>
                <w:color w:val="auto"/>
              </w:rPr>
              <w:t>12,984</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15,847</w:t>
            </w:r>
          </w:p>
        </w:tc>
      </w:tr>
      <w:tr>
        <w:trPr>
          <w:trHeight w:val="215"/>
        </w:trPr>
        <w:tc>
          <w:tcPr>
            <w:tcW w:w="508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tcPr>
          <w:p>
            <w:pPr>
              <w:spacing w:after="0"/>
              <w:rPr>
                <w:sz w:val="18"/>
                <w:szCs w:val="18"/>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14,349,040</w:t>
            </w:r>
          </w:p>
        </w:tc>
        <w:tc>
          <w:tcPr>
            <w:tcW w:w="20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w w:val="95"/>
              </w:rPr>
              <w:t>14,434,232</w:t>
            </w:r>
          </w:p>
        </w:tc>
        <w:tc>
          <w:tcPr>
            <w:tcW w:w="400" w:type="dxa"/>
            <w:vAlign w:val="bottom"/>
          </w:tcPr>
          <w:p>
            <w:pPr>
              <w:spacing w:after="0"/>
              <w:rPr>
                <w:sz w:val="18"/>
                <w:szCs w:val="18"/>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w w:val="97"/>
              </w:rPr>
              <w:t>14,385,927</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14,444,821</w:t>
            </w:r>
          </w:p>
        </w:tc>
      </w:tr>
      <w:tr>
        <w:trPr>
          <w:trHeight w:val="215"/>
        </w:trPr>
        <w:tc>
          <w:tcPr>
            <w:tcW w:w="5080" w:type="dxa"/>
            <w:vAlign w:val="bottom"/>
            <w:tcBorders>
              <w:bottom w:val="single" w:sz="8" w:color="auto"/>
            </w:tcBorders>
            <w:shd w:val="clear" w:color="auto" w:fill="B2B2B2"/>
          </w:tcPr>
          <w:p>
            <w:pPr>
              <w:ind w:left="180"/>
              <w:spacing w:after="0"/>
              <w:rPr>
                <w:sz w:val="20"/>
                <w:szCs w:val="20"/>
                <w:color w:val="auto"/>
              </w:rPr>
            </w:pPr>
            <w:r>
              <w:rPr>
                <w:rFonts w:ascii="Arial" w:cs="Arial" w:eastAsia="Arial" w:hAnsi="Arial"/>
                <w:sz w:val="18"/>
                <w:szCs w:val="18"/>
                <w:color w:val="auto"/>
              </w:rPr>
              <w:t>Effect of dilutive restricted stock and stock appreciation rights</w:t>
            </w:r>
          </w:p>
        </w:tc>
        <w:tc>
          <w:tcPr>
            <w:tcW w:w="340" w:type="dxa"/>
            <w:vAlign w:val="bottom"/>
            <w:tcBorders>
              <w:bottom w:val="single" w:sz="8" w:color="auto"/>
            </w:tcBorders>
            <w:shd w:val="clear" w:color="auto" w:fill="B2B2B2"/>
          </w:tcPr>
          <w:p>
            <w:pPr>
              <w:spacing w:after="0"/>
              <w:rPr>
                <w:sz w:val="18"/>
                <w:szCs w:val="18"/>
                <w:color w:val="auto"/>
              </w:rPr>
            </w:pPr>
          </w:p>
        </w:tc>
        <w:tc>
          <w:tcPr>
            <w:tcW w:w="1520" w:type="dxa"/>
            <w:vAlign w:val="bottom"/>
            <w:tcBorders>
              <w:bottom w:val="single" w:sz="8" w:color="auto"/>
            </w:tcBorders>
            <w:shd w:val="clear" w:color="auto" w:fill="B2B2B2"/>
          </w:tcPr>
          <w:p>
            <w:pPr>
              <w:jc w:val="right"/>
              <w:ind w:right="410"/>
              <w:spacing w:after="0"/>
              <w:rPr>
                <w:sz w:val="20"/>
                <w:szCs w:val="20"/>
                <w:color w:val="auto"/>
              </w:rPr>
            </w:pPr>
            <w:r>
              <w:rPr>
                <w:rFonts w:ascii="Arial" w:cs="Arial" w:eastAsia="Arial" w:hAnsi="Arial"/>
                <w:sz w:val="18"/>
                <w:szCs w:val="18"/>
                <w:color w:val="auto"/>
              </w:rPr>
              <w:t>196,159</w:t>
            </w:r>
          </w:p>
        </w:tc>
        <w:tc>
          <w:tcPr>
            <w:tcW w:w="200" w:type="dxa"/>
            <w:vAlign w:val="bottom"/>
            <w:tcBorders>
              <w:bottom w:val="single" w:sz="8" w:color="auto"/>
            </w:tcBorders>
            <w:shd w:val="clear" w:color="auto" w:fill="B2B2B2"/>
          </w:tcPr>
          <w:p>
            <w:pPr>
              <w:spacing w:after="0"/>
              <w:rPr>
                <w:sz w:val="18"/>
                <w:szCs w:val="18"/>
                <w:color w:val="auto"/>
              </w:rPr>
            </w:pPr>
          </w:p>
        </w:tc>
        <w:tc>
          <w:tcPr>
            <w:tcW w:w="1180" w:type="dxa"/>
            <w:vAlign w:val="bottom"/>
            <w:tcBorders>
              <w:bottom w:val="single" w:sz="8" w:color="auto"/>
            </w:tcBorders>
            <w:shd w:val="clear" w:color="auto" w:fill="B2B2B2"/>
          </w:tcPr>
          <w:p>
            <w:pPr>
              <w:jc w:val="right"/>
              <w:ind w:right="210"/>
              <w:spacing w:after="0"/>
              <w:rPr>
                <w:sz w:val="20"/>
                <w:szCs w:val="20"/>
                <w:color w:val="auto"/>
              </w:rPr>
            </w:pPr>
            <w:r>
              <w:rPr>
                <w:rFonts w:ascii="Arial" w:cs="Arial" w:eastAsia="Arial" w:hAnsi="Arial"/>
                <w:sz w:val="18"/>
                <w:szCs w:val="18"/>
                <w:color w:val="auto"/>
              </w:rPr>
              <w:t>258,032</w:t>
            </w:r>
          </w:p>
        </w:tc>
        <w:tc>
          <w:tcPr>
            <w:tcW w:w="400" w:type="dxa"/>
            <w:vAlign w:val="bottom"/>
            <w:tcBorders>
              <w:bottom w:val="single" w:sz="8" w:color="auto"/>
            </w:tcBorders>
            <w:shd w:val="clear" w:color="auto" w:fill="B2B2B2"/>
          </w:tcPr>
          <w:p>
            <w:pPr>
              <w:spacing w:after="0"/>
              <w:rPr>
                <w:sz w:val="18"/>
                <w:szCs w:val="18"/>
                <w:color w:val="auto"/>
              </w:rPr>
            </w:pPr>
          </w:p>
        </w:tc>
        <w:tc>
          <w:tcPr>
            <w:tcW w:w="1420" w:type="dxa"/>
            <w:vAlign w:val="bottom"/>
            <w:tcBorders>
              <w:bottom w:val="single" w:sz="8" w:color="auto"/>
            </w:tcBorders>
            <w:shd w:val="clear" w:color="auto" w:fill="B2B2B2"/>
          </w:tcPr>
          <w:p>
            <w:pPr>
              <w:jc w:val="right"/>
              <w:ind w:right="430"/>
              <w:spacing w:after="0"/>
              <w:rPr>
                <w:sz w:val="20"/>
                <w:szCs w:val="20"/>
                <w:color w:val="auto"/>
              </w:rPr>
            </w:pPr>
            <w:r>
              <w:rPr>
                <w:rFonts w:ascii="Arial" w:cs="Arial" w:eastAsia="Arial" w:hAnsi="Arial"/>
                <w:sz w:val="18"/>
                <w:szCs w:val="18"/>
                <w:color w:val="auto"/>
              </w:rPr>
              <w:t>201,930</w:t>
            </w:r>
          </w:p>
        </w:tc>
        <w:tc>
          <w:tcPr>
            <w:tcW w:w="18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255,613</w:t>
            </w:r>
          </w:p>
        </w:tc>
      </w:tr>
      <w:tr>
        <w:trPr>
          <w:trHeight w:val="195"/>
        </w:trPr>
        <w:tc>
          <w:tcPr>
            <w:tcW w:w="5080" w:type="dxa"/>
            <w:vAlign w:val="bottom"/>
          </w:tcPr>
          <w:p>
            <w:pPr>
              <w:ind w:left="180"/>
              <w:spacing w:after="0" w:line="195" w:lineRule="exact"/>
              <w:rPr>
                <w:sz w:val="20"/>
                <w:szCs w:val="20"/>
                <w:color w:val="auto"/>
              </w:rPr>
            </w:pPr>
            <w:r>
              <w:rPr>
                <w:rFonts w:ascii="Arial" w:cs="Arial" w:eastAsia="Arial" w:hAnsi="Arial"/>
                <w:sz w:val="18"/>
                <w:szCs w:val="18"/>
                <w:color w:val="auto"/>
              </w:rPr>
              <w:t>Weighted-average common shares outstanding assuming</w:t>
            </w: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0"/>
        </w:trPr>
        <w:tc>
          <w:tcPr>
            <w:tcW w:w="5080" w:type="dxa"/>
            <w:vAlign w:val="bottom"/>
          </w:tcPr>
          <w:p>
            <w:pPr>
              <w:ind w:left="360"/>
              <w:spacing w:after="0"/>
              <w:rPr>
                <w:sz w:val="20"/>
                <w:szCs w:val="20"/>
                <w:color w:val="auto"/>
              </w:rPr>
            </w:pPr>
            <w:r>
              <w:rPr>
                <w:rFonts w:ascii="Arial" w:cs="Arial" w:eastAsia="Arial" w:hAnsi="Arial"/>
                <w:sz w:val="18"/>
                <w:szCs w:val="18"/>
                <w:color w:val="auto"/>
              </w:rPr>
              <w:t>dilution</w:t>
            </w:r>
          </w:p>
        </w:tc>
        <w:tc>
          <w:tcPr>
            <w:tcW w:w="340" w:type="dxa"/>
            <w:vAlign w:val="bottom"/>
          </w:tcPr>
          <w:p>
            <w:pPr>
              <w:spacing w:after="0"/>
              <w:rPr>
                <w:sz w:val="19"/>
                <w:szCs w:val="19"/>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14,545,199</w:t>
            </w:r>
          </w:p>
        </w:tc>
        <w:tc>
          <w:tcPr>
            <w:tcW w:w="200" w:type="dxa"/>
            <w:vAlign w:val="bottom"/>
          </w:tcPr>
          <w:p>
            <w:pPr>
              <w:spacing w:after="0"/>
              <w:rPr>
                <w:sz w:val="19"/>
                <w:szCs w:val="19"/>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w w:val="95"/>
              </w:rPr>
              <w:t>14,692,264</w:t>
            </w:r>
          </w:p>
        </w:tc>
        <w:tc>
          <w:tcPr>
            <w:tcW w:w="400" w:type="dxa"/>
            <w:vAlign w:val="bottom"/>
          </w:tcPr>
          <w:p>
            <w:pPr>
              <w:spacing w:after="0"/>
              <w:rPr>
                <w:sz w:val="19"/>
                <w:szCs w:val="19"/>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w w:val="97"/>
              </w:rPr>
              <w:t>14,587,857</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14,700,434</w:t>
            </w:r>
          </w:p>
        </w:tc>
      </w:tr>
      <w:tr>
        <w:trPr>
          <w:trHeight w:val="222"/>
        </w:trPr>
        <w:tc>
          <w:tcPr>
            <w:tcW w:w="5080" w:type="dxa"/>
            <w:vAlign w:val="bottom"/>
            <w:tcBorders>
              <w:bottom w:val="single" w:sz="8" w:color="auto"/>
            </w:tcBorders>
            <w:shd w:val="clear" w:color="auto" w:fill="B2B2B2"/>
          </w:tcPr>
          <w:p>
            <w:pPr>
              <w:ind w:left="540"/>
              <w:spacing w:after="0"/>
              <w:rPr>
                <w:sz w:val="20"/>
                <w:szCs w:val="20"/>
                <w:color w:val="auto"/>
              </w:rPr>
            </w:pPr>
            <w:r>
              <w:rPr>
                <w:rFonts w:ascii="Arial" w:cs="Arial" w:eastAsia="Arial" w:hAnsi="Arial"/>
                <w:sz w:val="18"/>
                <w:szCs w:val="18"/>
                <w:color w:val="auto"/>
              </w:rPr>
              <w:t>Diluted earnings per share</w:t>
            </w:r>
          </w:p>
        </w:tc>
        <w:tc>
          <w:tcPr>
            <w:tcW w:w="34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B2B2B2"/>
          </w:tcPr>
          <w:p>
            <w:pPr>
              <w:jc w:val="right"/>
              <w:ind w:right="410"/>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B2B2B2"/>
          </w:tcPr>
          <w:p>
            <w:pPr>
              <w:jc w:val="right"/>
              <w:ind w:right="210"/>
              <w:spacing w:after="0"/>
              <w:rPr>
                <w:sz w:val="20"/>
                <w:szCs w:val="20"/>
                <w:color w:val="auto"/>
              </w:rPr>
            </w:pPr>
            <w:r>
              <w:rPr>
                <w:rFonts w:ascii="Arial" w:cs="Arial" w:eastAsia="Arial" w:hAnsi="Arial"/>
                <w:sz w:val="18"/>
                <w:szCs w:val="18"/>
                <w:color w:val="auto"/>
              </w:rPr>
              <w:t>.52</w:t>
            </w:r>
          </w:p>
        </w:tc>
        <w:tc>
          <w:tcPr>
            <w:tcW w:w="4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B2B2B2"/>
          </w:tcPr>
          <w:p>
            <w:pPr>
              <w:jc w:val="right"/>
              <w:ind w:right="430"/>
              <w:spacing w:after="0"/>
              <w:rPr>
                <w:sz w:val="20"/>
                <w:szCs w:val="20"/>
                <w:color w:val="auto"/>
              </w:rPr>
            </w:pPr>
            <w:r>
              <w:rPr>
                <w:rFonts w:ascii="Arial" w:cs="Arial" w:eastAsia="Arial" w:hAnsi="Arial"/>
                <w:sz w:val="18"/>
                <w:szCs w:val="18"/>
                <w:color w:val="auto"/>
              </w:rPr>
              <w:t>.89</w:t>
            </w:r>
          </w:p>
        </w:tc>
        <w:tc>
          <w:tcPr>
            <w:tcW w:w="1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1.08</w:t>
            </w:r>
          </w:p>
        </w:tc>
      </w:tr>
    </w:tbl>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Note 4 – Stock Repurchases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maintains a treasury stock buyback program pursuant to which the Board of Directors has authorized the repurchase of up to 500,000 shares of the Company’s common stock. As restored by the Board of Directors on October 22, 2019, the program provides that the Company may repurchase up to an aggregate of 500,000 shares of common stock and has no expiration date. The Company repurchased 0 and 46,778 shares during the three-month periods ended June 30, 2020 and 2019 and 128,779 and 154,593 shares for the six-month periods ended June 30, 2020 and 2019, respectively. As of June 30, 2020, 371,221 shares remained available for repurchase under the program. Repurchases may be made in the open market or through negotiated transactions from time to time depending on market conditions. As of March 16, 2020, the Company has temporarily suspended the treasury stock buyback program.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Note 5 – Industry Segment Information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Services segment provides transportation, energy, telecommunication, and environmental invoice processing and payment services to large corporations. The Banking Services segment provides banking services primarily to privately held businesses and faith-based ministries, including on-line generosity services, as well as supporting the banking needs of the Information Services segment.</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Company’s accounting policies for segments are the same as those described in the summary of significant accounting policies in the Company’s Annual Report on Form 10-K for the year ended December 31, 2019. Management evaluates segment performance based on tax-equivalized (as defined in the footnote to the chart on the following table) pre-tax income after allocations for corporate expenses. Transactions between segments are accounted for at what management believes to be fair value.</w:t>
      </w:r>
    </w:p>
    <w:p>
      <w:pPr>
        <w:spacing w:after="0" w:line="174"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57"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Funding sources represent average balances and deposits generated by Information Services and Banking Services and there is no allocation methodology used. Segment interest income is a function of the relative share of average funding sources generated by each segment multiplied by the following rates: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0" w:name="page11"/>
    <w:bookmarkEnd w:id="10"/>
    <w:p>
      <w:pPr>
        <w:ind w:left="560" w:hanging="229"/>
        <w:spacing w:after="0"/>
        <w:tabs>
          <w:tab w:leader="none" w:pos="560" w:val="left"/>
        </w:tabs>
        <w:numPr>
          <w:ilvl w:val="0"/>
          <w:numId w:val="4"/>
        </w:numPr>
        <w:rPr>
          <w:rFonts w:ascii="Arial" w:cs="Arial" w:eastAsia="Arial" w:hAnsi="Arial"/>
          <w:sz w:val="32"/>
          <w:szCs w:val="32"/>
          <w:color w:val="auto"/>
        </w:rPr>
      </w:pPr>
      <w:r>
        <w:rPr>
          <w:rFonts w:ascii="Arial" w:cs="Arial" w:eastAsia="Arial" w:hAnsi="Arial"/>
          <w:sz w:val="18"/>
          <w:szCs w:val="18"/>
          <w:color w:val="auto"/>
        </w:rPr>
        <w:t>Information Services – one or more fixed rates depending upon the specific characteristics of the funding source, and</w:t>
      </w:r>
    </w:p>
    <w:p>
      <w:pPr>
        <w:spacing w:after="0" w:line="68" w:lineRule="exact"/>
        <w:rPr>
          <w:rFonts w:ascii="Arial" w:cs="Arial" w:eastAsia="Arial" w:hAnsi="Arial"/>
          <w:sz w:val="32"/>
          <w:szCs w:val="32"/>
          <w:color w:val="auto"/>
        </w:rPr>
      </w:pPr>
    </w:p>
    <w:p>
      <w:pPr>
        <w:ind w:left="560" w:hanging="229"/>
        <w:spacing w:after="0" w:line="186" w:lineRule="auto"/>
        <w:tabs>
          <w:tab w:leader="none" w:pos="560" w:val="left"/>
        </w:tabs>
        <w:numPr>
          <w:ilvl w:val="0"/>
          <w:numId w:val="4"/>
        </w:numPr>
        <w:rPr>
          <w:rFonts w:ascii="Arial" w:cs="Arial" w:eastAsia="Arial" w:hAnsi="Arial"/>
          <w:sz w:val="24"/>
          <w:szCs w:val="24"/>
          <w:color w:val="auto"/>
        </w:rPr>
      </w:pPr>
      <w:r>
        <w:rPr>
          <w:rFonts w:ascii="Arial" w:cs="Arial" w:eastAsia="Arial" w:hAnsi="Arial"/>
          <w:sz w:val="15"/>
          <w:szCs w:val="15"/>
          <w:color w:val="auto"/>
        </w:rPr>
        <w:t>Banking Services – a variable rate that is based upon the overall performance of the Company’s earning assets.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Any difference between total segment interest income and overall total Company interest income is included in Corporate, Eliminations, and Other.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Summarized information about the Company’s operations in each industry segment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Corporate,</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4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Information</w:t>
            </w:r>
          </w:p>
        </w:tc>
        <w:tc>
          <w:tcPr>
            <w:tcW w:w="26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Banking</w:t>
            </w:r>
          </w:p>
        </w:tc>
        <w:tc>
          <w:tcPr>
            <w:tcW w:w="16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Eliminations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1"/>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Services</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7"/>
              </w:rPr>
              <w:t>Services</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and Other</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15"/>
        </w:trPr>
        <w:tc>
          <w:tcPr>
            <w:tcW w:w="4300" w:type="dxa"/>
            <w:vAlign w:val="bottom"/>
            <w:shd w:val="clear" w:color="auto" w:fill="B2B2B2"/>
          </w:tcPr>
          <w:p>
            <w:pPr>
              <w:spacing w:after="0"/>
              <w:rPr>
                <w:sz w:val="20"/>
                <w:szCs w:val="20"/>
                <w:color w:val="auto"/>
              </w:rPr>
            </w:pPr>
            <w:r>
              <w:rPr>
                <w:rFonts w:ascii="Arial" w:cs="Arial" w:eastAsia="Arial" w:hAnsi="Arial"/>
                <w:sz w:val="18"/>
                <w:szCs w:val="18"/>
                <w:i w:val="1"/>
                <w:iCs w:val="1"/>
                <w:color w:val="auto"/>
              </w:rPr>
              <w:t>Three Months Ended June 30, 2020:</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r>
      <w:tr>
        <w:trPr>
          <w:trHeight w:val="215"/>
        </w:trPr>
        <w:tc>
          <w:tcPr>
            <w:tcW w:w="4300" w:type="dxa"/>
            <w:vAlign w:val="bottom"/>
          </w:tcPr>
          <w:p>
            <w:pPr>
              <w:ind w:left="180"/>
              <w:spacing w:after="0"/>
              <w:rPr>
                <w:sz w:val="20"/>
                <w:szCs w:val="20"/>
                <w:color w:val="auto"/>
              </w:rPr>
            </w:pPr>
            <w:r>
              <w:rPr>
                <w:rFonts w:ascii="Arial" w:cs="Arial" w:eastAsia="Arial" w:hAnsi="Arial"/>
                <w:sz w:val="18"/>
                <w:szCs w:val="18"/>
                <w:color w:val="auto"/>
              </w:rPr>
              <w:t>Fee income</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22,460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23,174</w:t>
            </w:r>
          </w:p>
        </w:tc>
      </w:tr>
      <w:tr>
        <w:trPr>
          <w:trHeight w:val="215"/>
        </w:trPr>
        <w:tc>
          <w:tcPr>
            <w:tcW w:w="43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Interest income*</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6,056</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6,601</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(541)</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12,116</w:t>
            </w:r>
          </w:p>
        </w:tc>
      </w:tr>
      <w:tr>
        <w:trPr>
          <w:trHeight w:val="215"/>
        </w:trPr>
        <w:tc>
          <w:tcPr>
            <w:tcW w:w="43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15"/>
        </w:trPr>
        <w:tc>
          <w:tcPr>
            <w:tcW w:w="43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Intersegment income (expense)</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556</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(556)</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4300" w:type="dxa"/>
            <w:vAlign w:val="bottom"/>
          </w:tcPr>
          <w:p>
            <w:pPr>
              <w:ind w:left="180"/>
              <w:spacing w:after="0"/>
              <w:rPr>
                <w:sz w:val="20"/>
                <w:szCs w:val="20"/>
                <w:color w:val="auto"/>
              </w:rPr>
            </w:pPr>
            <w:r>
              <w:rPr>
                <w:rFonts w:ascii="Arial" w:cs="Arial" w:eastAsia="Arial" w:hAnsi="Arial"/>
                <w:sz w:val="18"/>
                <w:szCs w:val="18"/>
                <w:color w:val="auto"/>
              </w:rPr>
              <w:t>Tax-equivalized pre-tax income*</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4,537</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2,981</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(466)</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7,052</w:t>
            </w:r>
          </w:p>
        </w:tc>
      </w:tr>
      <w:tr>
        <w:trPr>
          <w:trHeight w:val="215"/>
        </w:trPr>
        <w:tc>
          <w:tcPr>
            <w:tcW w:w="43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Goodwill</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12,433</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1,829</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14,262</w:t>
            </w:r>
          </w:p>
        </w:tc>
      </w:tr>
      <w:tr>
        <w:trPr>
          <w:trHeight w:val="215"/>
        </w:trPr>
        <w:tc>
          <w:tcPr>
            <w:tcW w:w="430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939</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2,913</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3,852</w:t>
            </w:r>
          </w:p>
        </w:tc>
      </w:tr>
      <w:tr>
        <w:trPr>
          <w:trHeight w:val="215"/>
        </w:trPr>
        <w:tc>
          <w:tcPr>
            <w:tcW w:w="43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Total assets</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822,684</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1,109,676</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(103,376)</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1,828,984</w:t>
            </w:r>
          </w:p>
        </w:tc>
      </w:tr>
      <w:tr>
        <w:trPr>
          <w:trHeight w:val="215"/>
        </w:trPr>
        <w:tc>
          <w:tcPr>
            <w:tcW w:w="4300" w:type="dxa"/>
            <w:vAlign w:val="bottom"/>
          </w:tcPr>
          <w:p>
            <w:pPr>
              <w:ind w:left="180"/>
              <w:spacing w:after="0"/>
              <w:rPr>
                <w:sz w:val="20"/>
                <w:szCs w:val="20"/>
                <w:color w:val="auto"/>
              </w:rPr>
            </w:pPr>
            <w:r>
              <w:rPr>
                <w:rFonts w:ascii="Arial" w:cs="Arial" w:eastAsia="Arial" w:hAnsi="Arial"/>
                <w:sz w:val="18"/>
                <w:szCs w:val="18"/>
                <w:color w:val="auto"/>
              </w:rPr>
              <w:t>Average funding sources</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680,061</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746,619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1,426,680</w:t>
            </w:r>
          </w:p>
        </w:tc>
      </w:tr>
      <w:tr>
        <w:trPr>
          <w:trHeight w:val="215"/>
        </w:trPr>
        <w:tc>
          <w:tcPr>
            <w:tcW w:w="4300" w:type="dxa"/>
            <w:vAlign w:val="bottom"/>
            <w:shd w:val="clear" w:color="auto" w:fill="B2B2B2"/>
          </w:tcPr>
          <w:p>
            <w:pPr>
              <w:spacing w:after="0"/>
              <w:rPr>
                <w:sz w:val="20"/>
                <w:szCs w:val="20"/>
                <w:color w:val="auto"/>
              </w:rPr>
            </w:pPr>
            <w:r>
              <w:rPr>
                <w:rFonts w:ascii="Arial" w:cs="Arial" w:eastAsia="Arial" w:hAnsi="Arial"/>
                <w:sz w:val="18"/>
                <w:szCs w:val="18"/>
                <w:i w:val="1"/>
                <w:iCs w:val="1"/>
                <w:color w:val="auto"/>
              </w:rPr>
              <w:t>Three Months Ended June 30, 2019:</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r>
      <w:tr>
        <w:trPr>
          <w:trHeight w:val="215"/>
        </w:trPr>
        <w:tc>
          <w:tcPr>
            <w:tcW w:w="4300" w:type="dxa"/>
            <w:vAlign w:val="bottom"/>
          </w:tcPr>
          <w:p>
            <w:pPr>
              <w:ind w:left="180"/>
              <w:spacing w:after="0"/>
              <w:rPr>
                <w:sz w:val="20"/>
                <w:szCs w:val="20"/>
                <w:color w:val="auto"/>
              </w:rPr>
            </w:pPr>
            <w:r>
              <w:rPr>
                <w:rFonts w:ascii="Arial" w:cs="Arial" w:eastAsia="Arial" w:hAnsi="Arial"/>
                <w:sz w:val="18"/>
                <w:szCs w:val="18"/>
                <w:color w:val="auto"/>
              </w:rPr>
              <w:t>Fee income</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27,227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(247)</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27,372</w:t>
            </w:r>
          </w:p>
        </w:tc>
      </w:tr>
      <w:tr>
        <w:trPr>
          <w:trHeight w:val="215"/>
        </w:trPr>
        <w:tc>
          <w:tcPr>
            <w:tcW w:w="43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Interest income*</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6,336</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7,666</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(144)</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13,858</w:t>
            </w:r>
          </w:p>
        </w:tc>
      </w:tr>
      <w:tr>
        <w:trPr>
          <w:trHeight w:val="215"/>
        </w:trPr>
        <w:tc>
          <w:tcPr>
            <w:tcW w:w="43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1,305</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1,305</w:t>
            </w:r>
          </w:p>
        </w:tc>
      </w:tr>
      <w:tr>
        <w:trPr>
          <w:trHeight w:val="215"/>
        </w:trPr>
        <w:tc>
          <w:tcPr>
            <w:tcW w:w="43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Intersegment income (expense)</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535</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(535)</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4300" w:type="dxa"/>
            <w:vAlign w:val="bottom"/>
          </w:tcPr>
          <w:p>
            <w:pPr>
              <w:ind w:left="180"/>
              <w:spacing w:after="0"/>
              <w:rPr>
                <w:sz w:val="20"/>
                <w:szCs w:val="20"/>
                <w:color w:val="auto"/>
              </w:rPr>
            </w:pPr>
            <w:r>
              <w:rPr>
                <w:rFonts w:ascii="Arial" w:cs="Arial" w:eastAsia="Arial" w:hAnsi="Arial"/>
                <w:sz w:val="18"/>
                <w:szCs w:val="18"/>
                <w:color w:val="auto"/>
              </w:rPr>
              <w:t>Tax-equivalized pre-tax income*</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6,791</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3,555</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9,954</w:t>
            </w:r>
          </w:p>
        </w:tc>
      </w:tr>
      <w:tr>
        <w:trPr>
          <w:trHeight w:val="215"/>
        </w:trPr>
        <w:tc>
          <w:tcPr>
            <w:tcW w:w="43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Goodwill</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12,433</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12,569</w:t>
            </w:r>
          </w:p>
        </w:tc>
      </w:tr>
      <w:tr>
        <w:trPr>
          <w:trHeight w:val="215"/>
        </w:trPr>
        <w:tc>
          <w:tcPr>
            <w:tcW w:w="430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1,345</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1,345</w:t>
            </w:r>
          </w:p>
        </w:tc>
      </w:tr>
      <w:tr>
        <w:trPr>
          <w:trHeight w:val="215"/>
        </w:trPr>
        <w:tc>
          <w:tcPr>
            <w:tcW w:w="43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Total assets</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934,620</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816,661</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(22,597)</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1,728,684</w:t>
            </w:r>
          </w:p>
        </w:tc>
      </w:tr>
      <w:tr>
        <w:trPr>
          <w:trHeight w:val="222"/>
        </w:trPr>
        <w:tc>
          <w:tcPr>
            <w:tcW w:w="4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Average funding sources</w:t>
            </w:r>
          </w:p>
        </w:tc>
        <w:tc>
          <w:tcPr>
            <w:tcW w:w="1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650,231</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570,980</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1,221,211</w:t>
            </w:r>
          </w:p>
        </w:tc>
      </w:tr>
      <w:tr>
        <w:trPr>
          <w:trHeight w:val="215"/>
        </w:trPr>
        <w:tc>
          <w:tcPr>
            <w:tcW w:w="4300" w:type="dxa"/>
            <w:vAlign w:val="bottom"/>
            <w:shd w:val="clear" w:color="auto" w:fill="B2B2B2"/>
          </w:tcPr>
          <w:p>
            <w:pPr>
              <w:spacing w:after="0"/>
              <w:rPr>
                <w:sz w:val="20"/>
                <w:szCs w:val="20"/>
                <w:color w:val="auto"/>
              </w:rPr>
            </w:pPr>
            <w:r>
              <w:rPr>
                <w:rFonts w:ascii="Arial" w:cs="Arial" w:eastAsia="Arial" w:hAnsi="Arial"/>
                <w:sz w:val="18"/>
                <w:szCs w:val="18"/>
                <w:i w:val="1"/>
                <w:iCs w:val="1"/>
                <w:color w:val="auto"/>
              </w:rPr>
              <w:t>Six Months Ended June 30, 2020:</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r>
      <w:tr>
        <w:trPr>
          <w:trHeight w:val="215"/>
        </w:trPr>
        <w:tc>
          <w:tcPr>
            <w:tcW w:w="4300" w:type="dxa"/>
            <w:vAlign w:val="bottom"/>
          </w:tcPr>
          <w:p>
            <w:pPr>
              <w:ind w:left="180"/>
              <w:spacing w:after="0"/>
              <w:rPr>
                <w:sz w:val="20"/>
                <w:szCs w:val="20"/>
                <w:color w:val="auto"/>
              </w:rPr>
            </w:pPr>
            <w:r>
              <w:rPr>
                <w:rFonts w:ascii="Arial" w:cs="Arial" w:eastAsia="Arial" w:hAnsi="Arial"/>
                <w:sz w:val="18"/>
                <w:szCs w:val="18"/>
                <w:color w:val="auto"/>
              </w:rPr>
              <w:t>Fee income</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47,900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1,114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50,269</w:t>
            </w:r>
          </w:p>
        </w:tc>
      </w:tr>
      <w:tr>
        <w:trPr>
          <w:trHeight w:val="215"/>
        </w:trPr>
        <w:tc>
          <w:tcPr>
            <w:tcW w:w="43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Interest income*</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11,847</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13,885</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(794)</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24,938</w:t>
            </w:r>
          </w:p>
        </w:tc>
      </w:tr>
      <w:tr>
        <w:trPr>
          <w:trHeight w:val="215"/>
        </w:trPr>
        <w:tc>
          <w:tcPr>
            <w:tcW w:w="43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1,446</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1,446</w:t>
            </w:r>
          </w:p>
        </w:tc>
      </w:tr>
      <w:tr>
        <w:trPr>
          <w:trHeight w:val="215"/>
        </w:trPr>
        <w:tc>
          <w:tcPr>
            <w:tcW w:w="43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Intersegment income (expense)</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1,081</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(1,081)</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4300" w:type="dxa"/>
            <w:vAlign w:val="bottom"/>
          </w:tcPr>
          <w:p>
            <w:pPr>
              <w:ind w:left="180"/>
              <w:spacing w:after="0"/>
              <w:rPr>
                <w:sz w:val="20"/>
                <w:szCs w:val="20"/>
                <w:color w:val="auto"/>
              </w:rPr>
            </w:pPr>
            <w:r>
              <w:rPr>
                <w:rFonts w:ascii="Arial" w:cs="Arial" w:eastAsia="Arial" w:hAnsi="Arial"/>
                <w:sz w:val="18"/>
                <w:szCs w:val="18"/>
                <w:color w:val="auto"/>
              </w:rPr>
              <w:t>Tax-equivalized pre-tax income*</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10,744</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5,684</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16,750</w:t>
            </w:r>
          </w:p>
        </w:tc>
      </w:tr>
      <w:tr>
        <w:trPr>
          <w:trHeight w:val="215"/>
        </w:trPr>
        <w:tc>
          <w:tcPr>
            <w:tcW w:w="43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Goodwill</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12,433</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1,829</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14,262</w:t>
            </w:r>
          </w:p>
        </w:tc>
      </w:tr>
      <w:tr>
        <w:trPr>
          <w:trHeight w:val="215"/>
        </w:trPr>
        <w:tc>
          <w:tcPr>
            <w:tcW w:w="430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939</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2,913</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3,852</w:t>
            </w:r>
          </w:p>
        </w:tc>
      </w:tr>
      <w:tr>
        <w:trPr>
          <w:trHeight w:val="215"/>
        </w:trPr>
        <w:tc>
          <w:tcPr>
            <w:tcW w:w="43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Total assets</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822,684</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1,109,676</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(103,376)</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1,828,984</w:t>
            </w:r>
          </w:p>
        </w:tc>
      </w:tr>
      <w:tr>
        <w:trPr>
          <w:trHeight w:val="215"/>
        </w:trPr>
        <w:tc>
          <w:tcPr>
            <w:tcW w:w="4300" w:type="dxa"/>
            <w:vAlign w:val="bottom"/>
          </w:tcPr>
          <w:p>
            <w:pPr>
              <w:ind w:left="180"/>
              <w:spacing w:after="0"/>
              <w:rPr>
                <w:sz w:val="20"/>
                <w:szCs w:val="20"/>
                <w:color w:val="auto"/>
              </w:rPr>
            </w:pPr>
            <w:r>
              <w:rPr>
                <w:rFonts w:ascii="Arial" w:cs="Arial" w:eastAsia="Arial" w:hAnsi="Arial"/>
                <w:sz w:val="18"/>
                <w:szCs w:val="18"/>
                <w:color w:val="auto"/>
              </w:rPr>
              <w:t>Average funding sources</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678,945</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678,877</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1,357,822</w:t>
            </w:r>
          </w:p>
        </w:tc>
      </w:tr>
      <w:tr>
        <w:trPr>
          <w:trHeight w:val="215"/>
        </w:trPr>
        <w:tc>
          <w:tcPr>
            <w:tcW w:w="4300" w:type="dxa"/>
            <w:vAlign w:val="bottom"/>
            <w:shd w:val="clear" w:color="auto" w:fill="B2B2B2"/>
          </w:tcPr>
          <w:p>
            <w:pPr>
              <w:spacing w:after="0"/>
              <w:rPr>
                <w:sz w:val="20"/>
                <w:szCs w:val="20"/>
                <w:color w:val="auto"/>
              </w:rPr>
            </w:pPr>
            <w:r>
              <w:rPr>
                <w:rFonts w:ascii="Arial" w:cs="Arial" w:eastAsia="Arial" w:hAnsi="Arial"/>
                <w:sz w:val="18"/>
                <w:szCs w:val="18"/>
                <w:i w:val="1"/>
                <w:iCs w:val="1"/>
                <w:color w:val="auto"/>
              </w:rPr>
              <w:t>Six Months Ended June 30, 2019:</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r>
      <w:tr>
        <w:trPr>
          <w:trHeight w:val="215"/>
        </w:trPr>
        <w:tc>
          <w:tcPr>
            <w:tcW w:w="4300" w:type="dxa"/>
            <w:vAlign w:val="bottom"/>
          </w:tcPr>
          <w:p>
            <w:pPr>
              <w:ind w:left="180"/>
              <w:spacing w:after="0"/>
              <w:rPr>
                <w:sz w:val="20"/>
                <w:szCs w:val="20"/>
                <w:color w:val="auto"/>
              </w:rPr>
            </w:pPr>
            <w:r>
              <w:rPr>
                <w:rFonts w:ascii="Arial" w:cs="Arial" w:eastAsia="Arial" w:hAnsi="Arial"/>
                <w:sz w:val="18"/>
                <w:szCs w:val="18"/>
                <w:color w:val="auto"/>
              </w:rPr>
              <w:t>Fee income</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54,023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(421)</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54,385</w:t>
            </w:r>
          </w:p>
        </w:tc>
      </w:tr>
      <w:tr>
        <w:trPr>
          <w:trHeight w:val="215"/>
        </w:trPr>
        <w:tc>
          <w:tcPr>
            <w:tcW w:w="43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Interest income*</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12,513</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15,152</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(369)</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27,296</w:t>
            </w:r>
          </w:p>
        </w:tc>
      </w:tr>
      <w:tr>
        <w:trPr>
          <w:trHeight w:val="215"/>
        </w:trPr>
        <w:tc>
          <w:tcPr>
            <w:tcW w:w="43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2,595</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2,595</w:t>
            </w:r>
          </w:p>
        </w:tc>
      </w:tr>
      <w:tr>
        <w:trPr>
          <w:trHeight w:val="215"/>
        </w:trPr>
        <w:tc>
          <w:tcPr>
            <w:tcW w:w="43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Intersegment income (expense)</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1,054</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(1,054)</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4300" w:type="dxa"/>
            <w:vAlign w:val="bottom"/>
          </w:tcPr>
          <w:p>
            <w:pPr>
              <w:ind w:left="180"/>
              <w:spacing w:after="0"/>
              <w:rPr>
                <w:sz w:val="20"/>
                <w:szCs w:val="20"/>
                <w:color w:val="auto"/>
              </w:rPr>
            </w:pPr>
            <w:r>
              <w:rPr>
                <w:rFonts w:ascii="Arial" w:cs="Arial" w:eastAsia="Arial" w:hAnsi="Arial"/>
                <w:sz w:val="18"/>
                <w:szCs w:val="18"/>
                <w:color w:val="auto"/>
              </w:rPr>
              <w:t>Tax-equivalized pre-tax income*</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14,378</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6,815</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20,403</w:t>
            </w:r>
          </w:p>
        </w:tc>
      </w:tr>
      <w:tr>
        <w:trPr>
          <w:trHeight w:val="215"/>
        </w:trPr>
        <w:tc>
          <w:tcPr>
            <w:tcW w:w="43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Goodwill</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12,433</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12,569</w:t>
            </w:r>
          </w:p>
        </w:tc>
      </w:tr>
      <w:tr>
        <w:trPr>
          <w:trHeight w:val="215"/>
        </w:trPr>
        <w:tc>
          <w:tcPr>
            <w:tcW w:w="430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1,345</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1,345</w:t>
            </w:r>
          </w:p>
        </w:tc>
      </w:tr>
      <w:tr>
        <w:trPr>
          <w:trHeight w:val="215"/>
        </w:trPr>
        <w:tc>
          <w:tcPr>
            <w:tcW w:w="43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Total assets</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934,620</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816,661</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(22,597)</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1,728,684</w:t>
            </w:r>
          </w:p>
        </w:tc>
      </w:tr>
      <w:tr>
        <w:trPr>
          <w:trHeight w:val="230"/>
        </w:trPr>
        <w:tc>
          <w:tcPr>
            <w:tcW w:w="4300" w:type="dxa"/>
            <w:vAlign w:val="bottom"/>
          </w:tcPr>
          <w:p>
            <w:pPr>
              <w:ind w:left="180"/>
              <w:spacing w:after="0"/>
              <w:rPr>
                <w:sz w:val="20"/>
                <w:szCs w:val="20"/>
                <w:color w:val="auto"/>
              </w:rPr>
            </w:pPr>
            <w:r>
              <w:rPr>
                <w:rFonts w:ascii="Arial" w:cs="Arial" w:eastAsia="Arial" w:hAnsi="Arial"/>
                <w:sz w:val="18"/>
                <w:szCs w:val="18"/>
                <w:color w:val="auto"/>
              </w:rPr>
              <w:t>Average funding sources</w:t>
            </w:r>
          </w:p>
        </w:tc>
        <w:tc>
          <w:tcPr>
            <w:tcW w:w="1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648,918</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581,034</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1,229,952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ind w:right="20" w:firstLine="8"/>
        <w:spacing w:after="0" w:line="242" w:lineRule="auto"/>
        <w:tabs>
          <w:tab w:leader="none" w:pos="117"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Presented on a tax-equivalent basis assuming a tax rate of 21% for both 2020 and 2019. The tax-equivalent adjustment was approximately $474,000 and $531,000 for the Second Quarter of 2020 and 2019, respectively, and $958,000 and $1,072,000 for the First Half of 2020 and 2019, respectively.</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Note 6 – Loans by Type</w:t>
            </w:r>
          </w:p>
        </w:tc>
        <w:tc>
          <w:tcPr>
            <w:tcW w:w="3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4"/>
        </w:trPr>
        <w:tc>
          <w:tcPr>
            <w:tcW w:w="4320" w:type="dxa"/>
            <w:vAlign w:val="bottom"/>
          </w:tcPr>
          <w:p>
            <w:pPr>
              <w:spacing w:after="0"/>
              <w:rPr>
                <w:sz w:val="20"/>
                <w:szCs w:val="20"/>
                <w:color w:val="auto"/>
              </w:rPr>
            </w:pPr>
            <w:r>
              <w:rPr>
                <w:rFonts w:ascii="Arial" w:cs="Arial" w:eastAsia="Arial" w:hAnsi="Arial"/>
                <w:sz w:val="18"/>
                <w:szCs w:val="18"/>
                <w:color w:val="auto"/>
              </w:rPr>
              <w:t>A summary of loan categories is as follows:</w:t>
            </w:r>
          </w:p>
        </w:tc>
        <w:tc>
          <w:tcPr>
            <w:tcW w:w="3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6"/>
        </w:trPr>
        <w:tc>
          <w:tcPr>
            <w:tcW w:w="43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4"/>
                <w:szCs w:val="2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8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20"/>
                <w:szCs w:val="20"/>
                <w:color w:val="auto"/>
              </w:rPr>
            </w:pPr>
          </w:p>
        </w:tc>
      </w:tr>
      <w:tr>
        <w:trPr>
          <w:trHeight w:val="215"/>
        </w:trPr>
        <w:tc>
          <w:tcPr>
            <w:tcW w:w="4320" w:type="dxa"/>
            <w:vAlign w:val="bottom"/>
            <w:shd w:val="clear" w:color="auto" w:fill="B2B2B2"/>
          </w:tcPr>
          <w:p>
            <w:pPr>
              <w:spacing w:after="0"/>
              <w:rPr>
                <w:sz w:val="20"/>
                <w:szCs w:val="20"/>
                <w:color w:val="auto"/>
              </w:rPr>
            </w:pPr>
            <w:r>
              <w:rPr>
                <w:rFonts w:ascii="Arial" w:cs="Arial" w:eastAsia="Arial" w:hAnsi="Arial"/>
                <w:sz w:val="18"/>
                <w:szCs w:val="18"/>
                <w:color w:val="auto"/>
              </w:rPr>
              <w:t>Commercial and industrial</w:t>
            </w:r>
          </w:p>
        </w:tc>
        <w:tc>
          <w:tcPr>
            <w:tcW w:w="384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341,888</w:t>
            </w:r>
          </w:p>
        </w:tc>
        <w:tc>
          <w:tcPr>
            <w:tcW w:w="2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323,857</w:t>
            </w: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Paycheck protection program (“PPP”)</w:t>
            </w:r>
          </w:p>
        </w:tc>
        <w:tc>
          <w:tcPr>
            <w:tcW w:w="38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172,563</w:t>
            </w:r>
          </w:p>
        </w:tc>
        <w:tc>
          <w:tcPr>
            <w:tcW w:w="2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4320" w:type="dxa"/>
            <w:vAlign w:val="bottom"/>
            <w:shd w:val="clear" w:color="auto" w:fill="B2B2B2"/>
          </w:tcPr>
          <w:p>
            <w:pPr>
              <w:spacing w:after="0"/>
              <w:rPr>
                <w:sz w:val="20"/>
                <w:szCs w:val="20"/>
                <w:color w:val="auto"/>
              </w:rPr>
            </w:pPr>
            <w:r>
              <w:rPr>
                <w:rFonts w:ascii="Arial" w:cs="Arial" w:eastAsia="Arial" w:hAnsi="Arial"/>
                <w:sz w:val="18"/>
                <w:szCs w:val="18"/>
                <w:color w:val="auto"/>
              </w:rPr>
              <w:t>Real estate:</w:t>
            </w:r>
          </w:p>
        </w:tc>
        <w:tc>
          <w:tcPr>
            <w:tcW w:w="3840" w:type="dxa"/>
            <w:vAlign w:val="bottom"/>
            <w:shd w:val="clear" w:color="auto" w:fill="B2B2B2"/>
          </w:tcPr>
          <w:p>
            <w:pPr>
              <w:spacing w:after="0"/>
              <w:rPr>
                <w:sz w:val="18"/>
                <w:szCs w:val="18"/>
                <w:color w:val="auto"/>
              </w:rPr>
            </w:pPr>
          </w:p>
        </w:tc>
        <w:tc>
          <w:tcPr>
            <w:tcW w:w="14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36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r>
      <w:tr>
        <w:trPr>
          <w:trHeight w:val="215"/>
        </w:trPr>
        <w:tc>
          <w:tcPr>
            <w:tcW w:w="432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3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20" w:type="dxa"/>
            <w:vAlign w:val="bottom"/>
            <w:shd w:val="clear" w:color="auto" w:fill="B2B2B2"/>
          </w:tcPr>
          <w:p>
            <w:pPr>
              <w:ind w:left="540"/>
              <w:spacing w:after="0"/>
              <w:rPr>
                <w:sz w:val="20"/>
                <w:szCs w:val="20"/>
                <w:color w:val="auto"/>
              </w:rPr>
            </w:pPr>
            <w:r>
              <w:rPr>
                <w:rFonts w:ascii="Arial" w:cs="Arial" w:eastAsia="Arial" w:hAnsi="Arial"/>
                <w:sz w:val="18"/>
                <w:szCs w:val="18"/>
                <w:color w:val="auto"/>
              </w:rPr>
              <w:t>Mortgage</w:t>
            </w:r>
          </w:p>
        </w:tc>
        <w:tc>
          <w:tcPr>
            <w:tcW w:w="3840" w:type="dxa"/>
            <w:vAlign w:val="bottom"/>
            <w:shd w:val="clear" w:color="auto" w:fill="B2B2B2"/>
          </w:tcPr>
          <w:p>
            <w:pPr>
              <w:spacing w:after="0"/>
              <w:rPr>
                <w:sz w:val="18"/>
                <w:szCs w:val="18"/>
                <w:color w:val="auto"/>
              </w:rPr>
            </w:pPr>
          </w:p>
        </w:tc>
        <w:tc>
          <w:tcPr>
            <w:tcW w:w="142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95,865</w:t>
            </w:r>
          </w:p>
        </w:tc>
        <w:tc>
          <w:tcPr>
            <w:tcW w:w="280" w:type="dxa"/>
            <w:vAlign w:val="bottom"/>
            <w:shd w:val="clear" w:color="auto" w:fill="B2B2B2"/>
          </w:tcPr>
          <w:p>
            <w:pPr>
              <w:spacing w:after="0"/>
              <w:rPr>
                <w:sz w:val="18"/>
                <w:szCs w:val="18"/>
                <w:color w:val="auto"/>
              </w:rPr>
            </w:pPr>
          </w:p>
        </w:tc>
        <w:tc>
          <w:tcPr>
            <w:tcW w:w="138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101,654</w:t>
            </w:r>
          </w:p>
        </w:tc>
      </w:tr>
      <w:tr>
        <w:trPr>
          <w:trHeight w:val="215"/>
        </w:trPr>
        <w:tc>
          <w:tcPr>
            <w:tcW w:w="432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38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22,219</w:t>
            </w:r>
          </w:p>
        </w:tc>
        <w:tc>
          <w:tcPr>
            <w:tcW w:w="2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25,299</w:t>
            </w:r>
          </w:p>
        </w:tc>
      </w:tr>
      <w:tr>
        <w:trPr>
          <w:trHeight w:val="215"/>
        </w:trPr>
        <w:tc>
          <w:tcPr>
            <w:tcW w:w="43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Faith-based:</w:t>
            </w:r>
          </w:p>
        </w:tc>
        <w:tc>
          <w:tcPr>
            <w:tcW w:w="3840" w:type="dxa"/>
            <w:vAlign w:val="bottom"/>
            <w:shd w:val="clear" w:color="auto" w:fill="B2B2B2"/>
          </w:tcPr>
          <w:p>
            <w:pPr>
              <w:spacing w:after="0"/>
              <w:rPr>
                <w:sz w:val="18"/>
                <w:szCs w:val="18"/>
                <w:color w:val="auto"/>
              </w:rPr>
            </w:pPr>
          </w:p>
        </w:tc>
        <w:tc>
          <w:tcPr>
            <w:tcW w:w="14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36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r>
      <w:tr>
        <w:trPr>
          <w:trHeight w:val="215"/>
        </w:trPr>
        <w:tc>
          <w:tcPr>
            <w:tcW w:w="4320" w:type="dxa"/>
            <w:vAlign w:val="bottom"/>
          </w:tcPr>
          <w:p>
            <w:pPr>
              <w:ind w:left="540"/>
              <w:spacing w:after="0"/>
              <w:rPr>
                <w:sz w:val="20"/>
                <w:szCs w:val="20"/>
                <w:color w:val="auto"/>
              </w:rPr>
            </w:pPr>
            <w:r>
              <w:rPr>
                <w:rFonts w:ascii="Arial" w:cs="Arial" w:eastAsia="Arial" w:hAnsi="Arial"/>
                <w:sz w:val="18"/>
                <w:szCs w:val="18"/>
                <w:color w:val="auto"/>
              </w:rPr>
              <w:t>Mortgage</w:t>
            </w:r>
          </w:p>
        </w:tc>
        <w:tc>
          <w:tcPr>
            <w:tcW w:w="3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302,895</w:t>
            </w:r>
          </w:p>
        </w:tc>
        <w:tc>
          <w:tcPr>
            <w:tcW w:w="2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305,826</w:t>
            </w:r>
          </w:p>
        </w:tc>
      </w:tr>
      <w:tr>
        <w:trPr>
          <w:trHeight w:val="215"/>
        </w:trPr>
        <w:tc>
          <w:tcPr>
            <w:tcW w:w="4320" w:type="dxa"/>
            <w:vAlign w:val="bottom"/>
            <w:shd w:val="clear" w:color="auto" w:fill="B2B2B2"/>
          </w:tcPr>
          <w:p>
            <w:pPr>
              <w:ind w:left="540"/>
              <w:spacing w:after="0"/>
              <w:rPr>
                <w:sz w:val="20"/>
                <w:szCs w:val="20"/>
                <w:color w:val="auto"/>
              </w:rPr>
            </w:pPr>
            <w:r>
              <w:rPr>
                <w:rFonts w:ascii="Arial" w:cs="Arial" w:eastAsia="Arial" w:hAnsi="Arial"/>
                <w:sz w:val="18"/>
                <w:szCs w:val="18"/>
                <w:color w:val="auto"/>
              </w:rPr>
              <w:t>Construction</w:t>
            </w:r>
          </w:p>
        </w:tc>
        <w:tc>
          <w:tcPr>
            <w:tcW w:w="384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28,293</w:t>
            </w:r>
          </w:p>
        </w:tc>
        <w:tc>
          <w:tcPr>
            <w:tcW w:w="280" w:type="dxa"/>
            <w:vAlign w:val="bottom"/>
            <w:shd w:val="clear" w:color="auto" w:fill="B2B2B2"/>
          </w:tcPr>
          <w:p>
            <w:pPr>
              <w:spacing w:after="0"/>
              <w:rPr>
                <w:sz w:val="18"/>
                <w:szCs w:val="18"/>
                <w:color w:val="auto"/>
              </w:rPr>
            </w:pPr>
          </w:p>
        </w:tc>
        <w:tc>
          <w:tcPr>
            <w:tcW w:w="138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15,945</w:t>
            </w:r>
          </w:p>
        </w:tc>
      </w:tr>
      <w:tr>
        <w:trPr>
          <w:trHeight w:val="215"/>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8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320" w:type="dxa"/>
            <w:vAlign w:val="bottom"/>
            <w:tcBorders>
              <w:bottom w:val="single" w:sz="8" w:color="auto"/>
            </w:tcBorders>
            <w:shd w:val="clear" w:color="auto" w:fill="B2B2B2"/>
          </w:tcPr>
          <w:p>
            <w:pPr>
              <w:ind w:left="360"/>
              <w:spacing w:after="0"/>
              <w:rPr>
                <w:sz w:val="20"/>
                <w:szCs w:val="20"/>
                <w:color w:val="auto"/>
              </w:rPr>
            </w:pPr>
            <w:r>
              <w:rPr>
                <w:rFonts w:ascii="Arial" w:cs="Arial" w:eastAsia="Arial" w:hAnsi="Arial"/>
                <w:sz w:val="18"/>
                <w:szCs w:val="18"/>
                <w:color w:val="auto"/>
              </w:rPr>
              <w:t>Total loans</w:t>
            </w:r>
          </w:p>
        </w:tc>
        <w:tc>
          <w:tcPr>
            <w:tcW w:w="3840" w:type="dxa"/>
            <w:vAlign w:val="bottom"/>
            <w:tcBorders>
              <w:bottom w:val="single" w:sz="8" w:color="auto"/>
            </w:tcBorders>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963,726</w:t>
            </w:r>
          </w:p>
        </w:tc>
        <w:tc>
          <w:tcPr>
            <w:tcW w:w="28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2"/>
            <w:shd w:val="clear" w:color="auto" w:fill="B2B2B2"/>
          </w:tcPr>
          <w:p>
            <w:pPr>
              <w:jc w:val="right"/>
              <w:spacing w:after="0"/>
              <w:rPr>
                <w:sz w:val="20"/>
                <w:szCs w:val="20"/>
                <w:color w:val="auto"/>
              </w:rPr>
            </w:pPr>
            <w:r>
              <w:rPr>
                <w:rFonts w:ascii="Arial" w:cs="Arial" w:eastAsia="Arial" w:hAnsi="Arial"/>
                <w:sz w:val="18"/>
                <w:szCs w:val="18"/>
                <w:color w:val="auto"/>
              </w:rPr>
              <w:t>772,638</w:t>
            </w:r>
          </w:p>
        </w:tc>
      </w:tr>
      <w:tr>
        <w:trPr>
          <w:trHeight w:val="431"/>
        </w:trPr>
        <w:tc>
          <w:tcPr>
            <w:tcW w:w="4320" w:type="dxa"/>
            <w:vAlign w:val="bottom"/>
          </w:tcPr>
          <w:p>
            <w:pPr>
              <w:spacing w:after="0"/>
              <w:rPr>
                <w:sz w:val="24"/>
                <w:szCs w:val="24"/>
                <w:color w:val="auto"/>
              </w:rPr>
            </w:pPr>
          </w:p>
        </w:tc>
        <w:tc>
          <w:tcPr>
            <w:tcW w:w="3840" w:type="dxa"/>
            <w:vAlign w:val="bottom"/>
          </w:tcPr>
          <w:p>
            <w:pPr>
              <w:jc w:val="right"/>
              <w:ind w:right="2290"/>
              <w:spacing w:after="0"/>
              <w:rPr>
                <w:sz w:val="20"/>
                <w:szCs w:val="20"/>
                <w:color w:val="auto"/>
              </w:rPr>
            </w:pPr>
            <w:r>
              <w:rPr>
                <w:rFonts w:ascii="Arial" w:cs="Arial" w:eastAsia="Arial" w:hAnsi="Arial"/>
                <w:sz w:val="18"/>
                <w:szCs w:val="18"/>
                <w:color w:val="auto"/>
              </w:rPr>
              <w:t>-11-</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320" w:type="dxa"/>
            <w:vAlign w:val="bottom"/>
            <w:tcBorders>
              <w:bottom w:val="single" w:sz="8" w:color="EEEEEE"/>
            </w:tcBorders>
          </w:tcPr>
          <w:p>
            <w:pPr>
              <w:spacing w:after="0"/>
              <w:rPr>
                <w:sz w:val="18"/>
                <w:szCs w:val="18"/>
                <w:color w:val="auto"/>
              </w:rPr>
            </w:pPr>
          </w:p>
        </w:tc>
        <w:tc>
          <w:tcPr>
            <w:tcW w:w="3840" w:type="dxa"/>
            <w:vAlign w:val="bottom"/>
            <w:tcBorders>
              <w:bottom w:val="single" w:sz="8" w:color="EEEEEE"/>
            </w:tcBorders>
          </w:tcPr>
          <w:p>
            <w:pPr>
              <w:spacing w:after="0"/>
              <w:rPr>
                <w:sz w:val="18"/>
                <w:szCs w:val="18"/>
                <w:color w:val="auto"/>
              </w:rPr>
            </w:pPr>
          </w:p>
        </w:tc>
        <w:tc>
          <w:tcPr>
            <w:tcW w:w="142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136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955"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149" w:right="339" w:bottom="93" w:gutter="0" w:footer="0" w:header="0"/>
        </w:sectPr>
      </w:pPr>
    </w:p>
    <w:bookmarkStart w:id="11" w:name="page12"/>
    <w:bookmarkEnd w:id="11"/>
    <w:p>
      <w:pPr>
        <w:jc w:val="both"/>
        <w:spacing w:after="0" w:line="285" w:lineRule="auto"/>
        <w:rPr>
          <w:sz w:val="20"/>
          <w:szCs w:val="20"/>
          <w:color w:val="auto"/>
        </w:rPr>
      </w:pPr>
      <w:r>
        <w:rPr>
          <w:rFonts w:ascii="Arial" w:cs="Arial" w:eastAsia="Arial" w:hAnsi="Arial"/>
          <w:sz w:val="17"/>
          <w:szCs w:val="17"/>
          <w:color w:val="auto"/>
        </w:rPr>
        <w:t>In support of the CARES Act, the Bank had processed nearly 350 applications for PPP loans of approximately $170,000,000 to provide much-needed cash to small business and self-employed taxpayers during the COVID-19 crisis. The loans were primarily made to existing bank customers and are 100% guaranteed by the Small Business Administration and no allowance for loan loss was recorded for these loans.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aging of loans by loan categories at June 30, 2020 and December 31, 2019: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Performing</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Nonperforming</w:t>
            </w:r>
          </w:p>
        </w:tc>
        <w:tc>
          <w:tcPr>
            <w:tcW w:w="2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97"/>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center"/>
              <w:ind w:right="190"/>
              <w:spacing w:after="0" w:line="197" w:lineRule="exact"/>
              <w:rPr>
                <w:sz w:val="20"/>
                <w:szCs w:val="20"/>
                <w:color w:val="auto"/>
              </w:rPr>
            </w:pPr>
            <w:r>
              <w:rPr>
                <w:rFonts w:ascii="Arial" w:cs="Arial" w:eastAsia="Arial" w:hAnsi="Arial"/>
                <w:sz w:val="18"/>
                <w:szCs w:val="18"/>
                <w:b w:val="1"/>
                <w:bCs w:val="1"/>
                <w:color w:val="auto"/>
                <w:w w:val="89"/>
              </w:rPr>
              <w:t>90</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5"/>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Days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30-59</w:t>
            </w:r>
          </w:p>
        </w:tc>
        <w:tc>
          <w:tcPr>
            <w:tcW w:w="300" w:type="dxa"/>
            <w:vAlign w:val="bottom"/>
          </w:tcPr>
          <w:p>
            <w:pPr>
              <w:spacing w:after="0"/>
              <w:rPr>
                <w:sz w:val="18"/>
                <w:szCs w:val="18"/>
                <w:color w:val="auto"/>
              </w:rPr>
            </w:pPr>
          </w:p>
        </w:tc>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60-89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and</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Non-</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41"/>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Current</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Days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Days</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7"/>
              </w:rPr>
              <w:t>Over</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accrual</w:t>
            </w: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Loans</w:t>
            </w:r>
          </w:p>
        </w:tc>
      </w:tr>
      <w:tr>
        <w:trPr>
          <w:trHeight w:val="215"/>
        </w:trPr>
        <w:tc>
          <w:tcPr>
            <w:tcW w:w="3280" w:type="dxa"/>
            <w:vAlign w:val="bottom"/>
            <w:shd w:val="clear" w:color="auto" w:fill="B2B2B2"/>
          </w:tcPr>
          <w:p>
            <w:pPr>
              <w:spacing w:after="0"/>
              <w:rPr>
                <w:sz w:val="20"/>
                <w:szCs w:val="20"/>
                <w:color w:val="auto"/>
              </w:rPr>
            </w:pPr>
            <w:r>
              <w:rPr>
                <w:rFonts w:ascii="Arial" w:cs="Arial" w:eastAsia="Arial" w:hAnsi="Arial"/>
                <w:sz w:val="18"/>
                <w:szCs w:val="18"/>
                <w:i w:val="1"/>
                <w:iCs w:val="1"/>
                <w:color w:val="auto"/>
              </w:rPr>
              <w:t>June 30, 2020</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r>
      <w:tr>
        <w:trPr>
          <w:trHeight w:val="215"/>
        </w:trPr>
        <w:tc>
          <w:tcPr>
            <w:tcW w:w="328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341,888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ind w:left="9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8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341,888</w:t>
            </w:r>
          </w:p>
        </w:tc>
      </w:tr>
      <w:tr>
        <w:trPr>
          <w:trHeight w:val="215"/>
        </w:trPr>
        <w:tc>
          <w:tcPr>
            <w:tcW w:w="3280" w:type="dxa"/>
            <w:vAlign w:val="bottom"/>
            <w:shd w:val="clear" w:color="auto" w:fill="B2B2B2"/>
          </w:tcPr>
          <w:p>
            <w:pPr>
              <w:spacing w:after="0"/>
              <w:rPr>
                <w:sz w:val="20"/>
                <w:szCs w:val="20"/>
                <w:color w:val="auto"/>
              </w:rPr>
            </w:pPr>
            <w:r>
              <w:rPr>
                <w:rFonts w:ascii="Arial" w:cs="Arial" w:eastAsia="Arial" w:hAnsi="Arial"/>
                <w:sz w:val="18"/>
                <w:szCs w:val="18"/>
                <w:color w:val="auto"/>
              </w:rPr>
              <w:t>PPP</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172,563</w:t>
            </w: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ind w:left="940"/>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1080" w:type="dxa"/>
            <w:vAlign w:val="bottom"/>
            <w:gridSpan w:val="2"/>
            <w:shd w:val="clear" w:color="auto" w:fill="B2B2B2"/>
          </w:tcPr>
          <w:p>
            <w:pPr>
              <w:ind w:lef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spacing w:after="0"/>
              <w:rPr>
                <w:sz w:val="18"/>
                <w:szCs w:val="18"/>
                <w:color w:val="auto"/>
              </w:rPr>
            </w:pPr>
          </w:p>
        </w:tc>
        <w:tc>
          <w:tcPr>
            <w:tcW w:w="1020" w:type="dxa"/>
            <w:vAlign w:val="bottom"/>
            <w:shd w:val="clear" w:color="auto" w:fill="B2B2B2"/>
          </w:tcPr>
          <w:p>
            <w:pPr>
              <w:ind w:left="8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spacing w:after="0"/>
              <w:rPr>
                <w:sz w:val="18"/>
                <w:szCs w:val="18"/>
                <w:color w:val="auto"/>
              </w:rPr>
            </w:pPr>
          </w:p>
        </w:tc>
        <w:tc>
          <w:tcPr>
            <w:tcW w:w="300" w:type="dxa"/>
            <w:vAlign w:val="bottom"/>
            <w:gridSpan w:val="2"/>
            <w:shd w:val="clear" w:color="auto" w:fill="B2B2B2"/>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172,563</w:t>
            </w:r>
          </w:p>
        </w:tc>
      </w:tr>
      <w:tr>
        <w:trPr>
          <w:trHeight w:val="215"/>
        </w:trPr>
        <w:tc>
          <w:tcPr>
            <w:tcW w:w="3280" w:type="dxa"/>
            <w:vAlign w:val="bottom"/>
          </w:tcPr>
          <w:p>
            <w:pPr>
              <w:spacing w:after="0"/>
              <w:rPr>
                <w:sz w:val="20"/>
                <w:szCs w:val="20"/>
                <w:color w:val="auto"/>
              </w:rPr>
            </w:pPr>
            <w:r>
              <w:rPr>
                <w:rFonts w:ascii="Arial" w:cs="Arial" w:eastAsia="Arial" w:hAnsi="Arial"/>
                <w:sz w:val="18"/>
                <w:szCs w:val="18"/>
                <w:color w:val="auto"/>
              </w:rPr>
              <w:t>Real estate:</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328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Commercial:</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r>
      <w:tr>
        <w:trPr>
          <w:trHeight w:val="215"/>
        </w:trPr>
        <w:tc>
          <w:tcPr>
            <w:tcW w:w="3280" w:type="dxa"/>
            <w:vAlign w:val="bottom"/>
          </w:tcPr>
          <w:p>
            <w:pPr>
              <w:ind w:left="360"/>
              <w:spacing w:after="0"/>
              <w:rPr>
                <w:sz w:val="20"/>
                <w:szCs w:val="20"/>
                <w:color w:val="auto"/>
              </w:rPr>
            </w:pPr>
            <w:r>
              <w:rPr>
                <w:rFonts w:ascii="Arial" w:cs="Arial" w:eastAsia="Arial" w:hAnsi="Arial"/>
                <w:sz w:val="18"/>
                <w:szCs w:val="18"/>
                <w:color w:val="auto"/>
              </w:rPr>
              <w:t>Mortgage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95,865</w:t>
            </w:r>
          </w:p>
        </w:tc>
        <w:tc>
          <w:tcPr>
            <w:tcW w:w="18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tcPr>
          <w:p>
            <w:pPr>
              <w:ind w:left="8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95,865</w:t>
            </w:r>
          </w:p>
        </w:tc>
      </w:tr>
      <w:tr>
        <w:trPr>
          <w:trHeight w:val="215"/>
        </w:trPr>
        <w:tc>
          <w:tcPr>
            <w:tcW w:w="3280" w:type="dxa"/>
            <w:vAlign w:val="bottom"/>
            <w:shd w:val="clear" w:color="auto" w:fill="B2B2B2"/>
          </w:tcPr>
          <w:p>
            <w:pPr>
              <w:ind w:left="360"/>
              <w:spacing w:after="0"/>
              <w:rPr>
                <w:sz w:val="20"/>
                <w:szCs w:val="20"/>
                <w:color w:val="auto"/>
              </w:rPr>
            </w:pPr>
            <w:r>
              <w:rPr>
                <w:rFonts w:ascii="Arial" w:cs="Arial" w:eastAsia="Arial" w:hAnsi="Arial"/>
                <w:sz w:val="18"/>
                <w:szCs w:val="18"/>
                <w:color w:val="auto"/>
              </w:rPr>
              <w:t>Construction</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22,219</w:t>
            </w: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ind w:left="940"/>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1080" w:type="dxa"/>
            <w:vAlign w:val="bottom"/>
            <w:gridSpan w:val="2"/>
            <w:shd w:val="clear" w:color="auto" w:fill="B2B2B2"/>
          </w:tcPr>
          <w:p>
            <w:pPr>
              <w:ind w:lef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spacing w:after="0"/>
              <w:rPr>
                <w:sz w:val="18"/>
                <w:szCs w:val="18"/>
                <w:color w:val="auto"/>
              </w:rPr>
            </w:pPr>
          </w:p>
        </w:tc>
        <w:tc>
          <w:tcPr>
            <w:tcW w:w="1020" w:type="dxa"/>
            <w:vAlign w:val="bottom"/>
            <w:shd w:val="clear" w:color="auto" w:fill="B2B2B2"/>
          </w:tcPr>
          <w:p>
            <w:pPr>
              <w:ind w:left="8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spacing w:after="0"/>
              <w:rPr>
                <w:sz w:val="18"/>
                <w:szCs w:val="18"/>
                <w:color w:val="auto"/>
              </w:rPr>
            </w:pPr>
          </w:p>
        </w:tc>
        <w:tc>
          <w:tcPr>
            <w:tcW w:w="300" w:type="dxa"/>
            <w:vAlign w:val="bottom"/>
            <w:gridSpan w:val="2"/>
            <w:shd w:val="clear" w:color="auto" w:fill="B2B2B2"/>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22,219</w:t>
            </w:r>
          </w:p>
        </w:tc>
      </w:tr>
      <w:tr>
        <w:trPr>
          <w:trHeight w:val="215"/>
        </w:trPr>
        <w:tc>
          <w:tcPr>
            <w:tcW w:w="3280" w:type="dxa"/>
            <w:vAlign w:val="bottom"/>
          </w:tcPr>
          <w:p>
            <w:pPr>
              <w:ind w:left="180"/>
              <w:spacing w:after="0"/>
              <w:rPr>
                <w:sz w:val="20"/>
                <w:szCs w:val="20"/>
                <w:color w:val="auto"/>
              </w:rPr>
            </w:pPr>
            <w:r>
              <w:rPr>
                <w:rFonts w:ascii="Arial" w:cs="Arial" w:eastAsia="Arial" w:hAnsi="Arial"/>
                <w:sz w:val="18"/>
                <w:szCs w:val="18"/>
                <w:color w:val="auto"/>
              </w:rPr>
              <w:t>Faith-based:</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3280" w:type="dxa"/>
            <w:vAlign w:val="bottom"/>
            <w:shd w:val="clear" w:color="auto" w:fill="B2B2B2"/>
          </w:tcPr>
          <w:p>
            <w:pPr>
              <w:ind w:left="360"/>
              <w:spacing w:after="0"/>
              <w:rPr>
                <w:sz w:val="20"/>
                <w:szCs w:val="20"/>
                <w:color w:val="auto"/>
              </w:rPr>
            </w:pPr>
            <w:r>
              <w:rPr>
                <w:rFonts w:ascii="Arial" w:cs="Arial" w:eastAsia="Arial" w:hAnsi="Arial"/>
                <w:sz w:val="18"/>
                <w:szCs w:val="18"/>
                <w:color w:val="auto"/>
              </w:rPr>
              <w:t>Mortgage</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302,895</w:t>
            </w: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ind w:left="940"/>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1080" w:type="dxa"/>
            <w:vAlign w:val="bottom"/>
            <w:gridSpan w:val="2"/>
            <w:shd w:val="clear" w:color="auto" w:fill="B2B2B2"/>
          </w:tcPr>
          <w:p>
            <w:pPr>
              <w:ind w:lef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spacing w:after="0"/>
              <w:rPr>
                <w:sz w:val="18"/>
                <w:szCs w:val="18"/>
                <w:color w:val="auto"/>
              </w:rPr>
            </w:pPr>
          </w:p>
        </w:tc>
        <w:tc>
          <w:tcPr>
            <w:tcW w:w="1020" w:type="dxa"/>
            <w:vAlign w:val="bottom"/>
            <w:shd w:val="clear" w:color="auto" w:fill="B2B2B2"/>
          </w:tcPr>
          <w:p>
            <w:pPr>
              <w:ind w:left="8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spacing w:after="0"/>
              <w:rPr>
                <w:sz w:val="18"/>
                <w:szCs w:val="18"/>
                <w:color w:val="auto"/>
              </w:rPr>
            </w:pPr>
          </w:p>
        </w:tc>
        <w:tc>
          <w:tcPr>
            <w:tcW w:w="300" w:type="dxa"/>
            <w:vAlign w:val="bottom"/>
            <w:gridSpan w:val="2"/>
            <w:shd w:val="clear" w:color="auto" w:fill="B2B2B2"/>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302,895</w:t>
            </w:r>
          </w:p>
        </w:tc>
      </w:tr>
      <w:tr>
        <w:trPr>
          <w:trHeight w:val="215"/>
        </w:trPr>
        <w:tc>
          <w:tcPr>
            <w:tcW w:w="3280" w:type="dxa"/>
            <w:vAlign w:val="bottom"/>
          </w:tcPr>
          <w:p>
            <w:pPr>
              <w:ind w:left="360"/>
              <w:spacing w:after="0"/>
              <w:rPr>
                <w:sz w:val="20"/>
                <w:szCs w:val="20"/>
                <w:color w:val="auto"/>
              </w:rPr>
            </w:pPr>
            <w:r>
              <w:rPr>
                <w:rFonts w:ascii="Arial" w:cs="Arial" w:eastAsia="Arial" w:hAnsi="Arial"/>
                <w:sz w:val="18"/>
                <w:szCs w:val="18"/>
                <w:color w:val="auto"/>
              </w:rPr>
              <w:t>Construction</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28,293</w:t>
            </w:r>
          </w:p>
        </w:tc>
        <w:tc>
          <w:tcPr>
            <w:tcW w:w="18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tcPr>
          <w:p>
            <w:pPr>
              <w:ind w:left="8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28,293</w:t>
            </w:r>
          </w:p>
        </w:tc>
      </w:tr>
      <w:tr>
        <w:trPr>
          <w:trHeight w:val="215"/>
        </w:trPr>
        <w:tc>
          <w:tcPr>
            <w:tcW w:w="328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auto"/>
            </w:tcBorders>
            <w:shd w:val="clear" w:color="auto" w:fill="B2B2B2"/>
          </w:tcPr>
          <w:p>
            <w:pPr>
              <w:spacing w:after="0"/>
              <w:rPr>
                <w:sz w:val="18"/>
                <w:szCs w:val="18"/>
                <w:color w:val="auto"/>
              </w:rPr>
            </w:pPr>
          </w:p>
        </w:tc>
        <w:tc>
          <w:tcPr>
            <w:tcW w:w="1180" w:type="dxa"/>
            <w:vAlign w:val="bottom"/>
            <w:tcBorders>
              <w:bottom w:val="single" w:sz="8" w:color="auto"/>
            </w:tcBorders>
            <w:shd w:val="clear" w:color="auto" w:fill="B2B2B2"/>
          </w:tcPr>
          <w:p>
            <w:pPr>
              <w:ind w:left="9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gridSpan w:val="2"/>
            <w:shd w:val="clear" w:color="auto" w:fill="B2B2B2"/>
          </w:tcPr>
          <w:p>
            <w:pPr>
              <w:ind w:left="8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ind w:left="8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B2B2B2"/>
          </w:tcPr>
          <w:p>
            <w:pPr>
              <w:spacing w:after="0"/>
              <w:rPr>
                <w:sz w:val="18"/>
                <w:szCs w:val="18"/>
                <w:color w:val="auto"/>
              </w:rPr>
            </w:pPr>
          </w:p>
        </w:tc>
        <w:tc>
          <w:tcPr>
            <w:tcW w:w="300" w:type="dxa"/>
            <w:vAlign w:val="bottom"/>
            <w:tcBorders>
              <w:bottom w:val="single" w:sz="8" w:color="auto"/>
            </w:tcBorders>
            <w:gridSpan w:val="2"/>
            <w:shd w:val="clear" w:color="auto" w:fill="B2B2B2"/>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963,726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963,726</w:t>
            </w:r>
          </w:p>
        </w:tc>
      </w:tr>
      <w:tr>
        <w:trPr>
          <w:trHeight w:val="209"/>
        </w:trPr>
        <w:tc>
          <w:tcPr>
            <w:tcW w:w="3280" w:type="dxa"/>
            <w:vAlign w:val="bottom"/>
            <w:shd w:val="clear" w:color="auto" w:fill="B2B2B2"/>
          </w:tcPr>
          <w:p>
            <w:pPr>
              <w:spacing w:after="0"/>
              <w:rPr>
                <w:sz w:val="20"/>
                <w:szCs w:val="20"/>
                <w:color w:val="auto"/>
              </w:rPr>
            </w:pPr>
            <w:r>
              <w:rPr>
                <w:rFonts w:ascii="Arial" w:cs="Arial" w:eastAsia="Arial" w:hAnsi="Arial"/>
                <w:sz w:val="18"/>
                <w:szCs w:val="18"/>
                <w:i w:val="1"/>
                <w:iCs w:val="1"/>
                <w:color w:val="auto"/>
              </w:rPr>
              <w:t>December 31, 2019</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r>
      <w:tr>
        <w:trPr>
          <w:trHeight w:val="215"/>
        </w:trPr>
        <w:tc>
          <w:tcPr>
            <w:tcW w:w="328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323,857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ind w:left="9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8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323,857</w:t>
            </w:r>
          </w:p>
        </w:tc>
      </w:tr>
      <w:tr>
        <w:trPr>
          <w:trHeight w:val="215"/>
        </w:trPr>
        <w:tc>
          <w:tcPr>
            <w:tcW w:w="3280" w:type="dxa"/>
            <w:vAlign w:val="bottom"/>
            <w:shd w:val="clear" w:color="auto" w:fill="B2B2B2"/>
          </w:tcPr>
          <w:p>
            <w:pPr>
              <w:spacing w:after="0"/>
              <w:rPr>
                <w:sz w:val="20"/>
                <w:szCs w:val="20"/>
                <w:color w:val="auto"/>
              </w:rPr>
            </w:pPr>
            <w:r>
              <w:rPr>
                <w:rFonts w:ascii="Arial" w:cs="Arial" w:eastAsia="Arial" w:hAnsi="Arial"/>
                <w:sz w:val="18"/>
                <w:szCs w:val="18"/>
                <w:color w:val="auto"/>
              </w:rPr>
              <w:t>Real estate:</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r>
      <w:tr>
        <w:trPr>
          <w:trHeight w:val="215"/>
        </w:trPr>
        <w:tc>
          <w:tcPr>
            <w:tcW w:w="32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3280" w:type="dxa"/>
            <w:vAlign w:val="bottom"/>
            <w:shd w:val="clear" w:color="auto" w:fill="B2B2B2"/>
          </w:tcPr>
          <w:p>
            <w:pPr>
              <w:ind w:left="360"/>
              <w:spacing w:after="0"/>
              <w:rPr>
                <w:sz w:val="20"/>
                <w:szCs w:val="20"/>
                <w:color w:val="auto"/>
              </w:rPr>
            </w:pPr>
            <w:r>
              <w:rPr>
                <w:rFonts w:ascii="Arial" w:cs="Arial" w:eastAsia="Arial" w:hAnsi="Arial"/>
                <w:sz w:val="18"/>
                <w:szCs w:val="18"/>
                <w:color w:val="auto"/>
              </w:rPr>
              <w:t>Mortgage</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101,654</w:t>
            </w: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ind w:left="940"/>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1080" w:type="dxa"/>
            <w:vAlign w:val="bottom"/>
            <w:gridSpan w:val="2"/>
            <w:shd w:val="clear" w:color="auto" w:fill="B2B2B2"/>
          </w:tcPr>
          <w:p>
            <w:pPr>
              <w:ind w:lef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spacing w:after="0"/>
              <w:rPr>
                <w:sz w:val="18"/>
                <w:szCs w:val="18"/>
                <w:color w:val="auto"/>
              </w:rPr>
            </w:pPr>
          </w:p>
        </w:tc>
        <w:tc>
          <w:tcPr>
            <w:tcW w:w="1020" w:type="dxa"/>
            <w:vAlign w:val="bottom"/>
            <w:shd w:val="clear" w:color="auto" w:fill="B2B2B2"/>
          </w:tcPr>
          <w:p>
            <w:pPr>
              <w:ind w:left="8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spacing w:after="0"/>
              <w:rPr>
                <w:sz w:val="18"/>
                <w:szCs w:val="18"/>
                <w:color w:val="auto"/>
              </w:rPr>
            </w:pPr>
          </w:p>
        </w:tc>
        <w:tc>
          <w:tcPr>
            <w:tcW w:w="300" w:type="dxa"/>
            <w:vAlign w:val="bottom"/>
            <w:gridSpan w:val="2"/>
            <w:shd w:val="clear" w:color="auto" w:fill="B2B2B2"/>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101,654</w:t>
            </w:r>
          </w:p>
        </w:tc>
      </w:tr>
      <w:tr>
        <w:trPr>
          <w:trHeight w:val="215"/>
        </w:trPr>
        <w:tc>
          <w:tcPr>
            <w:tcW w:w="3280" w:type="dxa"/>
            <w:vAlign w:val="bottom"/>
          </w:tcPr>
          <w:p>
            <w:pPr>
              <w:ind w:left="360"/>
              <w:spacing w:after="0"/>
              <w:rPr>
                <w:sz w:val="20"/>
                <w:szCs w:val="20"/>
                <w:color w:val="auto"/>
              </w:rPr>
            </w:pPr>
            <w:r>
              <w:rPr>
                <w:rFonts w:ascii="Arial" w:cs="Arial" w:eastAsia="Arial" w:hAnsi="Arial"/>
                <w:sz w:val="18"/>
                <w:szCs w:val="18"/>
                <w:color w:val="auto"/>
              </w:rPr>
              <w:t>Construction</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25,299</w:t>
            </w:r>
          </w:p>
        </w:tc>
        <w:tc>
          <w:tcPr>
            <w:tcW w:w="18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tcPr>
          <w:p>
            <w:pPr>
              <w:ind w:left="8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25,299</w:t>
            </w:r>
          </w:p>
        </w:tc>
      </w:tr>
      <w:tr>
        <w:trPr>
          <w:trHeight w:val="215"/>
        </w:trPr>
        <w:tc>
          <w:tcPr>
            <w:tcW w:w="3280" w:type="dxa"/>
            <w:vAlign w:val="bottom"/>
            <w:shd w:val="clear" w:color="auto" w:fill="B2B2B2"/>
          </w:tcPr>
          <w:p>
            <w:pPr>
              <w:ind w:left="180"/>
              <w:spacing w:after="0"/>
              <w:rPr>
                <w:sz w:val="20"/>
                <w:szCs w:val="20"/>
                <w:color w:val="auto"/>
              </w:rPr>
            </w:pPr>
            <w:r>
              <w:rPr>
                <w:rFonts w:ascii="Arial" w:cs="Arial" w:eastAsia="Arial" w:hAnsi="Arial"/>
                <w:sz w:val="18"/>
                <w:szCs w:val="18"/>
                <w:color w:val="auto"/>
              </w:rPr>
              <w:t>Faith-based:</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r>
      <w:tr>
        <w:trPr>
          <w:trHeight w:val="215"/>
        </w:trPr>
        <w:tc>
          <w:tcPr>
            <w:tcW w:w="3280" w:type="dxa"/>
            <w:vAlign w:val="bottom"/>
          </w:tcPr>
          <w:p>
            <w:pPr>
              <w:ind w:left="360"/>
              <w:spacing w:after="0"/>
              <w:rPr>
                <w:sz w:val="20"/>
                <w:szCs w:val="20"/>
                <w:color w:val="auto"/>
              </w:rPr>
            </w:pPr>
            <w:r>
              <w:rPr>
                <w:rFonts w:ascii="Arial" w:cs="Arial" w:eastAsia="Arial" w:hAnsi="Arial"/>
                <w:sz w:val="18"/>
                <w:szCs w:val="18"/>
                <w:color w:val="auto"/>
              </w:rPr>
              <w:t>Mortgage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305,826</w:t>
            </w:r>
          </w:p>
        </w:tc>
        <w:tc>
          <w:tcPr>
            <w:tcW w:w="18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tcPr>
          <w:p>
            <w:pPr>
              <w:ind w:left="8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305,826</w:t>
            </w:r>
          </w:p>
        </w:tc>
      </w:tr>
      <w:tr>
        <w:trPr>
          <w:trHeight w:val="215"/>
        </w:trPr>
        <w:tc>
          <w:tcPr>
            <w:tcW w:w="3280" w:type="dxa"/>
            <w:vAlign w:val="bottom"/>
            <w:shd w:val="clear" w:color="auto" w:fill="B2B2B2"/>
          </w:tcPr>
          <w:p>
            <w:pPr>
              <w:ind w:left="360"/>
              <w:spacing w:after="0"/>
              <w:rPr>
                <w:sz w:val="20"/>
                <w:szCs w:val="20"/>
                <w:color w:val="auto"/>
              </w:rPr>
            </w:pPr>
            <w:r>
              <w:rPr>
                <w:rFonts w:ascii="Arial" w:cs="Arial" w:eastAsia="Arial" w:hAnsi="Arial"/>
                <w:sz w:val="18"/>
                <w:szCs w:val="18"/>
                <w:color w:val="auto"/>
              </w:rPr>
              <w:t>Construction</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15,945</w:t>
            </w: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ind w:left="940"/>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1080" w:type="dxa"/>
            <w:vAlign w:val="bottom"/>
            <w:gridSpan w:val="2"/>
            <w:shd w:val="clear" w:color="auto" w:fill="B2B2B2"/>
          </w:tcPr>
          <w:p>
            <w:pPr>
              <w:ind w:lef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spacing w:after="0"/>
              <w:rPr>
                <w:sz w:val="18"/>
                <w:szCs w:val="18"/>
                <w:color w:val="auto"/>
              </w:rPr>
            </w:pPr>
          </w:p>
        </w:tc>
        <w:tc>
          <w:tcPr>
            <w:tcW w:w="1020" w:type="dxa"/>
            <w:vAlign w:val="bottom"/>
            <w:shd w:val="clear" w:color="auto" w:fill="B2B2B2"/>
          </w:tcPr>
          <w:p>
            <w:pPr>
              <w:ind w:left="8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spacing w:after="0"/>
              <w:rPr>
                <w:sz w:val="18"/>
                <w:szCs w:val="18"/>
                <w:color w:val="auto"/>
              </w:rPr>
            </w:pPr>
          </w:p>
        </w:tc>
        <w:tc>
          <w:tcPr>
            <w:tcW w:w="300" w:type="dxa"/>
            <w:vAlign w:val="bottom"/>
            <w:gridSpan w:val="2"/>
            <w:shd w:val="clear" w:color="auto" w:fill="B2B2B2"/>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15,945</w:t>
            </w:r>
          </w:p>
        </w:tc>
      </w:tr>
      <w:tr>
        <w:trPr>
          <w:trHeight w:val="215"/>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28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772,638</w:t>
            </w:r>
          </w:p>
        </w:tc>
        <w:tc>
          <w:tcPr>
            <w:tcW w:w="1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B2B2B2"/>
          </w:tcPr>
          <w:p>
            <w:pPr>
              <w:ind w:left="9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shd w:val="clear" w:color="auto" w:fill="B2B2B2"/>
          </w:tcPr>
          <w:p>
            <w:pPr>
              <w:ind w:left="8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B2B2B2"/>
          </w:tcPr>
          <w:p>
            <w:pPr>
              <w:ind w:left="8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B2B2B2"/>
          </w:tcPr>
          <w:p>
            <w:pPr>
              <w:jc w:val="right"/>
              <w:ind w:right="79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gridSpan w:val="2"/>
            <w:shd w:val="clear" w:color="auto" w:fill="B2B2B2"/>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772,638</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credit exposure of the loan portfolio by internally assigned credit grade as of June 30, 2020 and December 31, 2019:</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Loans</w:t>
            </w:r>
          </w:p>
        </w:tc>
        <w:tc>
          <w:tcPr>
            <w:tcW w:w="18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Performing</w:t>
            </w: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w w:val="95"/>
              </w:rPr>
              <w:t>Nonperforming</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39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Subject to</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Loans Subject</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Loans Subject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39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Normal</w:t>
            </w:r>
          </w:p>
        </w:tc>
        <w:tc>
          <w:tcPr>
            <w:tcW w:w="180" w:type="dxa"/>
            <w:vAlign w:val="bottom"/>
          </w:tcPr>
          <w:p>
            <w:pPr>
              <w:spacing w:after="0"/>
              <w:rPr>
                <w:sz w:val="19"/>
                <w:szCs w:val="19"/>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to Special</w:t>
            </w:r>
          </w:p>
        </w:tc>
        <w:tc>
          <w:tcPr>
            <w:tcW w:w="160" w:type="dxa"/>
            <w:vAlign w:val="bottom"/>
          </w:tcPr>
          <w:p>
            <w:pPr>
              <w:spacing w:after="0"/>
              <w:rPr>
                <w:sz w:val="19"/>
                <w:szCs w:val="19"/>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to Special</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7"/>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110"/>
              <w:spacing w:after="0" w:line="270" w:lineRule="exact"/>
              <w:rPr>
                <w:sz w:val="20"/>
                <w:szCs w:val="20"/>
                <w:color w:val="auto"/>
              </w:rPr>
            </w:pPr>
            <w:r>
              <w:rPr>
                <w:rFonts w:ascii="Arial" w:cs="Arial" w:eastAsia="Arial" w:hAnsi="Arial"/>
                <w:sz w:val="18"/>
                <w:szCs w:val="18"/>
                <w:b w:val="1"/>
                <w:bCs w:val="1"/>
                <w:color w:val="auto"/>
                <w:w w:val="92"/>
              </w:rPr>
              <w:t>Monitoring</w:t>
            </w:r>
            <w:r>
              <w:rPr>
                <w:rFonts w:ascii="Arial" w:cs="Arial" w:eastAsia="Arial" w:hAnsi="Arial"/>
                <w:sz w:val="29"/>
                <w:szCs w:val="29"/>
                <w:b w:val="1"/>
                <w:bCs w:val="1"/>
                <w:color w:val="auto"/>
                <w:w w:val="92"/>
                <w:vertAlign w:val="superscript"/>
              </w:rPr>
              <w:t>1</w:t>
            </w: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10"/>
              <w:spacing w:after="0" w:line="270" w:lineRule="exact"/>
              <w:rPr>
                <w:sz w:val="20"/>
                <w:szCs w:val="20"/>
                <w:color w:val="auto"/>
              </w:rPr>
            </w:pPr>
            <w:r>
              <w:rPr>
                <w:rFonts w:ascii="Arial" w:cs="Arial" w:eastAsia="Arial" w:hAnsi="Arial"/>
                <w:sz w:val="18"/>
                <w:szCs w:val="18"/>
                <w:b w:val="1"/>
                <w:bCs w:val="1"/>
                <w:color w:val="auto"/>
                <w:w w:val="92"/>
              </w:rPr>
              <w:t>Monitoring</w:t>
            </w:r>
            <w:r>
              <w:rPr>
                <w:rFonts w:ascii="Arial" w:cs="Arial" w:eastAsia="Arial" w:hAnsi="Arial"/>
                <w:sz w:val="29"/>
                <w:szCs w:val="29"/>
                <w:b w:val="1"/>
                <w:bCs w:val="1"/>
                <w:color w:val="auto"/>
                <w:w w:val="92"/>
                <w:vertAlign w:val="superscript"/>
              </w:rPr>
              <w:t>2</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70"/>
              <w:spacing w:after="0" w:line="270" w:lineRule="exact"/>
              <w:rPr>
                <w:sz w:val="20"/>
                <w:szCs w:val="20"/>
                <w:color w:val="auto"/>
              </w:rPr>
            </w:pPr>
            <w:r>
              <w:rPr>
                <w:rFonts w:ascii="Arial" w:cs="Arial" w:eastAsia="Arial" w:hAnsi="Arial"/>
                <w:sz w:val="18"/>
                <w:szCs w:val="18"/>
                <w:b w:val="1"/>
                <w:bCs w:val="1"/>
                <w:color w:val="auto"/>
                <w:w w:val="92"/>
              </w:rPr>
              <w:t>Monitoring</w:t>
            </w:r>
            <w:r>
              <w:rPr>
                <w:rFonts w:ascii="Arial" w:cs="Arial" w:eastAsia="Arial" w:hAnsi="Arial"/>
                <w:sz w:val="29"/>
                <w:szCs w:val="29"/>
                <w:b w:val="1"/>
                <w:bCs w:val="1"/>
                <w:color w:val="auto"/>
                <w:w w:val="92"/>
                <w:vertAlign w:val="superscript"/>
              </w:rPr>
              <w:t>2</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Total Loans</w:t>
            </w:r>
          </w:p>
        </w:tc>
      </w:tr>
      <w:tr>
        <w:trPr>
          <w:trHeight w:val="215"/>
        </w:trPr>
        <w:tc>
          <w:tcPr>
            <w:tcW w:w="3960" w:type="dxa"/>
            <w:vAlign w:val="bottom"/>
            <w:shd w:val="clear" w:color="auto" w:fill="B2B2B2"/>
          </w:tcPr>
          <w:p>
            <w:pPr>
              <w:spacing w:after="0"/>
              <w:rPr>
                <w:sz w:val="20"/>
                <w:szCs w:val="20"/>
                <w:color w:val="auto"/>
              </w:rPr>
            </w:pPr>
            <w:r>
              <w:rPr>
                <w:rFonts w:ascii="Arial" w:cs="Arial" w:eastAsia="Arial" w:hAnsi="Arial"/>
                <w:sz w:val="18"/>
                <w:szCs w:val="18"/>
                <w:i w:val="1"/>
                <w:iCs w:val="1"/>
                <w:color w:val="auto"/>
              </w:rPr>
              <w:t>June 30, 2020</w:t>
            </w:r>
          </w:p>
        </w:tc>
        <w:tc>
          <w:tcPr>
            <w:tcW w:w="2140" w:type="dxa"/>
            <w:vAlign w:val="bottom"/>
            <w:shd w:val="clear" w:color="auto" w:fill="B2B2B2"/>
          </w:tcPr>
          <w:p>
            <w:pPr>
              <w:spacing w:after="0"/>
              <w:rPr>
                <w:sz w:val="18"/>
                <w:szCs w:val="18"/>
                <w:color w:val="auto"/>
              </w:rPr>
            </w:pPr>
          </w:p>
        </w:tc>
        <w:tc>
          <w:tcPr>
            <w:tcW w:w="12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r>
      <w:tr>
        <w:trPr>
          <w:trHeight w:val="215"/>
        </w:trPr>
        <w:tc>
          <w:tcPr>
            <w:tcW w:w="396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328,740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13,148</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341,888</w:t>
            </w:r>
          </w:p>
        </w:tc>
      </w:tr>
      <w:tr>
        <w:trPr>
          <w:trHeight w:val="215"/>
        </w:trPr>
        <w:tc>
          <w:tcPr>
            <w:tcW w:w="3960" w:type="dxa"/>
            <w:vAlign w:val="bottom"/>
            <w:shd w:val="clear" w:color="auto" w:fill="B2B2B2"/>
          </w:tcPr>
          <w:p>
            <w:pPr>
              <w:spacing w:after="0"/>
              <w:rPr>
                <w:sz w:val="20"/>
                <w:szCs w:val="20"/>
                <w:color w:val="auto"/>
              </w:rPr>
            </w:pPr>
            <w:r>
              <w:rPr>
                <w:rFonts w:ascii="Arial" w:cs="Arial" w:eastAsia="Arial" w:hAnsi="Arial"/>
                <w:sz w:val="18"/>
                <w:szCs w:val="18"/>
                <w:color w:val="auto"/>
              </w:rPr>
              <w:t>PPP</w:t>
            </w:r>
          </w:p>
        </w:tc>
        <w:tc>
          <w:tcPr>
            <w:tcW w:w="2140" w:type="dxa"/>
            <w:vAlign w:val="bottom"/>
            <w:shd w:val="clear" w:color="auto" w:fill="B2B2B2"/>
          </w:tcPr>
          <w:p>
            <w:pPr>
              <w:spacing w:after="0"/>
              <w:rPr>
                <w:sz w:val="18"/>
                <w:szCs w:val="18"/>
                <w:color w:val="auto"/>
              </w:rPr>
            </w:pPr>
          </w:p>
        </w:tc>
        <w:tc>
          <w:tcPr>
            <w:tcW w:w="1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172,563</w:t>
            </w:r>
          </w:p>
        </w:tc>
        <w:tc>
          <w:tcPr>
            <w:tcW w:w="180" w:type="dxa"/>
            <w:vAlign w:val="bottom"/>
            <w:shd w:val="clear" w:color="auto" w:fill="B2B2B2"/>
          </w:tcPr>
          <w:p>
            <w:pPr>
              <w:spacing w:after="0"/>
              <w:rPr>
                <w:sz w:val="18"/>
                <w:szCs w:val="18"/>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B2B2B2"/>
          </w:tcPr>
          <w:p>
            <w:pPr>
              <w:spacing w:after="0"/>
              <w:rPr>
                <w:sz w:val="18"/>
                <w:szCs w:val="18"/>
                <w:color w:val="auto"/>
              </w:rPr>
            </w:pPr>
          </w:p>
        </w:tc>
        <w:tc>
          <w:tcPr>
            <w:tcW w:w="1160" w:type="dxa"/>
            <w:vAlign w:val="bottom"/>
            <w:shd w:val="clear" w:color="auto" w:fill="B2B2B2"/>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172,563</w:t>
            </w:r>
          </w:p>
        </w:tc>
      </w:tr>
      <w:tr>
        <w:trPr>
          <w:trHeight w:val="215"/>
        </w:trPr>
        <w:tc>
          <w:tcPr>
            <w:tcW w:w="3960" w:type="dxa"/>
            <w:vAlign w:val="bottom"/>
          </w:tcPr>
          <w:p>
            <w:pPr>
              <w:spacing w:after="0"/>
              <w:rPr>
                <w:sz w:val="20"/>
                <w:szCs w:val="20"/>
                <w:color w:val="auto"/>
              </w:rPr>
            </w:pPr>
            <w:r>
              <w:rPr>
                <w:rFonts w:ascii="Arial" w:cs="Arial" w:eastAsia="Arial" w:hAnsi="Arial"/>
                <w:sz w:val="18"/>
                <w:szCs w:val="18"/>
                <w:color w:val="auto"/>
              </w:rPr>
              <w:t>Real estate:</w:t>
            </w:r>
          </w:p>
        </w:tc>
        <w:tc>
          <w:tcPr>
            <w:tcW w:w="2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39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Commercial:</w:t>
            </w:r>
          </w:p>
        </w:tc>
        <w:tc>
          <w:tcPr>
            <w:tcW w:w="2140" w:type="dxa"/>
            <w:vAlign w:val="bottom"/>
            <w:shd w:val="clear" w:color="auto" w:fill="B2B2B2"/>
          </w:tcPr>
          <w:p>
            <w:pPr>
              <w:spacing w:after="0"/>
              <w:rPr>
                <w:sz w:val="18"/>
                <w:szCs w:val="18"/>
                <w:color w:val="auto"/>
              </w:rPr>
            </w:pPr>
          </w:p>
        </w:tc>
        <w:tc>
          <w:tcPr>
            <w:tcW w:w="12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r>
      <w:tr>
        <w:trPr>
          <w:trHeight w:val="215"/>
        </w:trPr>
        <w:tc>
          <w:tcPr>
            <w:tcW w:w="3960" w:type="dxa"/>
            <w:vAlign w:val="bottom"/>
          </w:tcPr>
          <w:p>
            <w:pPr>
              <w:ind w:left="360"/>
              <w:spacing w:after="0"/>
              <w:rPr>
                <w:sz w:val="20"/>
                <w:szCs w:val="20"/>
                <w:color w:val="auto"/>
              </w:rPr>
            </w:pPr>
            <w:r>
              <w:rPr>
                <w:rFonts w:ascii="Arial" w:cs="Arial" w:eastAsia="Arial" w:hAnsi="Arial"/>
                <w:sz w:val="18"/>
                <w:szCs w:val="18"/>
                <w:color w:val="auto"/>
              </w:rPr>
              <w:t>Mortgage</w:t>
            </w:r>
          </w:p>
        </w:tc>
        <w:tc>
          <w:tcPr>
            <w:tcW w:w="2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94,655</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1,210</w:t>
            </w:r>
          </w:p>
        </w:tc>
        <w:tc>
          <w:tcPr>
            <w:tcW w:w="16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95,865</w:t>
            </w:r>
          </w:p>
        </w:tc>
      </w:tr>
      <w:tr>
        <w:trPr>
          <w:trHeight w:val="215"/>
        </w:trPr>
        <w:tc>
          <w:tcPr>
            <w:tcW w:w="3960" w:type="dxa"/>
            <w:vAlign w:val="bottom"/>
            <w:shd w:val="clear" w:color="auto" w:fill="B2B2B2"/>
          </w:tcPr>
          <w:p>
            <w:pPr>
              <w:ind w:left="360"/>
              <w:spacing w:after="0"/>
              <w:rPr>
                <w:sz w:val="20"/>
                <w:szCs w:val="20"/>
                <w:color w:val="auto"/>
              </w:rPr>
            </w:pPr>
            <w:r>
              <w:rPr>
                <w:rFonts w:ascii="Arial" w:cs="Arial" w:eastAsia="Arial" w:hAnsi="Arial"/>
                <w:sz w:val="18"/>
                <w:szCs w:val="18"/>
                <w:color w:val="auto"/>
              </w:rPr>
              <w:t>Construction</w:t>
            </w:r>
          </w:p>
        </w:tc>
        <w:tc>
          <w:tcPr>
            <w:tcW w:w="2140" w:type="dxa"/>
            <w:vAlign w:val="bottom"/>
            <w:shd w:val="clear" w:color="auto" w:fill="B2B2B2"/>
          </w:tcPr>
          <w:p>
            <w:pPr>
              <w:spacing w:after="0"/>
              <w:rPr>
                <w:sz w:val="18"/>
                <w:szCs w:val="18"/>
                <w:color w:val="auto"/>
              </w:rPr>
            </w:pPr>
          </w:p>
        </w:tc>
        <w:tc>
          <w:tcPr>
            <w:tcW w:w="1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22,219</w:t>
            </w:r>
          </w:p>
        </w:tc>
        <w:tc>
          <w:tcPr>
            <w:tcW w:w="180" w:type="dxa"/>
            <w:vAlign w:val="bottom"/>
            <w:shd w:val="clear" w:color="auto" w:fill="B2B2B2"/>
          </w:tcPr>
          <w:p>
            <w:pPr>
              <w:spacing w:after="0"/>
              <w:rPr>
                <w:sz w:val="18"/>
                <w:szCs w:val="18"/>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B2B2B2"/>
          </w:tcPr>
          <w:p>
            <w:pPr>
              <w:spacing w:after="0"/>
              <w:rPr>
                <w:sz w:val="18"/>
                <w:szCs w:val="18"/>
                <w:color w:val="auto"/>
              </w:rPr>
            </w:pPr>
          </w:p>
        </w:tc>
        <w:tc>
          <w:tcPr>
            <w:tcW w:w="1160" w:type="dxa"/>
            <w:vAlign w:val="bottom"/>
            <w:shd w:val="clear" w:color="auto" w:fill="B2B2B2"/>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22,219</w:t>
            </w:r>
          </w:p>
        </w:tc>
      </w:tr>
      <w:tr>
        <w:trPr>
          <w:trHeight w:val="215"/>
        </w:trPr>
        <w:tc>
          <w:tcPr>
            <w:tcW w:w="3960" w:type="dxa"/>
            <w:vAlign w:val="bottom"/>
          </w:tcPr>
          <w:p>
            <w:pPr>
              <w:ind w:left="180"/>
              <w:spacing w:after="0"/>
              <w:rPr>
                <w:sz w:val="20"/>
                <w:szCs w:val="20"/>
                <w:color w:val="auto"/>
              </w:rPr>
            </w:pPr>
            <w:r>
              <w:rPr>
                <w:rFonts w:ascii="Arial" w:cs="Arial" w:eastAsia="Arial" w:hAnsi="Arial"/>
                <w:sz w:val="18"/>
                <w:szCs w:val="18"/>
                <w:color w:val="auto"/>
              </w:rPr>
              <w:t>Faith-based:</w:t>
            </w:r>
          </w:p>
        </w:tc>
        <w:tc>
          <w:tcPr>
            <w:tcW w:w="2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3960" w:type="dxa"/>
            <w:vAlign w:val="bottom"/>
            <w:shd w:val="clear" w:color="auto" w:fill="B2B2B2"/>
          </w:tcPr>
          <w:p>
            <w:pPr>
              <w:ind w:left="360"/>
              <w:spacing w:after="0"/>
              <w:rPr>
                <w:sz w:val="20"/>
                <w:szCs w:val="20"/>
                <w:color w:val="auto"/>
              </w:rPr>
            </w:pPr>
            <w:r>
              <w:rPr>
                <w:rFonts w:ascii="Arial" w:cs="Arial" w:eastAsia="Arial" w:hAnsi="Arial"/>
                <w:sz w:val="18"/>
                <w:szCs w:val="18"/>
                <w:color w:val="auto"/>
              </w:rPr>
              <w:t>Mortgage</w:t>
            </w:r>
          </w:p>
        </w:tc>
        <w:tc>
          <w:tcPr>
            <w:tcW w:w="2140" w:type="dxa"/>
            <w:vAlign w:val="bottom"/>
            <w:shd w:val="clear" w:color="auto" w:fill="B2B2B2"/>
          </w:tcPr>
          <w:p>
            <w:pPr>
              <w:spacing w:after="0"/>
              <w:rPr>
                <w:sz w:val="18"/>
                <w:szCs w:val="18"/>
                <w:color w:val="auto"/>
              </w:rPr>
            </w:pPr>
          </w:p>
        </w:tc>
        <w:tc>
          <w:tcPr>
            <w:tcW w:w="1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301,623</w:t>
            </w:r>
          </w:p>
        </w:tc>
        <w:tc>
          <w:tcPr>
            <w:tcW w:w="180" w:type="dxa"/>
            <w:vAlign w:val="bottom"/>
            <w:shd w:val="clear" w:color="auto" w:fill="B2B2B2"/>
          </w:tcPr>
          <w:p>
            <w:pPr>
              <w:spacing w:after="0"/>
              <w:rPr>
                <w:sz w:val="18"/>
                <w:szCs w:val="18"/>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1,272</w:t>
            </w:r>
          </w:p>
        </w:tc>
        <w:tc>
          <w:tcPr>
            <w:tcW w:w="160" w:type="dxa"/>
            <w:vAlign w:val="bottom"/>
            <w:shd w:val="clear" w:color="auto" w:fill="B2B2B2"/>
          </w:tcPr>
          <w:p>
            <w:pPr>
              <w:spacing w:after="0"/>
              <w:rPr>
                <w:sz w:val="18"/>
                <w:szCs w:val="18"/>
                <w:color w:val="auto"/>
              </w:rPr>
            </w:pPr>
          </w:p>
        </w:tc>
        <w:tc>
          <w:tcPr>
            <w:tcW w:w="1160" w:type="dxa"/>
            <w:vAlign w:val="bottom"/>
            <w:shd w:val="clear" w:color="auto" w:fill="B2B2B2"/>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302,895</w:t>
            </w:r>
          </w:p>
        </w:tc>
      </w:tr>
      <w:tr>
        <w:trPr>
          <w:trHeight w:val="215"/>
        </w:trPr>
        <w:tc>
          <w:tcPr>
            <w:tcW w:w="3960" w:type="dxa"/>
            <w:vAlign w:val="bottom"/>
          </w:tcPr>
          <w:p>
            <w:pPr>
              <w:ind w:left="360"/>
              <w:spacing w:after="0"/>
              <w:rPr>
                <w:sz w:val="20"/>
                <w:szCs w:val="20"/>
                <w:color w:val="auto"/>
              </w:rPr>
            </w:pPr>
            <w:r>
              <w:rPr>
                <w:rFonts w:ascii="Arial" w:cs="Arial" w:eastAsia="Arial" w:hAnsi="Arial"/>
                <w:sz w:val="18"/>
                <w:szCs w:val="18"/>
                <w:color w:val="auto"/>
              </w:rPr>
              <w:t>Construction</w:t>
            </w:r>
          </w:p>
        </w:tc>
        <w:tc>
          <w:tcPr>
            <w:tcW w:w="2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28,293</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28,293</w:t>
            </w:r>
          </w:p>
        </w:tc>
      </w:tr>
      <w:tr>
        <w:trPr>
          <w:trHeight w:val="215"/>
        </w:trPr>
        <w:tc>
          <w:tcPr>
            <w:tcW w:w="396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Other</w:t>
            </w:r>
          </w:p>
        </w:tc>
        <w:tc>
          <w:tcPr>
            <w:tcW w:w="2140" w:type="dxa"/>
            <w:vAlign w:val="bottom"/>
            <w:tcBorders>
              <w:bottom w:val="single" w:sz="8" w:color="auto"/>
            </w:tcBorders>
            <w:shd w:val="clear" w:color="auto" w:fill="B2B2B2"/>
          </w:tcPr>
          <w:p>
            <w:pPr>
              <w:spacing w:after="0"/>
              <w:rPr>
                <w:sz w:val="18"/>
                <w:szCs w:val="18"/>
                <w:color w:val="auto"/>
              </w:rPr>
            </w:pPr>
          </w:p>
        </w:tc>
        <w:tc>
          <w:tcPr>
            <w:tcW w:w="12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auto"/>
            </w:tcBorders>
            <w:shd w:val="clear" w:color="auto" w:fill="B2B2B2"/>
          </w:tcPr>
          <w:p>
            <w:pPr>
              <w:spacing w:after="0"/>
              <w:rPr>
                <w:sz w:val="18"/>
                <w:szCs w:val="18"/>
                <w:color w:val="auto"/>
              </w:rPr>
            </w:pPr>
          </w:p>
        </w:tc>
        <w:tc>
          <w:tcPr>
            <w:tcW w:w="11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B2B2B2"/>
          </w:tcPr>
          <w:p>
            <w:pPr>
              <w:spacing w:after="0"/>
              <w:rPr>
                <w:sz w:val="18"/>
                <w:szCs w:val="18"/>
                <w:color w:val="auto"/>
              </w:rPr>
            </w:pPr>
          </w:p>
        </w:tc>
        <w:tc>
          <w:tcPr>
            <w:tcW w:w="1160" w:type="dxa"/>
            <w:vAlign w:val="bottom"/>
            <w:tcBorders>
              <w:bottom w:val="single" w:sz="8" w:color="auto"/>
            </w:tcBorders>
            <w:shd w:val="clear" w:color="auto" w:fill="B2B2B2"/>
          </w:tcPr>
          <w:p>
            <w:pPr>
              <w:ind w:left="9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B2B2B2"/>
          </w:tcPr>
          <w:p>
            <w:pPr>
              <w:spacing w:after="0"/>
              <w:rPr>
                <w:sz w:val="18"/>
                <w:szCs w:val="18"/>
                <w:color w:val="auto"/>
              </w:rPr>
            </w:pPr>
          </w:p>
        </w:tc>
        <w:tc>
          <w:tcPr>
            <w:tcW w:w="11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948,096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15,630</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963,726</w:t>
            </w:r>
          </w:p>
        </w:tc>
      </w:tr>
      <w:tr>
        <w:trPr>
          <w:trHeight w:val="209"/>
        </w:trPr>
        <w:tc>
          <w:tcPr>
            <w:tcW w:w="3960" w:type="dxa"/>
            <w:vAlign w:val="bottom"/>
            <w:shd w:val="clear" w:color="auto" w:fill="B2B2B2"/>
          </w:tcPr>
          <w:p>
            <w:pPr>
              <w:spacing w:after="0"/>
              <w:rPr>
                <w:sz w:val="20"/>
                <w:szCs w:val="20"/>
                <w:color w:val="auto"/>
              </w:rPr>
            </w:pPr>
            <w:r>
              <w:rPr>
                <w:rFonts w:ascii="Arial" w:cs="Arial" w:eastAsia="Arial" w:hAnsi="Arial"/>
                <w:sz w:val="18"/>
                <w:szCs w:val="18"/>
                <w:i w:val="1"/>
                <w:iCs w:val="1"/>
                <w:color w:val="auto"/>
              </w:rPr>
              <w:t>December 31, 2019</w:t>
            </w:r>
          </w:p>
        </w:tc>
        <w:tc>
          <w:tcPr>
            <w:tcW w:w="2140" w:type="dxa"/>
            <w:vAlign w:val="bottom"/>
            <w:shd w:val="clear" w:color="auto" w:fill="B2B2B2"/>
          </w:tcPr>
          <w:p>
            <w:pPr>
              <w:spacing w:after="0"/>
              <w:rPr>
                <w:sz w:val="18"/>
                <w:szCs w:val="18"/>
                <w:color w:val="auto"/>
              </w:rPr>
            </w:pPr>
          </w:p>
        </w:tc>
        <w:tc>
          <w:tcPr>
            <w:tcW w:w="12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r>
      <w:tr>
        <w:trPr>
          <w:trHeight w:val="215"/>
        </w:trPr>
        <w:tc>
          <w:tcPr>
            <w:tcW w:w="396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321,554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2,303</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323,857</w:t>
            </w:r>
          </w:p>
        </w:tc>
      </w:tr>
      <w:tr>
        <w:trPr>
          <w:trHeight w:val="215"/>
        </w:trPr>
        <w:tc>
          <w:tcPr>
            <w:tcW w:w="3960" w:type="dxa"/>
            <w:vAlign w:val="bottom"/>
            <w:shd w:val="clear" w:color="auto" w:fill="B2B2B2"/>
          </w:tcPr>
          <w:p>
            <w:pPr>
              <w:spacing w:after="0"/>
              <w:rPr>
                <w:sz w:val="20"/>
                <w:szCs w:val="20"/>
                <w:color w:val="auto"/>
              </w:rPr>
            </w:pPr>
            <w:r>
              <w:rPr>
                <w:rFonts w:ascii="Arial" w:cs="Arial" w:eastAsia="Arial" w:hAnsi="Arial"/>
                <w:sz w:val="18"/>
                <w:szCs w:val="18"/>
                <w:color w:val="auto"/>
              </w:rPr>
              <w:t>Real estate:</w:t>
            </w:r>
          </w:p>
        </w:tc>
        <w:tc>
          <w:tcPr>
            <w:tcW w:w="2140" w:type="dxa"/>
            <w:vAlign w:val="bottom"/>
            <w:shd w:val="clear" w:color="auto" w:fill="B2B2B2"/>
          </w:tcPr>
          <w:p>
            <w:pPr>
              <w:spacing w:after="0"/>
              <w:rPr>
                <w:sz w:val="18"/>
                <w:szCs w:val="18"/>
                <w:color w:val="auto"/>
              </w:rPr>
            </w:pPr>
          </w:p>
        </w:tc>
        <w:tc>
          <w:tcPr>
            <w:tcW w:w="12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r>
      <w:tr>
        <w:trPr>
          <w:trHeight w:val="215"/>
        </w:trPr>
        <w:tc>
          <w:tcPr>
            <w:tcW w:w="39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3960" w:type="dxa"/>
            <w:vAlign w:val="bottom"/>
            <w:shd w:val="clear" w:color="auto" w:fill="B2B2B2"/>
          </w:tcPr>
          <w:p>
            <w:pPr>
              <w:ind w:left="360"/>
              <w:spacing w:after="0"/>
              <w:rPr>
                <w:sz w:val="20"/>
                <w:szCs w:val="20"/>
                <w:color w:val="auto"/>
              </w:rPr>
            </w:pPr>
            <w:r>
              <w:rPr>
                <w:rFonts w:ascii="Arial" w:cs="Arial" w:eastAsia="Arial" w:hAnsi="Arial"/>
                <w:sz w:val="18"/>
                <w:szCs w:val="18"/>
                <w:color w:val="auto"/>
              </w:rPr>
              <w:t>Mortgage</w:t>
            </w:r>
          </w:p>
        </w:tc>
        <w:tc>
          <w:tcPr>
            <w:tcW w:w="2140" w:type="dxa"/>
            <w:vAlign w:val="bottom"/>
            <w:shd w:val="clear" w:color="auto" w:fill="B2B2B2"/>
          </w:tcPr>
          <w:p>
            <w:pPr>
              <w:spacing w:after="0"/>
              <w:rPr>
                <w:sz w:val="18"/>
                <w:szCs w:val="18"/>
                <w:color w:val="auto"/>
              </w:rPr>
            </w:pPr>
          </w:p>
        </w:tc>
        <w:tc>
          <w:tcPr>
            <w:tcW w:w="1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100,346</w:t>
            </w:r>
          </w:p>
        </w:tc>
        <w:tc>
          <w:tcPr>
            <w:tcW w:w="180" w:type="dxa"/>
            <w:vAlign w:val="bottom"/>
            <w:shd w:val="clear" w:color="auto" w:fill="B2B2B2"/>
          </w:tcPr>
          <w:p>
            <w:pPr>
              <w:spacing w:after="0"/>
              <w:rPr>
                <w:sz w:val="18"/>
                <w:szCs w:val="18"/>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1,308</w:t>
            </w:r>
          </w:p>
        </w:tc>
        <w:tc>
          <w:tcPr>
            <w:tcW w:w="160" w:type="dxa"/>
            <w:vAlign w:val="bottom"/>
            <w:shd w:val="clear" w:color="auto" w:fill="B2B2B2"/>
          </w:tcPr>
          <w:p>
            <w:pPr>
              <w:spacing w:after="0"/>
              <w:rPr>
                <w:sz w:val="18"/>
                <w:szCs w:val="18"/>
                <w:color w:val="auto"/>
              </w:rPr>
            </w:pPr>
          </w:p>
        </w:tc>
        <w:tc>
          <w:tcPr>
            <w:tcW w:w="1160" w:type="dxa"/>
            <w:vAlign w:val="bottom"/>
            <w:shd w:val="clear" w:color="auto" w:fill="B2B2B2"/>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101,654</w:t>
            </w:r>
          </w:p>
        </w:tc>
      </w:tr>
      <w:tr>
        <w:trPr>
          <w:trHeight w:val="215"/>
        </w:trPr>
        <w:tc>
          <w:tcPr>
            <w:tcW w:w="3960" w:type="dxa"/>
            <w:vAlign w:val="bottom"/>
          </w:tcPr>
          <w:p>
            <w:pPr>
              <w:ind w:left="360"/>
              <w:spacing w:after="0"/>
              <w:rPr>
                <w:sz w:val="20"/>
                <w:szCs w:val="20"/>
                <w:color w:val="auto"/>
              </w:rPr>
            </w:pPr>
            <w:r>
              <w:rPr>
                <w:rFonts w:ascii="Arial" w:cs="Arial" w:eastAsia="Arial" w:hAnsi="Arial"/>
                <w:sz w:val="18"/>
                <w:szCs w:val="18"/>
                <w:color w:val="auto"/>
              </w:rPr>
              <w:t>Construction</w:t>
            </w:r>
          </w:p>
        </w:tc>
        <w:tc>
          <w:tcPr>
            <w:tcW w:w="2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25,299</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25,299</w:t>
            </w:r>
          </w:p>
        </w:tc>
      </w:tr>
      <w:tr>
        <w:trPr>
          <w:trHeight w:val="215"/>
        </w:trPr>
        <w:tc>
          <w:tcPr>
            <w:tcW w:w="39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Faith-based:</w:t>
            </w:r>
          </w:p>
        </w:tc>
        <w:tc>
          <w:tcPr>
            <w:tcW w:w="2140" w:type="dxa"/>
            <w:vAlign w:val="bottom"/>
            <w:shd w:val="clear" w:color="auto" w:fill="B2B2B2"/>
          </w:tcPr>
          <w:p>
            <w:pPr>
              <w:spacing w:after="0"/>
              <w:rPr>
                <w:sz w:val="18"/>
                <w:szCs w:val="18"/>
                <w:color w:val="auto"/>
              </w:rPr>
            </w:pPr>
          </w:p>
        </w:tc>
        <w:tc>
          <w:tcPr>
            <w:tcW w:w="12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r>
      <w:tr>
        <w:trPr>
          <w:trHeight w:val="215"/>
        </w:trPr>
        <w:tc>
          <w:tcPr>
            <w:tcW w:w="3960" w:type="dxa"/>
            <w:vAlign w:val="bottom"/>
          </w:tcPr>
          <w:p>
            <w:pPr>
              <w:ind w:left="360"/>
              <w:spacing w:after="0"/>
              <w:rPr>
                <w:sz w:val="20"/>
                <w:szCs w:val="20"/>
                <w:color w:val="auto"/>
              </w:rPr>
            </w:pPr>
            <w:r>
              <w:rPr>
                <w:rFonts w:ascii="Arial" w:cs="Arial" w:eastAsia="Arial" w:hAnsi="Arial"/>
                <w:sz w:val="18"/>
                <w:szCs w:val="18"/>
                <w:color w:val="auto"/>
              </w:rPr>
              <w:t>Mortgage</w:t>
            </w:r>
          </w:p>
        </w:tc>
        <w:tc>
          <w:tcPr>
            <w:tcW w:w="2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304,513</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1,313</w:t>
            </w:r>
          </w:p>
        </w:tc>
        <w:tc>
          <w:tcPr>
            <w:tcW w:w="16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305,826</w:t>
            </w:r>
          </w:p>
        </w:tc>
      </w:tr>
      <w:tr>
        <w:trPr>
          <w:trHeight w:val="215"/>
        </w:trPr>
        <w:tc>
          <w:tcPr>
            <w:tcW w:w="3960" w:type="dxa"/>
            <w:vAlign w:val="bottom"/>
            <w:shd w:val="clear" w:color="auto" w:fill="B2B2B2"/>
          </w:tcPr>
          <w:p>
            <w:pPr>
              <w:ind w:left="360"/>
              <w:spacing w:after="0"/>
              <w:rPr>
                <w:sz w:val="20"/>
                <w:szCs w:val="20"/>
                <w:color w:val="auto"/>
              </w:rPr>
            </w:pPr>
            <w:r>
              <w:rPr>
                <w:rFonts w:ascii="Arial" w:cs="Arial" w:eastAsia="Arial" w:hAnsi="Arial"/>
                <w:sz w:val="18"/>
                <w:szCs w:val="18"/>
                <w:color w:val="auto"/>
              </w:rPr>
              <w:t>Construction</w:t>
            </w:r>
          </w:p>
        </w:tc>
        <w:tc>
          <w:tcPr>
            <w:tcW w:w="2140" w:type="dxa"/>
            <w:vAlign w:val="bottom"/>
            <w:shd w:val="clear" w:color="auto" w:fill="B2B2B2"/>
          </w:tcPr>
          <w:p>
            <w:pPr>
              <w:spacing w:after="0"/>
              <w:rPr>
                <w:sz w:val="18"/>
                <w:szCs w:val="18"/>
                <w:color w:val="auto"/>
              </w:rPr>
            </w:pPr>
          </w:p>
        </w:tc>
        <w:tc>
          <w:tcPr>
            <w:tcW w:w="1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15,945</w:t>
            </w:r>
          </w:p>
        </w:tc>
        <w:tc>
          <w:tcPr>
            <w:tcW w:w="180" w:type="dxa"/>
            <w:vAlign w:val="bottom"/>
            <w:shd w:val="clear" w:color="auto" w:fill="B2B2B2"/>
          </w:tcPr>
          <w:p>
            <w:pPr>
              <w:spacing w:after="0"/>
              <w:rPr>
                <w:sz w:val="18"/>
                <w:szCs w:val="18"/>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B2B2B2"/>
          </w:tcPr>
          <w:p>
            <w:pPr>
              <w:spacing w:after="0"/>
              <w:rPr>
                <w:sz w:val="18"/>
                <w:szCs w:val="18"/>
                <w:color w:val="auto"/>
              </w:rPr>
            </w:pPr>
          </w:p>
        </w:tc>
        <w:tc>
          <w:tcPr>
            <w:tcW w:w="1160" w:type="dxa"/>
            <w:vAlign w:val="bottom"/>
            <w:shd w:val="clear" w:color="auto" w:fill="B2B2B2"/>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15,945</w:t>
            </w:r>
          </w:p>
        </w:tc>
      </w:tr>
      <w:tr>
        <w:trPr>
          <w:trHeight w:val="215"/>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96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767,714</w:t>
            </w:r>
          </w:p>
        </w:tc>
        <w:tc>
          <w:tcPr>
            <w:tcW w:w="1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4,924</w:t>
            </w:r>
          </w:p>
        </w:tc>
        <w:tc>
          <w:tcPr>
            <w:tcW w:w="160" w:type="dxa"/>
            <w:vAlign w:val="bottom"/>
            <w:tcBorders>
              <w:bottom w:val="single" w:sz="8" w:color="auto"/>
            </w:tcBorders>
            <w:shd w:val="clear" w:color="auto" w:fill="B2B2B2"/>
          </w:tcPr>
          <w:p>
            <w:pPr>
              <w:ind w:left="6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B2B2B2"/>
          </w:tcPr>
          <w:p>
            <w:pPr>
              <w:ind w:left="9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772,638</w:t>
            </w:r>
          </w:p>
        </w:tc>
      </w:tr>
    </w:tbl>
    <w:p>
      <w:pPr>
        <w:ind w:left="100" w:hanging="92"/>
        <w:spacing w:after="0" w:line="184" w:lineRule="auto"/>
        <w:tabs>
          <w:tab w:leader="none" w:pos="100" w:val="left"/>
        </w:tabs>
        <w:numPr>
          <w:ilvl w:val="0"/>
          <w:numId w:val="6"/>
        </w:numPr>
        <w:rPr>
          <w:rFonts w:ascii="Arial" w:cs="Arial" w:eastAsia="Arial" w:hAnsi="Arial"/>
          <w:sz w:val="23"/>
          <w:szCs w:val="23"/>
          <w:color w:val="auto"/>
          <w:vertAlign w:val="superscript"/>
        </w:rPr>
      </w:pPr>
      <w:r>
        <w:rPr>
          <w:rFonts w:ascii="Arial" w:cs="Arial" w:eastAsia="Arial" w:hAnsi="Arial"/>
          <w:sz w:val="14"/>
          <w:szCs w:val="14"/>
          <w:color w:val="auto"/>
        </w:rPr>
        <w:t>Loans subject to normal monitoring involve borrowers of acceptable-to-strong credit quality and risk, who have the apparent ability to satisfy their loan obligations.</w:t>
      </w:r>
    </w:p>
    <w:p>
      <w:pPr>
        <w:spacing w:after="0" w:line="19"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4"/>
          <w:szCs w:val="14"/>
          <w:color w:val="auto"/>
        </w:rPr>
        <w:t xml:space="preserve"> Loans subject to special monitoring possess some credit deficiency or potential weakness which requires a high level of management attention.</w:t>
      </w:r>
    </w:p>
    <w:p>
      <w:pPr>
        <w:sectPr>
          <w:pgSz w:w="11900" w:h="16838" w:orient="portrait"/>
          <w:cols w:equalWidth="0" w:num="1">
            <w:col w:w="11240"/>
          </w:cols>
          <w:pgMar w:left="320" w:top="327" w:right="339" w:bottom="1055" w:gutter="0" w:footer="0" w:header="0"/>
        </w:sectPr>
      </w:pP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955"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7" w:right="339" w:bottom="1055" w:gutter="0" w:footer="0" w:header="0"/>
          <w:type w:val="continuous"/>
        </w:sectPr>
      </w:pPr>
    </w:p>
    <w:bookmarkStart w:id="12" w:name="page13"/>
    <w:bookmarkEnd w:id="12"/>
    <w:p>
      <w:pPr>
        <w:spacing w:after="0" w:line="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loan is considered impaired when it is probable that a creditor will be unable to collect all amounts due, both principal and interest, according to the contractual terms of the loan agreement. When measuring impairment, the expected future cash flows of an impaired loan are discounted at the loan's effective interest rate. Alternatively, impairment could be measured by reference to an observable market price, if one exists, or the fair value of the collateral for a collateral-dependent loan. Regardless of the historical measurement method used, the Company measures impairment based on the fair value of the collateral when the Company determines foreclosure is probable. Additionally, impairment of a restructured loan is measured by discounting the total expected future cash flows at the loan's effective rate of interest as stated in the original loan agreement. To measure impairment at June 30, 2020, the optional use of the practical expedient to use the fair value of collateral was utilized. The Company uses its nonaccrual methods as discussed in greater detail in the Company’s 2019 Annual Report on Form 10-K.</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Impaired loans consist primarily of nonaccrual loans, loans greater than 90 days past due and still accruing interest and troubled debt restructurings, both performing and nonperforming. Troubled debt restructuring involves the granting of a concession to a borrower experiencing financial difficulty resulting in the modification of terms of the loan, such as changes in payment schedule or interest rate. Management measures impairment in accordance with FASB ASC 310, Allowance for Credit Losses. The fair value of the collateral is based upon an observable market price or current appraised value and therefore, the Company classifies these assets as nonrecurring Level 3. There were no non-accrual loans or loans delinquent 90 days or more and still accruing interest at June 30, 2020 or December 31, 2019. There were two loans classified as troubled debt restructurings totaling $9,682,000 and one loan that was considered impaired totaling $2,500,000 at June 30, 2020 and none at December 31, 2019. There were no foreclosed loans recorded as other real estate owned (included in other assets) as of June 30, 2020 or December 31, 2019.</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table presents the recorded investment and unpaid principal balance for impaired loans at June 30, 2020. There were no impaired loans at December 31, 2019 or June 30, 2019.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Recorded</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Unpaid Principal</w:t>
            </w:r>
          </w:p>
        </w:tc>
        <w:tc>
          <w:tcPr>
            <w:tcW w:w="1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Related Allowance for</w:t>
            </w:r>
          </w:p>
        </w:tc>
      </w:tr>
      <w:tr>
        <w:trPr>
          <w:trHeight w:val="241"/>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Investment</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Balance</w:t>
            </w: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Loan Losses</w:t>
            </w:r>
          </w:p>
        </w:tc>
      </w:tr>
      <w:tr>
        <w:trPr>
          <w:trHeight w:val="215"/>
        </w:trPr>
        <w:tc>
          <w:tcPr>
            <w:tcW w:w="4080" w:type="dxa"/>
            <w:vAlign w:val="bottom"/>
            <w:shd w:val="clear" w:color="auto" w:fill="B2B2B2"/>
          </w:tcPr>
          <w:p>
            <w:pPr>
              <w:spacing w:after="0"/>
              <w:rPr>
                <w:sz w:val="20"/>
                <w:szCs w:val="20"/>
                <w:color w:val="auto"/>
              </w:rPr>
            </w:pPr>
            <w:r>
              <w:rPr>
                <w:rFonts w:ascii="Arial" w:cs="Arial" w:eastAsia="Arial" w:hAnsi="Arial"/>
                <w:sz w:val="18"/>
                <w:szCs w:val="18"/>
                <w:color w:val="auto"/>
              </w:rPr>
              <w:t>Commercial and industrial:</w:t>
            </w:r>
          </w:p>
        </w:tc>
        <w:tc>
          <w:tcPr>
            <w:tcW w:w="23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11,135</w:t>
            </w:r>
          </w:p>
        </w:tc>
        <w:tc>
          <w:tcPr>
            <w:tcW w:w="32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11,135</w:t>
            </w:r>
          </w:p>
        </w:tc>
        <w:tc>
          <w:tcPr>
            <w:tcW w:w="34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15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500</w:t>
            </w:r>
          </w:p>
        </w:tc>
      </w:tr>
      <w:tr>
        <w:trPr>
          <w:trHeight w:val="215"/>
        </w:trPr>
        <w:tc>
          <w:tcPr>
            <w:tcW w:w="4080" w:type="dxa"/>
            <w:vAlign w:val="bottom"/>
          </w:tcPr>
          <w:p>
            <w:pPr>
              <w:spacing w:after="0"/>
              <w:rPr>
                <w:sz w:val="20"/>
                <w:szCs w:val="20"/>
                <w:color w:val="auto"/>
              </w:rPr>
            </w:pPr>
            <w:r>
              <w:rPr>
                <w:rFonts w:ascii="Arial" w:cs="Arial" w:eastAsia="Arial" w:hAnsi="Arial"/>
                <w:sz w:val="18"/>
                <w:szCs w:val="18"/>
                <w:color w:val="auto"/>
              </w:rPr>
              <w:t>Real estate:</w:t>
            </w:r>
          </w:p>
        </w:tc>
        <w:tc>
          <w:tcPr>
            <w:tcW w:w="2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5"/>
        </w:trPr>
        <w:tc>
          <w:tcPr>
            <w:tcW w:w="4080" w:type="dxa"/>
            <w:vAlign w:val="bottom"/>
            <w:shd w:val="clear" w:color="auto" w:fill="B2B2B2"/>
          </w:tcPr>
          <w:p>
            <w:pPr>
              <w:ind w:left="180"/>
              <w:spacing w:after="0"/>
              <w:rPr>
                <w:sz w:val="20"/>
                <w:szCs w:val="20"/>
                <w:color w:val="auto"/>
              </w:rPr>
            </w:pPr>
            <w:r>
              <w:rPr>
                <w:rFonts w:ascii="Arial" w:cs="Arial" w:eastAsia="Arial" w:hAnsi="Arial"/>
                <w:sz w:val="18"/>
                <w:szCs w:val="18"/>
                <w:color w:val="auto"/>
              </w:rPr>
              <w:t>Faith-based:</w:t>
            </w:r>
          </w:p>
        </w:tc>
        <w:tc>
          <w:tcPr>
            <w:tcW w:w="2320" w:type="dxa"/>
            <w:vAlign w:val="bottom"/>
            <w:shd w:val="clear" w:color="auto" w:fill="B2B2B2"/>
          </w:tcPr>
          <w:p>
            <w:pPr>
              <w:spacing w:after="0"/>
              <w:rPr>
                <w:sz w:val="18"/>
                <w:szCs w:val="18"/>
                <w:color w:val="auto"/>
              </w:rPr>
            </w:pPr>
          </w:p>
        </w:tc>
        <w:tc>
          <w:tcPr>
            <w:tcW w:w="134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2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580" w:type="dxa"/>
            <w:vAlign w:val="bottom"/>
            <w:shd w:val="clear" w:color="auto" w:fill="B2B2B2"/>
          </w:tcPr>
          <w:p>
            <w:pPr>
              <w:spacing w:after="0"/>
              <w:rPr>
                <w:sz w:val="18"/>
                <w:szCs w:val="18"/>
                <w:color w:val="auto"/>
              </w:rPr>
            </w:pPr>
          </w:p>
        </w:tc>
      </w:tr>
      <w:tr>
        <w:trPr>
          <w:trHeight w:val="215"/>
        </w:trPr>
        <w:tc>
          <w:tcPr>
            <w:tcW w:w="40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Mortgage</w:t>
            </w:r>
          </w:p>
        </w:tc>
        <w:tc>
          <w:tcPr>
            <w:tcW w:w="2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Total impaired loans</w:t>
            </w:r>
          </w:p>
        </w:tc>
        <w:tc>
          <w:tcPr>
            <w:tcW w:w="232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12,182</w:t>
            </w:r>
          </w:p>
        </w:tc>
        <w:tc>
          <w:tcPr>
            <w:tcW w:w="320" w:type="dxa"/>
            <w:vAlign w:val="bottom"/>
            <w:tcBorders>
              <w:bottom w:val="single" w:sz="8" w:color="auto"/>
            </w:tcBorders>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12,182</w:t>
            </w:r>
          </w:p>
        </w:tc>
        <w:tc>
          <w:tcPr>
            <w:tcW w:w="340" w:type="dxa"/>
            <w:vAlign w:val="bottom"/>
            <w:tcBorders>
              <w:bottom w:val="single" w:sz="8" w:color="auto"/>
            </w:tcBorders>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500</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in the allowance for loan losses from December 31, 2019 to June 30, 2020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Charge-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Offs</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5"/>
              </w:rPr>
              <w:t>Recoveries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Provision</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5"/>
        </w:trPr>
        <w:tc>
          <w:tcPr>
            <w:tcW w:w="3220" w:type="dxa"/>
            <w:vAlign w:val="bottom"/>
            <w:shd w:val="clear" w:color="auto" w:fill="B2B2B2"/>
          </w:tcPr>
          <w:p>
            <w:pPr>
              <w:spacing w:after="0"/>
              <w:rPr>
                <w:sz w:val="20"/>
                <w:szCs w:val="20"/>
                <w:color w:val="auto"/>
              </w:rPr>
            </w:pPr>
            <w:r>
              <w:rPr>
                <w:rFonts w:ascii="Arial" w:cs="Arial" w:eastAsia="Arial" w:hAnsi="Arial"/>
                <w:sz w:val="18"/>
                <w:szCs w:val="18"/>
                <w:color w:val="auto"/>
              </w:rPr>
              <w:t>Commercial and industrial</w:t>
            </w:r>
          </w:p>
        </w:tc>
        <w:tc>
          <w:tcPr>
            <w:tcW w:w="14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4,874</w:t>
            </w:r>
          </w:p>
        </w:tc>
        <w:tc>
          <w:tcPr>
            <w:tcW w:w="1140" w:type="dxa"/>
            <w:vAlign w:val="bottom"/>
            <w:shd w:val="clear" w:color="auto" w:fill="B2B2B2"/>
          </w:tcPr>
          <w:p>
            <w:pPr>
              <w:jc w:val="right"/>
              <w:ind w:right="890"/>
              <w:spacing w:after="0"/>
              <w:rPr>
                <w:sz w:val="20"/>
                <w:szCs w:val="20"/>
                <w:color w:val="auto"/>
              </w:rPr>
            </w:pPr>
            <w:r>
              <w:rPr>
                <w:rFonts w:ascii="Arial" w:cs="Arial" w:eastAsia="Arial" w:hAnsi="Arial"/>
                <w:sz w:val="18"/>
                <w:szCs w:val="18"/>
                <w:color w:val="auto"/>
              </w:rPr>
              <w:t>$</w:t>
            </w:r>
          </w:p>
        </w:tc>
        <w:tc>
          <w:tcPr>
            <w:tcW w:w="320" w:type="dxa"/>
            <w:vAlign w:val="bottom"/>
            <w:shd w:val="clear" w:color="auto" w:fill="B2B2B2"/>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686</w:t>
            </w:r>
          </w:p>
        </w:tc>
        <w:tc>
          <w:tcPr>
            <w:tcW w:w="2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5,570</w:t>
            </w:r>
          </w:p>
        </w:tc>
      </w:tr>
      <w:tr>
        <w:trPr>
          <w:trHeight w:val="215"/>
        </w:trPr>
        <w:tc>
          <w:tcPr>
            <w:tcW w:w="3220" w:type="dxa"/>
            <w:vAlign w:val="bottom"/>
          </w:tcPr>
          <w:p>
            <w:pPr>
              <w:spacing w:after="0"/>
              <w:rPr>
                <w:sz w:val="20"/>
                <w:szCs w:val="20"/>
                <w:color w:val="auto"/>
              </w:rPr>
            </w:pPr>
            <w:r>
              <w:rPr>
                <w:rFonts w:ascii="Arial" w:cs="Arial" w:eastAsia="Arial" w:hAnsi="Arial"/>
                <w:sz w:val="18"/>
                <w:szCs w:val="18"/>
                <w:color w:val="auto"/>
              </w:rPr>
              <w:t>Real estate:</w:t>
            </w: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32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Commercial:</w:t>
            </w:r>
          </w:p>
        </w:tc>
        <w:tc>
          <w:tcPr>
            <w:tcW w:w="1420" w:type="dxa"/>
            <w:vAlign w:val="bottom"/>
            <w:shd w:val="clear" w:color="auto" w:fill="B2B2B2"/>
          </w:tcPr>
          <w:p>
            <w:pPr>
              <w:spacing w:after="0"/>
              <w:rPr>
                <w:sz w:val="18"/>
                <w:szCs w:val="18"/>
                <w:color w:val="auto"/>
              </w:rPr>
            </w:pPr>
          </w:p>
        </w:tc>
        <w:tc>
          <w:tcPr>
            <w:tcW w:w="130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r>
      <w:tr>
        <w:trPr>
          <w:trHeight w:val="215"/>
        </w:trPr>
        <w:tc>
          <w:tcPr>
            <w:tcW w:w="3220" w:type="dxa"/>
            <w:vAlign w:val="bottom"/>
          </w:tcPr>
          <w:p>
            <w:pPr>
              <w:ind w:left="360"/>
              <w:spacing w:after="0"/>
              <w:rPr>
                <w:sz w:val="20"/>
                <w:szCs w:val="20"/>
                <w:color w:val="auto"/>
              </w:rPr>
            </w:pPr>
            <w:r>
              <w:rPr>
                <w:rFonts w:ascii="Arial" w:cs="Arial" w:eastAsia="Arial" w:hAnsi="Arial"/>
                <w:sz w:val="18"/>
                <w:szCs w:val="18"/>
                <w:color w:val="auto"/>
              </w:rPr>
              <w:t>Mortgage</w:t>
            </w:r>
          </w:p>
        </w:tc>
        <w:tc>
          <w:tcPr>
            <w:tcW w:w="1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1,528</w:t>
            </w:r>
          </w:p>
        </w:tc>
        <w:tc>
          <w:tcPr>
            <w:tcW w:w="114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1,468</w:t>
            </w:r>
          </w:p>
        </w:tc>
      </w:tr>
      <w:tr>
        <w:trPr>
          <w:trHeight w:val="215"/>
        </w:trPr>
        <w:tc>
          <w:tcPr>
            <w:tcW w:w="3220" w:type="dxa"/>
            <w:vAlign w:val="bottom"/>
            <w:shd w:val="clear" w:color="auto" w:fill="B2B2B2"/>
          </w:tcPr>
          <w:p>
            <w:pPr>
              <w:ind w:left="360"/>
              <w:spacing w:after="0"/>
              <w:rPr>
                <w:sz w:val="20"/>
                <w:szCs w:val="20"/>
                <w:color w:val="auto"/>
              </w:rPr>
            </w:pPr>
            <w:r>
              <w:rPr>
                <w:rFonts w:ascii="Arial" w:cs="Arial" w:eastAsia="Arial" w:hAnsi="Arial"/>
                <w:sz w:val="18"/>
                <w:szCs w:val="18"/>
                <w:color w:val="auto"/>
              </w:rPr>
              <w:t>Construction</w:t>
            </w:r>
          </w:p>
        </w:tc>
        <w:tc>
          <w:tcPr>
            <w:tcW w:w="142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191</w:t>
            </w:r>
          </w:p>
        </w:tc>
        <w:tc>
          <w:tcPr>
            <w:tcW w:w="1140" w:type="dxa"/>
            <w:vAlign w:val="bottom"/>
            <w:shd w:val="clear" w:color="auto" w:fill="B2B2B2"/>
          </w:tcPr>
          <w:p>
            <w:pPr>
              <w:spacing w:after="0"/>
              <w:rPr>
                <w:sz w:val="18"/>
                <w:szCs w:val="18"/>
                <w:color w:val="auto"/>
              </w:rPr>
            </w:pPr>
          </w:p>
        </w:tc>
        <w:tc>
          <w:tcPr>
            <w:tcW w:w="320" w:type="dxa"/>
            <w:vAlign w:val="bottom"/>
            <w:shd w:val="clear" w:color="auto" w:fill="B2B2B2"/>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170</w:t>
            </w:r>
          </w:p>
        </w:tc>
      </w:tr>
      <w:tr>
        <w:trPr>
          <w:trHeight w:val="215"/>
        </w:trPr>
        <w:tc>
          <w:tcPr>
            <w:tcW w:w="3220" w:type="dxa"/>
            <w:vAlign w:val="bottom"/>
          </w:tcPr>
          <w:p>
            <w:pPr>
              <w:ind w:left="180"/>
              <w:spacing w:after="0"/>
              <w:rPr>
                <w:sz w:val="20"/>
                <w:szCs w:val="20"/>
                <w:color w:val="auto"/>
              </w:rPr>
            </w:pPr>
            <w:r>
              <w:rPr>
                <w:rFonts w:ascii="Arial" w:cs="Arial" w:eastAsia="Arial" w:hAnsi="Arial"/>
                <w:sz w:val="18"/>
                <w:szCs w:val="18"/>
                <w:color w:val="auto"/>
              </w:rPr>
              <w:t>Faith-based:</w:t>
            </w: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3220" w:type="dxa"/>
            <w:vAlign w:val="bottom"/>
            <w:shd w:val="clear" w:color="auto" w:fill="B2B2B2"/>
          </w:tcPr>
          <w:p>
            <w:pPr>
              <w:ind w:left="360"/>
              <w:spacing w:after="0"/>
              <w:rPr>
                <w:sz w:val="20"/>
                <w:szCs w:val="20"/>
                <w:color w:val="auto"/>
              </w:rPr>
            </w:pPr>
            <w:r>
              <w:rPr>
                <w:rFonts w:ascii="Arial" w:cs="Arial" w:eastAsia="Arial" w:hAnsi="Arial"/>
                <w:sz w:val="18"/>
                <w:szCs w:val="18"/>
                <w:color w:val="auto"/>
              </w:rPr>
              <w:t>Mortgage</w:t>
            </w:r>
          </w:p>
        </w:tc>
        <w:tc>
          <w:tcPr>
            <w:tcW w:w="142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3,842</w:t>
            </w:r>
          </w:p>
        </w:tc>
        <w:tc>
          <w:tcPr>
            <w:tcW w:w="1140" w:type="dxa"/>
            <w:vAlign w:val="bottom"/>
            <w:shd w:val="clear" w:color="auto" w:fill="B2B2B2"/>
          </w:tcPr>
          <w:p>
            <w:pPr>
              <w:spacing w:after="0"/>
              <w:rPr>
                <w:sz w:val="18"/>
                <w:szCs w:val="18"/>
                <w:color w:val="auto"/>
              </w:rPr>
            </w:pPr>
          </w:p>
        </w:tc>
        <w:tc>
          <w:tcPr>
            <w:tcW w:w="320" w:type="dxa"/>
            <w:vAlign w:val="bottom"/>
            <w:shd w:val="clear" w:color="auto" w:fill="B2B2B2"/>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3,864</w:t>
            </w:r>
          </w:p>
        </w:tc>
      </w:tr>
      <w:tr>
        <w:trPr>
          <w:trHeight w:val="215"/>
        </w:trPr>
        <w:tc>
          <w:tcPr>
            <w:tcW w:w="32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Construction</w:t>
            </w:r>
          </w:p>
        </w:tc>
        <w:tc>
          <w:tcPr>
            <w:tcW w:w="1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322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10,556</w:t>
            </w:r>
          </w:p>
        </w:tc>
        <w:tc>
          <w:tcPr>
            <w:tcW w:w="1140" w:type="dxa"/>
            <w:vAlign w:val="bottom"/>
            <w:tcBorders>
              <w:bottom w:val="single" w:sz="8" w:color="auto"/>
            </w:tcBorders>
            <w:shd w:val="clear" w:color="auto" w:fill="B2B2B2"/>
          </w:tcPr>
          <w:p>
            <w:pPr>
              <w:jc w:val="right"/>
              <w:ind w:right="8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B2B2B2"/>
          </w:tcPr>
          <w:p>
            <w:pPr>
              <w:ind w:lef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725</w:t>
            </w:r>
          </w:p>
        </w:tc>
        <w:tc>
          <w:tcPr>
            <w:tcW w:w="26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11,292</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in the allowance for loan losses from December 31, 2018 to June 30, 2019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Charge-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Offs</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5"/>
              </w:rPr>
              <w:t>Recoveries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Provision</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5"/>
        </w:trPr>
        <w:tc>
          <w:tcPr>
            <w:tcW w:w="3220" w:type="dxa"/>
            <w:vAlign w:val="bottom"/>
            <w:shd w:val="clear" w:color="auto" w:fill="B2B2B2"/>
          </w:tcPr>
          <w:p>
            <w:pPr>
              <w:spacing w:after="0"/>
              <w:rPr>
                <w:sz w:val="20"/>
                <w:szCs w:val="20"/>
                <w:color w:val="auto"/>
              </w:rPr>
            </w:pPr>
            <w:r>
              <w:rPr>
                <w:rFonts w:ascii="Arial" w:cs="Arial" w:eastAsia="Arial" w:hAnsi="Arial"/>
                <w:sz w:val="18"/>
                <w:szCs w:val="18"/>
                <w:color w:val="auto"/>
              </w:rPr>
              <w:t>Commercial and industrial</w:t>
            </w:r>
          </w:p>
        </w:tc>
        <w:tc>
          <w:tcPr>
            <w:tcW w:w="14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4,179</w:t>
            </w:r>
          </w:p>
        </w:tc>
        <w:tc>
          <w:tcPr>
            <w:tcW w:w="1140" w:type="dxa"/>
            <w:vAlign w:val="bottom"/>
            <w:shd w:val="clear" w:color="auto" w:fill="B2B2B2"/>
          </w:tcPr>
          <w:p>
            <w:pPr>
              <w:jc w:val="right"/>
              <w:ind w:right="890"/>
              <w:spacing w:after="0"/>
              <w:rPr>
                <w:sz w:val="20"/>
                <w:szCs w:val="20"/>
                <w:color w:val="auto"/>
              </w:rPr>
            </w:pPr>
            <w:r>
              <w:rPr>
                <w:rFonts w:ascii="Arial" w:cs="Arial" w:eastAsia="Arial" w:hAnsi="Arial"/>
                <w:sz w:val="18"/>
                <w:szCs w:val="18"/>
                <w:color w:val="auto"/>
              </w:rPr>
              <w:t>$</w:t>
            </w:r>
          </w:p>
        </w:tc>
        <w:tc>
          <w:tcPr>
            <w:tcW w:w="320" w:type="dxa"/>
            <w:vAlign w:val="bottom"/>
            <w:shd w:val="clear" w:color="auto" w:fill="B2B2B2"/>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1,058</w:t>
            </w:r>
          </w:p>
        </w:tc>
        <w:tc>
          <w:tcPr>
            <w:tcW w:w="2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5,268</w:t>
            </w:r>
          </w:p>
        </w:tc>
      </w:tr>
      <w:tr>
        <w:trPr>
          <w:trHeight w:val="215"/>
        </w:trPr>
        <w:tc>
          <w:tcPr>
            <w:tcW w:w="3220" w:type="dxa"/>
            <w:vAlign w:val="bottom"/>
          </w:tcPr>
          <w:p>
            <w:pPr>
              <w:spacing w:after="0"/>
              <w:rPr>
                <w:sz w:val="20"/>
                <w:szCs w:val="20"/>
                <w:color w:val="auto"/>
              </w:rPr>
            </w:pPr>
            <w:r>
              <w:rPr>
                <w:rFonts w:ascii="Arial" w:cs="Arial" w:eastAsia="Arial" w:hAnsi="Arial"/>
                <w:sz w:val="18"/>
                <w:szCs w:val="18"/>
                <w:color w:val="auto"/>
              </w:rPr>
              <w:t>Real estate:</w:t>
            </w: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32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Commercial:</w:t>
            </w:r>
          </w:p>
        </w:tc>
        <w:tc>
          <w:tcPr>
            <w:tcW w:w="1420" w:type="dxa"/>
            <w:vAlign w:val="bottom"/>
            <w:shd w:val="clear" w:color="auto" w:fill="B2B2B2"/>
          </w:tcPr>
          <w:p>
            <w:pPr>
              <w:spacing w:after="0"/>
              <w:rPr>
                <w:sz w:val="18"/>
                <w:szCs w:val="18"/>
                <w:color w:val="auto"/>
              </w:rPr>
            </w:pPr>
          </w:p>
        </w:tc>
        <w:tc>
          <w:tcPr>
            <w:tcW w:w="130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r>
      <w:tr>
        <w:trPr>
          <w:trHeight w:val="215"/>
        </w:trPr>
        <w:tc>
          <w:tcPr>
            <w:tcW w:w="3220" w:type="dxa"/>
            <w:vAlign w:val="bottom"/>
          </w:tcPr>
          <w:p>
            <w:pPr>
              <w:ind w:left="360"/>
              <w:spacing w:after="0"/>
              <w:rPr>
                <w:sz w:val="20"/>
                <w:szCs w:val="20"/>
                <w:color w:val="auto"/>
              </w:rPr>
            </w:pPr>
            <w:r>
              <w:rPr>
                <w:rFonts w:ascii="Arial" w:cs="Arial" w:eastAsia="Arial" w:hAnsi="Arial"/>
                <w:sz w:val="18"/>
                <w:szCs w:val="18"/>
                <w:color w:val="auto"/>
              </w:rPr>
              <w:t>Mortgage</w:t>
            </w:r>
          </w:p>
        </w:tc>
        <w:tc>
          <w:tcPr>
            <w:tcW w:w="1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1,417</w:t>
            </w:r>
          </w:p>
        </w:tc>
        <w:tc>
          <w:tcPr>
            <w:tcW w:w="114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1,269</w:t>
            </w:r>
          </w:p>
        </w:tc>
      </w:tr>
      <w:tr>
        <w:trPr>
          <w:trHeight w:val="215"/>
        </w:trPr>
        <w:tc>
          <w:tcPr>
            <w:tcW w:w="3220" w:type="dxa"/>
            <w:vAlign w:val="bottom"/>
            <w:shd w:val="clear" w:color="auto" w:fill="B2B2B2"/>
          </w:tcPr>
          <w:p>
            <w:pPr>
              <w:ind w:left="360"/>
              <w:spacing w:after="0"/>
              <w:rPr>
                <w:sz w:val="20"/>
                <w:szCs w:val="20"/>
                <w:color w:val="auto"/>
              </w:rPr>
            </w:pPr>
            <w:r>
              <w:rPr>
                <w:rFonts w:ascii="Arial" w:cs="Arial" w:eastAsia="Arial" w:hAnsi="Arial"/>
                <w:sz w:val="18"/>
                <w:szCs w:val="18"/>
                <w:color w:val="auto"/>
              </w:rPr>
              <w:t>Construction</w:t>
            </w:r>
          </w:p>
        </w:tc>
        <w:tc>
          <w:tcPr>
            <w:tcW w:w="142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89</w:t>
            </w:r>
          </w:p>
        </w:tc>
        <w:tc>
          <w:tcPr>
            <w:tcW w:w="1140" w:type="dxa"/>
            <w:vAlign w:val="bottom"/>
            <w:shd w:val="clear" w:color="auto" w:fill="B2B2B2"/>
          </w:tcPr>
          <w:p>
            <w:pPr>
              <w:spacing w:after="0"/>
              <w:rPr>
                <w:sz w:val="18"/>
                <w:szCs w:val="18"/>
                <w:color w:val="auto"/>
              </w:rPr>
            </w:pPr>
          </w:p>
        </w:tc>
        <w:tc>
          <w:tcPr>
            <w:tcW w:w="320" w:type="dxa"/>
            <w:vAlign w:val="bottom"/>
            <w:shd w:val="clear" w:color="auto" w:fill="B2B2B2"/>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140</w:t>
            </w:r>
          </w:p>
        </w:tc>
      </w:tr>
      <w:tr>
        <w:trPr>
          <w:trHeight w:val="215"/>
        </w:trPr>
        <w:tc>
          <w:tcPr>
            <w:tcW w:w="3220" w:type="dxa"/>
            <w:vAlign w:val="bottom"/>
          </w:tcPr>
          <w:p>
            <w:pPr>
              <w:ind w:left="180"/>
              <w:spacing w:after="0"/>
              <w:rPr>
                <w:sz w:val="20"/>
                <w:szCs w:val="20"/>
                <w:color w:val="auto"/>
              </w:rPr>
            </w:pPr>
            <w:r>
              <w:rPr>
                <w:rFonts w:ascii="Arial" w:cs="Arial" w:eastAsia="Arial" w:hAnsi="Arial"/>
                <w:sz w:val="18"/>
                <w:szCs w:val="18"/>
                <w:color w:val="auto"/>
              </w:rPr>
              <w:t>Faith-based:</w:t>
            </w: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3220" w:type="dxa"/>
            <w:vAlign w:val="bottom"/>
            <w:shd w:val="clear" w:color="auto" w:fill="B2B2B2"/>
          </w:tcPr>
          <w:p>
            <w:pPr>
              <w:ind w:left="360"/>
              <w:spacing w:after="0"/>
              <w:rPr>
                <w:sz w:val="20"/>
                <w:szCs w:val="20"/>
                <w:color w:val="auto"/>
              </w:rPr>
            </w:pPr>
            <w:r>
              <w:rPr>
                <w:rFonts w:ascii="Arial" w:cs="Arial" w:eastAsia="Arial" w:hAnsi="Arial"/>
                <w:sz w:val="18"/>
                <w:szCs w:val="18"/>
                <w:color w:val="auto"/>
              </w:rPr>
              <w:t>Mortgage</w:t>
            </w:r>
          </w:p>
        </w:tc>
        <w:tc>
          <w:tcPr>
            <w:tcW w:w="142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3,961</w:t>
            </w:r>
          </w:p>
        </w:tc>
        <w:tc>
          <w:tcPr>
            <w:tcW w:w="1140" w:type="dxa"/>
            <w:vAlign w:val="bottom"/>
            <w:shd w:val="clear" w:color="auto" w:fill="B2B2B2"/>
          </w:tcPr>
          <w:p>
            <w:pPr>
              <w:spacing w:after="0"/>
              <w:rPr>
                <w:sz w:val="18"/>
                <w:szCs w:val="18"/>
                <w:color w:val="auto"/>
              </w:rPr>
            </w:pPr>
          </w:p>
        </w:tc>
        <w:tc>
          <w:tcPr>
            <w:tcW w:w="320" w:type="dxa"/>
            <w:vAlign w:val="bottom"/>
            <w:shd w:val="clear" w:color="auto" w:fill="B2B2B2"/>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3,997</w:t>
            </w:r>
          </w:p>
        </w:tc>
      </w:tr>
      <w:tr>
        <w:trPr>
          <w:trHeight w:val="215"/>
        </w:trPr>
        <w:tc>
          <w:tcPr>
            <w:tcW w:w="32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Construction</w:t>
            </w:r>
          </w:p>
        </w:tc>
        <w:tc>
          <w:tcPr>
            <w:tcW w:w="1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09"/>
        </w:trPr>
        <w:tc>
          <w:tcPr>
            <w:tcW w:w="322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auto"/>
            </w:tcBorders>
            <w:shd w:val="clear" w:color="auto" w:fill="B2B2B2"/>
          </w:tcPr>
          <w:p>
            <w:pPr>
              <w:spacing w:after="0"/>
              <w:rPr>
                <w:sz w:val="18"/>
                <w:szCs w:val="18"/>
                <w:color w:val="auto"/>
              </w:rPr>
            </w:pPr>
          </w:p>
        </w:tc>
        <w:tc>
          <w:tcPr>
            <w:tcW w:w="13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424</w:t>
            </w:r>
          </w:p>
        </w:tc>
        <w:tc>
          <w:tcPr>
            <w:tcW w:w="1140" w:type="dxa"/>
            <w:vAlign w:val="bottom"/>
            <w:tcBorders>
              <w:bottom w:val="single" w:sz="8" w:color="auto"/>
            </w:tcBorders>
            <w:shd w:val="clear" w:color="auto" w:fill="B2B2B2"/>
          </w:tcPr>
          <w:p>
            <w:pPr>
              <w:spacing w:after="0"/>
              <w:rPr>
                <w:sz w:val="18"/>
                <w:szCs w:val="18"/>
                <w:color w:val="auto"/>
              </w:rPr>
            </w:pPr>
          </w:p>
        </w:tc>
        <w:tc>
          <w:tcPr>
            <w:tcW w:w="320" w:type="dxa"/>
            <w:vAlign w:val="bottom"/>
            <w:tcBorders>
              <w:bottom w:val="single" w:sz="8" w:color="auto"/>
            </w:tcBorders>
            <w:shd w:val="clear" w:color="auto" w:fill="B2B2B2"/>
          </w:tcPr>
          <w:p>
            <w:pPr>
              <w:ind w:lef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(723)</w:t>
            </w:r>
          </w:p>
        </w:tc>
        <w:tc>
          <w:tcPr>
            <w:tcW w:w="26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(299)</w:t>
            </w:r>
          </w:p>
        </w:tc>
      </w:tr>
      <w:tr>
        <w:trPr>
          <w:trHeight w:val="216"/>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10,225</w:t>
            </w:r>
          </w:p>
        </w:tc>
        <w:tc>
          <w:tcPr>
            <w:tcW w:w="114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10,506</w:t>
            </w:r>
          </w:p>
        </w:tc>
      </w:tr>
    </w:tbl>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Note 7 – Commitments and Contingencies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normal course of business, the Company is party to activities that contain credit, market and operational risks that are not reflected in whole or in part in the Company’s consolidated financial statements. Such activities include traditional off-balance sheet credit-related financial instruments and commitments under operating leases.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June 30, 2020 and December 31, 2019, no amounts have been accrued for any estimated losses for these instruments.</w:t>
      </w:r>
    </w:p>
    <w:p>
      <w:pPr>
        <w:spacing w:after="0" w:line="16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Commercial and standby letters of credit are conditional commitments issued by the Company or its subsidiaries to guarantee the performance of a customer to a third party. These off-balance sheet financial instruments generally have fixed expiration dates or other termination clauses and may require payment of a fee. At June 30, 2020, the balance of unused loan commitments, standby and commercial letters of credit were $197,932,000, $10,710,000, and $650,000,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w:t>
      </w:r>
    </w:p>
    <w:p>
      <w:pPr>
        <w:sectPr>
          <w:pgSz w:w="11900" w:h="16852" w:orient="portrait"/>
          <w:cols w:equalWidth="0" w:num="1">
            <w:col w:w="11240"/>
          </w:cols>
          <w:pgMar w:left="320" w:top="327" w:right="339" w:bottom="0" w:gutter="0" w:footer="0" w:header="0"/>
        </w:sectPr>
      </w:pPr>
    </w:p>
    <w:bookmarkStart w:id="13" w:name="page14"/>
    <w:bookmarkEnd w:id="13"/>
    <w:p>
      <w:pPr>
        <w:jc w:val="both"/>
        <w:spacing w:after="0" w:line="278" w:lineRule="auto"/>
        <w:rPr>
          <w:sz w:val="20"/>
          <w:szCs w:val="20"/>
          <w:color w:val="auto"/>
        </w:rPr>
      </w:pPr>
      <w:r>
        <w:rPr>
          <w:rFonts w:ascii="Arial" w:cs="Arial" w:eastAsia="Arial" w:hAnsi="Arial"/>
          <w:sz w:val="17"/>
          <w:szCs w:val="17"/>
          <w:color w:val="auto"/>
        </w:rPr>
        <w:t>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guarantees on these financial instruments.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summarizes contractual cash obligations of the Company related to time deposits at June 30,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1"/>
              </w:rPr>
              <w:t>Amount of Commitment Expiration per Period</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197"/>
        </w:trPr>
        <w:tc>
          <w:tcPr>
            <w:tcW w:w="3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center"/>
              <w:ind w:right="150"/>
              <w:spacing w:after="0" w:line="197" w:lineRule="exact"/>
              <w:rPr>
                <w:sz w:val="20"/>
                <w:szCs w:val="20"/>
                <w:color w:val="auto"/>
              </w:rPr>
            </w:pPr>
            <w:r>
              <w:rPr>
                <w:rFonts w:ascii="Arial" w:cs="Arial" w:eastAsia="Arial" w:hAnsi="Arial"/>
                <w:sz w:val="18"/>
                <w:szCs w:val="18"/>
                <w:b w:val="1"/>
                <w:bCs w:val="1"/>
                <w:color w:val="auto"/>
                <w:w w:val="88"/>
              </w:rPr>
              <w:t>Less than</w:t>
            </w:r>
          </w:p>
        </w:tc>
        <w:tc>
          <w:tcPr>
            <w:tcW w:w="240" w:type="dxa"/>
            <w:vAlign w:val="bottom"/>
          </w:tcPr>
          <w:p>
            <w:pPr>
              <w:spacing w:after="0"/>
              <w:rPr>
                <w:sz w:val="17"/>
                <w:szCs w:val="17"/>
                <w:color w:val="auto"/>
              </w:rPr>
            </w:pPr>
          </w:p>
        </w:tc>
        <w:tc>
          <w:tcPr>
            <w:tcW w:w="860" w:type="dxa"/>
            <w:vAlign w:val="bottom"/>
          </w:tcPr>
          <w:p>
            <w:pPr>
              <w:jc w:val="right"/>
              <w:ind w:right="330"/>
              <w:spacing w:after="0" w:line="197" w:lineRule="exact"/>
              <w:rPr>
                <w:sz w:val="20"/>
                <w:szCs w:val="20"/>
                <w:color w:val="auto"/>
              </w:rPr>
            </w:pPr>
            <w:r>
              <w:rPr>
                <w:rFonts w:ascii="Arial" w:cs="Arial" w:eastAsia="Arial" w:hAnsi="Arial"/>
                <w:sz w:val="18"/>
                <w:szCs w:val="18"/>
                <w:b w:val="1"/>
                <w:bCs w:val="1"/>
                <w:color w:val="auto"/>
              </w:rPr>
              <w:t>1-3</w:t>
            </w:r>
          </w:p>
        </w:tc>
        <w:tc>
          <w:tcPr>
            <w:tcW w:w="240" w:type="dxa"/>
            <w:vAlign w:val="bottom"/>
          </w:tcPr>
          <w:p>
            <w:pPr>
              <w:spacing w:after="0"/>
              <w:rPr>
                <w:sz w:val="17"/>
                <w:szCs w:val="17"/>
                <w:color w:val="auto"/>
              </w:rPr>
            </w:pPr>
          </w:p>
        </w:tc>
        <w:tc>
          <w:tcPr>
            <w:tcW w:w="900" w:type="dxa"/>
            <w:vAlign w:val="bottom"/>
          </w:tcPr>
          <w:p>
            <w:pPr>
              <w:jc w:val="right"/>
              <w:ind w:right="370"/>
              <w:spacing w:after="0" w:line="197" w:lineRule="exact"/>
              <w:rPr>
                <w:sz w:val="20"/>
                <w:szCs w:val="20"/>
                <w:color w:val="auto"/>
              </w:rPr>
            </w:pPr>
            <w:r>
              <w:rPr>
                <w:rFonts w:ascii="Arial" w:cs="Arial" w:eastAsia="Arial" w:hAnsi="Arial"/>
                <w:sz w:val="18"/>
                <w:szCs w:val="18"/>
                <w:b w:val="1"/>
                <w:bCs w:val="1"/>
                <w:color w:val="auto"/>
              </w:rPr>
              <w:t>3-5</w:t>
            </w:r>
          </w:p>
        </w:tc>
        <w:tc>
          <w:tcPr>
            <w:tcW w:w="180" w:type="dxa"/>
            <w:vAlign w:val="bottom"/>
          </w:tcPr>
          <w:p>
            <w:pPr>
              <w:spacing w:after="0"/>
              <w:rPr>
                <w:sz w:val="17"/>
                <w:szCs w:val="17"/>
                <w:color w:val="auto"/>
              </w:rPr>
            </w:pPr>
          </w:p>
        </w:tc>
        <w:tc>
          <w:tcPr>
            <w:tcW w:w="840" w:type="dxa"/>
            <w:vAlign w:val="bottom"/>
          </w:tcPr>
          <w:p>
            <w:pPr>
              <w:jc w:val="center"/>
              <w:ind w:right="70"/>
              <w:spacing w:after="0" w:line="197" w:lineRule="exact"/>
              <w:rPr>
                <w:sz w:val="20"/>
                <w:szCs w:val="20"/>
                <w:color w:val="auto"/>
              </w:rPr>
            </w:pPr>
            <w:r>
              <w:rPr>
                <w:rFonts w:ascii="Arial" w:cs="Arial" w:eastAsia="Arial" w:hAnsi="Arial"/>
                <w:sz w:val="18"/>
                <w:szCs w:val="18"/>
                <w:b w:val="1"/>
                <w:bCs w:val="1"/>
                <w:color w:val="auto"/>
                <w:w w:val="92"/>
              </w:rPr>
              <w:t>Over 5</w:t>
            </w:r>
          </w:p>
        </w:tc>
      </w:tr>
      <w:tr>
        <w:trPr>
          <w:trHeight w:val="241"/>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1 Year</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5"/>
              </w:rPr>
              <w:t>Years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Years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Years</w:t>
            </w:r>
          </w:p>
        </w:tc>
      </w:tr>
      <w:tr>
        <w:trPr>
          <w:trHeight w:val="215"/>
        </w:trPr>
        <w:tc>
          <w:tcPr>
            <w:tcW w:w="330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Time deposits</w:t>
            </w:r>
          </w:p>
        </w:tc>
        <w:tc>
          <w:tcPr>
            <w:tcW w:w="2420" w:type="dxa"/>
            <w:vAlign w:val="bottom"/>
            <w:tcBorders>
              <w:bottom w:val="single" w:sz="8" w:color="auto"/>
            </w:tcBorders>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68,246</w:t>
            </w:r>
          </w:p>
        </w:tc>
        <w:tc>
          <w:tcPr>
            <w:tcW w:w="2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46,188</w:t>
            </w:r>
          </w:p>
        </w:tc>
        <w:tc>
          <w:tcPr>
            <w:tcW w:w="24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21,922</w:t>
            </w:r>
          </w:p>
        </w:tc>
        <w:tc>
          <w:tcPr>
            <w:tcW w:w="24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B2B2B2"/>
          </w:tcPr>
          <w:p>
            <w:pPr>
              <w:ind w:left="660"/>
              <w:spacing w:after="0"/>
              <w:rPr>
                <w:sz w:val="20"/>
                <w:szCs w:val="20"/>
                <w:color w:val="auto"/>
              </w:rPr>
            </w:pPr>
            <w:r>
              <w:rPr>
                <w:rFonts w:ascii="Arial" w:cs="Arial" w:eastAsia="Arial" w:hAnsi="Arial"/>
                <w:sz w:val="18"/>
                <w:szCs w:val="18"/>
                <w:color w:val="auto"/>
                <w:w w:val="88"/>
              </w:rPr>
              <w:t>—</w:t>
            </w:r>
          </w:p>
        </w:tc>
      </w:tr>
    </w:tbl>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its subsidiaries are involved in various pending legal actions and proceedings in which claims for damages are asserted. Management, after discussion with legal counsel, believes the ultimate resolution of these legal actions and proceedings will not have a material effect upon the Company’s consolidated financial position or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Note 8 – Stock-Based Compensation</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Amended and Restated Omnibus Stock and Performance Compensation Plan (the “Omnibus Plan”) permits the issuance of up to 1,500,000 shares of the Company’s common stock in the form of stock options, SARs, restricted stock, restricted stock units and performance awards. The Company may issue shares out of treasury stock for these awards. During the six months ended June 30, 2020, 32,403 restricted shares, 32,910 performance-based restricted shares, and no SARs were granted under the Omnibus Plan. Stock-based compensation expense for the three months ended June 30, 2020 and 2019 was $756,000 and $560,000, respectively, and $1,478,000 and $1,417,000 for the six months ended June 30, 2020 and 2019,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Restricted shares granted to Company employees are amortized to expense over the three-year cliff vesting period. Restricted shares granted to members of the Board of Directors are amortized to expense over a one-year service period, with the exception of those shares granted in lieu of cash payments for retainer fees which are expensed in the period earned.</w:t>
      </w:r>
    </w:p>
    <w:p>
      <w:pPr>
        <w:spacing w:after="0" w:line="15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June 30, 2020, the total unrecognized compensation expense related to non-vested restricted shares was $2,023,000, and the related weighted-average period over which it is expected to be recognized is approximately .84 years.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Following is a summary of the activity of the restricted stock:</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2"/>
        </w:trPr>
        <w:tc>
          <w:tcPr>
            <w:tcW w:w="7000" w:type="dxa"/>
            <w:vAlign w:val="bottom"/>
          </w:tcPr>
          <w:p>
            <w:pPr>
              <w:spacing w:after="0"/>
              <w:rPr>
                <w:sz w:val="24"/>
                <w:szCs w:val="24"/>
                <w:color w:val="auto"/>
              </w:rPr>
            </w:pPr>
          </w:p>
        </w:tc>
        <w:tc>
          <w:tcPr>
            <w:tcW w:w="30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7000" w:type="dxa"/>
            <w:vAlign w:val="bottom"/>
          </w:tcPr>
          <w:p>
            <w:pPr>
              <w:spacing w:after="0"/>
              <w:rPr>
                <w:sz w:val="20"/>
                <w:szCs w:val="20"/>
                <w:color w:val="auto"/>
              </w:rPr>
            </w:pPr>
          </w:p>
        </w:tc>
        <w:tc>
          <w:tcPr>
            <w:tcW w:w="30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8"/>
              </w:rPr>
              <w:t>June 30, 2020</w:t>
            </w:r>
          </w:p>
        </w:tc>
      </w:tr>
      <w:tr>
        <w:trPr>
          <w:trHeight w:val="222"/>
        </w:trPr>
        <w:tc>
          <w:tcPr>
            <w:tcW w:w="7000" w:type="dxa"/>
            <w:vAlign w:val="bottom"/>
            <w:tcBorders>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19"/>
                <w:szCs w:val="19"/>
                <w:color w:val="auto"/>
              </w:rPr>
            </w:pPr>
          </w:p>
        </w:tc>
      </w:tr>
      <w:tr>
        <w:trPr>
          <w:trHeight w:val="215"/>
        </w:trPr>
        <w:tc>
          <w:tcPr>
            <w:tcW w:w="7000" w:type="dxa"/>
            <w:vAlign w:val="bottom"/>
            <w:shd w:val="clear" w:color="auto" w:fill="B2B2B2"/>
          </w:tcPr>
          <w:p>
            <w:pPr>
              <w:spacing w:after="0"/>
              <w:rPr>
                <w:sz w:val="20"/>
                <w:szCs w:val="20"/>
                <w:color w:val="auto"/>
              </w:rPr>
            </w:pPr>
            <w:r>
              <w:rPr>
                <w:rFonts w:ascii="Arial" w:cs="Arial" w:eastAsia="Arial" w:hAnsi="Arial"/>
                <w:sz w:val="18"/>
                <w:szCs w:val="18"/>
                <w:color w:val="auto"/>
              </w:rPr>
              <w:t>Balance at December 31, 2019</w:t>
            </w:r>
          </w:p>
        </w:tc>
        <w:tc>
          <w:tcPr>
            <w:tcW w:w="15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123,272</w:t>
            </w:r>
          </w:p>
        </w:tc>
        <w:tc>
          <w:tcPr>
            <w:tcW w:w="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47.24</w:t>
            </w:r>
          </w:p>
        </w:tc>
        <w:tc>
          <w:tcPr>
            <w:tcW w:w="20" w:type="dxa"/>
            <w:vAlign w:val="bottom"/>
          </w:tcPr>
          <w:p>
            <w:pPr>
              <w:spacing w:after="0"/>
              <w:rPr>
                <w:sz w:val="18"/>
                <w:szCs w:val="18"/>
                <w:color w:val="auto"/>
              </w:rPr>
            </w:pPr>
          </w:p>
        </w:tc>
      </w:tr>
      <w:tr>
        <w:trPr>
          <w:trHeight w:val="215"/>
        </w:trPr>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32,403</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48.21</w:t>
            </w:r>
          </w:p>
        </w:tc>
        <w:tc>
          <w:tcPr>
            <w:tcW w:w="20" w:type="dxa"/>
            <w:vAlign w:val="bottom"/>
          </w:tcPr>
          <w:p>
            <w:pPr>
              <w:spacing w:after="0"/>
              <w:rPr>
                <w:sz w:val="18"/>
                <w:szCs w:val="18"/>
                <w:color w:val="auto"/>
              </w:rPr>
            </w:pPr>
          </w:p>
        </w:tc>
      </w:tr>
      <w:tr>
        <w:trPr>
          <w:trHeight w:val="215"/>
        </w:trPr>
        <w:tc>
          <w:tcPr>
            <w:tcW w:w="7000" w:type="dxa"/>
            <w:vAlign w:val="bottom"/>
            <w:shd w:val="clear" w:color="auto" w:fill="B2B2B2"/>
          </w:tcPr>
          <w:p>
            <w:pPr>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(20,369)</w:t>
            </w:r>
          </w:p>
        </w:tc>
        <w:tc>
          <w:tcPr>
            <w:tcW w:w="280" w:type="dxa"/>
            <w:vAlign w:val="bottom"/>
            <w:shd w:val="clear" w:color="auto" w:fill="B2B2B2"/>
          </w:tcPr>
          <w:p>
            <w:pPr>
              <w:spacing w:after="0"/>
              <w:rPr>
                <w:sz w:val="18"/>
                <w:szCs w:val="18"/>
                <w:color w:val="auto"/>
              </w:rPr>
            </w:pPr>
          </w:p>
        </w:tc>
        <w:tc>
          <w:tcPr>
            <w:tcW w:w="1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49.32</w:t>
            </w:r>
          </w:p>
        </w:tc>
        <w:tc>
          <w:tcPr>
            <w:tcW w:w="20" w:type="dxa"/>
            <w:vAlign w:val="bottom"/>
          </w:tcPr>
          <w:p>
            <w:pPr>
              <w:spacing w:after="0"/>
              <w:rPr>
                <w:sz w:val="18"/>
                <w:szCs w:val="18"/>
                <w:color w:val="auto"/>
              </w:rPr>
            </w:pPr>
          </w:p>
        </w:tc>
      </w:tr>
      <w:tr>
        <w:trPr>
          <w:trHeight w:val="215"/>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(4,962)</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50.08</w:t>
            </w:r>
          </w:p>
        </w:tc>
        <w:tc>
          <w:tcPr>
            <w:tcW w:w="20" w:type="dxa"/>
            <w:vAlign w:val="bottom"/>
          </w:tcPr>
          <w:p>
            <w:pPr>
              <w:spacing w:after="0"/>
              <w:rPr>
                <w:sz w:val="18"/>
                <w:szCs w:val="18"/>
                <w:color w:val="auto"/>
              </w:rPr>
            </w:pPr>
          </w:p>
        </w:tc>
      </w:tr>
      <w:tr>
        <w:trPr>
          <w:trHeight w:val="216"/>
        </w:trPr>
        <w:tc>
          <w:tcPr>
            <w:tcW w:w="700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Balance at June 30, 2020</w:t>
            </w:r>
          </w:p>
        </w:tc>
        <w:tc>
          <w:tcPr>
            <w:tcW w:w="150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130,344</w:t>
            </w:r>
          </w:p>
        </w:tc>
        <w:tc>
          <w:tcPr>
            <w:tcW w:w="2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47.05</w:t>
            </w:r>
          </w:p>
        </w:tc>
        <w:tc>
          <w:tcPr>
            <w:tcW w:w="20" w:type="dxa"/>
            <w:vAlign w:val="bottom"/>
          </w:tcPr>
          <w:p>
            <w:pPr>
              <w:spacing w:after="0"/>
              <w:rPr>
                <w:sz w:val="18"/>
                <w:szCs w:val="18"/>
                <w:color w:val="auto"/>
              </w:rPr>
            </w:pPr>
          </w:p>
        </w:tc>
      </w:tr>
    </w:tbl>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granted three-year performance based restricted stock (“PBRS”) awards which are contingent upon the Company’s achievement of pre-established financial goals over a three-year cliff vest period. The number of shares issued ranges from 0% to 150% of the target opportunity based on the actual achievement of financial goals for the three-year performance period.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95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Following is a summary of the activity of the PBRS, based on target value:</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2"/>
        </w:trPr>
        <w:tc>
          <w:tcPr>
            <w:tcW w:w="7000" w:type="dxa"/>
            <w:vAlign w:val="bottom"/>
          </w:tcPr>
          <w:p>
            <w:pPr>
              <w:spacing w:after="0"/>
              <w:rPr>
                <w:sz w:val="24"/>
                <w:szCs w:val="24"/>
                <w:color w:val="auto"/>
              </w:rPr>
            </w:pPr>
          </w:p>
        </w:tc>
        <w:tc>
          <w:tcPr>
            <w:tcW w:w="30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2"/>
              </w:rPr>
              <w:t>Three Months Ended</w:t>
            </w:r>
          </w:p>
        </w:tc>
      </w:tr>
      <w:tr>
        <w:trPr>
          <w:trHeight w:val="241"/>
        </w:trPr>
        <w:tc>
          <w:tcPr>
            <w:tcW w:w="7000" w:type="dxa"/>
            <w:vAlign w:val="bottom"/>
          </w:tcPr>
          <w:p>
            <w:pPr>
              <w:spacing w:after="0"/>
              <w:rPr>
                <w:sz w:val="20"/>
                <w:szCs w:val="20"/>
                <w:color w:val="auto"/>
              </w:rPr>
            </w:pPr>
          </w:p>
        </w:tc>
        <w:tc>
          <w:tcPr>
            <w:tcW w:w="30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8"/>
              </w:rPr>
              <w:t>June 30, 2020</w:t>
            </w:r>
          </w:p>
        </w:tc>
      </w:tr>
      <w:tr>
        <w:trPr>
          <w:trHeight w:val="222"/>
        </w:trPr>
        <w:tc>
          <w:tcPr>
            <w:tcW w:w="7000" w:type="dxa"/>
            <w:vAlign w:val="bottom"/>
            <w:tcBorders>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19"/>
                <w:szCs w:val="19"/>
                <w:color w:val="auto"/>
              </w:rPr>
            </w:pPr>
          </w:p>
        </w:tc>
      </w:tr>
      <w:tr>
        <w:trPr>
          <w:trHeight w:val="215"/>
        </w:trPr>
        <w:tc>
          <w:tcPr>
            <w:tcW w:w="7000" w:type="dxa"/>
            <w:vAlign w:val="bottom"/>
            <w:shd w:val="clear" w:color="auto" w:fill="B2B2B2"/>
          </w:tcPr>
          <w:p>
            <w:pPr>
              <w:spacing w:after="0"/>
              <w:rPr>
                <w:sz w:val="20"/>
                <w:szCs w:val="20"/>
                <w:color w:val="auto"/>
              </w:rPr>
            </w:pPr>
            <w:r>
              <w:rPr>
                <w:rFonts w:ascii="Arial" w:cs="Arial" w:eastAsia="Arial" w:hAnsi="Arial"/>
                <w:sz w:val="18"/>
                <w:szCs w:val="18"/>
                <w:color w:val="auto"/>
              </w:rPr>
              <w:t>Balance at December 31, 2019</w:t>
            </w:r>
          </w:p>
        </w:tc>
        <w:tc>
          <w:tcPr>
            <w:tcW w:w="15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102,116</w:t>
            </w:r>
          </w:p>
        </w:tc>
        <w:tc>
          <w:tcPr>
            <w:tcW w:w="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49.13</w:t>
            </w:r>
          </w:p>
        </w:tc>
        <w:tc>
          <w:tcPr>
            <w:tcW w:w="20" w:type="dxa"/>
            <w:vAlign w:val="bottom"/>
          </w:tcPr>
          <w:p>
            <w:pPr>
              <w:spacing w:after="0"/>
              <w:rPr>
                <w:sz w:val="18"/>
                <w:szCs w:val="18"/>
                <w:color w:val="auto"/>
              </w:rPr>
            </w:pPr>
          </w:p>
        </w:tc>
      </w:tr>
      <w:tr>
        <w:trPr>
          <w:trHeight w:val="215"/>
        </w:trPr>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32,910</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54.02</w:t>
            </w:r>
          </w:p>
        </w:tc>
        <w:tc>
          <w:tcPr>
            <w:tcW w:w="20" w:type="dxa"/>
            <w:vAlign w:val="bottom"/>
          </w:tcPr>
          <w:p>
            <w:pPr>
              <w:spacing w:after="0"/>
              <w:rPr>
                <w:sz w:val="18"/>
                <w:szCs w:val="18"/>
                <w:color w:val="auto"/>
              </w:rPr>
            </w:pPr>
          </w:p>
        </w:tc>
      </w:tr>
      <w:tr>
        <w:trPr>
          <w:trHeight w:val="215"/>
        </w:trPr>
        <w:tc>
          <w:tcPr>
            <w:tcW w:w="7000" w:type="dxa"/>
            <w:vAlign w:val="bottom"/>
            <w:shd w:val="clear" w:color="auto" w:fill="B2B2B2"/>
          </w:tcPr>
          <w:p>
            <w:pPr>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(29,175)</w:t>
            </w:r>
          </w:p>
        </w:tc>
        <w:tc>
          <w:tcPr>
            <w:tcW w:w="280" w:type="dxa"/>
            <w:vAlign w:val="bottom"/>
            <w:shd w:val="clear" w:color="auto" w:fill="B2B2B2"/>
          </w:tcPr>
          <w:p>
            <w:pPr>
              <w:spacing w:after="0"/>
              <w:rPr>
                <w:sz w:val="18"/>
                <w:szCs w:val="18"/>
                <w:color w:val="auto"/>
              </w:rPr>
            </w:pPr>
          </w:p>
        </w:tc>
        <w:tc>
          <w:tcPr>
            <w:tcW w:w="1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49.33</w:t>
            </w:r>
          </w:p>
        </w:tc>
        <w:tc>
          <w:tcPr>
            <w:tcW w:w="20" w:type="dxa"/>
            <w:vAlign w:val="bottom"/>
          </w:tcPr>
          <w:p>
            <w:pPr>
              <w:spacing w:after="0"/>
              <w:rPr>
                <w:sz w:val="18"/>
                <w:szCs w:val="18"/>
                <w:color w:val="auto"/>
              </w:rPr>
            </w:pPr>
          </w:p>
        </w:tc>
      </w:tr>
      <w:tr>
        <w:trPr>
          <w:trHeight w:val="215"/>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(7,441)</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50.08</w:t>
            </w:r>
          </w:p>
        </w:tc>
        <w:tc>
          <w:tcPr>
            <w:tcW w:w="20" w:type="dxa"/>
            <w:vAlign w:val="bottom"/>
          </w:tcPr>
          <w:p>
            <w:pPr>
              <w:spacing w:after="0"/>
              <w:rPr>
                <w:sz w:val="18"/>
                <w:szCs w:val="18"/>
                <w:color w:val="auto"/>
              </w:rPr>
            </w:pPr>
          </w:p>
        </w:tc>
      </w:tr>
      <w:tr>
        <w:trPr>
          <w:trHeight w:val="216"/>
        </w:trPr>
        <w:tc>
          <w:tcPr>
            <w:tcW w:w="700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Balance at June 30, 2020</w:t>
            </w:r>
          </w:p>
        </w:tc>
        <w:tc>
          <w:tcPr>
            <w:tcW w:w="150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98,410</w:t>
            </w:r>
          </w:p>
        </w:tc>
        <w:tc>
          <w:tcPr>
            <w:tcW w:w="2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50.64</w:t>
            </w:r>
          </w:p>
        </w:tc>
        <w:tc>
          <w:tcPr>
            <w:tcW w:w="20" w:type="dxa"/>
            <w:vAlign w:val="bottom"/>
          </w:tcPr>
          <w:p>
            <w:pPr>
              <w:spacing w:after="0"/>
              <w:rPr>
                <w:sz w:val="18"/>
                <w:szCs w:val="18"/>
                <w:color w:val="auto"/>
              </w:rPr>
            </w:pPr>
          </w:p>
        </w:tc>
      </w:tr>
    </w:tbl>
    <w:p>
      <w:pPr>
        <w:spacing w:after="0" w:line="36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PBRS that vested during the six months ended June 30, 2020 achieved financial goals of 117.3%, resulting in the issuance of 34,222 shares of common stock. The outstanding PBRS at June 30, 2020 will vest at scheduled vesting dates and the actual number of shares of common stock issued will range from 0% to 150% of the target opportunity based on the actual achievement of financial goals for the respective three-year performance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SARs granted and no expense recognized during the three months ended June 30, 2020. Following is a summary of the activity of the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Company’s SARs program for the three-month period ended June 30, 2020: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Aggregate</w:t>
            </w:r>
          </w:p>
        </w:tc>
      </w:tr>
      <w:tr>
        <w:trPr>
          <w:trHeight w:val="215"/>
        </w:trPr>
        <w:tc>
          <w:tcPr>
            <w:tcW w:w="6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Intrinsic</w:t>
            </w:r>
          </w:p>
        </w:tc>
      </w:tr>
      <w:tr>
        <w:trPr>
          <w:trHeight w:val="215"/>
        </w:trPr>
        <w:tc>
          <w:tcPr>
            <w:tcW w:w="6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Exercise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Value</w:t>
            </w:r>
          </w:p>
        </w:tc>
      </w:tr>
      <w:tr>
        <w:trPr>
          <w:trHeight w:val="241"/>
        </w:trPr>
        <w:tc>
          <w:tcPr>
            <w:tcW w:w="6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Price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Term Years</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i w:val="1"/>
                <w:iCs w:val="1"/>
                <w:color w:val="auto"/>
                <w:w w:val="88"/>
              </w:rPr>
              <w:t>(In thousands)</w:t>
            </w:r>
          </w:p>
        </w:tc>
      </w:tr>
      <w:tr>
        <w:trPr>
          <w:trHeight w:val="215"/>
        </w:trPr>
        <w:tc>
          <w:tcPr>
            <w:tcW w:w="6540" w:type="dxa"/>
            <w:vAlign w:val="bottom"/>
            <w:shd w:val="clear" w:color="auto" w:fill="B2B2B2"/>
          </w:tcPr>
          <w:p>
            <w:pPr>
              <w:spacing w:after="0"/>
              <w:rPr>
                <w:sz w:val="20"/>
                <w:szCs w:val="20"/>
                <w:color w:val="auto"/>
              </w:rPr>
            </w:pPr>
            <w:r>
              <w:rPr>
                <w:rFonts w:ascii="Arial" w:cs="Arial" w:eastAsia="Arial" w:hAnsi="Arial"/>
                <w:sz w:val="18"/>
                <w:szCs w:val="18"/>
                <w:color w:val="auto"/>
              </w:rPr>
              <w:t>Balance at December 31, 2019</w:t>
            </w: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155,292</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32.58</w:t>
            </w: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2.92</w:t>
            </w: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3,908</w:t>
            </w:r>
          </w:p>
        </w:tc>
      </w:tr>
      <w:tr>
        <w:trPr>
          <w:trHeight w:val="215"/>
        </w:trPr>
        <w:tc>
          <w:tcPr>
            <w:tcW w:w="6540" w:type="dxa"/>
            <w:vAlign w:val="bottom"/>
            <w:tcBorders>
              <w:bottom w:val="single" w:sz="8" w:color="B2B2B2"/>
            </w:tcBorders>
          </w:tcPr>
          <w:p>
            <w:pPr>
              <w:spacing w:after="0"/>
              <w:rPr>
                <w:sz w:val="20"/>
                <w:szCs w:val="20"/>
                <w:color w:val="auto"/>
              </w:rPr>
            </w:pPr>
            <w:r>
              <w:rPr>
                <w:rFonts w:ascii="Arial" w:cs="Arial" w:eastAsia="Arial" w:hAnsi="Arial"/>
                <w:sz w:val="18"/>
                <w:szCs w:val="18"/>
                <w:color w:val="auto"/>
              </w:rPr>
              <w:t>Exercised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(10,293)</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Exercisable at June 30, 2020</w:t>
            </w:r>
          </w:p>
        </w:tc>
        <w:tc>
          <w:tcPr>
            <w:tcW w:w="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144,999</w:t>
            </w:r>
          </w:p>
        </w:tc>
        <w:tc>
          <w:tcPr>
            <w:tcW w:w="1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32.99</w:t>
            </w:r>
          </w:p>
        </w:tc>
        <w:tc>
          <w:tcPr>
            <w:tcW w:w="11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1,109</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non-vested SARs at June 30,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9 – Defined Pension Plans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a noncontributory defined-benefit pension plan, which covers eligible employees. Effective December 31, 2016, the plan was closed to all new participants. The Company accrues and makes contributions designed to fund normal service costs on a current basis using the projected unit credit with service proration method to amortize prior service costs arising from improvements in pension benefits and qualifying service prior to the establishment of the plan over a period of approximately 30 years. Disclosure information is based on a measurement date of December 31 of the corresponding year. The following table represents the components of the net periodic pension costs: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Estimated</w:t>
            </w:r>
          </w:p>
        </w:tc>
        <w:tc>
          <w:tcPr>
            <w:tcW w:w="300" w:type="dxa"/>
            <w:vAlign w:val="bottom"/>
          </w:tcPr>
          <w:p>
            <w:pPr>
              <w:spacing w:after="0"/>
              <w:rPr>
                <w:sz w:val="18"/>
                <w:szCs w:val="18"/>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Actual</w:t>
            </w:r>
          </w:p>
        </w:tc>
      </w:tr>
      <w:tr>
        <w:trPr>
          <w:trHeight w:val="241"/>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7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5"/>
        </w:trPr>
        <w:tc>
          <w:tcPr>
            <w:tcW w:w="5880" w:type="dxa"/>
            <w:vAlign w:val="bottom"/>
            <w:shd w:val="clear" w:color="auto" w:fill="B2B2B2"/>
          </w:tcPr>
          <w:p>
            <w:pPr>
              <w:spacing w:after="0"/>
              <w:rPr>
                <w:sz w:val="20"/>
                <w:szCs w:val="20"/>
                <w:color w:val="auto"/>
              </w:rPr>
            </w:pPr>
            <w:r>
              <w:rPr>
                <w:rFonts w:ascii="Arial" w:cs="Arial" w:eastAsia="Arial" w:hAnsi="Arial"/>
                <w:sz w:val="18"/>
                <w:szCs w:val="18"/>
                <w:color w:val="auto"/>
              </w:rPr>
              <w:t>Service cost – benefits earned during the year</w:t>
            </w:r>
          </w:p>
        </w:tc>
        <w:tc>
          <w:tcPr>
            <w:tcW w:w="2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4,312</w:t>
            </w:r>
          </w:p>
        </w:tc>
        <w:tc>
          <w:tcPr>
            <w:tcW w:w="30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3,555</w:t>
            </w:r>
          </w:p>
        </w:tc>
      </w:tr>
      <w:tr>
        <w:trPr>
          <w:trHeight w:val="215"/>
        </w:trPr>
        <w:tc>
          <w:tcPr>
            <w:tcW w:w="5880" w:type="dxa"/>
            <w:vAlign w:val="bottom"/>
          </w:tcPr>
          <w:p>
            <w:pPr>
              <w:spacing w:after="0"/>
              <w:rPr>
                <w:sz w:val="20"/>
                <w:szCs w:val="20"/>
                <w:color w:val="auto"/>
              </w:rPr>
            </w:pPr>
            <w:r>
              <w:rPr>
                <w:rFonts w:ascii="Arial" w:cs="Arial" w:eastAsia="Arial" w:hAnsi="Arial"/>
                <w:sz w:val="18"/>
                <w:szCs w:val="18"/>
                <w:color w:val="auto"/>
              </w:rPr>
              <w:t>Interest cost on projected benefit obligations</w:t>
            </w:r>
          </w:p>
        </w:tc>
        <w:tc>
          <w:tcPr>
            <w:tcW w:w="27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3,903</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4,103</w:t>
            </w:r>
          </w:p>
        </w:tc>
      </w:tr>
      <w:tr>
        <w:trPr>
          <w:trHeight w:val="215"/>
        </w:trPr>
        <w:tc>
          <w:tcPr>
            <w:tcW w:w="5880" w:type="dxa"/>
            <w:vAlign w:val="bottom"/>
            <w:shd w:val="clear" w:color="auto" w:fill="B2B2B2"/>
          </w:tcPr>
          <w:p>
            <w:pPr>
              <w:spacing w:after="0"/>
              <w:rPr>
                <w:sz w:val="20"/>
                <w:szCs w:val="20"/>
                <w:color w:val="auto"/>
              </w:rPr>
            </w:pPr>
            <w:r>
              <w:rPr>
                <w:rFonts w:ascii="Arial" w:cs="Arial" w:eastAsia="Arial" w:hAnsi="Arial"/>
                <w:sz w:val="18"/>
                <w:szCs w:val="18"/>
                <w:color w:val="auto"/>
              </w:rPr>
              <w:t>Expected return on plan assets</w:t>
            </w:r>
          </w:p>
        </w:tc>
        <w:tc>
          <w:tcPr>
            <w:tcW w:w="2780" w:type="dxa"/>
            <w:vAlign w:val="bottom"/>
            <w:shd w:val="clear" w:color="auto" w:fill="B2B2B2"/>
          </w:tcPr>
          <w:p>
            <w:pPr>
              <w:spacing w:after="0"/>
              <w:rPr>
                <w:sz w:val="18"/>
                <w:szCs w:val="18"/>
                <w:color w:val="auto"/>
              </w:rPr>
            </w:pPr>
          </w:p>
        </w:tc>
        <w:tc>
          <w:tcPr>
            <w:tcW w:w="1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(6,051)</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(4,753)</w:t>
            </w:r>
          </w:p>
        </w:tc>
      </w:tr>
      <w:tr>
        <w:trPr>
          <w:trHeight w:val="215"/>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amortization</w:t>
            </w:r>
          </w:p>
        </w:tc>
        <w:tc>
          <w:tcPr>
            <w:tcW w:w="27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r>
      <w:tr>
        <w:trPr>
          <w:trHeight w:val="216"/>
        </w:trPr>
        <w:tc>
          <w:tcPr>
            <w:tcW w:w="5880" w:type="dxa"/>
            <w:vAlign w:val="bottom"/>
            <w:tcBorders>
              <w:bottom w:val="single" w:sz="8" w:color="auto"/>
            </w:tcBorders>
            <w:shd w:val="clear" w:color="auto" w:fill="B2B2B2"/>
          </w:tcPr>
          <w:p>
            <w:pPr>
              <w:ind w:left="180"/>
              <w:spacing w:after="0"/>
              <w:rPr>
                <w:sz w:val="20"/>
                <w:szCs w:val="20"/>
                <w:color w:val="auto"/>
              </w:rPr>
            </w:pPr>
            <w:r>
              <w:rPr>
                <w:rFonts w:ascii="Arial" w:cs="Arial" w:eastAsia="Arial" w:hAnsi="Arial"/>
                <w:sz w:val="18"/>
                <w:szCs w:val="18"/>
                <w:color w:val="auto"/>
              </w:rPr>
              <w:t>Net periodic pension cost</w:t>
            </w:r>
          </w:p>
        </w:tc>
        <w:tc>
          <w:tcPr>
            <w:tcW w:w="27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4,054</w:t>
            </w:r>
          </w:p>
        </w:tc>
        <w:tc>
          <w:tcPr>
            <w:tcW w:w="30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4,464</w:t>
            </w:r>
          </w:p>
        </w:tc>
      </w:tr>
    </w:tbl>
    <w:p>
      <w:pPr>
        <w:spacing w:after="0" w:line="36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Pension costs recorded to expense were $1,027,000 and $1,186,000 for the three-month periods ended June 30, 2020 and 2019, respectively and $2,056,000 and $2,365,000 for the six-month periods ended June 30, 2020 and 2019, respectively. Pension costs decreased in 2020 primarily due to improved asset performance and a contribution made during 2019, which were partially offset by a decrease in the discount rate. The Company made no contribution to the plan during the six-month period ended June 30, 2020 and is evaluating the amount of additional contributions, if any, in the remainder of 2020.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95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6" w:name="page17"/>
    <w:bookmarkEnd w:id="16"/>
    <w:p>
      <w:pPr>
        <w:jc w:val="both"/>
        <w:spacing w:after="0" w:line="258" w:lineRule="auto"/>
        <w:rPr>
          <w:sz w:val="20"/>
          <w:szCs w:val="20"/>
          <w:color w:val="auto"/>
        </w:rPr>
      </w:pPr>
      <w:r>
        <w:rPr>
          <w:rFonts w:ascii="Arial" w:cs="Arial" w:eastAsia="Arial" w:hAnsi="Arial"/>
          <w:sz w:val="18"/>
          <w:szCs w:val="18"/>
          <w:color w:val="auto"/>
        </w:rPr>
        <w:t>In addition to the above funded benefit plan, the Company has an unfunded supplemental executive retirement plan which covers key executives of the Company. This is a noncontributory plan in which the Company and its subsidiaries make accruals designed to fund normal service costs on a current basis using the same method and criteria as its defined benefit plan. The following table represents the components of the net periodic pension costs for 2019 and an estimate for 2020: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80" w:type="dxa"/>
            <w:vAlign w:val="bottom"/>
          </w:tcPr>
          <w:p>
            <w:pPr>
              <w:spacing w:after="0"/>
              <w:rPr>
                <w:sz w:val="18"/>
                <w:szCs w:val="18"/>
                <w:color w:val="auto"/>
              </w:rPr>
            </w:pPr>
          </w:p>
        </w:tc>
        <w:tc>
          <w:tcPr>
            <w:tcW w:w="3640" w:type="dxa"/>
            <w:vAlign w:val="bottom"/>
          </w:tcPr>
          <w:p>
            <w:pPr>
              <w:jc w:val="right"/>
              <w:spacing w:after="0"/>
              <w:rPr>
                <w:sz w:val="20"/>
                <w:szCs w:val="20"/>
                <w:color w:val="auto"/>
              </w:rPr>
            </w:pPr>
            <w:r>
              <w:rPr>
                <w:rFonts w:ascii="Arial" w:cs="Arial" w:eastAsia="Arial" w:hAnsi="Arial"/>
                <w:sz w:val="18"/>
                <w:szCs w:val="18"/>
                <w:b w:val="1"/>
                <w:bCs w:val="1"/>
                <w:color w:val="auto"/>
              </w:rPr>
              <w:t>Estimated</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Actual</w:t>
            </w:r>
          </w:p>
        </w:tc>
      </w:tr>
      <w:tr>
        <w:trPr>
          <w:trHeight w:val="241"/>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5"/>
        </w:trPr>
        <w:tc>
          <w:tcPr>
            <w:tcW w:w="5880" w:type="dxa"/>
            <w:vAlign w:val="bottom"/>
            <w:shd w:val="clear" w:color="auto" w:fill="B2B2B2"/>
          </w:tcPr>
          <w:p>
            <w:pPr>
              <w:spacing w:after="0"/>
              <w:rPr>
                <w:sz w:val="20"/>
                <w:szCs w:val="20"/>
                <w:color w:val="auto"/>
              </w:rPr>
            </w:pPr>
            <w:r>
              <w:rPr>
                <w:rFonts w:ascii="Arial" w:cs="Arial" w:eastAsia="Arial" w:hAnsi="Arial"/>
                <w:sz w:val="18"/>
                <w:szCs w:val="18"/>
                <w:color w:val="auto"/>
              </w:rPr>
              <w:t>Service cost – benefits earned during the year</w:t>
            </w:r>
          </w:p>
        </w:tc>
        <w:tc>
          <w:tcPr>
            <w:tcW w:w="3640" w:type="dxa"/>
            <w:vAlign w:val="bottom"/>
            <w:shd w:val="clear" w:color="auto" w:fill="B2B2B2"/>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shd w:val="clear" w:color="auto" w:fill="B2B2B2"/>
          </w:tcPr>
          <w:p>
            <w:pPr>
              <w:jc w:val="right"/>
              <w:spacing w:after="0"/>
              <w:rPr>
                <w:sz w:val="20"/>
                <w:szCs w:val="20"/>
                <w:color w:val="auto"/>
              </w:rPr>
            </w:pPr>
            <w:r>
              <w:rPr>
                <w:rFonts w:ascii="Arial" w:cs="Arial" w:eastAsia="Arial" w:hAnsi="Arial"/>
                <w:sz w:val="18"/>
                <w:szCs w:val="18"/>
                <w:color w:val="auto"/>
                <w:w w:val="86"/>
              </w:rPr>
              <w:t>121</w:t>
            </w:r>
          </w:p>
        </w:tc>
        <w:tc>
          <w:tcPr>
            <w:tcW w:w="30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97</w:t>
            </w:r>
          </w:p>
        </w:tc>
      </w:tr>
      <w:tr>
        <w:trPr>
          <w:trHeight w:val="215"/>
        </w:trPr>
        <w:tc>
          <w:tcPr>
            <w:tcW w:w="58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36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347</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15"/>
        </w:trPr>
        <w:tc>
          <w:tcPr>
            <w:tcW w:w="588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Net amortization</w:t>
            </w:r>
          </w:p>
        </w:tc>
        <w:tc>
          <w:tcPr>
            <w:tcW w:w="3640" w:type="dxa"/>
            <w:vAlign w:val="bottom"/>
            <w:tcBorders>
              <w:bottom w:val="single" w:sz="8" w:color="auto"/>
            </w:tcBorders>
            <w:shd w:val="clear" w:color="auto" w:fill="B2B2B2"/>
          </w:tcPr>
          <w:p>
            <w:pPr>
              <w:spacing w:after="0"/>
              <w:rPr>
                <w:sz w:val="18"/>
                <w:szCs w:val="18"/>
                <w:color w:val="auto"/>
              </w:rPr>
            </w:pPr>
          </w:p>
        </w:tc>
        <w:tc>
          <w:tcPr>
            <w:tcW w:w="3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86"/>
              </w:rPr>
              <w:t>112</w:t>
            </w:r>
          </w:p>
        </w:tc>
        <w:tc>
          <w:tcPr>
            <w:tcW w:w="30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276</w:t>
            </w:r>
          </w:p>
        </w:tc>
      </w:tr>
      <w:tr>
        <w:trPr>
          <w:trHeight w:val="216"/>
        </w:trPr>
        <w:tc>
          <w:tcPr>
            <w:tcW w:w="58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Net periodic pension cost</w:t>
            </w:r>
          </w:p>
        </w:tc>
        <w:tc>
          <w:tcPr>
            <w:tcW w:w="36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580</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r>
    </w:tbl>
    <w:p>
      <w:pPr>
        <w:spacing w:after="0" w:line="3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Pension costs recorded to expense were $145,000 and $196,000 for the three-month periods ended June 30, 2020 and 2019, respectively, and were $290,000 and $391,000 for the six-month periods ended June 30, 2020 and 2019, respectively. Pension costs decreased primarily due to the unrecognized loss being amortized over the remaining expected life of the participants rather than the remaining expected service period as almost all of the plan’s participants are inactive. This was partially offset by a decrease in the discount rate.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Note 10 – Income Taxes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 was 17.3% and 18.5% for the three-month periods ended June 30, 2020 and 2019, respectively, and 17.8% and 18.0% for the six-month periods ended June 30, 2020 and 2019, respectively. The 2020 and 2019 effective tax rates for the three and six-month periods differ from the statutory rate of 21% primarily due to the tax-exempt interest received from municipal bonds.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Note 11 – Investment in Securities</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Investment securities available-for-sale are recorded at fair value on a recurring basis. The Company’s investment securities available-for-sale are measured at fair value using Level 2 valuations. The market evaluation utilizes several sources which include “observable inputs” rather than “significant unobservable inputs” and therefore fall into the Level 2 category. The amortized cost, gross unrealized gains, gross unrealized losses and fair value of investment securities are summarized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June 30, 2020</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7"/>
        </w:trPr>
        <w:tc>
          <w:tcPr>
            <w:tcW w:w="38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0"/>
              <w:spacing w:after="0" w:line="197"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7"/>
                <w:szCs w:val="17"/>
                <w:color w:val="auto"/>
              </w:rPr>
            </w:pPr>
          </w:p>
        </w:tc>
        <w:tc>
          <w:tcPr>
            <w:tcW w:w="880" w:type="dxa"/>
            <w:vAlign w:val="bottom"/>
          </w:tcPr>
          <w:p>
            <w:pPr>
              <w:jc w:val="center"/>
              <w:ind w:right="110"/>
              <w:spacing w:after="0" w:line="197"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38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Amortized</w:t>
            </w:r>
          </w:p>
        </w:tc>
        <w:tc>
          <w:tcPr>
            <w:tcW w:w="16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Unrealized</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4"/>
              </w:rPr>
              <w:t>Cost</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r>
      <w:tr>
        <w:trPr>
          <w:trHeight w:val="215"/>
        </w:trPr>
        <w:tc>
          <w:tcPr>
            <w:tcW w:w="3860" w:type="dxa"/>
            <w:vAlign w:val="bottom"/>
            <w:shd w:val="clear" w:color="auto" w:fill="B2B2B2"/>
          </w:tcPr>
          <w:p>
            <w:pPr>
              <w:spacing w:after="0"/>
              <w:rPr>
                <w:sz w:val="20"/>
                <w:szCs w:val="20"/>
                <w:color w:val="auto"/>
              </w:rPr>
            </w:pPr>
            <w:r>
              <w:rPr>
                <w:rFonts w:ascii="Arial" w:cs="Arial" w:eastAsia="Arial" w:hAnsi="Arial"/>
                <w:sz w:val="18"/>
                <w:szCs w:val="18"/>
                <w:color w:val="auto"/>
              </w:rPr>
              <w:t>State and political subdivisions</w:t>
            </w:r>
          </w:p>
        </w:tc>
        <w:tc>
          <w:tcPr>
            <w:tcW w:w="3120" w:type="dxa"/>
            <w:vAlign w:val="bottom"/>
            <w:gridSpan w:val="2"/>
            <w:shd w:val="clear" w:color="auto" w:fill="B2B2B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287,151</w:t>
            </w: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18,615</w:t>
            </w:r>
          </w:p>
        </w:tc>
        <w:tc>
          <w:tcPr>
            <w:tcW w:w="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305,766</w:t>
            </w:r>
          </w:p>
        </w:tc>
      </w:tr>
      <w:tr>
        <w:trPr>
          <w:trHeight w:val="215"/>
        </w:trPr>
        <w:tc>
          <w:tcPr>
            <w:tcW w:w="38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72,589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73,955</w:t>
            </w:r>
          </w:p>
        </w:tc>
      </w:tr>
      <w:tr>
        <w:trPr>
          <w:trHeight w:val="215"/>
        </w:trPr>
        <w:tc>
          <w:tcPr>
            <w:tcW w:w="386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Certificates of deposit</w:t>
            </w:r>
          </w:p>
        </w:tc>
        <w:tc>
          <w:tcPr>
            <w:tcW w:w="302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gridSpan w:val="2"/>
            <w:shd w:val="clear" w:color="auto" w:fill="B2B2B2"/>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3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3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359,990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379,971</w:t>
            </w:r>
          </w:p>
        </w:tc>
      </w:tr>
      <w:tr>
        <w:trPr>
          <w:trHeight w:val="398"/>
        </w:trPr>
        <w:tc>
          <w:tcPr>
            <w:tcW w:w="38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7"/>
        </w:trPr>
        <w:tc>
          <w:tcPr>
            <w:tcW w:w="38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0"/>
              <w:spacing w:after="0" w:line="197"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7"/>
                <w:szCs w:val="17"/>
                <w:color w:val="auto"/>
              </w:rPr>
            </w:pPr>
          </w:p>
        </w:tc>
        <w:tc>
          <w:tcPr>
            <w:tcW w:w="880" w:type="dxa"/>
            <w:vAlign w:val="bottom"/>
          </w:tcPr>
          <w:p>
            <w:pPr>
              <w:jc w:val="center"/>
              <w:ind w:right="110"/>
              <w:spacing w:after="0" w:line="197"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38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Amortized</w:t>
            </w:r>
          </w:p>
        </w:tc>
        <w:tc>
          <w:tcPr>
            <w:tcW w:w="16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Unrealized</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4"/>
              </w:rPr>
              <w:t>Cost</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2"/>
              </w:rPr>
              <w:t>Fair Value</w:t>
            </w:r>
          </w:p>
        </w:tc>
      </w:tr>
      <w:tr>
        <w:trPr>
          <w:trHeight w:val="215"/>
        </w:trPr>
        <w:tc>
          <w:tcPr>
            <w:tcW w:w="3860" w:type="dxa"/>
            <w:vAlign w:val="bottom"/>
            <w:shd w:val="clear" w:color="auto" w:fill="B2B2B2"/>
          </w:tcPr>
          <w:p>
            <w:pPr>
              <w:spacing w:after="0"/>
              <w:rPr>
                <w:sz w:val="20"/>
                <w:szCs w:val="20"/>
                <w:color w:val="auto"/>
              </w:rPr>
            </w:pPr>
            <w:r>
              <w:rPr>
                <w:rFonts w:ascii="Arial" w:cs="Arial" w:eastAsia="Arial" w:hAnsi="Arial"/>
                <w:sz w:val="18"/>
                <w:szCs w:val="18"/>
                <w:color w:val="auto"/>
              </w:rPr>
              <w:t>State and political subdivisions</w:t>
            </w:r>
          </w:p>
        </w:tc>
        <w:tc>
          <w:tcPr>
            <w:tcW w:w="3120" w:type="dxa"/>
            <w:vAlign w:val="bottom"/>
            <w:gridSpan w:val="2"/>
            <w:shd w:val="clear" w:color="auto" w:fill="B2B2B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310,720</w:t>
            </w: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13,727</w:t>
            </w:r>
          </w:p>
        </w:tc>
        <w:tc>
          <w:tcPr>
            <w:tcW w:w="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324,447</w:t>
            </w:r>
          </w:p>
        </w:tc>
      </w:tr>
      <w:tr>
        <w:trPr>
          <w:trHeight w:val="215"/>
        </w:trPr>
        <w:tc>
          <w:tcPr>
            <w:tcW w:w="38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97,380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97,718</w:t>
            </w:r>
          </w:p>
        </w:tc>
      </w:tr>
      <w:tr>
        <w:trPr>
          <w:trHeight w:val="215"/>
        </w:trPr>
        <w:tc>
          <w:tcPr>
            <w:tcW w:w="386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Certificates of deposit</w:t>
            </w:r>
          </w:p>
        </w:tc>
        <w:tc>
          <w:tcPr>
            <w:tcW w:w="302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gridSpan w:val="2"/>
            <w:shd w:val="clear" w:color="auto" w:fill="B2B2B2"/>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3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3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422,665</w:t>
            </w:r>
          </w:p>
        </w:tc>
      </w:tr>
      <w:tr>
        <w:trPr>
          <w:trHeight w:val="431"/>
        </w:trPr>
        <w:tc>
          <w:tcPr>
            <w:tcW w:w="3860" w:type="dxa"/>
            <w:vAlign w:val="bottom"/>
          </w:tcPr>
          <w:p>
            <w:pPr>
              <w:spacing w:after="0"/>
              <w:rPr>
                <w:sz w:val="24"/>
                <w:szCs w:val="24"/>
                <w:color w:val="auto"/>
              </w:rPr>
            </w:pPr>
          </w:p>
        </w:tc>
        <w:tc>
          <w:tcPr>
            <w:tcW w:w="3020" w:type="dxa"/>
            <w:vAlign w:val="bottom"/>
          </w:tcPr>
          <w:p>
            <w:pPr>
              <w:jc w:val="right"/>
              <w:ind w:right="10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3860" w:type="dxa"/>
            <w:vAlign w:val="bottom"/>
            <w:tcBorders>
              <w:bottom w:val="single" w:sz="8" w:color="EEEEEE"/>
            </w:tcBorders>
          </w:tcPr>
          <w:p>
            <w:pPr>
              <w:spacing w:after="0"/>
              <w:rPr>
                <w:sz w:val="18"/>
                <w:szCs w:val="18"/>
                <w:color w:val="auto"/>
              </w:rPr>
            </w:pPr>
          </w:p>
        </w:tc>
        <w:tc>
          <w:tcPr>
            <w:tcW w:w="302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98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95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fair values of securities with unrealized losses at December 31, 2019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December 31, 2019</w:t>
            </w: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4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 months or more</w:t>
            </w: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7"/>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10"/>
              <w:spacing w:after="0" w:line="197" w:lineRule="exact"/>
              <w:rPr>
                <w:sz w:val="20"/>
                <w:szCs w:val="20"/>
                <w:color w:val="auto"/>
              </w:rPr>
            </w:pPr>
            <w:r>
              <w:rPr>
                <w:rFonts w:ascii="Arial" w:cs="Arial" w:eastAsia="Arial" w:hAnsi="Arial"/>
                <w:sz w:val="18"/>
                <w:szCs w:val="18"/>
                <w:b w:val="1"/>
                <w:bCs w:val="1"/>
                <w:color w:val="auto"/>
                <w:w w:val="90"/>
              </w:rPr>
              <w:t>Estimated</w:t>
            </w:r>
          </w:p>
        </w:tc>
        <w:tc>
          <w:tcPr>
            <w:tcW w:w="140" w:type="dxa"/>
            <w:vAlign w:val="bottom"/>
          </w:tcPr>
          <w:p>
            <w:pPr>
              <w:spacing w:after="0"/>
              <w:rPr>
                <w:sz w:val="17"/>
                <w:szCs w:val="17"/>
                <w:color w:val="auto"/>
              </w:rPr>
            </w:pPr>
          </w:p>
        </w:tc>
        <w:tc>
          <w:tcPr>
            <w:tcW w:w="1000" w:type="dxa"/>
            <w:vAlign w:val="bottom"/>
          </w:tcPr>
          <w:p>
            <w:pPr>
              <w:spacing w:after="0" w:line="197" w:lineRule="exact"/>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7"/>
                <w:szCs w:val="17"/>
                <w:color w:val="auto"/>
              </w:rPr>
            </w:pPr>
          </w:p>
        </w:tc>
        <w:tc>
          <w:tcPr>
            <w:tcW w:w="960" w:type="dxa"/>
            <w:vAlign w:val="bottom"/>
          </w:tcPr>
          <w:p>
            <w:pPr>
              <w:jc w:val="right"/>
              <w:ind w:right="70"/>
              <w:spacing w:after="0" w:line="197"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gridSpan w:val="2"/>
          </w:tcPr>
          <w:p>
            <w:pPr>
              <w:jc w:val="right"/>
              <w:ind w:right="30"/>
              <w:spacing w:after="0" w:line="197" w:lineRule="exact"/>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7"/>
                <w:szCs w:val="17"/>
                <w:color w:val="auto"/>
              </w:rPr>
            </w:pPr>
          </w:p>
        </w:tc>
        <w:tc>
          <w:tcPr>
            <w:tcW w:w="940" w:type="dxa"/>
            <w:vAlign w:val="bottom"/>
          </w:tcPr>
          <w:p>
            <w:pPr>
              <w:jc w:val="right"/>
              <w:ind w:right="70"/>
              <w:spacing w:after="0" w:line="197" w:lineRule="exact"/>
              <w:rPr>
                <w:sz w:val="20"/>
                <w:szCs w:val="20"/>
                <w:color w:val="auto"/>
              </w:rPr>
            </w:pPr>
            <w:r>
              <w:rPr>
                <w:rFonts w:ascii="Arial" w:cs="Arial" w:eastAsia="Arial" w:hAnsi="Arial"/>
                <w:sz w:val="18"/>
                <w:szCs w:val="18"/>
                <w:b w:val="1"/>
                <w:bCs w:val="1"/>
                <w:color w:val="auto"/>
                <w:w w:val="88"/>
              </w:rPr>
              <w:t>Estimated</w:t>
            </w:r>
          </w:p>
        </w:tc>
        <w:tc>
          <w:tcPr>
            <w:tcW w:w="1060" w:type="dxa"/>
            <w:vAlign w:val="bottom"/>
            <w:gridSpan w:val="2"/>
          </w:tcPr>
          <w:p>
            <w:pPr>
              <w:jc w:val="center"/>
              <w:spacing w:after="0" w:line="197" w:lineRule="exact"/>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7"/>
                <w:szCs w:val="17"/>
                <w:color w:val="auto"/>
              </w:rPr>
            </w:pPr>
          </w:p>
        </w:tc>
      </w:tr>
      <w:tr>
        <w:trPr>
          <w:trHeight w:val="241"/>
        </w:trPr>
        <w:tc>
          <w:tcPr>
            <w:tcW w:w="462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0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20"/>
                <w:szCs w:val="20"/>
                <w:color w:val="auto"/>
              </w:rPr>
            </w:pPr>
          </w:p>
        </w:tc>
        <w:tc>
          <w:tcPr>
            <w:tcW w:w="1000" w:type="dxa"/>
            <w:vAlign w:val="bottom"/>
          </w:tcPr>
          <w:p>
            <w:pPr>
              <w:ind w:left="180"/>
              <w:spacing w:after="0"/>
              <w:rPr>
                <w:sz w:val="20"/>
                <w:szCs w:val="20"/>
                <w:color w:val="auto"/>
              </w:rPr>
            </w:pPr>
            <w:r>
              <w:rPr>
                <w:rFonts w:ascii="Arial" w:cs="Arial" w:eastAsia="Arial" w:hAnsi="Arial"/>
                <w:sz w:val="18"/>
                <w:szCs w:val="18"/>
                <w:b w:val="1"/>
                <w:bCs w:val="1"/>
                <w:color w:val="auto"/>
              </w:rPr>
              <w:t>Losses</w:t>
            </w:r>
          </w:p>
        </w:tc>
        <w:tc>
          <w:tcPr>
            <w:tcW w:w="16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Fair Value</w:t>
            </w:r>
          </w:p>
        </w:tc>
        <w:tc>
          <w:tcPr>
            <w:tcW w:w="11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Losses</w:t>
            </w:r>
          </w:p>
        </w:tc>
        <w:tc>
          <w:tcPr>
            <w:tcW w:w="16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Fair Value</w:t>
            </w:r>
          </w:p>
        </w:tc>
        <w:tc>
          <w:tcPr>
            <w:tcW w:w="260" w:type="dxa"/>
            <w:vAlign w:val="bottom"/>
          </w:tcPr>
          <w:p>
            <w:pPr>
              <w:spacing w:after="0"/>
              <w:rPr>
                <w:sz w:val="20"/>
                <w:szCs w:val="20"/>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0"/>
              </w:rPr>
              <w:t>Losses</w:t>
            </w:r>
          </w:p>
        </w:tc>
      </w:tr>
      <w:tr>
        <w:trPr>
          <w:trHeight w:val="215"/>
        </w:trPr>
        <w:tc>
          <w:tcPr>
            <w:tcW w:w="462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rPr>
              <w:t>State and political subdivisions</w:t>
            </w:r>
          </w:p>
        </w:tc>
        <w:tc>
          <w:tcPr>
            <w:tcW w:w="1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B2B2B2"/>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B2B2B2"/>
          </w:tcPr>
          <w:p>
            <w:pPr>
              <w:jc w:val="right"/>
              <w:ind w:right="53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5"/>
        </w:trPr>
        <w:tc>
          <w:tcPr>
            <w:tcW w:w="46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3,801</w:t>
            </w:r>
          </w:p>
        </w:tc>
        <w:tc>
          <w:tcPr>
            <w:tcW w:w="14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17,593</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157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21,394</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r>
      <w:tr>
        <w:trPr>
          <w:trHeight w:val="215"/>
        </w:trPr>
        <w:tc>
          <w:tcPr>
            <w:tcW w:w="462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Certificates of deposit</w:t>
            </w:r>
          </w:p>
        </w:tc>
        <w:tc>
          <w:tcPr>
            <w:tcW w:w="10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B2B2B2"/>
          </w:tcPr>
          <w:p>
            <w:pPr>
              <w:spacing w:after="0"/>
              <w:rPr>
                <w:sz w:val="18"/>
                <w:szCs w:val="18"/>
                <w:color w:val="auto"/>
              </w:rPr>
            </w:pPr>
          </w:p>
        </w:tc>
        <w:tc>
          <w:tcPr>
            <w:tcW w:w="3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B2B2B2"/>
          </w:tcPr>
          <w:p>
            <w:pPr>
              <w:spacing w:after="0"/>
              <w:rPr>
                <w:sz w:val="18"/>
                <w:szCs w:val="18"/>
                <w:color w:val="auto"/>
              </w:rPr>
            </w:pPr>
          </w:p>
        </w:tc>
        <w:tc>
          <w:tcPr>
            <w:tcW w:w="9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B2B2B2"/>
          </w:tcPr>
          <w:p>
            <w:pPr>
              <w:spacing w:after="0"/>
              <w:rPr>
                <w:sz w:val="18"/>
                <w:szCs w:val="18"/>
                <w:color w:val="auto"/>
              </w:rPr>
            </w:pPr>
          </w:p>
        </w:tc>
        <w:tc>
          <w:tcPr>
            <w:tcW w:w="8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17,593</w:t>
            </w:r>
          </w:p>
        </w:tc>
        <w:tc>
          <w:tcPr>
            <w:tcW w:w="7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21,394</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0" w:type="dxa"/>
            <w:vAlign w:val="bottom"/>
            <w:tcBorders>
              <w:bottom w:val="single" w:sz="8" w:color="auto"/>
            </w:tcBorders>
          </w:tcPr>
          <w:p>
            <w:pPr>
              <w:spacing w:after="0"/>
              <w:rPr>
                <w:sz w:val="18"/>
                <w:szCs w:val="18"/>
                <w:color w:val="auto"/>
              </w:rPr>
            </w:pPr>
          </w:p>
        </w:tc>
      </w:tr>
    </w:tbl>
    <w:p>
      <w:pPr>
        <w:spacing w:after="0" w:line="36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There were no securities in an unrealized loss position as of June 30, 2020. There were 9 securities, or 3% of the total (7 greater than 12 months), in an unrealized loss position as of December 31, 2019.</w:t>
      </w:r>
    </w:p>
    <w:p>
      <w:pPr>
        <w:spacing w:after="0" w:line="15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4"/>
          </w:tcPr>
          <w:p>
            <w:pPr>
              <w:ind w:left="920"/>
              <w:spacing w:after="0"/>
              <w:rPr>
                <w:sz w:val="20"/>
                <w:szCs w:val="20"/>
                <w:color w:val="auto"/>
              </w:rPr>
            </w:pPr>
            <w:r>
              <w:rPr>
                <w:rFonts w:ascii="Arial" w:cs="Arial" w:eastAsia="Arial" w:hAnsi="Arial"/>
                <w:sz w:val="18"/>
                <w:szCs w:val="18"/>
                <w:b w:val="1"/>
                <w:bCs w:val="1"/>
                <w:color w:val="auto"/>
              </w:rPr>
              <w:t>June 30, 2020</w:t>
            </w:r>
          </w:p>
        </w:tc>
      </w:tr>
      <w:tr>
        <w:trPr>
          <w:trHeight w:val="222"/>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8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Amortized Cost</w:t>
            </w: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19"/>
                <w:szCs w:val="19"/>
                <w:color w:val="auto"/>
              </w:rPr>
            </w:pPr>
          </w:p>
        </w:tc>
      </w:tr>
      <w:tr>
        <w:trPr>
          <w:trHeight w:val="215"/>
        </w:trPr>
        <w:tc>
          <w:tcPr>
            <w:tcW w:w="5300" w:type="dxa"/>
            <w:vAlign w:val="bottom"/>
            <w:shd w:val="clear" w:color="auto" w:fill="B2B2B2"/>
          </w:tcPr>
          <w:p>
            <w:pPr>
              <w:spacing w:after="0"/>
              <w:rPr>
                <w:sz w:val="20"/>
                <w:szCs w:val="20"/>
                <w:color w:val="auto"/>
              </w:rPr>
            </w:pPr>
            <w:r>
              <w:rPr>
                <w:rFonts w:ascii="Arial" w:cs="Arial" w:eastAsia="Arial" w:hAnsi="Arial"/>
                <w:sz w:val="18"/>
                <w:szCs w:val="18"/>
                <w:color w:val="auto"/>
              </w:rPr>
              <w:t>Due in 1 year or less</w:t>
            </w:r>
          </w:p>
        </w:tc>
        <w:tc>
          <w:tcPr>
            <w:tcW w:w="294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54,652</w:t>
            </w:r>
          </w:p>
        </w:tc>
        <w:tc>
          <w:tcPr>
            <w:tcW w:w="2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55,208</w:t>
            </w:r>
          </w:p>
        </w:tc>
        <w:tc>
          <w:tcPr>
            <w:tcW w:w="20" w:type="dxa"/>
            <w:vAlign w:val="bottom"/>
          </w:tcPr>
          <w:p>
            <w:pPr>
              <w:spacing w:after="0"/>
              <w:rPr>
                <w:sz w:val="18"/>
                <w:szCs w:val="18"/>
                <w:color w:val="auto"/>
              </w:rPr>
            </w:pPr>
          </w:p>
        </w:tc>
      </w:tr>
      <w:tr>
        <w:trPr>
          <w:trHeight w:val="215"/>
        </w:trPr>
        <w:tc>
          <w:tcPr>
            <w:tcW w:w="5300" w:type="dxa"/>
            <w:vAlign w:val="bottom"/>
          </w:tcPr>
          <w:p>
            <w:pPr>
              <w:spacing w:after="0"/>
              <w:rPr>
                <w:sz w:val="20"/>
                <w:szCs w:val="20"/>
                <w:color w:val="auto"/>
              </w:rPr>
            </w:pPr>
            <w:r>
              <w:rPr>
                <w:rFonts w:ascii="Arial" w:cs="Arial" w:eastAsia="Arial" w:hAnsi="Arial"/>
                <w:sz w:val="18"/>
                <w:szCs w:val="18"/>
                <w:color w:val="auto"/>
              </w:rPr>
              <w:t>Due after 1 year through 5 years</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85,421</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89,213</w:t>
            </w:r>
          </w:p>
        </w:tc>
        <w:tc>
          <w:tcPr>
            <w:tcW w:w="20" w:type="dxa"/>
            <w:vAlign w:val="bottom"/>
          </w:tcPr>
          <w:p>
            <w:pPr>
              <w:spacing w:after="0"/>
              <w:rPr>
                <w:sz w:val="18"/>
                <w:szCs w:val="18"/>
                <w:color w:val="auto"/>
              </w:rPr>
            </w:pPr>
          </w:p>
        </w:tc>
      </w:tr>
      <w:tr>
        <w:trPr>
          <w:trHeight w:val="215"/>
        </w:trPr>
        <w:tc>
          <w:tcPr>
            <w:tcW w:w="5300" w:type="dxa"/>
            <w:vAlign w:val="bottom"/>
            <w:shd w:val="clear" w:color="auto" w:fill="B2B2B2"/>
          </w:tcPr>
          <w:p>
            <w:pPr>
              <w:spacing w:after="0"/>
              <w:rPr>
                <w:sz w:val="20"/>
                <w:szCs w:val="20"/>
                <w:color w:val="auto"/>
              </w:rPr>
            </w:pPr>
            <w:r>
              <w:rPr>
                <w:rFonts w:ascii="Arial" w:cs="Arial" w:eastAsia="Arial" w:hAnsi="Arial"/>
                <w:sz w:val="18"/>
                <w:szCs w:val="18"/>
                <w:color w:val="auto"/>
              </w:rPr>
              <w:t>Due after 5 years through 10 years</w:t>
            </w:r>
          </w:p>
        </w:tc>
        <w:tc>
          <w:tcPr>
            <w:tcW w:w="28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5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188,475</w:t>
            </w:r>
          </w:p>
        </w:tc>
        <w:tc>
          <w:tcPr>
            <w:tcW w:w="260" w:type="dxa"/>
            <w:vAlign w:val="bottom"/>
            <w:shd w:val="clear" w:color="auto" w:fill="B2B2B2"/>
          </w:tcPr>
          <w:p>
            <w:pPr>
              <w:spacing w:after="0"/>
              <w:rPr>
                <w:sz w:val="18"/>
                <w:szCs w:val="18"/>
                <w:color w:val="auto"/>
              </w:rPr>
            </w:pPr>
          </w:p>
        </w:tc>
        <w:tc>
          <w:tcPr>
            <w:tcW w:w="12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202,974</w:t>
            </w:r>
          </w:p>
        </w:tc>
        <w:tc>
          <w:tcPr>
            <w:tcW w:w="20" w:type="dxa"/>
            <w:vAlign w:val="bottom"/>
          </w:tcPr>
          <w:p>
            <w:pPr>
              <w:spacing w:after="0"/>
              <w:rPr>
                <w:sz w:val="18"/>
                <w:szCs w:val="18"/>
                <w:color w:val="auto"/>
              </w:rPr>
            </w:pPr>
          </w:p>
        </w:tc>
      </w:tr>
      <w:tr>
        <w:trPr>
          <w:trHeight w:val="215"/>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Due after 10 years</w:t>
            </w:r>
          </w:p>
        </w:tc>
        <w:tc>
          <w:tcPr>
            <w:tcW w:w="2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31,442</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32,576</w:t>
            </w:r>
          </w:p>
        </w:tc>
        <w:tc>
          <w:tcPr>
            <w:tcW w:w="20" w:type="dxa"/>
            <w:vAlign w:val="bottom"/>
          </w:tcPr>
          <w:p>
            <w:pPr>
              <w:spacing w:after="0"/>
              <w:rPr>
                <w:sz w:val="18"/>
                <w:szCs w:val="18"/>
                <w:color w:val="auto"/>
              </w:rPr>
            </w:pPr>
          </w:p>
        </w:tc>
      </w:tr>
      <w:tr>
        <w:trPr>
          <w:trHeight w:val="216"/>
        </w:trPr>
        <w:tc>
          <w:tcPr>
            <w:tcW w:w="5300" w:type="dxa"/>
            <w:vAlign w:val="bottom"/>
            <w:tcBorders>
              <w:bottom w:val="single" w:sz="8" w:color="auto"/>
            </w:tcBorders>
            <w:shd w:val="clear" w:color="auto" w:fill="B2B2B2"/>
          </w:tcPr>
          <w:p>
            <w:pPr>
              <w:ind w:left="180"/>
              <w:spacing w:after="0"/>
              <w:rPr>
                <w:sz w:val="20"/>
                <w:szCs w:val="20"/>
                <w:color w:val="auto"/>
              </w:rPr>
            </w:pPr>
            <w:r>
              <w:rPr>
                <w:rFonts w:ascii="Arial" w:cs="Arial" w:eastAsia="Arial" w:hAnsi="Arial"/>
                <w:sz w:val="18"/>
                <w:szCs w:val="18"/>
                <w:color w:val="auto"/>
              </w:rPr>
              <w:t>Total</w:t>
            </w:r>
          </w:p>
        </w:tc>
        <w:tc>
          <w:tcPr>
            <w:tcW w:w="2940" w:type="dxa"/>
            <w:vAlign w:val="bottom"/>
            <w:tcBorders>
              <w:bottom w:val="single" w:sz="8" w:color="auto"/>
            </w:tcBorders>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359,990</w:t>
            </w:r>
          </w:p>
        </w:tc>
        <w:tc>
          <w:tcPr>
            <w:tcW w:w="26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379,971</w:t>
            </w:r>
          </w:p>
        </w:tc>
        <w:tc>
          <w:tcPr>
            <w:tcW w:w="20" w:type="dxa"/>
            <w:vAlign w:val="bottom"/>
          </w:tcPr>
          <w:p>
            <w:pPr>
              <w:spacing w:after="0"/>
              <w:rPr>
                <w:sz w:val="18"/>
                <w:szCs w:val="18"/>
                <w:color w:val="auto"/>
              </w:rPr>
            </w:pPr>
          </w:p>
        </w:tc>
      </w:tr>
    </w:tbl>
    <w:p>
      <w:pPr>
        <w:spacing w:after="0" w:line="3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Proceeds from sales of investment securities classified as available-for-sale were $0 and $3,547,000 for the three months ended June 30, 2020 and 2019, respectively, and were $19,629,000 and $4,648,000 for the six months ended June 30, 2020 and 2019, respectively. There were no realized gains for the 3 months ended June 30, 2020 while there were gross realized gains of $8,000 for the three months ended June 30, 2019. Gross realized gains were $1,069,000 and $19,000 for the six months ended June 30, 2020 and 2019, respectively. There were no securities pledged to secure public deposits and for other purposes at June 30,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Note 12 – Fair Value of Financial Instruments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carrying amounts and fair values of the Company’s financial instruments: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4"/>
          </w:tcPr>
          <w:p>
            <w:pPr>
              <w:ind w:left="440"/>
              <w:spacing w:after="0"/>
              <w:rPr>
                <w:sz w:val="20"/>
                <w:szCs w:val="20"/>
                <w:color w:val="auto"/>
              </w:rPr>
            </w:pPr>
            <w:r>
              <w:rPr>
                <w:rFonts w:ascii="Arial" w:cs="Arial" w:eastAsia="Arial" w:hAnsi="Arial"/>
                <w:sz w:val="18"/>
                <w:szCs w:val="18"/>
                <w:b w:val="1"/>
                <w:bCs w:val="1"/>
                <w:color w:val="auto"/>
              </w:rPr>
              <w:t>June 30, 2020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December 31, 2019</w:t>
            </w:r>
          </w:p>
        </w:tc>
      </w:tr>
      <w:tr>
        <w:trPr>
          <w:trHeight w:val="197"/>
        </w:trPr>
        <w:tc>
          <w:tcPr>
            <w:tcW w:w="38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30"/>
              <w:spacing w:after="0" w:line="197" w:lineRule="exact"/>
              <w:rPr>
                <w:sz w:val="20"/>
                <w:szCs w:val="20"/>
                <w:color w:val="auto"/>
              </w:rPr>
            </w:pPr>
            <w:r>
              <w:rPr>
                <w:rFonts w:ascii="Arial" w:cs="Arial" w:eastAsia="Arial" w:hAnsi="Arial"/>
                <w:sz w:val="18"/>
                <w:szCs w:val="18"/>
                <w:b w:val="1"/>
                <w:bCs w:val="1"/>
                <w:color w:val="auto"/>
                <w:w w:val="97"/>
              </w:rPr>
              <w:t>Carrying</w:t>
            </w: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90"/>
              <w:spacing w:after="0" w:line="197" w:lineRule="exact"/>
              <w:rPr>
                <w:sz w:val="20"/>
                <w:szCs w:val="20"/>
                <w:color w:val="auto"/>
              </w:rPr>
            </w:pPr>
            <w:r>
              <w:rPr>
                <w:rFonts w:ascii="Arial" w:cs="Arial" w:eastAsia="Arial" w:hAnsi="Arial"/>
                <w:sz w:val="18"/>
                <w:szCs w:val="18"/>
                <w:b w:val="1"/>
                <w:bCs w:val="1"/>
                <w:color w:val="auto"/>
                <w:w w:val="97"/>
              </w:rPr>
              <w:t>Carrying</w:t>
            </w: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4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Fair Value</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0"/>
              </w:rPr>
              <w:t>Fair Value</w:t>
            </w:r>
          </w:p>
        </w:tc>
      </w:tr>
      <w:tr>
        <w:trPr>
          <w:trHeight w:val="215"/>
        </w:trPr>
        <w:tc>
          <w:tcPr>
            <w:tcW w:w="3860" w:type="dxa"/>
            <w:vAlign w:val="bottom"/>
            <w:shd w:val="clear" w:color="auto" w:fill="B2B2B2"/>
          </w:tcPr>
          <w:p>
            <w:pPr>
              <w:spacing w:after="0"/>
              <w:rPr>
                <w:sz w:val="20"/>
                <w:szCs w:val="20"/>
                <w:color w:val="auto"/>
              </w:rPr>
            </w:pPr>
            <w:r>
              <w:rPr>
                <w:rFonts w:ascii="Arial" w:cs="Arial" w:eastAsia="Arial" w:hAnsi="Arial"/>
                <w:sz w:val="18"/>
                <w:szCs w:val="18"/>
                <w:color w:val="auto"/>
              </w:rPr>
              <w:t>Balance sheet assets:</w:t>
            </w:r>
          </w:p>
        </w:tc>
        <w:tc>
          <w:tcPr>
            <w:tcW w:w="30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r>
      <w:tr>
        <w:trPr>
          <w:trHeight w:val="215"/>
        </w:trPr>
        <w:tc>
          <w:tcPr>
            <w:tcW w:w="38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232,139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232,139</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203,954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203,954</w:t>
            </w:r>
          </w:p>
        </w:tc>
      </w:tr>
      <w:tr>
        <w:trPr>
          <w:trHeight w:val="215"/>
        </w:trPr>
        <w:tc>
          <w:tcPr>
            <w:tcW w:w="38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Investment securities</w:t>
            </w:r>
          </w:p>
        </w:tc>
        <w:tc>
          <w:tcPr>
            <w:tcW w:w="30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379,971</w:t>
            </w:r>
          </w:p>
        </w:tc>
        <w:tc>
          <w:tcPr>
            <w:tcW w:w="160" w:type="dxa"/>
            <w:vAlign w:val="bottom"/>
            <w:shd w:val="clear" w:color="auto" w:fill="B2B2B2"/>
          </w:tcPr>
          <w:p>
            <w:pPr>
              <w:spacing w:after="0"/>
              <w:rPr>
                <w:sz w:val="18"/>
                <w:szCs w:val="18"/>
                <w:color w:val="auto"/>
              </w:rPr>
            </w:pPr>
          </w:p>
        </w:tc>
        <w:tc>
          <w:tcPr>
            <w:tcW w:w="96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379,971</w:t>
            </w:r>
          </w:p>
        </w:tc>
        <w:tc>
          <w:tcPr>
            <w:tcW w:w="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422,665</w:t>
            </w:r>
          </w:p>
        </w:tc>
        <w:tc>
          <w:tcPr>
            <w:tcW w:w="160" w:type="dxa"/>
            <w:vAlign w:val="bottom"/>
            <w:shd w:val="clear" w:color="auto" w:fill="B2B2B2"/>
          </w:tcPr>
          <w:p>
            <w:pPr>
              <w:spacing w:after="0"/>
              <w:rPr>
                <w:sz w:val="18"/>
                <w:szCs w:val="18"/>
                <w:color w:val="auto"/>
              </w:rPr>
            </w:pPr>
          </w:p>
        </w:tc>
        <w:tc>
          <w:tcPr>
            <w:tcW w:w="90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422,665</w:t>
            </w:r>
          </w:p>
        </w:tc>
      </w:tr>
      <w:tr>
        <w:trPr>
          <w:trHeight w:val="215"/>
        </w:trPr>
        <w:tc>
          <w:tcPr>
            <w:tcW w:w="3860" w:type="dxa"/>
            <w:vAlign w:val="bottom"/>
          </w:tcPr>
          <w:p>
            <w:pPr>
              <w:ind w:left="180"/>
              <w:spacing w:after="0"/>
              <w:rPr>
                <w:sz w:val="20"/>
                <w:szCs w:val="20"/>
                <w:color w:val="auto"/>
              </w:rPr>
            </w:pPr>
            <w:r>
              <w:rPr>
                <w:rFonts w:ascii="Arial" w:cs="Arial" w:eastAsia="Arial" w:hAnsi="Arial"/>
                <w:sz w:val="18"/>
                <w:szCs w:val="18"/>
                <w:color w:val="auto"/>
              </w:rPr>
              <w:t>Loans, net</w:t>
            </w: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952,434</w:t>
            </w: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953,118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762,082</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776,653</w:t>
            </w:r>
          </w:p>
        </w:tc>
      </w:tr>
      <w:tr>
        <w:trPr>
          <w:trHeight w:val="215"/>
        </w:trPr>
        <w:tc>
          <w:tcPr>
            <w:tcW w:w="3860" w:type="dxa"/>
            <w:vAlign w:val="bottom"/>
            <w:tcBorders>
              <w:bottom w:val="single" w:sz="8" w:color="auto"/>
            </w:tcBorders>
            <w:shd w:val="clear" w:color="auto" w:fill="B2B2B2"/>
          </w:tcPr>
          <w:p>
            <w:pPr>
              <w:ind w:left="180"/>
              <w:spacing w:after="0"/>
              <w:rPr>
                <w:sz w:val="20"/>
                <w:szCs w:val="20"/>
                <w:color w:val="auto"/>
              </w:rPr>
            </w:pPr>
            <w:r>
              <w:rPr>
                <w:rFonts w:ascii="Arial" w:cs="Arial" w:eastAsia="Arial" w:hAnsi="Arial"/>
                <w:sz w:val="18"/>
                <w:szCs w:val="18"/>
                <w:color w:val="auto"/>
              </w:rPr>
              <w:t>Accrued interest receivable</w:t>
            </w:r>
          </w:p>
        </w:tc>
        <w:tc>
          <w:tcPr>
            <w:tcW w:w="302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6,582</w:t>
            </w:r>
          </w:p>
        </w:tc>
        <w:tc>
          <w:tcPr>
            <w:tcW w:w="16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6,582</w:t>
            </w:r>
          </w:p>
        </w:tc>
        <w:tc>
          <w:tcPr>
            <w:tcW w:w="6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6,706</w:t>
            </w:r>
          </w:p>
        </w:tc>
        <w:tc>
          <w:tcPr>
            <w:tcW w:w="16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gridSpan w:val="2"/>
            <w:shd w:val="clear" w:color="auto" w:fill="B2B2B2"/>
          </w:tcPr>
          <w:p>
            <w:pPr>
              <w:jc w:val="right"/>
              <w:spacing w:after="0"/>
              <w:rPr>
                <w:sz w:val="20"/>
                <w:szCs w:val="20"/>
                <w:color w:val="auto"/>
              </w:rPr>
            </w:pPr>
            <w:r>
              <w:rPr>
                <w:rFonts w:ascii="Arial" w:cs="Arial" w:eastAsia="Arial" w:hAnsi="Arial"/>
                <w:sz w:val="18"/>
                <w:szCs w:val="18"/>
                <w:color w:val="auto"/>
              </w:rPr>
              <w:t>6,706</w:t>
            </w:r>
          </w:p>
        </w:tc>
      </w:tr>
      <w:tr>
        <w:trPr>
          <w:trHeight w:val="209"/>
        </w:trPr>
        <w:tc>
          <w:tcPr>
            <w:tcW w:w="38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w:t>
            </w:r>
          </w:p>
        </w:tc>
        <w:tc>
          <w:tcPr>
            <w:tcW w:w="3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1,571,126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1,571,810</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1,395,407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1,409,978</w:t>
            </w:r>
          </w:p>
        </w:tc>
      </w:tr>
      <w:tr>
        <w:trPr>
          <w:trHeight w:val="209"/>
        </w:trPr>
        <w:tc>
          <w:tcPr>
            <w:tcW w:w="3860" w:type="dxa"/>
            <w:vAlign w:val="bottom"/>
            <w:shd w:val="clear" w:color="auto" w:fill="B2B2B2"/>
          </w:tcPr>
          <w:p>
            <w:pPr>
              <w:spacing w:after="0"/>
              <w:rPr>
                <w:sz w:val="20"/>
                <w:szCs w:val="20"/>
                <w:color w:val="auto"/>
              </w:rPr>
            </w:pPr>
            <w:r>
              <w:rPr>
                <w:rFonts w:ascii="Arial" w:cs="Arial" w:eastAsia="Arial" w:hAnsi="Arial"/>
                <w:sz w:val="18"/>
                <w:szCs w:val="18"/>
                <w:color w:val="auto"/>
              </w:rPr>
              <w:t>Balance sheet liabilities:</w:t>
            </w:r>
          </w:p>
        </w:tc>
        <w:tc>
          <w:tcPr>
            <w:tcW w:w="30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r>
      <w:tr>
        <w:trPr>
          <w:trHeight w:val="215"/>
        </w:trPr>
        <w:tc>
          <w:tcPr>
            <w:tcW w:w="3860" w:type="dxa"/>
            <w:vAlign w:val="bottom"/>
          </w:tcPr>
          <w:p>
            <w:pPr>
              <w:ind w:left="180"/>
              <w:spacing w:after="0"/>
              <w:rPr>
                <w:sz w:val="20"/>
                <w:szCs w:val="20"/>
                <w:color w:val="auto"/>
              </w:rPr>
            </w:pPr>
            <w:r>
              <w:rPr>
                <w:rFonts w:ascii="Arial" w:cs="Arial" w:eastAsia="Arial" w:hAnsi="Arial"/>
                <w:sz w:val="18"/>
                <w:szCs w:val="18"/>
                <w:color w:val="auto"/>
              </w:rPr>
              <w:t>Deposits</w:t>
            </w:r>
          </w:p>
        </w:tc>
        <w:tc>
          <w:tcPr>
            <w:tcW w:w="3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825,956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825,956</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757,136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757,790</w:t>
            </w:r>
          </w:p>
        </w:tc>
      </w:tr>
      <w:tr>
        <w:trPr>
          <w:trHeight w:val="215"/>
        </w:trPr>
        <w:tc>
          <w:tcPr>
            <w:tcW w:w="38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Accounts and drafts payable</w:t>
            </w:r>
          </w:p>
        </w:tc>
        <w:tc>
          <w:tcPr>
            <w:tcW w:w="30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687,538</w:t>
            </w:r>
          </w:p>
        </w:tc>
        <w:tc>
          <w:tcPr>
            <w:tcW w:w="160" w:type="dxa"/>
            <w:vAlign w:val="bottom"/>
            <w:shd w:val="clear" w:color="auto" w:fill="B2B2B2"/>
          </w:tcPr>
          <w:p>
            <w:pPr>
              <w:spacing w:after="0"/>
              <w:rPr>
                <w:sz w:val="18"/>
                <w:szCs w:val="18"/>
                <w:color w:val="auto"/>
              </w:rPr>
            </w:pPr>
          </w:p>
        </w:tc>
        <w:tc>
          <w:tcPr>
            <w:tcW w:w="96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687,538</w:t>
            </w:r>
          </w:p>
        </w:tc>
        <w:tc>
          <w:tcPr>
            <w:tcW w:w="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684,295</w:t>
            </w:r>
          </w:p>
        </w:tc>
        <w:tc>
          <w:tcPr>
            <w:tcW w:w="160" w:type="dxa"/>
            <w:vAlign w:val="bottom"/>
            <w:shd w:val="clear" w:color="auto" w:fill="B2B2B2"/>
          </w:tcPr>
          <w:p>
            <w:pPr>
              <w:spacing w:after="0"/>
              <w:rPr>
                <w:sz w:val="18"/>
                <w:szCs w:val="18"/>
                <w:color w:val="auto"/>
              </w:rPr>
            </w:pPr>
          </w:p>
        </w:tc>
        <w:tc>
          <w:tcPr>
            <w:tcW w:w="90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684,295</w:t>
            </w:r>
          </w:p>
        </w:tc>
      </w:tr>
      <w:tr>
        <w:trPr>
          <w:trHeight w:val="215"/>
        </w:trPr>
        <w:tc>
          <w:tcPr>
            <w:tcW w:w="3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Accrued interest payable</w:t>
            </w:r>
          </w:p>
        </w:tc>
        <w:tc>
          <w:tcPr>
            <w:tcW w:w="3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119</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3860" w:type="dxa"/>
            <w:vAlign w:val="bottom"/>
            <w:tcBorders>
              <w:bottom w:val="single" w:sz="8" w:color="auto"/>
            </w:tcBorders>
            <w:shd w:val="clear" w:color="auto" w:fill="B2B2B2"/>
          </w:tcPr>
          <w:p>
            <w:pPr>
              <w:ind w:left="360"/>
              <w:spacing w:after="0"/>
              <w:rPr>
                <w:sz w:val="20"/>
                <w:szCs w:val="20"/>
                <w:color w:val="auto"/>
              </w:rPr>
            </w:pPr>
            <w:r>
              <w:rPr>
                <w:rFonts w:ascii="Arial" w:cs="Arial" w:eastAsia="Arial" w:hAnsi="Arial"/>
                <w:sz w:val="18"/>
                <w:szCs w:val="18"/>
                <w:color w:val="auto"/>
              </w:rPr>
              <w:t>Total</w:t>
            </w:r>
          </w:p>
        </w:tc>
        <w:tc>
          <w:tcPr>
            <w:tcW w:w="3140" w:type="dxa"/>
            <w:vAlign w:val="bottom"/>
            <w:tcBorders>
              <w:bottom w:val="single" w:sz="8" w:color="auto"/>
            </w:tcBorders>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1,513,613</w:t>
            </w:r>
          </w:p>
        </w:tc>
        <w:tc>
          <w:tcPr>
            <w:tcW w:w="1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1,513,613</w:t>
            </w:r>
          </w:p>
        </w:tc>
        <w:tc>
          <w:tcPr>
            <w:tcW w:w="40" w:type="dxa"/>
            <w:vAlign w:val="bottom"/>
            <w:tcBorders>
              <w:bottom w:val="single" w:sz="8" w:color="auto"/>
            </w:tcBorders>
            <w:shd w:val="clear" w:color="auto" w:fill="B2B2B2"/>
          </w:tcPr>
          <w:p>
            <w:pPr>
              <w:spacing w:after="0"/>
              <w:rPr>
                <w:sz w:val="18"/>
                <w:szCs w:val="18"/>
                <w:color w:val="auto"/>
              </w:rPr>
            </w:pPr>
          </w:p>
        </w:tc>
        <w:tc>
          <w:tcPr>
            <w:tcW w:w="180" w:type="dxa"/>
            <w:vAlign w:val="bottom"/>
            <w:tcBorders>
              <w:bottom w:val="single" w:sz="8" w:color="auto"/>
            </w:tcBorders>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1,441,534</w:t>
            </w:r>
          </w:p>
        </w:tc>
        <w:tc>
          <w:tcPr>
            <w:tcW w:w="1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shd w:val="clear" w:color="auto" w:fill="B2B2B2"/>
          </w:tcPr>
          <w:p>
            <w:pPr>
              <w:jc w:val="right"/>
              <w:spacing w:after="0"/>
              <w:rPr>
                <w:sz w:val="20"/>
                <w:szCs w:val="20"/>
                <w:color w:val="auto"/>
              </w:rPr>
            </w:pPr>
            <w:r>
              <w:rPr>
                <w:rFonts w:ascii="Arial" w:cs="Arial" w:eastAsia="Arial" w:hAnsi="Arial"/>
                <w:sz w:val="18"/>
                <w:szCs w:val="18"/>
                <w:color w:val="auto"/>
              </w:rPr>
              <w:t>1,442,188</w:t>
            </w:r>
          </w:p>
        </w:tc>
      </w:tr>
      <w:tr>
        <w:trPr>
          <w:trHeight w:val="431"/>
        </w:trPr>
        <w:tc>
          <w:tcPr>
            <w:tcW w:w="3860" w:type="dxa"/>
            <w:vAlign w:val="bottom"/>
          </w:tcPr>
          <w:p>
            <w:pPr>
              <w:spacing w:after="0"/>
              <w:rPr>
                <w:sz w:val="24"/>
                <w:szCs w:val="24"/>
                <w:color w:val="auto"/>
              </w:rPr>
            </w:pPr>
          </w:p>
        </w:tc>
        <w:tc>
          <w:tcPr>
            <w:tcW w:w="3020" w:type="dxa"/>
            <w:vAlign w:val="bottom"/>
          </w:tcPr>
          <w:p>
            <w:pPr>
              <w:jc w:val="right"/>
              <w:ind w:right="10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3860" w:type="dxa"/>
            <w:vAlign w:val="bottom"/>
            <w:tcBorders>
              <w:bottom w:val="single" w:sz="8" w:color="EEEEEE"/>
            </w:tcBorders>
          </w:tcPr>
          <w:p>
            <w:pPr>
              <w:spacing w:after="0"/>
              <w:rPr>
                <w:sz w:val="18"/>
                <w:szCs w:val="18"/>
                <w:color w:val="auto"/>
              </w:rPr>
            </w:pPr>
          </w:p>
        </w:tc>
        <w:tc>
          <w:tcPr>
            <w:tcW w:w="302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92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92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955"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8" w:name="page19"/>
    <w:bookmarkEnd w:id="18"/>
    <w:p>
      <w:pPr>
        <w:jc w:val="both"/>
        <w:spacing w:after="0" w:line="276"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that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carrying amount approximates fair value.</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Investment in Securities </w:t>
      </w:r>
      <w:r>
        <w:rPr>
          <w:rFonts w:ascii="Arial" w:cs="Arial" w:eastAsia="Arial" w:hAnsi="Arial"/>
          <w:sz w:val="18"/>
          <w:szCs w:val="18"/>
          <w:color w:val="auto"/>
        </w:rPr>
        <w:t>– The fair value is measured on a recurring basis using Level 2 valuations. Refer to Note 11, “Investment in Securities,” for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and unrealized gains and losses by investment type.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 The fair value is estimated using present values of future cash flows discounted at risk-adjusted interest rates for each loan category designated by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is therefore a Level 3 valuation. Management believes that the risk factor embedded in the interest rates along with the allowance for loan losses result in a fair valuation.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Accrued Interest Receivable </w:t>
      </w:r>
      <w:r>
        <w:rPr>
          <w:rFonts w:ascii="Arial" w:cs="Arial" w:eastAsia="Arial" w:hAnsi="Arial"/>
          <w:sz w:val="18"/>
          <w:szCs w:val="18"/>
          <w:color w:val="auto"/>
        </w:rPr>
        <w:t>– The carrying amount approximates fair value.</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Deposits </w:t>
      </w:r>
      <w:r>
        <w:rPr>
          <w:rFonts w:ascii="Arial" w:cs="Arial" w:eastAsia="Arial" w:hAnsi="Arial"/>
          <w:sz w:val="16"/>
          <w:szCs w:val="16"/>
          <w:color w:val="auto"/>
        </w:rPr>
        <w:t>– The fair value of demand deposits, savings deposits and certain money market deposits is the amount payable on demand at the reporting date.</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Accounts and Drafts Payable </w:t>
      </w:r>
      <w:r>
        <w:rPr>
          <w:rFonts w:ascii="Arial" w:cs="Arial" w:eastAsia="Arial" w:hAnsi="Arial"/>
          <w:sz w:val="18"/>
          <w:szCs w:val="18"/>
          <w:color w:val="auto"/>
        </w:rPr>
        <w:t>– The carrying amount approximates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Accrued Interest </w:t>
      </w:r>
      <w:r>
        <w:rPr>
          <w:rFonts w:ascii="Arial" w:cs="Arial" w:eastAsia="Arial" w:hAnsi="Arial"/>
          <w:sz w:val="18"/>
          <w:szCs w:val="18"/>
          <w:color w:val="auto"/>
        </w:rPr>
        <w:t>– The carrying amount approximates fair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 financial instruments are measured using Level 3 inputs for the three months ended June 30, 2020 and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13 – Revenue from Contracts with Customers</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The services that fall within the scope of FASB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(“FASB ASC 606”), are presented within fee revenue and other income in the Consolidated Statements of Income and are recognized as revenue as the obligation to the customer is satisfied. Services within the scope of FASB ASC 606 include invoice processing and payment fees, bank service fees, and other real estate owned (“OREO”). Since interest income on loans and securities are both excluded from this topic, a significant portion of the Company’s revenues are not subject to the guidance.</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Invoice processing fees </w:t>
      </w:r>
      <w:r>
        <w:rPr>
          <w:rFonts w:ascii="Arial" w:cs="Arial" w:eastAsia="Arial" w:hAnsi="Arial"/>
          <w:sz w:val="18"/>
          <w:szCs w:val="18"/>
          <w:color w:val="auto"/>
        </w:rPr>
        <w:t>– The Company earns fees on a per-item or monthly basis for the invoice processing services rendered on behalf of customers. Per-item fees are recognized at the point in time when the performance obligation is satisfied. Monthly fees are earned over the course of a month, representing the period over which the performance obligation is satisfied. The contracts have no significant impact of variable consideration and no significant financing components.</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Invoice payment fees </w:t>
      </w:r>
      <w:r>
        <w:rPr>
          <w:rFonts w:ascii="Arial" w:cs="Arial" w:eastAsia="Arial" w:hAnsi="Arial"/>
          <w:sz w:val="18"/>
          <w:szCs w:val="18"/>
          <w:color w:val="auto"/>
        </w:rPr>
        <w:t>– The Company earns fees on a transaction level basis for invoice payment services when making customer payments.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at the point in time when the payment transactions are made, which is when the performance obligation is satisfied. The contracts have no significant impact of variable consideration and no significant financing components.</w:t>
      </w:r>
    </w:p>
    <w:p>
      <w:pPr>
        <w:spacing w:after="0" w:line="15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i w:val="1"/>
          <w:iCs w:val="1"/>
          <w:color w:val="auto"/>
        </w:rPr>
        <w:t xml:space="preserve">Bank service fees </w:t>
      </w:r>
      <w:r>
        <w:rPr>
          <w:rFonts w:ascii="Arial" w:cs="Arial" w:eastAsia="Arial" w:hAnsi="Arial"/>
          <w:sz w:val="17"/>
          <w:szCs w:val="17"/>
          <w:color w:val="auto"/>
        </w:rPr>
        <w:t>– Revenue from service fees consists of service charges and fees on deposit accounts under depository agreements with customers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access to deposited funds. Service charges on deposit accounts are transaction based fees that are recognized at the point in time when the performance obligation is satisfied. Service charges are recognized on a monthly basis representing the period over which the performance obligation is satisfied. The contracts have no significant impact of variable consideration and no significant financing components.</w:t>
      </w:r>
    </w:p>
    <w:p>
      <w:pPr>
        <w:spacing w:after="0" w:line="158"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i w:val="1"/>
          <w:iCs w:val="1"/>
          <w:color w:val="auto"/>
        </w:rPr>
        <w:t xml:space="preserve">OREO </w:t>
      </w:r>
      <w:r>
        <w:rPr>
          <w:rFonts w:ascii="Arial" w:cs="Arial" w:eastAsia="Arial" w:hAnsi="Arial"/>
          <w:sz w:val="18"/>
          <w:szCs w:val="18"/>
          <w:color w:val="auto"/>
        </w:rPr>
        <w:t>– The Company currently does not have any OREO and has not in recent years. Net gains or losses would be recorded when other real estate is sold</w:t>
      </w:r>
      <w:r>
        <w:rPr>
          <w:rFonts w:ascii="Arial" w:cs="Arial" w:eastAsia="Arial" w:hAnsi="Arial"/>
          <w:sz w:val="18"/>
          <w:szCs w:val="18"/>
          <w:i w:val="1"/>
          <w:iCs w:val="1"/>
          <w:color w:val="auto"/>
        </w:rPr>
        <w:t xml:space="preserve"> </w:t>
      </w:r>
      <w:r>
        <w:rPr>
          <w:rFonts w:ascii="Arial" w:cs="Arial" w:eastAsia="Arial" w:hAnsi="Arial"/>
          <w:sz w:val="18"/>
          <w:szCs w:val="18"/>
          <w:color w:val="auto"/>
        </w:rPr>
        <w:t>to a third party and substantially all of the consideration for the transfer of property is received.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For the Three Months</w:t>
            </w:r>
          </w:p>
        </w:tc>
        <w:tc>
          <w:tcPr>
            <w:tcW w:w="220" w:type="dxa"/>
            <w:vAlign w:val="bottom"/>
          </w:tcPr>
          <w:p>
            <w:pPr>
              <w:spacing w:after="0"/>
              <w:rPr>
                <w:sz w:val="18"/>
                <w:szCs w:val="18"/>
                <w:color w:val="auto"/>
              </w:rPr>
            </w:pPr>
          </w:p>
        </w:tc>
        <w:tc>
          <w:tcPr>
            <w:tcW w:w="2100" w:type="dxa"/>
            <w:vAlign w:val="bottom"/>
            <w:gridSpan w:val="5"/>
          </w:tcPr>
          <w:p>
            <w:pPr>
              <w:jc w:val="right"/>
              <w:ind w:right="330"/>
              <w:spacing w:after="0"/>
              <w:rPr>
                <w:sz w:val="20"/>
                <w:szCs w:val="20"/>
                <w:color w:val="auto"/>
              </w:rPr>
            </w:pPr>
            <w:r>
              <w:rPr>
                <w:rFonts w:ascii="Arial" w:cs="Arial" w:eastAsia="Arial" w:hAnsi="Arial"/>
                <w:sz w:val="18"/>
                <w:szCs w:val="18"/>
                <w:b w:val="1"/>
                <w:bCs w:val="1"/>
                <w:color w:val="auto"/>
              </w:rPr>
              <w:t>For the Six Months</w:t>
            </w:r>
          </w:p>
        </w:tc>
      </w:tr>
      <w:tr>
        <w:trPr>
          <w:trHeight w:val="241"/>
        </w:trPr>
        <w:tc>
          <w:tcPr>
            <w:tcW w:w="5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89"/>
              </w:rPr>
              <w:t>Ended June 30,</w:t>
            </w:r>
          </w:p>
        </w:tc>
        <w:tc>
          <w:tcPr>
            <w:tcW w:w="220" w:type="dxa"/>
            <w:vAlign w:val="bottom"/>
          </w:tcPr>
          <w:p>
            <w:pPr>
              <w:spacing w:after="0"/>
              <w:rPr>
                <w:sz w:val="20"/>
                <w:szCs w:val="20"/>
                <w:color w:val="auto"/>
              </w:rPr>
            </w:pPr>
          </w:p>
        </w:tc>
        <w:tc>
          <w:tcPr>
            <w:tcW w:w="2100" w:type="dxa"/>
            <w:vAlign w:val="bottom"/>
            <w:gridSpan w:val="5"/>
          </w:tcPr>
          <w:p>
            <w:pPr>
              <w:jc w:val="right"/>
              <w:ind w:right="470"/>
              <w:spacing w:after="0"/>
              <w:rPr>
                <w:sz w:val="20"/>
                <w:szCs w:val="20"/>
                <w:color w:val="auto"/>
              </w:rPr>
            </w:pPr>
            <w:r>
              <w:rPr>
                <w:rFonts w:ascii="Arial" w:cs="Arial" w:eastAsia="Arial" w:hAnsi="Arial"/>
                <w:sz w:val="18"/>
                <w:szCs w:val="18"/>
                <w:b w:val="1"/>
                <w:bCs w:val="1"/>
                <w:color w:val="auto"/>
              </w:rPr>
              <w:t>Ended June 30,</w:t>
            </w:r>
          </w:p>
        </w:tc>
      </w:tr>
      <w:tr>
        <w:trPr>
          <w:trHeight w:val="222"/>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r>
      <w:tr>
        <w:trPr>
          <w:trHeight w:val="215"/>
        </w:trPr>
        <w:tc>
          <w:tcPr>
            <w:tcW w:w="5980" w:type="dxa"/>
            <w:vAlign w:val="bottom"/>
            <w:shd w:val="clear" w:color="auto" w:fill="B2B2B2"/>
          </w:tcPr>
          <w:p>
            <w:pPr>
              <w:spacing w:after="0"/>
              <w:rPr>
                <w:sz w:val="20"/>
                <w:szCs w:val="20"/>
                <w:color w:val="auto"/>
              </w:rPr>
            </w:pPr>
            <w:r>
              <w:rPr>
                <w:rFonts w:ascii="Arial" w:cs="Arial" w:eastAsia="Arial" w:hAnsi="Arial"/>
                <w:sz w:val="18"/>
                <w:szCs w:val="18"/>
                <w:color w:val="auto"/>
              </w:rPr>
              <w:t>Fee revenue and other income</w:t>
            </w:r>
          </w:p>
        </w:tc>
        <w:tc>
          <w:tcPr>
            <w:tcW w:w="2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r>
      <w:tr>
        <w:trPr>
          <w:trHeight w:val="215"/>
        </w:trPr>
        <w:tc>
          <w:tcPr>
            <w:tcW w:w="5980" w:type="dxa"/>
            <w:vAlign w:val="bottom"/>
          </w:tcPr>
          <w:p>
            <w:pPr>
              <w:ind w:left="180"/>
              <w:spacing w:after="0"/>
              <w:rPr>
                <w:sz w:val="20"/>
                <w:szCs w:val="20"/>
                <w:color w:val="auto"/>
              </w:rPr>
            </w:pPr>
            <w:r>
              <w:rPr>
                <w:rFonts w:ascii="Arial" w:cs="Arial" w:eastAsia="Arial" w:hAnsi="Arial"/>
                <w:sz w:val="18"/>
                <w:szCs w:val="18"/>
                <w:i w:val="1"/>
                <w:iCs w:val="1"/>
                <w:color w:val="auto"/>
              </w:rPr>
              <w:t>In-scope of FASB ASC 606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5"/>
        </w:trPr>
        <w:tc>
          <w:tcPr>
            <w:tcW w:w="5980" w:type="dxa"/>
            <w:vAlign w:val="bottom"/>
            <w:shd w:val="clear" w:color="auto" w:fill="B2B2B2"/>
          </w:tcPr>
          <w:p>
            <w:pPr>
              <w:ind w:left="360"/>
              <w:spacing w:after="0"/>
              <w:rPr>
                <w:sz w:val="20"/>
                <w:szCs w:val="20"/>
                <w:color w:val="auto"/>
              </w:rPr>
            </w:pPr>
            <w:r>
              <w:rPr>
                <w:rFonts w:ascii="Arial" w:cs="Arial" w:eastAsia="Arial" w:hAnsi="Arial"/>
                <w:sz w:val="18"/>
                <w:szCs w:val="18"/>
                <w:color w:val="auto"/>
              </w:rPr>
              <w:t>Invoice processing fees</w:t>
            </w:r>
          </w:p>
        </w:tc>
        <w:tc>
          <w:tcPr>
            <w:tcW w:w="460" w:type="dxa"/>
            <w:vAlign w:val="bottom"/>
            <w:gridSpan w:val="2"/>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17,923</w:t>
            </w:r>
          </w:p>
        </w:tc>
        <w:tc>
          <w:tcPr>
            <w:tcW w:w="360" w:type="dxa"/>
            <w:vAlign w:val="bottom"/>
            <w:gridSpan w:val="2"/>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20,447</w:t>
            </w:r>
          </w:p>
        </w:tc>
        <w:tc>
          <w:tcPr>
            <w:tcW w:w="22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B2B2B2"/>
          </w:tcPr>
          <w:p>
            <w:pPr>
              <w:ind w:left="400"/>
              <w:spacing w:after="0"/>
              <w:rPr>
                <w:sz w:val="20"/>
                <w:szCs w:val="20"/>
                <w:color w:val="auto"/>
              </w:rPr>
            </w:pPr>
            <w:r>
              <w:rPr>
                <w:rFonts w:ascii="Arial" w:cs="Arial" w:eastAsia="Arial" w:hAnsi="Arial"/>
                <w:sz w:val="18"/>
                <w:szCs w:val="18"/>
                <w:color w:val="auto"/>
              </w:rPr>
              <w:t>37,047</w:t>
            </w:r>
          </w:p>
        </w:tc>
        <w:tc>
          <w:tcPr>
            <w:tcW w:w="320" w:type="dxa"/>
            <w:vAlign w:val="bottom"/>
            <w:gridSpan w:val="2"/>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40,989</w:t>
            </w:r>
          </w:p>
        </w:tc>
      </w:tr>
      <w:tr>
        <w:trPr>
          <w:trHeight w:val="215"/>
        </w:trPr>
        <w:tc>
          <w:tcPr>
            <w:tcW w:w="5980" w:type="dxa"/>
            <w:vAlign w:val="bottom"/>
          </w:tcPr>
          <w:p>
            <w:pPr>
              <w:ind w:left="360"/>
              <w:spacing w:after="0"/>
              <w:rPr>
                <w:sz w:val="20"/>
                <w:szCs w:val="20"/>
                <w:color w:val="auto"/>
              </w:rPr>
            </w:pPr>
            <w:r>
              <w:rPr>
                <w:rFonts w:ascii="Arial" w:cs="Arial" w:eastAsia="Arial" w:hAnsi="Arial"/>
                <w:sz w:val="18"/>
                <w:szCs w:val="18"/>
                <w:color w:val="auto"/>
              </w:rPr>
              <w:t>Invoice payment fees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6,405</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11,117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12,320</w:t>
            </w:r>
          </w:p>
        </w:tc>
      </w:tr>
      <w:tr>
        <w:trPr>
          <w:trHeight w:val="209"/>
        </w:trPr>
        <w:tc>
          <w:tcPr>
            <w:tcW w:w="5980" w:type="dxa"/>
            <w:vAlign w:val="bottom"/>
            <w:tcBorders>
              <w:top w:val="single" w:sz="8" w:color="B2B2B2"/>
            </w:tcBorders>
            <w:shd w:val="clear" w:color="auto" w:fill="B2B2B2"/>
          </w:tcPr>
          <w:p>
            <w:pPr>
              <w:ind w:left="540"/>
              <w:spacing w:after="0"/>
              <w:rPr>
                <w:sz w:val="20"/>
                <w:szCs w:val="20"/>
                <w:color w:val="auto"/>
              </w:rPr>
            </w:pPr>
            <w:r>
              <w:rPr>
                <w:rFonts w:ascii="Arial" w:cs="Arial" w:eastAsia="Arial" w:hAnsi="Arial"/>
                <w:sz w:val="18"/>
                <w:szCs w:val="18"/>
                <w:color w:val="auto"/>
              </w:rPr>
              <w:t>Information services payment and processing revenue</w:t>
            </w:r>
          </w:p>
        </w:tc>
        <w:tc>
          <w:tcPr>
            <w:tcW w:w="220" w:type="dxa"/>
            <w:vAlign w:val="bottom"/>
            <w:tcBorders>
              <w:top w:val="single" w:sz="8" w:color="B2B2B2"/>
            </w:tcBorders>
            <w:shd w:val="clear" w:color="auto" w:fill="B2B2B2"/>
          </w:tcPr>
          <w:p>
            <w:pPr>
              <w:spacing w:after="0"/>
              <w:rPr>
                <w:sz w:val="18"/>
                <w:szCs w:val="18"/>
                <w:color w:val="auto"/>
              </w:rPr>
            </w:pPr>
          </w:p>
        </w:tc>
        <w:tc>
          <w:tcPr>
            <w:tcW w:w="240" w:type="dxa"/>
            <w:vAlign w:val="bottom"/>
            <w:tcBorders>
              <w:top w:val="single" w:sz="8" w:color="auto"/>
            </w:tcBorders>
            <w:shd w:val="clear" w:color="auto" w:fill="B2B2B2"/>
          </w:tcPr>
          <w:p>
            <w:pPr>
              <w:spacing w:after="0"/>
              <w:rPr>
                <w:sz w:val="18"/>
                <w:szCs w:val="18"/>
                <w:color w:val="auto"/>
              </w:rPr>
            </w:pPr>
          </w:p>
        </w:tc>
        <w:tc>
          <w:tcPr>
            <w:tcW w:w="9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22,661</w:t>
            </w:r>
          </w:p>
        </w:tc>
        <w:tc>
          <w:tcPr>
            <w:tcW w:w="100" w:type="dxa"/>
            <w:vAlign w:val="bottom"/>
            <w:tcBorders>
              <w:top w:val="single" w:sz="8" w:color="B2B2B2"/>
            </w:tcBorders>
            <w:shd w:val="clear" w:color="auto" w:fill="B2B2B2"/>
          </w:tcPr>
          <w:p>
            <w:pPr>
              <w:spacing w:after="0"/>
              <w:rPr>
                <w:sz w:val="18"/>
                <w:szCs w:val="18"/>
                <w:color w:val="auto"/>
              </w:rPr>
            </w:pPr>
          </w:p>
        </w:tc>
        <w:tc>
          <w:tcPr>
            <w:tcW w:w="120" w:type="dxa"/>
            <w:vAlign w:val="bottom"/>
            <w:tcBorders>
              <w:top w:val="single" w:sz="8" w:color="B2B2B2"/>
            </w:tcBorders>
            <w:shd w:val="clear" w:color="auto" w:fill="B2B2B2"/>
          </w:tcPr>
          <w:p>
            <w:pPr>
              <w:spacing w:after="0"/>
              <w:rPr>
                <w:sz w:val="18"/>
                <w:szCs w:val="18"/>
                <w:color w:val="auto"/>
              </w:rPr>
            </w:pPr>
          </w:p>
        </w:tc>
        <w:tc>
          <w:tcPr>
            <w:tcW w:w="240" w:type="dxa"/>
            <w:vAlign w:val="bottom"/>
            <w:tcBorders>
              <w:top w:val="single" w:sz="8" w:color="auto"/>
            </w:tcBorders>
            <w:shd w:val="clear" w:color="auto" w:fill="B2B2B2"/>
          </w:tcPr>
          <w:p>
            <w:pPr>
              <w:spacing w:after="0"/>
              <w:rPr>
                <w:sz w:val="18"/>
                <w:szCs w:val="18"/>
                <w:color w:val="auto"/>
              </w:rPr>
            </w:pPr>
          </w:p>
        </w:tc>
        <w:tc>
          <w:tcPr>
            <w:tcW w:w="9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26,852</w:t>
            </w:r>
          </w:p>
        </w:tc>
        <w:tc>
          <w:tcPr>
            <w:tcW w:w="220" w:type="dxa"/>
            <w:vAlign w:val="bottom"/>
            <w:tcBorders>
              <w:top w:val="single" w:sz="8" w:color="B2B2B2"/>
            </w:tcBorders>
            <w:shd w:val="clear" w:color="auto" w:fill="B2B2B2"/>
          </w:tcPr>
          <w:p>
            <w:pPr>
              <w:spacing w:after="0"/>
              <w:rPr>
                <w:sz w:val="18"/>
                <w:szCs w:val="18"/>
                <w:color w:val="auto"/>
              </w:rPr>
            </w:pPr>
          </w:p>
        </w:tc>
        <w:tc>
          <w:tcPr>
            <w:tcW w:w="220" w:type="dxa"/>
            <w:vAlign w:val="bottom"/>
            <w:tcBorders>
              <w:top w:val="single" w:sz="8" w:color="auto"/>
            </w:tcBorders>
            <w:shd w:val="clear" w:color="auto" w:fill="B2B2B2"/>
          </w:tcPr>
          <w:p>
            <w:pPr>
              <w:spacing w:after="0"/>
              <w:rPr>
                <w:sz w:val="18"/>
                <w:szCs w:val="18"/>
                <w:color w:val="auto"/>
              </w:rPr>
            </w:pPr>
          </w:p>
        </w:tc>
        <w:tc>
          <w:tcPr>
            <w:tcW w:w="880" w:type="dxa"/>
            <w:vAlign w:val="bottom"/>
            <w:tcBorders>
              <w:top w:val="single" w:sz="8" w:color="auto"/>
            </w:tcBorders>
            <w:shd w:val="clear" w:color="auto" w:fill="B2B2B2"/>
          </w:tcPr>
          <w:p>
            <w:pPr>
              <w:ind w:left="400"/>
              <w:spacing w:after="0"/>
              <w:rPr>
                <w:sz w:val="20"/>
                <w:szCs w:val="20"/>
                <w:color w:val="auto"/>
              </w:rPr>
            </w:pPr>
            <w:r>
              <w:rPr>
                <w:rFonts w:ascii="Arial" w:cs="Arial" w:eastAsia="Arial" w:hAnsi="Arial"/>
                <w:sz w:val="18"/>
                <w:szCs w:val="18"/>
                <w:color w:val="auto"/>
                <w:w w:val="83"/>
              </w:rPr>
              <w:t>48,164</w:t>
            </w:r>
          </w:p>
        </w:tc>
        <w:tc>
          <w:tcPr>
            <w:tcW w:w="120" w:type="dxa"/>
            <w:vAlign w:val="bottom"/>
            <w:tcBorders>
              <w:top w:val="single" w:sz="8" w:color="B2B2B2"/>
            </w:tcBorders>
            <w:shd w:val="clear" w:color="auto" w:fill="B2B2B2"/>
          </w:tcPr>
          <w:p>
            <w:pPr>
              <w:spacing w:after="0"/>
              <w:rPr>
                <w:sz w:val="18"/>
                <w:szCs w:val="18"/>
                <w:color w:val="auto"/>
              </w:rPr>
            </w:pPr>
          </w:p>
        </w:tc>
        <w:tc>
          <w:tcPr>
            <w:tcW w:w="100" w:type="dxa"/>
            <w:vAlign w:val="bottom"/>
            <w:tcBorders>
              <w:top w:val="single" w:sz="8" w:color="B2B2B2"/>
            </w:tcBorders>
            <w:shd w:val="clear" w:color="auto" w:fill="B2B2B2"/>
          </w:tcPr>
          <w:p>
            <w:pPr>
              <w:spacing w:after="0"/>
              <w:rPr>
                <w:sz w:val="18"/>
                <w:szCs w:val="18"/>
                <w:color w:val="auto"/>
              </w:rPr>
            </w:pPr>
          </w:p>
        </w:tc>
        <w:tc>
          <w:tcPr>
            <w:tcW w:w="220" w:type="dxa"/>
            <w:vAlign w:val="bottom"/>
            <w:tcBorders>
              <w:top w:val="single" w:sz="8" w:color="auto"/>
            </w:tcBorders>
            <w:shd w:val="clear" w:color="auto" w:fill="B2B2B2"/>
          </w:tcPr>
          <w:p>
            <w:pPr>
              <w:spacing w:after="0"/>
              <w:rPr>
                <w:sz w:val="18"/>
                <w:szCs w:val="18"/>
                <w:color w:val="auto"/>
              </w:rPr>
            </w:pPr>
          </w:p>
        </w:tc>
        <w:tc>
          <w:tcPr>
            <w:tcW w:w="7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53,309</w:t>
            </w:r>
          </w:p>
        </w:tc>
      </w:tr>
      <w:tr>
        <w:trPr>
          <w:trHeight w:val="215"/>
        </w:trPr>
        <w:tc>
          <w:tcPr>
            <w:tcW w:w="5980" w:type="dxa"/>
            <w:vAlign w:val="bottom"/>
          </w:tcPr>
          <w:p>
            <w:pPr>
              <w:ind w:left="360"/>
              <w:spacing w:after="0"/>
              <w:rPr>
                <w:sz w:val="20"/>
                <w:szCs w:val="20"/>
                <w:color w:val="auto"/>
              </w:rPr>
            </w:pPr>
            <w:r>
              <w:rPr>
                <w:rFonts w:ascii="Arial" w:cs="Arial" w:eastAsia="Arial" w:hAnsi="Arial"/>
                <w:sz w:val="18"/>
                <w:szCs w:val="18"/>
                <w:color w:val="auto"/>
              </w:rPr>
              <w:t>Bank service fees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677</w:t>
            </w:r>
          </w:p>
        </w:tc>
      </w:tr>
      <w:tr>
        <w:trPr>
          <w:trHeight w:val="209"/>
        </w:trPr>
        <w:tc>
          <w:tcPr>
            <w:tcW w:w="5980" w:type="dxa"/>
            <w:vAlign w:val="bottom"/>
            <w:tcBorders>
              <w:top w:val="single" w:sz="8" w:color="B2B2B2"/>
            </w:tcBorders>
            <w:shd w:val="clear" w:color="auto" w:fill="B2B2B2"/>
          </w:tcPr>
          <w:p>
            <w:pPr>
              <w:ind w:left="180"/>
              <w:spacing w:after="0"/>
              <w:rPr>
                <w:sz w:val="20"/>
                <w:szCs w:val="20"/>
                <w:color w:val="auto"/>
              </w:rPr>
            </w:pPr>
            <w:r>
              <w:rPr>
                <w:rFonts w:ascii="Arial" w:cs="Arial" w:eastAsia="Arial" w:hAnsi="Arial"/>
                <w:sz w:val="18"/>
                <w:szCs w:val="18"/>
                <w:color w:val="auto"/>
              </w:rPr>
              <w:t>Fee revenue (in-scope of FASB ASC 606)</w:t>
            </w:r>
          </w:p>
        </w:tc>
        <w:tc>
          <w:tcPr>
            <w:tcW w:w="220" w:type="dxa"/>
            <w:vAlign w:val="bottom"/>
            <w:tcBorders>
              <w:top w:val="single" w:sz="8" w:color="B2B2B2"/>
            </w:tcBorders>
            <w:shd w:val="clear" w:color="auto" w:fill="B2B2B2"/>
          </w:tcPr>
          <w:p>
            <w:pPr>
              <w:spacing w:after="0"/>
              <w:rPr>
                <w:sz w:val="18"/>
                <w:szCs w:val="18"/>
                <w:color w:val="auto"/>
              </w:rPr>
            </w:pPr>
          </w:p>
        </w:tc>
        <w:tc>
          <w:tcPr>
            <w:tcW w:w="240" w:type="dxa"/>
            <w:vAlign w:val="bottom"/>
            <w:tcBorders>
              <w:top w:val="single" w:sz="8" w:color="auto"/>
            </w:tcBorders>
            <w:shd w:val="clear" w:color="auto" w:fill="B2B2B2"/>
          </w:tcPr>
          <w:p>
            <w:pPr>
              <w:spacing w:after="0"/>
              <w:rPr>
                <w:sz w:val="18"/>
                <w:szCs w:val="18"/>
                <w:color w:val="auto"/>
              </w:rPr>
            </w:pPr>
          </w:p>
        </w:tc>
        <w:tc>
          <w:tcPr>
            <w:tcW w:w="9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23,059</w:t>
            </w:r>
          </w:p>
        </w:tc>
        <w:tc>
          <w:tcPr>
            <w:tcW w:w="100" w:type="dxa"/>
            <w:vAlign w:val="bottom"/>
            <w:tcBorders>
              <w:top w:val="single" w:sz="8" w:color="B2B2B2"/>
            </w:tcBorders>
            <w:shd w:val="clear" w:color="auto" w:fill="B2B2B2"/>
          </w:tcPr>
          <w:p>
            <w:pPr>
              <w:spacing w:after="0"/>
              <w:rPr>
                <w:sz w:val="18"/>
                <w:szCs w:val="18"/>
                <w:color w:val="auto"/>
              </w:rPr>
            </w:pPr>
          </w:p>
        </w:tc>
        <w:tc>
          <w:tcPr>
            <w:tcW w:w="120" w:type="dxa"/>
            <w:vAlign w:val="bottom"/>
            <w:tcBorders>
              <w:top w:val="single" w:sz="8" w:color="B2B2B2"/>
            </w:tcBorders>
            <w:shd w:val="clear" w:color="auto" w:fill="B2B2B2"/>
          </w:tcPr>
          <w:p>
            <w:pPr>
              <w:spacing w:after="0"/>
              <w:rPr>
                <w:sz w:val="18"/>
                <w:szCs w:val="18"/>
                <w:color w:val="auto"/>
              </w:rPr>
            </w:pPr>
          </w:p>
        </w:tc>
        <w:tc>
          <w:tcPr>
            <w:tcW w:w="240" w:type="dxa"/>
            <w:vAlign w:val="bottom"/>
            <w:tcBorders>
              <w:top w:val="single" w:sz="8" w:color="auto"/>
            </w:tcBorders>
            <w:shd w:val="clear" w:color="auto" w:fill="B2B2B2"/>
          </w:tcPr>
          <w:p>
            <w:pPr>
              <w:spacing w:after="0"/>
              <w:rPr>
                <w:sz w:val="18"/>
                <w:szCs w:val="18"/>
                <w:color w:val="auto"/>
              </w:rPr>
            </w:pPr>
          </w:p>
        </w:tc>
        <w:tc>
          <w:tcPr>
            <w:tcW w:w="9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27,153</w:t>
            </w:r>
          </w:p>
        </w:tc>
        <w:tc>
          <w:tcPr>
            <w:tcW w:w="220" w:type="dxa"/>
            <w:vAlign w:val="bottom"/>
            <w:tcBorders>
              <w:top w:val="single" w:sz="8" w:color="B2B2B2"/>
            </w:tcBorders>
            <w:shd w:val="clear" w:color="auto" w:fill="B2B2B2"/>
          </w:tcPr>
          <w:p>
            <w:pPr>
              <w:spacing w:after="0"/>
              <w:rPr>
                <w:sz w:val="18"/>
                <w:szCs w:val="18"/>
                <w:color w:val="auto"/>
              </w:rPr>
            </w:pPr>
          </w:p>
        </w:tc>
        <w:tc>
          <w:tcPr>
            <w:tcW w:w="220" w:type="dxa"/>
            <w:vAlign w:val="bottom"/>
            <w:tcBorders>
              <w:top w:val="single" w:sz="8" w:color="auto"/>
            </w:tcBorders>
            <w:shd w:val="clear" w:color="auto" w:fill="B2B2B2"/>
          </w:tcPr>
          <w:p>
            <w:pPr>
              <w:spacing w:after="0"/>
              <w:rPr>
                <w:sz w:val="18"/>
                <w:szCs w:val="18"/>
                <w:color w:val="auto"/>
              </w:rPr>
            </w:pPr>
          </w:p>
        </w:tc>
        <w:tc>
          <w:tcPr>
            <w:tcW w:w="880" w:type="dxa"/>
            <w:vAlign w:val="bottom"/>
            <w:tcBorders>
              <w:top w:val="single" w:sz="8" w:color="auto"/>
            </w:tcBorders>
            <w:shd w:val="clear" w:color="auto" w:fill="B2B2B2"/>
          </w:tcPr>
          <w:p>
            <w:pPr>
              <w:ind w:left="400"/>
              <w:spacing w:after="0"/>
              <w:rPr>
                <w:sz w:val="20"/>
                <w:szCs w:val="20"/>
                <w:color w:val="auto"/>
              </w:rPr>
            </w:pPr>
            <w:r>
              <w:rPr>
                <w:rFonts w:ascii="Arial" w:cs="Arial" w:eastAsia="Arial" w:hAnsi="Arial"/>
                <w:sz w:val="18"/>
                <w:szCs w:val="18"/>
                <w:color w:val="auto"/>
                <w:w w:val="83"/>
              </w:rPr>
              <w:t>48,972</w:t>
            </w:r>
          </w:p>
        </w:tc>
        <w:tc>
          <w:tcPr>
            <w:tcW w:w="120" w:type="dxa"/>
            <w:vAlign w:val="bottom"/>
            <w:tcBorders>
              <w:top w:val="single" w:sz="8" w:color="B2B2B2"/>
            </w:tcBorders>
            <w:shd w:val="clear" w:color="auto" w:fill="B2B2B2"/>
          </w:tcPr>
          <w:p>
            <w:pPr>
              <w:spacing w:after="0"/>
              <w:rPr>
                <w:sz w:val="18"/>
                <w:szCs w:val="18"/>
                <w:color w:val="auto"/>
              </w:rPr>
            </w:pPr>
          </w:p>
        </w:tc>
        <w:tc>
          <w:tcPr>
            <w:tcW w:w="100" w:type="dxa"/>
            <w:vAlign w:val="bottom"/>
            <w:tcBorders>
              <w:top w:val="single" w:sz="8" w:color="B2B2B2"/>
            </w:tcBorders>
            <w:shd w:val="clear" w:color="auto" w:fill="B2B2B2"/>
          </w:tcPr>
          <w:p>
            <w:pPr>
              <w:spacing w:after="0"/>
              <w:rPr>
                <w:sz w:val="18"/>
                <w:szCs w:val="18"/>
                <w:color w:val="auto"/>
              </w:rPr>
            </w:pPr>
          </w:p>
        </w:tc>
        <w:tc>
          <w:tcPr>
            <w:tcW w:w="220" w:type="dxa"/>
            <w:vAlign w:val="bottom"/>
            <w:tcBorders>
              <w:top w:val="single" w:sz="8" w:color="auto"/>
            </w:tcBorders>
            <w:shd w:val="clear" w:color="auto" w:fill="B2B2B2"/>
          </w:tcPr>
          <w:p>
            <w:pPr>
              <w:spacing w:after="0"/>
              <w:rPr>
                <w:sz w:val="18"/>
                <w:szCs w:val="18"/>
                <w:color w:val="auto"/>
              </w:rPr>
            </w:pPr>
          </w:p>
        </w:tc>
        <w:tc>
          <w:tcPr>
            <w:tcW w:w="7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53,986</w:t>
            </w:r>
          </w:p>
        </w:tc>
      </w:tr>
      <w:tr>
        <w:trPr>
          <w:trHeight w:val="215"/>
        </w:trPr>
        <w:tc>
          <w:tcPr>
            <w:tcW w:w="5980" w:type="dxa"/>
            <w:vAlign w:val="bottom"/>
          </w:tcPr>
          <w:p>
            <w:pPr>
              <w:ind w:left="180"/>
              <w:spacing w:after="0"/>
              <w:rPr>
                <w:sz w:val="20"/>
                <w:szCs w:val="20"/>
                <w:color w:val="auto"/>
              </w:rPr>
            </w:pPr>
            <w:r>
              <w:rPr>
                <w:rFonts w:ascii="Arial" w:cs="Arial" w:eastAsia="Arial" w:hAnsi="Arial"/>
                <w:sz w:val="18"/>
                <w:szCs w:val="18"/>
                <w:color w:val="auto"/>
              </w:rPr>
              <w:t>Other income (out-of-scope of FASB ASC 606)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09"/>
        </w:trPr>
        <w:tc>
          <w:tcPr>
            <w:tcW w:w="5980" w:type="dxa"/>
            <w:vAlign w:val="bottom"/>
            <w:tcBorders>
              <w:top w:val="single" w:sz="8" w:color="B2B2B2"/>
              <w:bottom w:val="single" w:sz="8" w:color="B2B2B2"/>
            </w:tcBorders>
            <w:shd w:val="clear" w:color="auto" w:fill="B2B2B2"/>
          </w:tcPr>
          <w:p>
            <w:pPr>
              <w:ind w:left="540"/>
              <w:spacing w:after="0"/>
              <w:rPr>
                <w:sz w:val="20"/>
                <w:szCs w:val="20"/>
                <w:color w:val="auto"/>
              </w:rPr>
            </w:pPr>
            <w:r>
              <w:rPr>
                <w:rFonts w:ascii="Arial" w:cs="Arial" w:eastAsia="Arial" w:hAnsi="Arial"/>
                <w:sz w:val="18"/>
                <w:szCs w:val="18"/>
                <w:color w:val="auto"/>
              </w:rPr>
              <w:t>Total fee revenue and other income</w:t>
            </w:r>
          </w:p>
        </w:tc>
        <w:tc>
          <w:tcPr>
            <w:tcW w:w="220" w:type="dxa"/>
            <w:vAlign w:val="bottom"/>
            <w:tcBorders>
              <w:top w:val="single" w:sz="8" w:color="B2B2B2"/>
              <w:bottom w:val="single" w:sz="8" w:color="B2B2B2"/>
            </w:tcBorders>
            <w:shd w:val="clear" w:color="auto" w:fill="B2B2B2"/>
          </w:tcPr>
          <w:p>
            <w:pPr>
              <w:spacing w:after="0"/>
              <w:rPr>
                <w:sz w:val="18"/>
                <w:szCs w:val="18"/>
                <w:color w:val="auto"/>
              </w:rPr>
            </w:pPr>
          </w:p>
        </w:tc>
        <w:tc>
          <w:tcPr>
            <w:tcW w:w="240" w:type="dxa"/>
            <w:vAlign w:val="bottom"/>
            <w:tcBorders>
              <w:top w:val="single" w:sz="8" w:color="auto"/>
              <w:bottom w:val="single" w:sz="8" w:color="auto"/>
            </w:tcBorders>
            <w:shd w:val="clear" w:color="auto" w:fill="B2B2B2"/>
          </w:tcPr>
          <w:p>
            <w:pPr>
              <w:spacing w:after="0"/>
              <w:rPr>
                <w:sz w:val="18"/>
                <w:szCs w:val="18"/>
                <w:color w:val="auto"/>
              </w:rPr>
            </w:pPr>
          </w:p>
        </w:tc>
        <w:tc>
          <w:tcPr>
            <w:tcW w:w="9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23,174</w:t>
            </w:r>
          </w:p>
        </w:tc>
        <w:tc>
          <w:tcPr>
            <w:tcW w:w="100" w:type="dxa"/>
            <w:vAlign w:val="bottom"/>
            <w:tcBorders>
              <w:top w:val="single" w:sz="8" w:color="B2B2B2"/>
              <w:bottom w:val="single" w:sz="8" w:color="B2B2B2"/>
            </w:tcBorders>
            <w:shd w:val="clear" w:color="auto" w:fill="B2B2B2"/>
          </w:tcPr>
          <w:p>
            <w:pPr>
              <w:spacing w:after="0"/>
              <w:rPr>
                <w:sz w:val="18"/>
                <w:szCs w:val="18"/>
                <w:color w:val="auto"/>
              </w:rPr>
            </w:pPr>
          </w:p>
        </w:tc>
        <w:tc>
          <w:tcPr>
            <w:tcW w:w="120" w:type="dxa"/>
            <w:vAlign w:val="bottom"/>
            <w:tcBorders>
              <w:top w:val="single" w:sz="8" w:color="B2B2B2"/>
              <w:bottom w:val="single" w:sz="8" w:color="B2B2B2"/>
            </w:tcBorders>
            <w:shd w:val="clear" w:color="auto" w:fill="B2B2B2"/>
          </w:tcPr>
          <w:p>
            <w:pPr>
              <w:spacing w:after="0"/>
              <w:rPr>
                <w:sz w:val="18"/>
                <w:szCs w:val="18"/>
                <w:color w:val="auto"/>
              </w:rPr>
            </w:pPr>
          </w:p>
        </w:tc>
        <w:tc>
          <w:tcPr>
            <w:tcW w:w="240" w:type="dxa"/>
            <w:vAlign w:val="bottom"/>
            <w:tcBorders>
              <w:top w:val="single" w:sz="8" w:color="auto"/>
              <w:bottom w:val="single" w:sz="8" w:color="auto"/>
            </w:tcBorders>
            <w:shd w:val="clear" w:color="auto" w:fill="B2B2B2"/>
          </w:tcPr>
          <w:p>
            <w:pPr>
              <w:spacing w:after="0"/>
              <w:rPr>
                <w:sz w:val="18"/>
                <w:szCs w:val="18"/>
                <w:color w:val="auto"/>
              </w:rPr>
            </w:pPr>
          </w:p>
        </w:tc>
        <w:tc>
          <w:tcPr>
            <w:tcW w:w="9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27,372</w:t>
            </w:r>
          </w:p>
        </w:tc>
        <w:tc>
          <w:tcPr>
            <w:tcW w:w="220" w:type="dxa"/>
            <w:vAlign w:val="bottom"/>
            <w:tcBorders>
              <w:top w:val="single" w:sz="8" w:color="B2B2B2"/>
              <w:bottom w:val="single" w:sz="8" w:color="B2B2B2"/>
            </w:tcBorders>
            <w:shd w:val="clear" w:color="auto" w:fill="B2B2B2"/>
          </w:tcPr>
          <w:p>
            <w:pPr>
              <w:spacing w:after="0"/>
              <w:rPr>
                <w:sz w:val="18"/>
                <w:szCs w:val="18"/>
                <w:color w:val="auto"/>
              </w:rPr>
            </w:pPr>
          </w:p>
        </w:tc>
        <w:tc>
          <w:tcPr>
            <w:tcW w:w="220" w:type="dxa"/>
            <w:vAlign w:val="bottom"/>
            <w:tcBorders>
              <w:top w:val="single" w:sz="8" w:color="auto"/>
              <w:bottom w:val="single" w:sz="8" w:color="auto"/>
            </w:tcBorders>
            <w:shd w:val="clear" w:color="auto" w:fill="B2B2B2"/>
          </w:tcPr>
          <w:p>
            <w:pPr>
              <w:spacing w:after="0"/>
              <w:rPr>
                <w:sz w:val="18"/>
                <w:szCs w:val="18"/>
                <w:color w:val="auto"/>
              </w:rPr>
            </w:pPr>
          </w:p>
        </w:tc>
        <w:tc>
          <w:tcPr>
            <w:tcW w:w="880" w:type="dxa"/>
            <w:vAlign w:val="bottom"/>
            <w:tcBorders>
              <w:top w:val="single" w:sz="8" w:color="auto"/>
              <w:bottom w:val="single" w:sz="8" w:color="auto"/>
            </w:tcBorders>
            <w:shd w:val="clear" w:color="auto" w:fill="B2B2B2"/>
          </w:tcPr>
          <w:p>
            <w:pPr>
              <w:ind w:left="400"/>
              <w:spacing w:after="0"/>
              <w:rPr>
                <w:sz w:val="20"/>
                <w:szCs w:val="20"/>
                <w:color w:val="auto"/>
              </w:rPr>
            </w:pPr>
            <w:r>
              <w:rPr>
                <w:rFonts w:ascii="Arial" w:cs="Arial" w:eastAsia="Arial" w:hAnsi="Arial"/>
                <w:sz w:val="18"/>
                <w:szCs w:val="18"/>
                <w:color w:val="auto"/>
                <w:w w:val="83"/>
              </w:rPr>
              <w:t>50,269</w:t>
            </w:r>
          </w:p>
        </w:tc>
        <w:tc>
          <w:tcPr>
            <w:tcW w:w="120" w:type="dxa"/>
            <w:vAlign w:val="bottom"/>
            <w:tcBorders>
              <w:top w:val="single" w:sz="8" w:color="B2B2B2"/>
              <w:bottom w:val="single" w:sz="8" w:color="B2B2B2"/>
            </w:tcBorders>
            <w:shd w:val="clear" w:color="auto" w:fill="B2B2B2"/>
          </w:tcPr>
          <w:p>
            <w:pPr>
              <w:spacing w:after="0"/>
              <w:rPr>
                <w:sz w:val="18"/>
                <w:szCs w:val="18"/>
                <w:color w:val="auto"/>
              </w:rPr>
            </w:pPr>
          </w:p>
        </w:tc>
        <w:tc>
          <w:tcPr>
            <w:tcW w:w="100" w:type="dxa"/>
            <w:vAlign w:val="bottom"/>
            <w:tcBorders>
              <w:top w:val="single" w:sz="8" w:color="B2B2B2"/>
              <w:bottom w:val="single" w:sz="8" w:color="B2B2B2"/>
            </w:tcBorders>
            <w:shd w:val="clear" w:color="auto" w:fill="B2B2B2"/>
          </w:tcPr>
          <w:p>
            <w:pPr>
              <w:spacing w:after="0"/>
              <w:rPr>
                <w:sz w:val="18"/>
                <w:szCs w:val="18"/>
                <w:color w:val="auto"/>
              </w:rPr>
            </w:pPr>
          </w:p>
        </w:tc>
        <w:tc>
          <w:tcPr>
            <w:tcW w:w="220" w:type="dxa"/>
            <w:vAlign w:val="bottom"/>
            <w:tcBorders>
              <w:top w:val="single" w:sz="8" w:color="auto"/>
              <w:bottom w:val="single" w:sz="8" w:color="auto"/>
            </w:tcBorders>
            <w:shd w:val="clear" w:color="auto" w:fill="B2B2B2"/>
          </w:tcPr>
          <w:p>
            <w:pPr>
              <w:spacing w:after="0"/>
              <w:rPr>
                <w:sz w:val="18"/>
                <w:szCs w:val="18"/>
                <w:color w:val="auto"/>
              </w:rPr>
            </w:pPr>
          </w:p>
        </w:tc>
        <w:tc>
          <w:tcPr>
            <w:tcW w:w="7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54,385</w:t>
            </w:r>
          </w:p>
        </w:tc>
      </w:tr>
      <w:tr>
        <w:trPr>
          <w:trHeight w:val="209"/>
        </w:trPr>
        <w:tc>
          <w:tcPr>
            <w:tcW w:w="598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r>
      <w:tr>
        <w:trPr>
          <w:trHeight w:val="205"/>
        </w:trPr>
        <w:tc>
          <w:tcPr>
            <w:tcW w:w="5980" w:type="dxa"/>
            <w:vAlign w:val="bottom"/>
          </w:tcPr>
          <w:p>
            <w:pPr>
              <w:ind w:left="180"/>
              <w:spacing w:after="0" w:line="205" w:lineRule="exact"/>
              <w:rPr>
                <w:sz w:val="20"/>
                <w:szCs w:val="20"/>
                <w:color w:val="auto"/>
              </w:rPr>
            </w:pPr>
            <w:r>
              <w:rPr>
                <w:rFonts w:ascii="Arial" w:cs="Arial" w:eastAsia="Arial" w:hAnsi="Arial"/>
                <w:sz w:val="18"/>
                <w:szCs w:val="18"/>
                <w:color w:val="auto"/>
                <w:w w:val="93"/>
              </w:rPr>
              <w:t>Net interest income after provision for loan losses (out-of-scope of FASB ASC</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67"/>
        </w:trPr>
        <w:tc>
          <w:tcPr>
            <w:tcW w:w="5980" w:type="dxa"/>
            <w:vAlign w:val="bottom"/>
          </w:tcPr>
          <w:p>
            <w:pPr>
              <w:ind w:left="360"/>
              <w:spacing w:after="0" w:line="266" w:lineRule="exact"/>
              <w:rPr>
                <w:sz w:val="20"/>
                <w:szCs w:val="20"/>
                <w:color w:val="auto"/>
              </w:rPr>
            </w:pPr>
            <w:r>
              <w:rPr>
                <w:rFonts w:ascii="Arial" w:cs="Arial" w:eastAsia="Arial" w:hAnsi="Arial"/>
                <w:sz w:val="18"/>
                <w:szCs w:val="18"/>
                <w:color w:val="auto"/>
              </w:rPr>
              <w:t>606)</w:t>
            </w:r>
            <w:r>
              <w:rPr>
                <w:rFonts w:ascii="Arial" w:cs="Arial" w:eastAsia="Arial" w:hAnsi="Arial"/>
                <w:sz w:val="29"/>
                <w:szCs w:val="29"/>
                <w:color w:val="auto"/>
                <w:vertAlign w:val="superscript"/>
              </w:rPr>
              <w:t>1</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10,761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12,022</w:t>
            </w:r>
          </w:p>
        </w:tc>
        <w:tc>
          <w:tcPr>
            <w:tcW w:w="220" w:type="dxa"/>
            <w:vAlign w:val="bottom"/>
          </w:tcPr>
          <w:p>
            <w:pPr>
              <w:spacing w:after="0"/>
              <w:rPr>
                <w:sz w:val="23"/>
                <w:szCs w:val="23"/>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21,809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23,379</w:t>
            </w:r>
          </w:p>
        </w:tc>
      </w:tr>
      <w:tr>
        <w:trPr>
          <w:trHeight w:val="216"/>
        </w:trPr>
        <w:tc>
          <w:tcPr>
            <w:tcW w:w="5980" w:type="dxa"/>
            <w:vAlign w:val="bottom"/>
            <w:tcBorders>
              <w:top w:val="single" w:sz="8" w:color="B2B2B2"/>
              <w:bottom w:val="single" w:sz="8" w:color="auto"/>
            </w:tcBorders>
            <w:shd w:val="clear" w:color="auto" w:fill="B2B2B2"/>
          </w:tcPr>
          <w:p>
            <w:pPr>
              <w:ind w:left="540"/>
              <w:spacing w:after="0"/>
              <w:rPr>
                <w:sz w:val="20"/>
                <w:szCs w:val="20"/>
                <w:color w:val="auto"/>
              </w:rPr>
            </w:pPr>
            <w:r>
              <w:rPr>
                <w:rFonts w:ascii="Arial" w:cs="Arial" w:eastAsia="Arial" w:hAnsi="Arial"/>
                <w:sz w:val="18"/>
                <w:szCs w:val="18"/>
                <w:color w:val="auto"/>
              </w:rPr>
              <w:t>Total net revenue</w:t>
            </w:r>
          </w:p>
        </w:tc>
        <w:tc>
          <w:tcPr>
            <w:tcW w:w="220" w:type="dxa"/>
            <w:vAlign w:val="bottom"/>
            <w:tcBorders>
              <w:top w:val="single" w:sz="8" w:color="B2B2B2"/>
              <w:bottom w:val="single" w:sz="8" w:color="auto"/>
            </w:tcBorders>
            <w:shd w:val="clear" w:color="auto" w:fill="B2B2B2"/>
          </w:tcPr>
          <w:p>
            <w:pPr>
              <w:spacing w:after="0"/>
              <w:rPr>
                <w:sz w:val="18"/>
                <w:szCs w:val="18"/>
                <w:color w:val="auto"/>
              </w:rPr>
            </w:pPr>
          </w:p>
        </w:tc>
        <w:tc>
          <w:tcPr>
            <w:tcW w:w="240" w:type="dxa"/>
            <w:vAlign w:val="bottom"/>
            <w:tcBorders>
              <w:top w:val="single" w:sz="8" w:color="auto"/>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33,935</w:t>
            </w:r>
          </w:p>
        </w:tc>
        <w:tc>
          <w:tcPr>
            <w:tcW w:w="100" w:type="dxa"/>
            <w:vAlign w:val="bottom"/>
            <w:tcBorders>
              <w:top w:val="single" w:sz="8" w:color="B2B2B2"/>
              <w:bottom w:val="single" w:sz="8" w:color="auto"/>
            </w:tcBorders>
            <w:shd w:val="clear" w:color="auto" w:fill="B2B2B2"/>
          </w:tcPr>
          <w:p>
            <w:pPr>
              <w:spacing w:after="0"/>
              <w:rPr>
                <w:sz w:val="18"/>
                <w:szCs w:val="18"/>
                <w:color w:val="auto"/>
              </w:rPr>
            </w:pPr>
          </w:p>
        </w:tc>
        <w:tc>
          <w:tcPr>
            <w:tcW w:w="120" w:type="dxa"/>
            <w:vAlign w:val="bottom"/>
            <w:tcBorders>
              <w:top w:val="single" w:sz="8" w:color="B2B2B2"/>
              <w:bottom w:val="single" w:sz="8" w:color="auto"/>
            </w:tcBorders>
            <w:shd w:val="clear" w:color="auto" w:fill="B2B2B2"/>
          </w:tcPr>
          <w:p>
            <w:pPr>
              <w:spacing w:after="0"/>
              <w:rPr>
                <w:sz w:val="18"/>
                <w:szCs w:val="18"/>
                <w:color w:val="auto"/>
              </w:rPr>
            </w:pPr>
          </w:p>
        </w:tc>
        <w:tc>
          <w:tcPr>
            <w:tcW w:w="240" w:type="dxa"/>
            <w:vAlign w:val="bottom"/>
            <w:tcBorders>
              <w:top w:val="single" w:sz="8" w:color="auto"/>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39,394</w:t>
            </w:r>
          </w:p>
        </w:tc>
        <w:tc>
          <w:tcPr>
            <w:tcW w:w="220" w:type="dxa"/>
            <w:vAlign w:val="bottom"/>
            <w:tcBorders>
              <w:top w:val="single" w:sz="8" w:color="B2B2B2"/>
              <w:bottom w:val="single" w:sz="8" w:color="auto"/>
            </w:tcBorders>
            <w:shd w:val="clear" w:color="auto" w:fill="B2B2B2"/>
          </w:tcPr>
          <w:p>
            <w:pPr>
              <w:spacing w:after="0"/>
              <w:rPr>
                <w:sz w:val="18"/>
                <w:szCs w:val="18"/>
                <w:color w:val="auto"/>
              </w:rPr>
            </w:pPr>
          </w:p>
        </w:tc>
        <w:tc>
          <w:tcPr>
            <w:tcW w:w="220" w:type="dxa"/>
            <w:vAlign w:val="bottom"/>
            <w:tcBorders>
              <w:top w:val="single" w:sz="8" w:color="auto"/>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B2B2B2"/>
          </w:tcPr>
          <w:p>
            <w:pPr>
              <w:ind w:left="400"/>
              <w:spacing w:after="0"/>
              <w:rPr>
                <w:sz w:val="20"/>
                <w:szCs w:val="20"/>
                <w:color w:val="auto"/>
              </w:rPr>
            </w:pPr>
            <w:r>
              <w:rPr>
                <w:rFonts w:ascii="Arial" w:cs="Arial" w:eastAsia="Arial" w:hAnsi="Arial"/>
                <w:sz w:val="18"/>
                <w:szCs w:val="18"/>
                <w:color w:val="auto"/>
                <w:w w:val="83"/>
              </w:rPr>
              <w:t>72,078</w:t>
            </w:r>
          </w:p>
        </w:tc>
        <w:tc>
          <w:tcPr>
            <w:tcW w:w="120" w:type="dxa"/>
            <w:vAlign w:val="bottom"/>
            <w:tcBorders>
              <w:top w:val="single" w:sz="8" w:color="B2B2B2"/>
              <w:bottom w:val="single" w:sz="8" w:color="auto"/>
            </w:tcBorders>
            <w:shd w:val="clear" w:color="auto" w:fill="B2B2B2"/>
          </w:tcPr>
          <w:p>
            <w:pPr>
              <w:spacing w:after="0"/>
              <w:rPr>
                <w:sz w:val="18"/>
                <w:szCs w:val="18"/>
                <w:color w:val="auto"/>
              </w:rPr>
            </w:pPr>
          </w:p>
        </w:tc>
        <w:tc>
          <w:tcPr>
            <w:tcW w:w="100" w:type="dxa"/>
            <w:vAlign w:val="bottom"/>
            <w:tcBorders>
              <w:top w:val="single" w:sz="8" w:color="B2B2B2"/>
              <w:bottom w:val="single" w:sz="8" w:color="auto"/>
            </w:tcBorders>
            <w:shd w:val="clear" w:color="auto" w:fill="B2B2B2"/>
          </w:tcPr>
          <w:p>
            <w:pPr>
              <w:spacing w:after="0"/>
              <w:rPr>
                <w:sz w:val="18"/>
                <w:szCs w:val="18"/>
                <w:color w:val="auto"/>
              </w:rPr>
            </w:pPr>
          </w:p>
        </w:tc>
        <w:tc>
          <w:tcPr>
            <w:tcW w:w="220" w:type="dxa"/>
            <w:vAlign w:val="bottom"/>
            <w:tcBorders>
              <w:top w:val="single" w:sz="8" w:color="auto"/>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77,764</w:t>
            </w:r>
          </w:p>
        </w:tc>
      </w:tr>
    </w:tbl>
    <w:p>
      <w:pPr>
        <w:spacing w:after="0" w:line="22" w:lineRule="exact"/>
        <w:rPr>
          <w:sz w:val="20"/>
          <w:szCs w:val="20"/>
          <w:color w:val="auto"/>
        </w:rPr>
      </w:pPr>
    </w:p>
    <w:p>
      <w:pPr>
        <w:ind w:firstLine="8"/>
        <w:spacing w:after="0" w:line="181" w:lineRule="auto"/>
        <w:tabs>
          <w:tab w:leader="none" w:pos="101" w:val="left"/>
        </w:tabs>
        <w:numPr>
          <w:ilvl w:val="0"/>
          <w:numId w:val="7"/>
        </w:numPr>
        <w:rPr>
          <w:rFonts w:ascii="Arial" w:cs="Arial" w:eastAsia="Arial" w:hAnsi="Arial"/>
          <w:sz w:val="24"/>
          <w:szCs w:val="24"/>
          <w:color w:val="auto"/>
          <w:vertAlign w:val="superscript"/>
        </w:rPr>
      </w:pPr>
      <w:r>
        <w:rPr>
          <w:rFonts w:ascii="Arial" w:cs="Arial" w:eastAsia="Arial" w:hAnsi="Arial"/>
          <w:sz w:val="14"/>
          <w:szCs w:val="14"/>
          <w:color w:val="auto"/>
        </w:rPr>
        <w:t>The Company earns interest income from the balances generated during the invoice processing and payment cycle and on deposit accounts, which is an integral component of the Company’s revenue, but, is out-of-scope of FASB ASC 606.</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Note 14 – Leases</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On January 1, 2019, the Company adopted Accounting Standards Update (“ASU”) No. 2016-02 – </w:t>
      </w:r>
      <w:r>
        <w:rPr>
          <w:rFonts w:ascii="Arial" w:cs="Arial" w:eastAsia="Arial" w:hAnsi="Arial"/>
          <w:sz w:val="17"/>
          <w:szCs w:val="17"/>
          <w:i w:val="1"/>
          <w:iCs w:val="1"/>
          <w:color w:val="auto"/>
        </w:rPr>
        <w:t>Leases (ASC Topic 842)</w:t>
      </w:r>
      <w:r>
        <w:rPr>
          <w:rFonts w:ascii="Arial" w:cs="Arial" w:eastAsia="Arial" w:hAnsi="Arial"/>
          <w:sz w:val="17"/>
          <w:szCs w:val="17"/>
          <w:color w:val="auto"/>
        </w:rPr>
        <w:t>. The Company leases certain premises under operating leases. As of June 30, 2020, the Company had lease liabilities of $6,916,000 and right-of-use assets of $6,192,000. As of June 30, 2019, the Company had lease liabilities of $7,290,000 and right-of-use assets of $6,570,000. Lease liabilities and right-of-use assets are reflected in other liabilities and other assets, respectively. Presented within occupancy expense on the Consolidated Statements of Income for the three months ended June 30, 2020, operating lease cost was $419,000, short-term lease cost was $33,000, and there was no variable lease cost. For the six months ended June 30, 2020, the operating lease cost was $837,000, short-term lease cost was $57,000, and there was no variable lease cost. For the three months ended June 30, 2020, the weighted average remaining lease term for the operating leases was 6.5 years and the weighted average discount rate used in the measurement of operating lease liabilities was 5.5%. Certain of the Company’s leases contain options to renew the lease; however, these renewal options are not included in the calculation of the lease liabilities as they are not reasonably certain to be exercised. There has been no significant change in the Company’s expected future minimum lease payments since December 31, 2019. See the Company’s 2019 Annual Report on Form 10-K for information regarding these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maturity analysis of operating lease liabilities and undiscounted cash flows for the three months ended June 30, 2020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15"/>
        </w:trPr>
        <w:tc>
          <w:tcPr>
            <w:tcW w:w="6060" w:type="dxa"/>
            <w:vAlign w:val="bottom"/>
            <w:shd w:val="clear" w:color="auto" w:fill="B2B2B2"/>
          </w:tcPr>
          <w:p>
            <w:pPr>
              <w:spacing w:after="0"/>
              <w:rPr>
                <w:sz w:val="20"/>
                <w:szCs w:val="20"/>
                <w:color w:val="auto"/>
              </w:rPr>
            </w:pPr>
            <w:r>
              <w:rPr>
                <w:rFonts w:ascii="Arial" w:cs="Arial" w:eastAsia="Arial" w:hAnsi="Arial"/>
                <w:sz w:val="18"/>
                <w:szCs w:val="18"/>
                <w:color w:val="auto"/>
              </w:rPr>
              <w:t>Lease payments due</w:t>
            </w:r>
          </w:p>
        </w:tc>
        <w:tc>
          <w:tcPr>
            <w:tcW w:w="3800" w:type="dxa"/>
            <w:vAlign w:val="bottom"/>
            <w:shd w:val="clear" w:color="auto" w:fill="B2B2B2"/>
          </w:tcPr>
          <w:p>
            <w:pPr>
              <w:spacing w:after="0"/>
              <w:rPr>
                <w:sz w:val="18"/>
                <w:szCs w:val="18"/>
                <w:color w:val="auto"/>
              </w:rPr>
            </w:pPr>
          </w:p>
        </w:tc>
        <w:tc>
          <w:tcPr>
            <w:tcW w:w="1380" w:type="dxa"/>
            <w:vAlign w:val="bottom"/>
            <w:shd w:val="clear" w:color="auto" w:fill="B2B2B2"/>
          </w:tcPr>
          <w:p>
            <w:pPr>
              <w:spacing w:after="0"/>
              <w:rPr>
                <w:sz w:val="18"/>
                <w:szCs w:val="18"/>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8"/>
                <w:szCs w:val="18"/>
                <w:color w:val="auto"/>
              </w:rPr>
              <w:t>Less than 1 year</w:t>
            </w:r>
          </w:p>
        </w:tc>
        <w:tc>
          <w:tcPr>
            <w:tcW w:w="3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1,856</w:t>
            </w:r>
          </w:p>
        </w:tc>
      </w:tr>
      <w:tr>
        <w:trPr>
          <w:trHeight w:val="215"/>
        </w:trPr>
        <w:tc>
          <w:tcPr>
            <w:tcW w:w="60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1-2 years</w:t>
            </w:r>
          </w:p>
        </w:tc>
        <w:tc>
          <w:tcPr>
            <w:tcW w:w="380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1,688</w:t>
            </w:r>
          </w:p>
        </w:tc>
      </w:tr>
      <w:tr>
        <w:trPr>
          <w:trHeight w:val="215"/>
        </w:trPr>
        <w:tc>
          <w:tcPr>
            <w:tcW w:w="6060" w:type="dxa"/>
            <w:vAlign w:val="bottom"/>
          </w:tcPr>
          <w:p>
            <w:pPr>
              <w:ind w:left="180"/>
              <w:spacing w:after="0"/>
              <w:rPr>
                <w:sz w:val="20"/>
                <w:szCs w:val="20"/>
                <w:color w:val="auto"/>
              </w:rPr>
            </w:pPr>
            <w:r>
              <w:rPr>
                <w:rFonts w:ascii="Arial" w:cs="Arial" w:eastAsia="Arial" w:hAnsi="Arial"/>
                <w:sz w:val="18"/>
                <w:szCs w:val="18"/>
                <w:color w:val="auto"/>
              </w:rPr>
              <w:t>2-3 years</w:t>
            </w:r>
          </w:p>
        </w:tc>
        <w:tc>
          <w:tcPr>
            <w:tcW w:w="38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1,348</w:t>
            </w:r>
          </w:p>
        </w:tc>
      </w:tr>
      <w:tr>
        <w:trPr>
          <w:trHeight w:val="215"/>
        </w:trPr>
        <w:tc>
          <w:tcPr>
            <w:tcW w:w="60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3-4 years</w:t>
            </w:r>
          </w:p>
        </w:tc>
        <w:tc>
          <w:tcPr>
            <w:tcW w:w="380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499</w:t>
            </w:r>
          </w:p>
        </w:tc>
      </w:tr>
      <w:tr>
        <w:trPr>
          <w:trHeight w:val="215"/>
        </w:trPr>
        <w:tc>
          <w:tcPr>
            <w:tcW w:w="6060" w:type="dxa"/>
            <w:vAlign w:val="bottom"/>
          </w:tcPr>
          <w:p>
            <w:pPr>
              <w:ind w:left="180"/>
              <w:spacing w:after="0"/>
              <w:rPr>
                <w:sz w:val="20"/>
                <w:szCs w:val="20"/>
                <w:color w:val="auto"/>
              </w:rPr>
            </w:pPr>
            <w:r>
              <w:rPr>
                <w:rFonts w:ascii="Arial" w:cs="Arial" w:eastAsia="Arial" w:hAnsi="Arial"/>
                <w:sz w:val="18"/>
                <w:szCs w:val="18"/>
                <w:color w:val="auto"/>
              </w:rPr>
              <w:t>4-5 years</w:t>
            </w:r>
          </w:p>
        </w:tc>
        <w:tc>
          <w:tcPr>
            <w:tcW w:w="38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15"/>
        </w:trPr>
        <w:tc>
          <w:tcPr>
            <w:tcW w:w="6060" w:type="dxa"/>
            <w:vAlign w:val="bottom"/>
            <w:tcBorders>
              <w:bottom w:val="single" w:sz="8" w:color="auto"/>
            </w:tcBorders>
            <w:shd w:val="clear" w:color="auto" w:fill="B2B2B2"/>
          </w:tcPr>
          <w:p>
            <w:pPr>
              <w:ind w:left="180"/>
              <w:spacing w:after="0"/>
              <w:rPr>
                <w:sz w:val="20"/>
                <w:szCs w:val="20"/>
                <w:color w:val="auto"/>
              </w:rPr>
            </w:pPr>
            <w:r>
              <w:rPr>
                <w:rFonts w:ascii="Arial" w:cs="Arial" w:eastAsia="Arial" w:hAnsi="Arial"/>
                <w:sz w:val="18"/>
                <w:szCs w:val="18"/>
                <w:color w:val="auto"/>
              </w:rPr>
              <w:t>Over 5 years</w:t>
            </w:r>
          </w:p>
        </w:tc>
        <w:tc>
          <w:tcPr>
            <w:tcW w:w="3800" w:type="dxa"/>
            <w:vAlign w:val="bottom"/>
            <w:tcBorders>
              <w:bottom w:val="single" w:sz="8" w:color="auto"/>
            </w:tcBorders>
            <w:shd w:val="clear" w:color="auto" w:fill="B2B2B2"/>
          </w:tcPr>
          <w:p>
            <w:pPr>
              <w:spacing w:after="0"/>
              <w:rPr>
                <w:sz w:val="18"/>
                <w:szCs w:val="18"/>
                <w:color w:val="auto"/>
              </w:rPr>
            </w:pPr>
          </w:p>
        </w:tc>
        <w:tc>
          <w:tcPr>
            <w:tcW w:w="13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2,279</w:t>
            </w:r>
          </w:p>
        </w:tc>
      </w:tr>
      <w:tr>
        <w:trPr>
          <w:trHeight w:val="209"/>
        </w:trPr>
        <w:tc>
          <w:tcPr>
            <w:tcW w:w="6060" w:type="dxa"/>
            <w:vAlign w:val="bottom"/>
          </w:tcPr>
          <w:p>
            <w:pPr>
              <w:ind w:left="360"/>
              <w:spacing w:after="0"/>
              <w:rPr>
                <w:sz w:val="20"/>
                <w:szCs w:val="20"/>
                <w:color w:val="auto"/>
              </w:rPr>
            </w:pPr>
            <w:r>
              <w:rPr>
                <w:rFonts w:ascii="Arial" w:cs="Arial" w:eastAsia="Arial" w:hAnsi="Arial"/>
                <w:sz w:val="18"/>
                <w:szCs w:val="18"/>
                <w:color w:val="auto"/>
              </w:rPr>
              <w:t>Total undiscounted cash flows</w:t>
            </w:r>
          </w:p>
        </w:tc>
        <w:tc>
          <w:tcPr>
            <w:tcW w:w="38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8,179</w:t>
            </w:r>
          </w:p>
        </w:tc>
      </w:tr>
      <w:tr>
        <w:trPr>
          <w:trHeight w:val="215"/>
        </w:trPr>
        <w:tc>
          <w:tcPr>
            <w:tcW w:w="606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Discount on cash flows</w:t>
            </w:r>
          </w:p>
        </w:tc>
        <w:tc>
          <w:tcPr>
            <w:tcW w:w="3800" w:type="dxa"/>
            <w:vAlign w:val="bottom"/>
            <w:tcBorders>
              <w:bottom w:val="single" w:sz="8" w:color="auto"/>
            </w:tcBorders>
            <w:shd w:val="clear" w:color="auto" w:fill="B2B2B2"/>
          </w:tcPr>
          <w:p>
            <w:pPr>
              <w:spacing w:after="0"/>
              <w:rPr>
                <w:sz w:val="18"/>
                <w:szCs w:val="18"/>
                <w:color w:val="auto"/>
              </w:rPr>
            </w:pPr>
          </w:p>
        </w:tc>
        <w:tc>
          <w:tcPr>
            <w:tcW w:w="13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1,263</w:t>
            </w:r>
          </w:p>
        </w:tc>
      </w:tr>
      <w:tr>
        <w:trPr>
          <w:trHeight w:val="216"/>
        </w:trPr>
        <w:tc>
          <w:tcPr>
            <w:tcW w:w="60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lease liability</w:t>
            </w:r>
          </w:p>
        </w:tc>
        <w:tc>
          <w:tcPr>
            <w:tcW w:w="3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6,916</w:t>
            </w:r>
          </w:p>
        </w:tc>
      </w:tr>
    </w:tbl>
    <w:p>
      <w:pPr>
        <w:spacing w:after="0" w:line="36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There were no sale and leaseback transactions, leveraged leases, or lease transactions with related parties during the six months ended June 30, 2020. At June 30, 2020, the Company did not have any leases that had not yet commenced.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15 – Subsequent Events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accordance with FASB ASC 855, </w:t>
      </w:r>
      <w:r>
        <w:rPr>
          <w:rFonts w:ascii="Arial" w:cs="Arial" w:eastAsia="Arial" w:hAnsi="Arial"/>
          <w:sz w:val="18"/>
          <w:szCs w:val="18"/>
          <w:i w:val="1"/>
          <w:iCs w:val="1"/>
          <w:color w:val="auto"/>
        </w:rPr>
        <w:t>Subsequent Events</w:t>
      </w:r>
      <w:r>
        <w:rPr>
          <w:rFonts w:ascii="Arial" w:cs="Arial" w:eastAsia="Arial" w:hAnsi="Arial"/>
          <w:sz w:val="18"/>
          <w:szCs w:val="18"/>
          <w:color w:val="auto"/>
        </w:rPr>
        <w:t>, the Company has evaluated subsequent events after the consolidated balance sheet date of June 30, 2020. With the exception of COVID-19 as discussed in Note 1 “Basis of Presentation,” there were no events identified that would require additional disclosures to prevent the Company’s unaudited consolidated financial statements from being misleading.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95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the Company’s Business</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breadth of the impact of the global emergence of COVID-19 on the Company’s business remains unknown. Cass is closely monitoring developments related to COVID-19 checking regularly for updated information and recommendations from the World Health Organization and the U.S. Centers for Disease Control and Prevention, from national, state, and local governments, and courses of action being taken by peers. Cass remains committed to creating a safe and healthy environment for employees while offering assurance that it remains a financially strong service provider possessing the resources necessary to weather this storm in support of its valued customers.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Bank regulatory agencies and various governmental authorities are urging financial institutions to work prudently with borrowers who are or may be unable to meet their contractual payment obligations because of the effects of COVID-19. Accordingly, and in coordination with its primary regulators, the Company has deferred borrower principal payments on loans, on an as needed basis, for periods of up to six months. In support of the CARES Act, the Bank had processed nearly 350 applications for PPP loans of approximately $170,000,000 to provide much-needed cash to small business and self-employed taxpayers during the COVID-19 crisis. The loans were primarily made to existing bank customers and are 100% guaranteed by the Small Business Administration.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on COVID-19, refer to Note 1 “Basis of Presentation.”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Cass provides payment and information processing services to large manufacturing, distribution and retail enterprises from its offices/locations in St. Louis, Missouri, Columbus, Ohio, Greenville, South Carolina, Wellington, Kansas, Jacksonville, Florida, Breda, Netherlands, Basingstoke, United Kingdom, and Singapore. The Company’s services include freight invoice rating, payment processing, auditing, and the generation of accounting and transportation information. Cass also processes and pays energy invoices, which include electricity and gas as well as waste and telecommunications expenses, and is a provider of telecom expense management solutions. Cass solutions include a B2B payment platform for clients that require an agile fintech partner. Additionally, the Company offers an on-line platform to provide generosity services for faith-based and non-profit organizations. The Company’s bank subsidiary, Cass Commercial Bank (the “Bank”), supports the Company’s payment operations. The Bank also provides banking services to its target markets, which include privately-owned businesses and faith-based ministries in the St. Louis metropolitan area as well as other selected cities in the United States.</w:t>
      </w:r>
    </w:p>
    <w:p>
      <w:pPr>
        <w:spacing w:after="0" w:line="16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 combine so that pricing varies greatly among the customer base. In general, however, Cass is compensated for its processing services through service fees and investment of account balances generated during the payment process. The amount, type, and calculation of service fees vary greatly by service offering, but generally follow the volume of transactions processed. Interest income from the balances generated during the payment processing cycle is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95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1" w:name="page22"/>
    <w:bookmarkEnd w:id="21"/>
    <w:p>
      <w:pPr>
        <w:jc w:val="both"/>
        <w:spacing w:after="0" w:line="287" w:lineRule="auto"/>
        <w:rPr>
          <w:sz w:val="20"/>
          <w:szCs w:val="20"/>
          <w:color w:val="auto"/>
        </w:rPr>
      </w:pPr>
      <w:r>
        <w:rPr>
          <w:rFonts w:ascii="Arial" w:cs="Arial" w:eastAsia="Arial" w:hAnsi="Arial"/>
          <w:sz w:val="16"/>
          <w:szCs w:val="16"/>
          <w:color w:val="auto"/>
        </w:rPr>
        <w:t>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in the Company’s 2019 Annual Report on Form 10-K, a decline in the general level of interest rates can have a negative impact on net interest income and conversely, a rise in the general level of interest rates can have a positive impact on net interest income. The cost of fuel is another factor that has a significant impact on the transportation sector. As the price of fuel goes up or down, the Company’s earnings increase or decrease with the dollar amount of transportation invoices.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Currently, management views Cass’ major opportunity as the continued expansion of its payment and information processing service offerings and customer base. Management intends to accomplish this by maintaining the Company’s leadership position in applied technology, which when combined with the security and processing controls of the Bank, makes Cass unique in the industry.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prepared the consolidated financial statements in this report in accordance with the Financial Accounting Standards Board (“FASB”) Accounting Standards Codification (“ASC”).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The accounting policy that requires significant management estimates and is deemed critical to the Company’s results of operations or financial position has been discussed with the Audit Committee of the Board of Directors and is described below.</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Allowance for Loan Losses. </w:t>
      </w:r>
      <w:r>
        <w:rPr>
          <w:rFonts w:ascii="Arial" w:cs="Arial" w:eastAsia="Arial" w:hAnsi="Arial"/>
          <w:sz w:val="16"/>
          <w:szCs w:val="16"/>
          <w:color w:val="auto"/>
        </w:rPr>
        <w:t>The Company performs periodic and systematic detailed reviews of its loan portfolio to assess overall collectability. The level</w:t>
      </w:r>
      <w:r>
        <w:rPr>
          <w:rFonts w:ascii="Arial" w:cs="Arial" w:eastAsia="Arial" w:hAnsi="Arial"/>
          <w:sz w:val="16"/>
          <w:szCs w:val="16"/>
          <w:i w:val="1"/>
          <w:iCs w:val="1"/>
          <w:color w:val="auto"/>
        </w:rPr>
        <w:t xml:space="preserve"> </w:t>
      </w:r>
      <w:r>
        <w:rPr>
          <w:rFonts w:ascii="Arial" w:cs="Arial" w:eastAsia="Arial" w:hAnsi="Arial"/>
          <w:sz w:val="16"/>
          <w:szCs w:val="16"/>
          <w:color w:val="auto"/>
        </w:rPr>
        <w:t>of the allowance for loan losses reflects management’s estimate of the collectability of the loan portfolio.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Loan Losses” section of this report. The Company’s estimates have been materially accurate in the past. In accordance with the Coronavirus Aid, Relief, and Economic Security (“CARES”) Act, the Company elected to defer the adoption of the current expected credit losses methodology and expects to continue to utilize the present processes until the earlier of December 31, 2020 or the date the national emergency declaration is terminated.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paragraphs more fully discuss the results of operations and changes in financial condition for the three-month period ended June 30, 2020 (“Second Quarter of 2020”) compared to the three-month period ended June 30, 2019 (“Second Quarter of 2019”) and the six-month period ended June 30, 2020 (“First Half of 2020”) compared to the six-month period ended June 30, 2019 (“First Half of 2019”). The following discussion and analysis should be read in conjunction with the unaudited consolidated financial statements and related notes and with the statistical information and financial data appearing in this report, as well as in the Company’s 2019 Annual Report on Form 10-K. Results of operations for the Second Quarter and First Half of 2020 are not necessarily indicative of the results to be attained for any other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operating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Second Quarter of</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First Half of</w:t>
            </w:r>
          </w:p>
        </w:tc>
        <w:tc>
          <w:tcPr>
            <w:tcW w:w="1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6"/>
              </w:rPr>
              <w:t>(In thousands except per share data)</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 Change</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1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 Change</w:t>
            </w:r>
          </w:p>
        </w:tc>
        <w:tc>
          <w:tcPr>
            <w:tcW w:w="20" w:type="dxa"/>
            <w:vAlign w:val="bottom"/>
          </w:tcPr>
          <w:p>
            <w:pPr>
              <w:spacing w:after="0"/>
              <w:rPr>
                <w:sz w:val="19"/>
                <w:szCs w:val="19"/>
                <w:color w:val="auto"/>
              </w:rPr>
            </w:pPr>
          </w:p>
        </w:tc>
      </w:tr>
      <w:tr>
        <w:trPr>
          <w:trHeight w:val="215"/>
        </w:trPr>
        <w:tc>
          <w:tcPr>
            <w:tcW w:w="3060" w:type="dxa"/>
            <w:vAlign w:val="bottom"/>
            <w:shd w:val="clear" w:color="auto" w:fill="B2B2B2"/>
          </w:tcPr>
          <w:p>
            <w:pPr>
              <w:spacing w:after="0"/>
              <w:rPr>
                <w:sz w:val="20"/>
                <w:szCs w:val="20"/>
                <w:color w:val="auto"/>
              </w:rPr>
            </w:pPr>
            <w:r>
              <w:rPr>
                <w:rFonts w:ascii="Arial" w:cs="Arial" w:eastAsia="Arial" w:hAnsi="Arial"/>
                <w:sz w:val="18"/>
                <w:szCs w:val="18"/>
                <w:color w:val="auto"/>
              </w:rPr>
              <w:t>Net income</w:t>
            </w:r>
          </w:p>
        </w:tc>
        <w:tc>
          <w:tcPr>
            <w:tcW w:w="600" w:type="dxa"/>
            <w:vAlign w:val="bottom"/>
            <w:gridSpan w:val="2"/>
            <w:shd w:val="clear" w:color="auto" w:fill="B2B2B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5,439</w:t>
            </w:r>
          </w:p>
        </w:tc>
        <w:tc>
          <w:tcPr>
            <w:tcW w:w="34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7,684</w:t>
            </w:r>
          </w:p>
        </w:tc>
        <w:tc>
          <w:tcPr>
            <w:tcW w:w="120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(29.2)%</w:t>
            </w:r>
          </w:p>
        </w:tc>
        <w:tc>
          <w:tcPr>
            <w:tcW w:w="26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12,984</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15,847</w:t>
            </w:r>
          </w:p>
        </w:tc>
        <w:tc>
          <w:tcPr>
            <w:tcW w:w="114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8"/>
                <w:szCs w:val="18"/>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r>
      <w:tr>
        <w:trPr>
          <w:trHeight w:val="215"/>
        </w:trPr>
        <w:tc>
          <w:tcPr>
            <w:tcW w:w="3060" w:type="dxa"/>
            <w:vAlign w:val="bottom"/>
            <w:shd w:val="clear" w:color="auto" w:fill="B2B2B2"/>
          </w:tcPr>
          <w:p>
            <w:pPr>
              <w:spacing w:after="0"/>
              <w:rPr>
                <w:sz w:val="20"/>
                <w:szCs w:val="20"/>
                <w:color w:val="auto"/>
              </w:rPr>
            </w:pPr>
            <w:r>
              <w:rPr>
                <w:rFonts w:ascii="Arial" w:cs="Arial" w:eastAsia="Arial" w:hAnsi="Arial"/>
                <w:sz w:val="18"/>
                <w:szCs w:val="18"/>
                <w:color w:val="auto"/>
              </w:rPr>
              <w:t>Return on average assets</w:t>
            </w:r>
          </w:p>
        </w:tc>
        <w:tc>
          <w:tcPr>
            <w:tcW w:w="3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1.16%</w:t>
            </w:r>
          </w:p>
        </w:tc>
        <w:tc>
          <w:tcPr>
            <w:tcW w:w="34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1.81%</w:t>
            </w:r>
          </w:p>
        </w:tc>
        <w:tc>
          <w:tcPr>
            <w:tcW w:w="120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B2B2B2"/>
          </w:tcPr>
          <w:p>
            <w:pPr>
              <w:spacing w:after="0"/>
              <w:rPr>
                <w:sz w:val="18"/>
                <w:szCs w:val="18"/>
                <w:color w:val="auto"/>
              </w:rPr>
            </w:pPr>
          </w:p>
        </w:tc>
        <w:tc>
          <w:tcPr>
            <w:tcW w:w="130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1.89%</w:t>
            </w:r>
          </w:p>
        </w:tc>
        <w:tc>
          <w:tcPr>
            <w:tcW w:w="114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Return on average equity</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13.21%</w:t>
            </w: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13.92%</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431"/>
        </w:trPr>
        <w:tc>
          <w:tcPr>
            <w:tcW w:w="3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-21-</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3060" w:type="dxa"/>
            <w:vAlign w:val="bottom"/>
            <w:tcBorders>
              <w:bottom w:val="single" w:sz="8" w:color="EEEEEE"/>
            </w:tcBorders>
          </w:tcPr>
          <w:p>
            <w:pPr>
              <w:spacing w:after="0"/>
              <w:rPr>
                <w:sz w:val="18"/>
                <w:szCs w:val="18"/>
                <w:color w:val="auto"/>
              </w:rPr>
            </w:pPr>
          </w:p>
        </w:tc>
        <w:tc>
          <w:tcPr>
            <w:tcW w:w="32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1040" w:type="dxa"/>
            <w:vAlign w:val="bottom"/>
            <w:tcBorders>
              <w:bottom w:val="single" w:sz="8" w:color="EEEEEE"/>
            </w:tcBorders>
          </w:tcPr>
          <w:p>
            <w:pPr>
              <w:spacing w:after="0"/>
              <w:rPr>
                <w:sz w:val="18"/>
                <w:szCs w:val="18"/>
                <w:color w:val="auto"/>
              </w:rPr>
            </w:pPr>
          </w:p>
        </w:tc>
        <w:tc>
          <w:tcPr>
            <w:tcW w:w="340" w:type="dxa"/>
            <w:vAlign w:val="bottom"/>
            <w:tcBorders>
              <w:bottom w:val="single" w:sz="8" w:color="EEEEEE"/>
            </w:tcBorders>
          </w:tcPr>
          <w:p>
            <w:pPr>
              <w:spacing w:after="0"/>
              <w:rPr>
                <w:sz w:val="18"/>
                <w:szCs w:val="18"/>
                <w:color w:val="auto"/>
              </w:rPr>
            </w:pPr>
          </w:p>
        </w:tc>
        <w:tc>
          <w:tcPr>
            <w:tcW w:w="1100" w:type="dxa"/>
            <w:vAlign w:val="bottom"/>
            <w:tcBorders>
              <w:bottom w:val="single" w:sz="8" w:color="EEEEEE"/>
            </w:tcBorders>
          </w:tcPr>
          <w:p>
            <w:pPr>
              <w:spacing w:after="0"/>
              <w:rPr>
                <w:sz w:val="18"/>
                <w:szCs w:val="18"/>
                <w:color w:val="auto"/>
              </w:rPr>
            </w:pPr>
          </w:p>
        </w:tc>
        <w:tc>
          <w:tcPr>
            <w:tcW w:w="110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102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1300" w:type="dxa"/>
            <w:vAlign w:val="bottom"/>
            <w:tcBorders>
              <w:bottom w:val="single" w:sz="8" w:color="EEEEEE"/>
            </w:tcBorders>
          </w:tcPr>
          <w:p>
            <w:pPr>
              <w:spacing w:after="0"/>
              <w:rPr>
                <w:sz w:val="18"/>
                <w:szCs w:val="18"/>
                <w:color w:val="auto"/>
              </w:rPr>
            </w:pPr>
          </w:p>
        </w:tc>
        <w:tc>
          <w:tcPr>
            <w:tcW w:w="112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95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Fee Revenue and Other Income</w:t>
      </w:r>
    </w:p>
    <w:p>
      <w:pPr>
        <w:spacing w:after="0" w:line="20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fee revenue is derived mainly from transportation and facility payment and processing fees. As the Company provides its processing and payment services, it is compensated by service fees which are typically calculated on a per-item basis and by the accounts and drafts payable balances generated in the payment process which can be used to generate interest income. Processing volumes, fee revenue and other income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89"/>
              </w:rPr>
              <w:t>Second Quarter of</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First Half of</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 Change</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Change</w:t>
            </w:r>
          </w:p>
        </w:tc>
        <w:tc>
          <w:tcPr>
            <w:tcW w:w="20" w:type="dxa"/>
            <w:vAlign w:val="bottom"/>
          </w:tcPr>
          <w:p>
            <w:pPr>
              <w:spacing w:after="0"/>
              <w:rPr>
                <w:sz w:val="19"/>
                <w:szCs w:val="19"/>
                <w:color w:val="auto"/>
              </w:rPr>
            </w:pPr>
          </w:p>
        </w:tc>
      </w:tr>
      <w:tr>
        <w:trPr>
          <w:trHeight w:val="215"/>
        </w:trPr>
        <w:tc>
          <w:tcPr>
            <w:tcW w:w="3060" w:type="dxa"/>
            <w:vAlign w:val="bottom"/>
            <w:shd w:val="clear" w:color="auto" w:fill="B2B2B2"/>
          </w:tcPr>
          <w:p>
            <w:pPr>
              <w:spacing w:after="0"/>
              <w:rPr>
                <w:sz w:val="20"/>
                <w:szCs w:val="20"/>
                <w:color w:val="auto"/>
              </w:rPr>
            </w:pPr>
            <w:r>
              <w:rPr>
                <w:rFonts w:ascii="Arial" w:cs="Arial" w:eastAsia="Arial" w:hAnsi="Arial"/>
                <w:sz w:val="18"/>
                <w:szCs w:val="18"/>
                <w:color w:val="auto"/>
              </w:rPr>
              <w:t>Transportation invoice volume</w:t>
            </w:r>
          </w:p>
        </w:tc>
        <w:tc>
          <w:tcPr>
            <w:tcW w:w="440" w:type="dxa"/>
            <w:vAlign w:val="bottom"/>
            <w:shd w:val="clear" w:color="auto" w:fill="B2B2B2"/>
          </w:tcPr>
          <w:p>
            <w:pPr>
              <w:spacing w:after="0"/>
              <w:rPr>
                <w:sz w:val="18"/>
                <w:szCs w:val="18"/>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7,294</w:t>
            </w:r>
          </w:p>
        </w:tc>
        <w:tc>
          <w:tcPr>
            <w:tcW w:w="38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9,222</w:t>
            </w:r>
          </w:p>
        </w:tc>
        <w:tc>
          <w:tcPr>
            <w:tcW w:w="116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15,574</w:t>
            </w:r>
          </w:p>
        </w:tc>
        <w:tc>
          <w:tcPr>
            <w:tcW w:w="30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18,170</w:t>
            </w: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8"/>
                <w:szCs w:val="18"/>
                <w:color w:val="auto"/>
              </w:rPr>
              <w:t>Transportation invoice dollar volume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5,697,627</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7,121,202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12,164,678</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14,106,975</w:t>
            </w: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r>
      <w:tr>
        <w:trPr>
          <w:trHeight w:val="215"/>
        </w:trPr>
        <w:tc>
          <w:tcPr>
            <w:tcW w:w="3060" w:type="dxa"/>
            <w:vAlign w:val="bottom"/>
            <w:shd w:val="clear" w:color="auto" w:fill="B2B2B2"/>
          </w:tcPr>
          <w:p>
            <w:pPr>
              <w:spacing w:after="0"/>
              <w:rPr>
                <w:sz w:val="20"/>
                <w:szCs w:val="20"/>
                <w:color w:val="auto"/>
              </w:rPr>
            </w:pPr>
            <w:r>
              <w:rPr>
                <w:rFonts w:ascii="Arial" w:cs="Arial" w:eastAsia="Arial" w:hAnsi="Arial"/>
                <w:sz w:val="18"/>
                <w:szCs w:val="18"/>
                <w:color w:val="auto"/>
              </w:rPr>
              <w:t>Facility Expense transaction volume*</w:t>
            </w:r>
          </w:p>
        </w:tc>
        <w:tc>
          <w:tcPr>
            <w:tcW w:w="440" w:type="dxa"/>
            <w:vAlign w:val="bottom"/>
            <w:shd w:val="clear" w:color="auto" w:fill="B2B2B2"/>
          </w:tcPr>
          <w:p>
            <w:pPr>
              <w:spacing w:after="0"/>
              <w:rPr>
                <w:sz w:val="18"/>
                <w:szCs w:val="18"/>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6,704</w:t>
            </w:r>
          </w:p>
        </w:tc>
        <w:tc>
          <w:tcPr>
            <w:tcW w:w="38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6,892</w:t>
            </w:r>
          </w:p>
        </w:tc>
        <w:tc>
          <w:tcPr>
            <w:tcW w:w="116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13,213</w:t>
            </w:r>
          </w:p>
        </w:tc>
        <w:tc>
          <w:tcPr>
            <w:tcW w:w="30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13,886</w:t>
            </w: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8"/>
                <w:szCs w:val="18"/>
                <w:color w:val="auto"/>
              </w:rPr>
              <w:t>Facility Expense dollar volume*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3,064,038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3,733,075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6,522,684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7,350,503</w:t>
            </w:r>
          </w:p>
        </w:tc>
        <w:tc>
          <w:tcPr>
            <w:tcW w:w="110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r>
      <w:tr>
        <w:trPr>
          <w:trHeight w:val="229"/>
        </w:trPr>
        <w:tc>
          <w:tcPr>
            <w:tcW w:w="3060" w:type="dxa"/>
            <w:vAlign w:val="bottom"/>
            <w:shd w:val="clear" w:color="auto" w:fill="B2B2B2"/>
          </w:tcPr>
          <w:p>
            <w:pPr>
              <w:spacing w:after="0"/>
              <w:rPr>
                <w:sz w:val="20"/>
                <w:szCs w:val="20"/>
                <w:color w:val="auto"/>
              </w:rPr>
            </w:pPr>
            <w:r>
              <w:rPr>
                <w:rFonts w:ascii="Arial" w:cs="Arial" w:eastAsia="Arial" w:hAnsi="Arial"/>
                <w:sz w:val="18"/>
                <w:szCs w:val="18"/>
                <w:color w:val="auto"/>
              </w:rPr>
              <w:t>Payment and processing revenue</w:t>
            </w:r>
          </w:p>
        </w:tc>
        <w:tc>
          <w:tcPr>
            <w:tcW w:w="4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22,661</w:t>
            </w:r>
          </w:p>
        </w:tc>
        <w:tc>
          <w:tcPr>
            <w:tcW w:w="38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26,852</w:t>
            </w:r>
          </w:p>
        </w:tc>
        <w:tc>
          <w:tcPr>
            <w:tcW w:w="116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(15.6)%</w:t>
            </w:r>
          </w:p>
        </w:tc>
        <w:tc>
          <w:tcPr>
            <w:tcW w:w="360" w:type="dxa"/>
            <w:vAlign w:val="bottom"/>
            <w:gridSpan w:val="2"/>
            <w:shd w:val="clear" w:color="auto" w:fill="B2B2B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48,164</w:t>
            </w:r>
          </w:p>
        </w:tc>
        <w:tc>
          <w:tcPr>
            <w:tcW w:w="30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53,309</w:t>
            </w: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Includes energy, telecom and environmental</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2020 compared to Second Quarter of 2019:</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Payment and processing fee revenue decreased 16%. Transportation volumes for invoices and dollars declined 21% and 20%, respectively. With manufacturing companies representing an important component of the transportation customer base, the previously reported contraction in the sector, combined with the effects of COVID-19, created significant challenges. Facility-related invoice and dollar volume declined 3% and 18%, respectively, as the impact of COVID-19 spawned customer bankruptcies or significant loss of dollar volume in the restaurant, retail and hospitality sectors as customers either temporarily closed locations or operated with minimal services.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gains on the sales of securities in the Second Quarter of 2020, compared to $8,000 in gains in the Second Quarter of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First Half of 2020 compared to First Half of 2019:</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Payment and processing revenue decreased 10% for the same reasons as the Second Quarter. Transportation invoice and dollar volumes, as well as expense management transaction and dollar volumes, fluctuated for the same reasons as the Second Quarter.</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Gains of $1,069,000 on the sales of securities were recognized in the First Half of 2020, compared to gains of $19,000 in the First Half of 2019.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0"/>
                <w:szCs w:val="20"/>
                <w:color w:val="auto"/>
              </w:rPr>
            </w:pPr>
          </w:p>
        </w:tc>
        <w:tc>
          <w:tcPr>
            <w:tcW w:w="24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Second Quarter of</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First Half of</w:t>
            </w:r>
          </w:p>
        </w:tc>
        <w:tc>
          <w:tcPr>
            <w:tcW w:w="940" w:type="dxa"/>
            <w:vAlign w:val="bottom"/>
            <w:tcBorders>
              <w:bottom w:val="single" w:sz="8" w:color="auto"/>
            </w:tcBorders>
          </w:tcPr>
          <w:p>
            <w:pPr>
              <w:spacing w:after="0"/>
              <w:rPr>
                <w:sz w:val="20"/>
                <w:szCs w:val="20"/>
                <w:color w:val="auto"/>
              </w:rPr>
            </w:pPr>
          </w:p>
        </w:tc>
      </w:tr>
      <w:tr>
        <w:trPr>
          <w:trHeight w:val="197"/>
        </w:trPr>
        <w:tc>
          <w:tcPr>
            <w:tcW w:w="4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20" w:type="dxa"/>
            <w:vAlign w:val="bottom"/>
          </w:tcPr>
          <w:p>
            <w:pPr>
              <w:jc w:val="right"/>
              <w:ind w:right="210"/>
              <w:spacing w:after="0" w:line="197"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jc w:val="right"/>
              <w:ind w:right="270"/>
              <w:spacing w:after="0" w:line="197" w:lineRule="exact"/>
              <w:rPr>
                <w:sz w:val="20"/>
                <w:szCs w:val="20"/>
                <w:color w:val="auto"/>
              </w:rPr>
            </w:pPr>
            <w:r>
              <w:rPr>
                <w:rFonts w:ascii="Arial" w:cs="Arial" w:eastAsia="Arial" w:hAnsi="Arial"/>
                <w:sz w:val="18"/>
                <w:szCs w:val="18"/>
                <w:b w:val="1"/>
                <w:bCs w:val="1"/>
                <w:color w:val="auto"/>
              </w:rPr>
              <w:t>%</w:t>
            </w:r>
          </w:p>
        </w:tc>
      </w:tr>
      <w:tr>
        <w:trPr>
          <w:trHeight w:val="241"/>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Change</w:t>
            </w: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r>
      <w:tr>
        <w:trPr>
          <w:trHeight w:val="215"/>
        </w:trPr>
        <w:tc>
          <w:tcPr>
            <w:tcW w:w="4400" w:type="dxa"/>
            <w:vAlign w:val="bottom"/>
            <w:shd w:val="clear" w:color="auto" w:fill="B2B2B2"/>
          </w:tcPr>
          <w:p>
            <w:pPr>
              <w:spacing w:after="0"/>
              <w:rPr>
                <w:sz w:val="20"/>
                <w:szCs w:val="20"/>
                <w:color w:val="auto"/>
              </w:rPr>
            </w:pPr>
            <w:r>
              <w:rPr>
                <w:rFonts w:ascii="Arial" w:cs="Arial" w:eastAsia="Arial" w:hAnsi="Arial"/>
                <w:sz w:val="18"/>
                <w:szCs w:val="18"/>
                <w:color w:val="auto"/>
              </w:rPr>
              <w:t>Average earnings assets</w:t>
            </w:r>
          </w:p>
        </w:tc>
        <w:tc>
          <w:tcPr>
            <w:tcW w:w="11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w w:val="95"/>
              </w:rPr>
              <w:t>$   1,624,415</w:t>
            </w:r>
          </w:p>
        </w:tc>
        <w:tc>
          <w:tcPr>
            <w:tcW w:w="134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   1,430,983</w:t>
            </w:r>
          </w:p>
        </w:tc>
        <w:tc>
          <w:tcPr>
            <w:tcW w:w="104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13.5%</w:t>
            </w: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7"/>
              </w:rPr>
              <w:t>$  1,556,144</w:t>
            </w:r>
          </w:p>
        </w:tc>
        <w:tc>
          <w:tcPr>
            <w:tcW w:w="130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  1,434,777</w:t>
            </w: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8.5%</w:t>
            </w:r>
          </w:p>
        </w:tc>
      </w:tr>
      <w:tr>
        <w:trPr>
          <w:trHeight w:val="215"/>
        </w:trPr>
        <w:tc>
          <w:tcPr>
            <w:tcW w:w="4400" w:type="dxa"/>
            <w:vAlign w:val="bottom"/>
          </w:tcPr>
          <w:p>
            <w:pPr>
              <w:spacing w:after="0"/>
              <w:rPr>
                <w:sz w:val="20"/>
                <w:szCs w:val="20"/>
                <w:color w:val="auto"/>
              </w:rPr>
            </w:pPr>
            <w:r>
              <w:rPr>
                <w:rFonts w:ascii="Arial" w:cs="Arial" w:eastAsia="Arial" w:hAnsi="Arial"/>
                <w:sz w:val="18"/>
                <w:szCs w:val="18"/>
                <w:color w:val="auto"/>
              </w:rPr>
              <w:t>Average interest-bearing liabilities</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478,370</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379,422</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1080" w:type="dxa"/>
            <w:vAlign w:val="bottom"/>
          </w:tcPr>
          <w:p>
            <w:pPr>
              <w:jc w:val="right"/>
              <w:spacing w:after="0"/>
              <w:rPr>
                <w:sz w:val="20"/>
                <w:szCs w:val="20"/>
                <w:color w:val="auto"/>
              </w:rPr>
            </w:pPr>
            <w:r>
              <w:rPr>
                <w:rFonts w:ascii="Arial" w:cs="Arial" w:eastAsia="Arial" w:hAnsi="Arial"/>
                <w:sz w:val="18"/>
                <w:szCs w:val="18"/>
                <w:color w:val="auto"/>
              </w:rPr>
              <w:t>443,873</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384,607</w:t>
            </w:r>
          </w:p>
        </w:tc>
        <w:tc>
          <w:tcPr>
            <w:tcW w:w="94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5"/>
        </w:trPr>
        <w:tc>
          <w:tcPr>
            <w:tcW w:w="4400" w:type="dxa"/>
            <w:vAlign w:val="bottom"/>
            <w:shd w:val="clear" w:color="auto" w:fill="B2B2B2"/>
          </w:tcPr>
          <w:p>
            <w:pPr>
              <w:spacing w:after="0"/>
              <w:rPr>
                <w:sz w:val="20"/>
                <w:szCs w:val="20"/>
                <w:color w:val="auto"/>
              </w:rPr>
            </w:pPr>
            <w:r>
              <w:rPr>
                <w:rFonts w:ascii="Arial" w:cs="Arial" w:eastAsia="Arial" w:hAnsi="Arial"/>
                <w:sz w:val="18"/>
                <w:szCs w:val="18"/>
                <w:color w:val="auto"/>
              </w:rPr>
              <w:t>Net interest income*</w:t>
            </w:r>
          </w:p>
        </w:tc>
        <w:tc>
          <w:tcPr>
            <w:tcW w:w="11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11,635</w:t>
            </w:r>
          </w:p>
        </w:tc>
        <w:tc>
          <w:tcPr>
            <w:tcW w:w="134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12,553</w:t>
            </w:r>
          </w:p>
        </w:tc>
        <w:tc>
          <w:tcPr>
            <w:tcW w:w="104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(7.3)%</w:t>
            </w: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23,492</w:t>
            </w:r>
          </w:p>
        </w:tc>
        <w:tc>
          <w:tcPr>
            <w:tcW w:w="130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24,701</w:t>
            </w: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(4.9)%</w:t>
            </w:r>
          </w:p>
        </w:tc>
      </w:tr>
      <w:tr>
        <w:trPr>
          <w:trHeight w:val="215"/>
        </w:trPr>
        <w:tc>
          <w:tcPr>
            <w:tcW w:w="4400" w:type="dxa"/>
            <w:vAlign w:val="bottom"/>
          </w:tcPr>
          <w:p>
            <w:pPr>
              <w:spacing w:after="0"/>
              <w:rPr>
                <w:sz w:val="20"/>
                <w:szCs w:val="20"/>
                <w:color w:val="auto"/>
              </w:rPr>
            </w:pPr>
            <w:r>
              <w:rPr>
                <w:rFonts w:ascii="Arial" w:cs="Arial" w:eastAsia="Arial" w:hAnsi="Arial"/>
                <w:sz w:val="18"/>
                <w:szCs w:val="18"/>
                <w:color w:val="auto"/>
              </w:rPr>
              <w:t>Net interest margin*</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2.88%</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3.52%</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3.47%</w:t>
            </w:r>
          </w:p>
        </w:tc>
        <w:tc>
          <w:tcPr>
            <w:tcW w:w="940" w:type="dxa"/>
            <w:vAlign w:val="bottom"/>
          </w:tcPr>
          <w:p>
            <w:pPr>
              <w:spacing w:after="0"/>
              <w:rPr>
                <w:sz w:val="18"/>
                <w:szCs w:val="18"/>
                <w:color w:val="auto"/>
              </w:rPr>
            </w:pPr>
          </w:p>
        </w:tc>
      </w:tr>
      <w:tr>
        <w:trPr>
          <w:trHeight w:val="215"/>
        </w:trPr>
        <w:tc>
          <w:tcPr>
            <w:tcW w:w="4400" w:type="dxa"/>
            <w:vAlign w:val="bottom"/>
            <w:shd w:val="clear" w:color="auto" w:fill="B2B2B2"/>
          </w:tcPr>
          <w:p>
            <w:pPr>
              <w:spacing w:after="0"/>
              <w:rPr>
                <w:sz w:val="20"/>
                <w:szCs w:val="20"/>
                <w:color w:val="auto"/>
              </w:rPr>
            </w:pPr>
            <w:r>
              <w:rPr>
                <w:rFonts w:ascii="Arial" w:cs="Arial" w:eastAsia="Arial" w:hAnsi="Arial"/>
                <w:sz w:val="18"/>
                <w:szCs w:val="18"/>
                <w:color w:val="auto"/>
              </w:rPr>
              <w:t>Yield on earning assets*</w:t>
            </w:r>
          </w:p>
        </w:tc>
        <w:tc>
          <w:tcPr>
            <w:tcW w:w="11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3.00%</w:t>
            </w:r>
          </w:p>
        </w:tc>
        <w:tc>
          <w:tcPr>
            <w:tcW w:w="134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3.88%</w:t>
            </w:r>
          </w:p>
        </w:tc>
        <w:tc>
          <w:tcPr>
            <w:tcW w:w="8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3.22%</w:t>
            </w:r>
          </w:p>
        </w:tc>
        <w:tc>
          <w:tcPr>
            <w:tcW w:w="130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3.84%</w:t>
            </w:r>
          </w:p>
        </w:tc>
        <w:tc>
          <w:tcPr>
            <w:tcW w:w="940" w:type="dxa"/>
            <w:vAlign w:val="bottom"/>
            <w:shd w:val="clear" w:color="auto" w:fill="B2B2B2"/>
          </w:tcPr>
          <w:p>
            <w:pPr>
              <w:spacing w:after="0"/>
              <w:rPr>
                <w:sz w:val="18"/>
                <w:szCs w:val="18"/>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Rate on interest-bearing liabilities</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1.38%</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1.36%</w:t>
            </w:r>
          </w:p>
        </w:tc>
        <w:tc>
          <w:tcPr>
            <w:tcW w:w="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Presented on a tax-equivalent basis assuming a tax rate of 21% for both 2020 and 2019.</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2020 compared to Second Quarter of 2019:</w:t>
      </w:r>
    </w:p>
    <w:p>
      <w:pPr>
        <w:spacing w:after="0" w:line="19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Second Quarter of 2020 average earning assets increased $193,432,000, or 13.5%, compared to the same period in the prior year. Average loans increased $194,666,000, or 25.3%, due to the PPP loans and federal funds sold and interest-bearing deposits in other financial institutions increased $185,404,000, or 211.0%. These were partially offset as other short-term investments decreased $128,193,000, or 88.6%, and average investment securities decreased $56,763,000, or 13.3%, in the Second Quarter of 2020 compared to the Second Quarter of 2019.</w:t>
      </w:r>
    </w:p>
    <w:p>
      <w:pPr>
        <w:spacing w:after="0" w:line="158"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Total non-interest-bearing liabilities for the Second Quarter of 2020 increased $100,431,000, or 38.7% and average interest-bearing liabilities increased $98,948,000, or 26.1%, compared to the Second Quarter of 2019 as the funds from the PPP loans largely remained in deposit accounts. Average accounts and drafts payable decreased $33,076,000, or 4.3%, in the Second Quarter of 2020 compared to the Second Quarter of 2019.</w:t>
      </w:r>
    </w:p>
    <w:p>
      <w:pPr>
        <w:spacing w:after="0" w:line="152"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changes to the interest rate environment led to decreases in net interest income and the net interest margin. The impact of this was partially offset by higher average earning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First Half of 2020 compared to First Half of 2019:</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First Half of 2020 average earning assets increased $121,367,000, or 8.5%, compared to the same period in the prior year. Loans increased $136,189,000, or 18.3% due to the PPP loans and interest-bearing deposits in other financial institutions increased $87,635,000, or 76.7%. These were offset by a decrease in average investment securities of $50,618,000, or 11.7%, and a decrease in average federal funds sold and short-term investments of $50,251,000, or 35.7%, for the First Half of 2020 as compared to the First Half of 2019.</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Non-interest-bearing demand deposits increased $62,743,000, or 23.7%, and total average interest-bearing liabilities increased $59,266,000, or 15.4%, compared to the First Half of 2019 as the funds from the PPP loans largely remained in deposit accounts and higher time deposits. These were partially offset by a decrease in the average accounts and drafts payable balances for the First Half of 2020 of $7,643,000, or 1.0%, Net interest income and net interest margin were impacted by the same factors as the Second Quarter.</w:t>
      </w:r>
    </w:p>
    <w:p>
      <w:pPr>
        <w:sectPr>
          <w:pgSz w:w="11900" w:h="16838" w:orient="portrait"/>
          <w:cols w:equalWidth="0" w:num="1">
            <w:col w:w="11240"/>
          </w:cols>
          <w:pgMar w:left="320" w:top="323" w:right="339" w:bottom="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For more information on the changes in net interest income, please refer to the tables that follow.</w:t>
      </w:r>
    </w:p>
    <w:p>
      <w:pPr>
        <w:sectPr>
          <w:pgSz w:w="11900" w:h="16838" w:orient="portrait"/>
          <w:cols w:equalWidth="0" w:num="1">
            <w:col w:w="10139"/>
          </w:cols>
          <w:pgMar w:left="320" w:top="125" w:right="1440" w:bottom="1440" w:gutter="0" w:footer="0" w:header="0"/>
        </w:sectPr>
      </w:pPr>
    </w:p>
    <w:p>
      <w:pPr>
        <w:spacing w:after="0" w:line="24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955"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Distribution of Assets, Liabilities and Shareholders’ Equity; Interest Rate and Interest Differential</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tables show the condensed average balance sheets for each of the periods reported, the tax-equivalent interest income and expense on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60" w:type="dxa"/>
            <w:vAlign w:val="bottom"/>
            <w:gridSpan w:val="5"/>
          </w:tcPr>
          <w:p>
            <w:pPr>
              <w:ind w:left="600"/>
              <w:spacing w:after="0"/>
              <w:rPr>
                <w:sz w:val="20"/>
                <w:szCs w:val="20"/>
                <w:color w:val="auto"/>
              </w:rPr>
            </w:pPr>
            <w:r>
              <w:rPr>
                <w:rFonts w:ascii="Arial" w:cs="Arial" w:eastAsia="Arial" w:hAnsi="Arial"/>
                <w:sz w:val="18"/>
                <w:szCs w:val="18"/>
                <w:b w:val="1"/>
                <w:bCs w:val="1"/>
                <w:color w:val="auto"/>
              </w:rPr>
              <w:t>Second Quarter of 2020</w:t>
            </w:r>
          </w:p>
        </w:tc>
        <w:tc>
          <w:tcPr>
            <w:tcW w:w="160" w:type="dxa"/>
            <w:vAlign w:val="bottom"/>
          </w:tcPr>
          <w:p>
            <w:pPr>
              <w:spacing w:after="0"/>
              <w:rPr>
                <w:sz w:val="20"/>
                <w:szCs w:val="20"/>
                <w:color w:val="auto"/>
              </w:rPr>
            </w:pPr>
          </w:p>
        </w:tc>
        <w:tc>
          <w:tcPr>
            <w:tcW w:w="31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Second Quarter of 2019</w:t>
            </w:r>
          </w:p>
        </w:tc>
        <w:tc>
          <w:tcPr>
            <w:tcW w:w="0" w:type="dxa"/>
            <w:vAlign w:val="bottom"/>
          </w:tcPr>
          <w:p>
            <w:pPr>
              <w:spacing w:after="0"/>
              <w:rPr>
                <w:sz w:val="1"/>
                <w:szCs w:val="1"/>
                <w:color w:val="auto"/>
              </w:rPr>
            </w:pPr>
          </w:p>
        </w:tc>
      </w:tr>
      <w:tr>
        <w:trPr>
          <w:trHeight w:val="197"/>
        </w:trPr>
        <w:tc>
          <w:tcPr>
            <w:tcW w:w="44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40"/>
              <w:spacing w:after="0" w:line="197" w:lineRule="exact"/>
              <w:rPr>
                <w:sz w:val="20"/>
                <w:szCs w:val="20"/>
                <w:color w:val="auto"/>
              </w:rPr>
            </w:pPr>
            <w:r>
              <w:rPr>
                <w:rFonts w:ascii="Arial" w:cs="Arial" w:eastAsia="Arial" w:hAnsi="Arial"/>
                <w:sz w:val="18"/>
                <w:szCs w:val="18"/>
                <w:b w:val="1"/>
                <w:bCs w:val="1"/>
                <w:color w:val="auto"/>
              </w:rPr>
              <w:t>Interest</w:t>
            </w: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ind w:left="40"/>
              <w:spacing w:after="0" w:line="197" w:lineRule="exact"/>
              <w:rPr>
                <w:sz w:val="20"/>
                <w:szCs w:val="20"/>
                <w:color w:val="auto"/>
              </w:rPr>
            </w:pPr>
            <w:r>
              <w:rPr>
                <w:rFonts w:ascii="Arial" w:cs="Arial" w:eastAsia="Arial" w:hAnsi="Arial"/>
                <w:sz w:val="18"/>
                <w:szCs w:val="18"/>
                <w:b w:val="1"/>
                <w:bCs w:val="1"/>
                <w:color w:val="auto"/>
              </w:rPr>
              <w:t>Interest</w:t>
            </w: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4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Average</w:t>
            </w:r>
          </w:p>
        </w:tc>
        <w:tc>
          <w:tcPr>
            <w:tcW w:w="28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Yield/Rate</w:t>
            </w:r>
          </w:p>
        </w:tc>
        <w:tc>
          <w:tcPr>
            <w:tcW w:w="1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Average</w:t>
            </w:r>
          </w:p>
        </w:tc>
        <w:tc>
          <w:tcPr>
            <w:tcW w:w="280" w:type="dxa"/>
            <w:vAlign w:val="bottom"/>
          </w:tcPr>
          <w:p>
            <w:pPr>
              <w:spacing w:after="0"/>
              <w:rPr>
                <w:sz w:val="19"/>
                <w:szCs w:val="19"/>
                <w:color w:val="auto"/>
              </w:rPr>
            </w:pPr>
          </w:p>
        </w:tc>
        <w:tc>
          <w:tcPr>
            <w:tcW w:w="900" w:type="dxa"/>
            <w:vAlign w:val="bottom"/>
          </w:tcPr>
          <w:p>
            <w:pPr>
              <w:ind w:left="40"/>
              <w:spacing w:after="0"/>
              <w:rPr>
                <w:sz w:val="20"/>
                <w:szCs w:val="20"/>
                <w:color w:val="auto"/>
              </w:rPr>
            </w:pPr>
            <w:r>
              <w:rPr>
                <w:rFonts w:ascii="Arial" w:cs="Arial" w:eastAsia="Arial" w:hAnsi="Arial"/>
                <w:sz w:val="18"/>
                <w:szCs w:val="18"/>
                <w:b w:val="1"/>
                <w:bCs w:val="1"/>
                <w:color w:val="auto"/>
              </w:rPr>
              <w:t>Income/</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Yield/Rate</w:t>
            </w:r>
          </w:p>
        </w:tc>
        <w:tc>
          <w:tcPr>
            <w:tcW w:w="0" w:type="dxa"/>
            <w:vAlign w:val="bottom"/>
          </w:tcPr>
          <w:p>
            <w:pPr>
              <w:spacing w:after="0"/>
              <w:rPr>
                <w:sz w:val="1"/>
                <w:szCs w:val="1"/>
                <w:color w:val="auto"/>
              </w:rPr>
            </w:pPr>
          </w:p>
        </w:tc>
      </w:tr>
      <w:tr>
        <w:trPr>
          <w:trHeight w:val="236"/>
        </w:trPr>
        <w:tc>
          <w:tcPr>
            <w:tcW w:w="446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Balance</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Expense</w:t>
            </w: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Balance</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Expense</w:t>
            </w: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460" w:type="dxa"/>
            <w:vAlign w:val="bottom"/>
            <w:shd w:val="clear" w:color="auto" w:fill="B2B2B2"/>
          </w:tcPr>
          <w:p>
            <w:pPr>
              <w:spacing w:after="0" w:line="256"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9"/>
                <w:szCs w:val="29"/>
                <w:color w:val="auto"/>
                <w:vertAlign w:val="superscript"/>
              </w:rPr>
              <w:t>1</w:t>
            </w:r>
          </w:p>
        </w:tc>
        <w:tc>
          <w:tcPr>
            <w:tcW w:w="16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280" w:type="dxa"/>
            <w:vAlign w:val="bottom"/>
            <w:shd w:val="clear" w:color="auto" w:fill="B2B2B2"/>
          </w:tcPr>
          <w:p>
            <w:pPr>
              <w:spacing w:after="0"/>
              <w:rPr>
                <w:sz w:val="22"/>
                <w:szCs w:val="22"/>
                <w:color w:val="auto"/>
              </w:rPr>
            </w:pPr>
          </w:p>
        </w:tc>
        <w:tc>
          <w:tcPr>
            <w:tcW w:w="880" w:type="dxa"/>
            <w:vAlign w:val="bottom"/>
            <w:shd w:val="clear" w:color="auto" w:fill="B2B2B2"/>
          </w:tcPr>
          <w:p>
            <w:pPr>
              <w:spacing w:after="0"/>
              <w:rPr>
                <w:sz w:val="22"/>
                <w:szCs w:val="22"/>
                <w:color w:val="auto"/>
              </w:rPr>
            </w:pPr>
          </w:p>
        </w:tc>
        <w:tc>
          <w:tcPr>
            <w:tcW w:w="98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280" w:type="dxa"/>
            <w:vAlign w:val="bottom"/>
            <w:shd w:val="clear" w:color="auto" w:fill="B2B2B2"/>
          </w:tcPr>
          <w:p>
            <w:pPr>
              <w:spacing w:after="0"/>
              <w:rPr>
                <w:sz w:val="22"/>
                <w:szCs w:val="22"/>
                <w:color w:val="auto"/>
              </w:rPr>
            </w:pPr>
          </w:p>
        </w:tc>
        <w:tc>
          <w:tcPr>
            <w:tcW w:w="900" w:type="dxa"/>
            <w:vAlign w:val="bottom"/>
            <w:shd w:val="clear" w:color="auto" w:fill="B2B2B2"/>
          </w:tcPr>
          <w:p>
            <w:pPr>
              <w:spacing w:after="0"/>
              <w:rPr>
                <w:sz w:val="22"/>
                <w:szCs w:val="22"/>
                <w:color w:val="auto"/>
              </w:rPr>
            </w:pPr>
          </w:p>
        </w:tc>
        <w:tc>
          <w:tcPr>
            <w:tcW w:w="900" w:type="dxa"/>
            <w:vAlign w:val="bottom"/>
            <w:shd w:val="clear" w:color="auto" w:fill="B2B2B2"/>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460" w:type="dxa"/>
            <w:vAlign w:val="bottom"/>
            <w:shd w:val="clear" w:color="auto" w:fill="B2B2B2"/>
          </w:tcPr>
          <w:p>
            <w:pPr>
              <w:spacing w:after="0" w:line="256"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2</w:t>
            </w:r>
            <w:r>
              <w:rPr>
                <w:rFonts w:ascii="Arial" w:cs="Arial" w:eastAsia="Arial" w:hAnsi="Arial"/>
                <w:sz w:val="18"/>
                <w:szCs w:val="18"/>
                <w:color w:val="auto"/>
              </w:rPr>
              <w:t>:</w:t>
            </w:r>
          </w:p>
        </w:tc>
        <w:tc>
          <w:tcPr>
            <w:tcW w:w="16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280" w:type="dxa"/>
            <w:vAlign w:val="bottom"/>
            <w:shd w:val="clear" w:color="auto" w:fill="B2B2B2"/>
          </w:tcPr>
          <w:p>
            <w:pPr>
              <w:spacing w:after="0"/>
              <w:rPr>
                <w:sz w:val="22"/>
                <w:szCs w:val="22"/>
                <w:color w:val="auto"/>
              </w:rPr>
            </w:pPr>
          </w:p>
        </w:tc>
        <w:tc>
          <w:tcPr>
            <w:tcW w:w="880" w:type="dxa"/>
            <w:vAlign w:val="bottom"/>
            <w:shd w:val="clear" w:color="auto" w:fill="B2B2B2"/>
          </w:tcPr>
          <w:p>
            <w:pPr>
              <w:spacing w:after="0"/>
              <w:rPr>
                <w:sz w:val="22"/>
                <w:szCs w:val="22"/>
                <w:color w:val="auto"/>
              </w:rPr>
            </w:pPr>
          </w:p>
        </w:tc>
        <w:tc>
          <w:tcPr>
            <w:tcW w:w="98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280" w:type="dxa"/>
            <w:vAlign w:val="bottom"/>
            <w:shd w:val="clear" w:color="auto" w:fill="B2B2B2"/>
          </w:tcPr>
          <w:p>
            <w:pPr>
              <w:spacing w:after="0"/>
              <w:rPr>
                <w:sz w:val="22"/>
                <w:szCs w:val="22"/>
                <w:color w:val="auto"/>
              </w:rPr>
            </w:pPr>
          </w:p>
        </w:tc>
        <w:tc>
          <w:tcPr>
            <w:tcW w:w="900" w:type="dxa"/>
            <w:vAlign w:val="bottom"/>
            <w:shd w:val="clear" w:color="auto" w:fill="B2B2B2"/>
          </w:tcPr>
          <w:p>
            <w:pPr>
              <w:spacing w:after="0"/>
              <w:rPr>
                <w:sz w:val="22"/>
                <w:szCs w:val="22"/>
                <w:color w:val="auto"/>
              </w:rPr>
            </w:pPr>
          </w:p>
        </w:tc>
        <w:tc>
          <w:tcPr>
            <w:tcW w:w="900" w:type="dxa"/>
            <w:vAlign w:val="bottom"/>
            <w:shd w:val="clear" w:color="auto" w:fill="B2B2B2"/>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180"/>
              <w:spacing w:after="0"/>
              <w:rPr>
                <w:sz w:val="20"/>
                <w:szCs w:val="20"/>
                <w:color w:val="auto"/>
              </w:rPr>
            </w:pPr>
            <w:r>
              <w:rPr>
                <w:rFonts w:ascii="Arial" w:cs="Arial" w:eastAsia="Arial" w:hAnsi="Arial"/>
                <w:sz w:val="18"/>
                <w:szCs w:val="18"/>
                <w:color w:val="auto"/>
              </w:rPr>
              <w:t>Taxable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964,060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9,298</w:t>
            </w:r>
          </w:p>
        </w:tc>
        <w:tc>
          <w:tcPr>
            <w:tcW w:w="980" w:type="dxa"/>
            <w:vAlign w:val="bottom"/>
          </w:tcPr>
          <w:p>
            <w:pPr>
              <w:jc w:val="right"/>
              <w:spacing w:after="0"/>
              <w:rPr>
                <w:sz w:val="20"/>
                <w:szCs w:val="20"/>
                <w:color w:val="auto"/>
              </w:rPr>
            </w:pPr>
            <w:r>
              <w:rPr>
                <w:rFonts w:ascii="Arial" w:cs="Arial" w:eastAsia="Arial" w:hAnsi="Arial"/>
                <w:sz w:val="18"/>
                <w:szCs w:val="18"/>
                <w:color w:val="auto"/>
              </w:rPr>
              <w:t>3.88%</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769,394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9,387</w:t>
            </w:r>
          </w:p>
        </w:tc>
        <w:tc>
          <w:tcPr>
            <w:tcW w:w="900" w:type="dxa"/>
            <w:vAlign w:val="bottom"/>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56"/>
        </w:trPr>
        <w:tc>
          <w:tcPr>
            <w:tcW w:w="4460" w:type="dxa"/>
            <w:vAlign w:val="bottom"/>
            <w:shd w:val="clear" w:color="auto" w:fill="B2B2B2"/>
          </w:tcPr>
          <w:p>
            <w:pPr>
              <w:spacing w:after="0" w:line="256" w:lineRule="exact"/>
              <w:rPr>
                <w:sz w:val="20"/>
                <w:szCs w:val="20"/>
                <w:color w:val="auto"/>
              </w:rPr>
            </w:pPr>
            <w:r>
              <w:rPr>
                <w:rFonts w:ascii="Arial" w:cs="Arial" w:eastAsia="Arial" w:hAnsi="Arial"/>
                <w:sz w:val="18"/>
                <w:szCs w:val="18"/>
                <w:color w:val="auto"/>
              </w:rPr>
              <w:t>Investment securities</w:t>
            </w:r>
            <w:r>
              <w:rPr>
                <w:rFonts w:ascii="Arial" w:cs="Arial" w:eastAsia="Arial" w:hAnsi="Arial"/>
                <w:sz w:val="29"/>
                <w:szCs w:val="29"/>
                <w:color w:val="auto"/>
                <w:vertAlign w:val="superscript"/>
              </w:rPr>
              <w:t>4</w:t>
            </w:r>
            <w:r>
              <w:rPr>
                <w:rFonts w:ascii="Arial" w:cs="Arial" w:eastAsia="Arial" w:hAnsi="Arial"/>
                <w:sz w:val="18"/>
                <w:szCs w:val="18"/>
                <w:color w:val="auto"/>
              </w:rPr>
              <w:t>:</w:t>
            </w:r>
          </w:p>
        </w:tc>
        <w:tc>
          <w:tcPr>
            <w:tcW w:w="16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280" w:type="dxa"/>
            <w:vAlign w:val="bottom"/>
            <w:shd w:val="clear" w:color="auto" w:fill="B2B2B2"/>
          </w:tcPr>
          <w:p>
            <w:pPr>
              <w:spacing w:after="0"/>
              <w:rPr>
                <w:sz w:val="22"/>
                <w:szCs w:val="22"/>
                <w:color w:val="auto"/>
              </w:rPr>
            </w:pPr>
          </w:p>
        </w:tc>
        <w:tc>
          <w:tcPr>
            <w:tcW w:w="880" w:type="dxa"/>
            <w:vAlign w:val="bottom"/>
            <w:shd w:val="clear" w:color="auto" w:fill="B2B2B2"/>
          </w:tcPr>
          <w:p>
            <w:pPr>
              <w:spacing w:after="0"/>
              <w:rPr>
                <w:sz w:val="22"/>
                <w:szCs w:val="22"/>
                <w:color w:val="auto"/>
              </w:rPr>
            </w:pPr>
          </w:p>
        </w:tc>
        <w:tc>
          <w:tcPr>
            <w:tcW w:w="98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102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w:t>
            </w:r>
          </w:p>
        </w:tc>
        <w:tc>
          <w:tcPr>
            <w:tcW w:w="280" w:type="dxa"/>
            <w:vAlign w:val="bottom"/>
            <w:shd w:val="clear" w:color="auto" w:fill="B2B2B2"/>
          </w:tcPr>
          <w:p>
            <w:pPr>
              <w:spacing w:after="0"/>
              <w:rPr>
                <w:sz w:val="22"/>
                <w:szCs w:val="22"/>
                <w:color w:val="auto"/>
              </w:rPr>
            </w:pPr>
          </w:p>
        </w:tc>
        <w:tc>
          <w:tcPr>
            <w:tcW w:w="9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460" w:type="dxa"/>
            <w:vAlign w:val="bottom"/>
          </w:tcPr>
          <w:p>
            <w:pPr>
              <w:ind w:left="180"/>
              <w:spacing w:after="0"/>
              <w:rPr>
                <w:sz w:val="20"/>
                <w:szCs w:val="20"/>
                <w:color w:val="auto"/>
              </w:rPr>
            </w:pPr>
            <w:r>
              <w:rPr>
                <w:rFonts w:ascii="Arial" w:cs="Arial" w:eastAsia="Arial" w:hAnsi="Arial"/>
                <w:sz w:val="18"/>
                <w:szCs w:val="18"/>
                <w:color w:val="auto"/>
              </w:rPr>
              <w:t>Taxable</w:t>
            </w: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82,107</w:t>
            </w:r>
          </w:p>
        </w:tc>
        <w:tc>
          <w:tcPr>
            <w:tcW w:w="2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471</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104,740</w:t>
            </w:r>
          </w:p>
        </w:tc>
        <w:tc>
          <w:tcPr>
            <w:tcW w:w="2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630</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56"/>
        </w:trPr>
        <w:tc>
          <w:tcPr>
            <w:tcW w:w="4460" w:type="dxa"/>
            <w:vAlign w:val="bottom"/>
            <w:shd w:val="clear" w:color="auto" w:fill="B2B2B2"/>
          </w:tcPr>
          <w:p>
            <w:pPr>
              <w:ind w:left="180"/>
              <w:spacing w:after="0" w:line="256"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3</w:t>
            </w:r>
          </w:p>
        </w:tc>
        <w:tc>
          <w:tcPr>
            <w:tcW w:w="160" w:type="dxa"/>
            <w:vAlign w:val="bottom"/>
            <w:shd w:val="clear" w:color="auto" w:fill="B2B2B2"/>
          </w:tcPr>
          <w:p>
            <w:pPr>
              <w:spacing w:after="0"/>
              <w:rPr>
                <w:sz w:val="22"/>
                <w:szCs w:val="22"/>
                <w:color w:val="auto"/>
              </w:rPr>
            </w:pPr>
          </w:p>
        </w:tc>
        <w:tc>
          <w:tcPr>
            <w:tcW w:w="102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288,078</w:t>
            </w:r>
          </w:p>
        </w:tc>
        <w:tc>
          <w:tcPr>
            <w:tcW w:w="280" w:type="dxa"/>
            <w:vAlign w:val="bottom"/>
            <w:shd w:val="clear" w:color="auto" w:fill="B2B2B2"/>
          </w:tcPr>
          <w:p>
            <w:pPr>
              <w:spacing w:after="0"/>
              <w:rPr>
                <w:sz w:val="22"/>
                <w:szCs w:val="22"/>
                <w:color w:val="auto"/>
              </w:rPr>
            </w:pPr>
          </w:p>
        </w:tc>
        <w:tc>
          <w:tcPr>
            <w:tcW w:w="88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2,260</w:t>
            </w:r>
          </w:p>
        </w:tc>
        <w:tc>
          <w:tcPr>
            <w:tcW w:w="9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3.16</w:t>
            </w:r>
          </w:p>
        </w:tc>
        <w:tc>
          <w:tcPr>
            <w:tcW w:w="200" w:type="dxa"/>
            <w:vAlign w:val="bottom"/>
            <w:shd w:val="clear" w:color="auto" w:fill="B2B2B2"/>
          </w:tcPr>
          <w:p>
            <w:pPr>
              <w:spacing w:after="0"/>
              <w:rPr>
                <w:sz w:val="22"/>
                <w:szCs w:val="22"/>
                <w:color w:val="auto"/>
              </w:rPr>
            </w:pPr>
          </w:p>
        </w:tc>
        <w:tc>
          <w:tcPr>
            <w:tcW w:w="160" w:type="dxa"/>
            <w:vAlign w:val="bottom"/>
            <w:shd w:val="clear" w:color="auto" w:fill="B2B2B2"/>
          </w:tcPr>
          <w:p>
            <w:pPr>
              <w:spacing w:after="0"/>
              <w:rPr>
                <w:sz w:val="22"/>
                <w:szCs w:val="22"/>
                <w:color w:val="auto"/>
              </w:rPr>
            </w:pPr>
          </w:p>
        </w:tc>
        <w:tc>
          <w:tcPr>
            <w:tcW w:w="102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322,208</w:t>
            </w:r>
          </w:p>
        </w:tc>
        <w:tc>
          <w:tcPr>
            <w:tcW w:w="280" w:type="dxa"/>
            <w:vAlign w:val="bottom"/>
            <w:shd w:val="clear" w:color="auto" w:fill="B2B2B2"/>
          </w:tcPr>
          <w:p>
            <w:pPr>
              <w:spacing w:after="0"/>
              <w:rPr>
                <w:sz w:val="22"/>
                <w:szCs w:val="22"/>
                <w:color w:val="auto"/>
              </w:rPr>
            </w:pPr>
          </w:p>
        </w:tc>
        <w:tc>
          <w:tcPr>
            <w:tcW w:w="9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2,524</w:t>
            </w:r>
          </w:p>
        </w:tc>
        <w:tc>
          <w:tcPr>
            <w:tcW w:w="90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313</w:t>
            </w:r>
          </w:p>
        </w:tc>
        <w:tc>
          <w:tcPr>
            <w:tcW w:w="2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1,995</w:t>
            </w:r>
          </w:p>
        </w:tc>
        <w:tc>
          <w:tcPr>
            <w:tcW w:w="2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5"/>
        </w:trPr>
        <w:tc>
          <w:tcPr>
            <w:tcW w:w="4460" w:type="dxa"/>
            <w:vAlign w:val="bottom"/>
            <w:shd w:val="clear" w:color="auto" w:fill="B2B2B2"/>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273,287</w:t>
            </w:r>
          </w:p>
        </w:tc>
        <w:tc>
          <w:tcPr>
            <w:tcW w:w="28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73</w:t>
            </w:r>
          </w:p>
        </w:tc>
        <w:tc>
          <w:tcPr>
            <w:tcW w:w="9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0.11</w:t>
            </w: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87,883</w:t>
            </w:r>
          </w:p>
        </w:tc>
        <w:tc>
          <w:tcPr>
            <w:tcW w:w="28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477</w:t>
            </w:r>
          </w:p>
        </w:tc>
        <w:tc>
          <w:tcPr>
            <w:tcW w:w="90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5"/>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Federal funds sold and other short-term investments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16,570</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0.29</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144,763</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830</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9"/>
        </w:trPr>
        <w:tc>
          <w:tcPr>
            <w:tcW w:w="4460" w:type="dxa"/>
            <w:vAlign w:val="bottom"/>
            <w:shd w:val="clear" w:color="auto" w:fill="B2B2B2"/>
          </w:tcPr>
          <w:p>
            <w:pPr>
              <w:spacing w:after="0"/>
              <w:rPr>
                <w:sz w:val="20"/>
                <w:szCs w:val="20"/>
                <w:color w:val="auto"/>
              </w:rPr>
            </w:pPr>
            <w:r>
              <w:rPr>
                <w:rFonts w:ascii="Arial" w:cs="Arial" w:eastAsia="Arial" w:hAnsi="Arial"/>
                <w:sz w:val="18"/>
                <w:szCs w:val="18"/>
                <w:color w:val="auto"/>
              </w:rPr>
              <w:t>Total interest-earning assets</w:t>
            </w: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w w:val="94"/>
              </w:rPr>
              <w:t>1,624,415</w:t>
            </w:r>
          </w:p>
        </w:tc>
        <w:tc>
          <w:tcPr>
            <w:tcW w:w="28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12,116</w:t>
            </w:r>
          </w:p>
        </w:tc>
        <w:tc>
          <w:tcPr>
            <w:tcW w:w="9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w w:val="94"/>
              </w:rPr>
              <w:t>1,430,983</w:t>
            </w:r>
          </w:p>
        </w:tc>
        <w:tc>
          <w:tcPr>
            <w:tcW w:w="28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13,858</w:t>
            </w:r>
          </w:p>
        </w:tc>
        <w:tc>
          <w:tcPr>
            <w:tcW w:w="90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Non-interest-earning assets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Cash and due from banks</w:t>
            </w: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15,948</w:t>
            </w:r>
          </w:p>
        </w:tc>
        <w:tc>
          <w:tcPr>
            <w:tcW w:w="28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12,726</w:t>
            </w:r>
          </w:p>
        </w:tc>
        <w:tc>
          <w:tcPr>
            <w:tcW w:w="28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180"/>
              <w:spacing w:after="0"/>
              <w:rPr>
                <w:sz w:val="20"/>
                <w:szCs w:val="20"/>
                <w:color w:val="auto"/>
              </w:rPr>
            </w:pPr>
            <w:r>
              <w:rPr>
                <w:rFonts w:ascii="Arial" w:cs="Arial" w:eastAsia="Arial" w:hAnsi="Arial"/>
                <w:sz w:val="18"/>
                <w:szCs w:val="18"/>
                <w:color w:val="auto"/>
              </w:rPr>
              <w:t>Premises and equipment, net</w:t>
            </w: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20,069</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21,580</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Bank-owned life insurance</w:t>
            </w: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17,760</w:t>
            </w:r>
          </w:p>
        </w:tc>
        <w:tc>
          <w:tcPr>
            <w:tcW w:w="28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17,540</w:t>
            </w:r>
          </w:p>
        </w:tc>
        <w:tc>
          <w:tcPr>
            <w:tcW w:w="28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180"/>
              <w:spacing w:after="0"/>
              <w:rPr>
                <w:sz w:val="20"/>
                <w:szCs w:val="20"/>
                <w:color w:val="auto"/>
              </w:rPr>
            </w:pPr>
            <w:r>
              <w:rPr>
                <w:rFonts w:ascii="Arial" w:cs="Arial" w:eastAsia="Arial" w:hAnsi="Arial"/>
                <w:sz w:val="18"/>
                <w:szCs w:val="18"/>
                <w:color w:val="auto"/>
              </w:rPr>
              <w:t>Goodwill and other intangibles</w:t>
            </w: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18,239</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13,975</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200,779</w:t>
            </w:r>
          </w:p>
        </w:tc>
        <w:tc>
          <w:tcPr>
            <w:tcW w:w="28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216,337</w:t>
            </w:r>
          </w:p>
        </w:tc>
        <w:tc>
          <w:tcPr>
            <w:tcW w:w="28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Allowance for loan losses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(10,895)</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(10,498)</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B2B2B2"/>
          </w:tcPr>
          <w:p>
            <w:pPr>
              <w:jc w:val="right"/>
              <w:ind w:right="150"/>
              <w:spacing w:after="0"/>
              <w:rPr>
                <w:sz w:val="20"/>
                <w:szCs w:val="20"/>
                <w:color w:val="auto"/>
              </w:rPr>
            </w:pPr>
            <w:r>
              <w:rPr>
                <w:rFonts w:ascii="Arial" w:cs="Arial" w:eastAsia="Arial" w:hAnsi="Arial"/>
                <w:sz w:val="18"/>
                <w:szCs w:val="18"/>
                <w:color w:val="auto"/>
                <w:w w:val="94"/>
              </w:rPr>
              <w:t>1,886,315</w:t>
            </w:r>
          </w:p>
        </w:tc>
        <w:tc>
          <w:tcPr>
            <w:tcW w:w="28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1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B2B2B2"/>
          </w:tcPr>
          <w:p>
            <w:pPr>
              <w:jc w:val="right"/>
              <w:ind w:right="150"/>
              <w:spacing w:after="0"/>
              <w:rPr>
                <w:sz w:val="20"/>
                <w:szCs w:val="20"/>
                <w:color w:val="auto"/>
              </w:rPr>
            </w:pPr>
            <w:r>
              <w:rPr>
                <w:rFonts w:ascii="Arial" w:cs="Arial" w:eastAsia="Arial" w:hAnsi="Arial"/>
                <w:sz w:val="18"/>
                <w:szCs w:val="18"/>
                <w:color w:val="auto"/>
                <w:w w:val="94"/>
              </w:rPr>
              <w:t>1,702,643</w:t>
            </w:r>
          </w:p>
        </w:tc>
        <w:tc>
          <w:tcPr>
            <w:tcW w:w="28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460" w:type="dxa"/>
            <w:vAlign w:val="bottom"/>
          </w:tcPr>
          <w:p>
            <w:pPr>
              <w:spacing w:after="0" w:line="249" w:lineRule="exact"/>
              <w:rPr>
                <w:sz w:val="20"/>
                <w:szCs w:val="20"/>
                <w:color w:val="auto"/>
              </w:rPr>
            </w:pPr>
            <w:r>
              <w:rPr>
                <w:rFonts w:ascii="Arial" w:cs="Arial" w:eastAsia="Arial" w:hAnsi="Arial"/>
                <w:sz w:val="17"/>
                <w:szCs w:val="17"/>
                <w:b w:val="1"/>
                <w:bCs w:val="1"/>
                <w:color w:val="auto"/>
              </w:rPr>
              <w:t>Liabilities and Shareholders’ Equity</w:t>
            </w:r>
            <w:r>
              <w:rPr>
                <w:rFonts w:ascii="Arial" w:cs="Arial" w:eastAsia="Arial" w:hAnsi="Arial"/>
                <w:sz w:val="28"/>
                <w:szCs w:val="28"/>
                <w:b w:val="1"/>
                <w:bCs w:val="1"/>
                <w:color w:val="auto"/>
                <w:vertAlign w:val="superscript"/>
              </w:rPr>
              <w:t>1</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B2B2B2"/>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180"/>
              <w:spacing w:after="0"/>
              <w:rPr>
                <w:sz w:val="20"/>
                <w:szCs w:val="20"/>
                <w:color w:val="auto"/>
              </w:rPr>
            </w:pPr>
            <w:r>
              <w:rPr>
                <w:rFonts w:ascii="Arial" w:cs="Arial" w:eastAsia="Arial" w:hAnsi="Arial"/>
                <w:sz w:val="18"/>
                <w:szCs w:val="18"/>
                <w:color w:val="auto"/>
              </w:rPr>
              <w:t>Interest-bearing demand Deposits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394,756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980" w:type="dxa"/>
            <w:vAlign w:val="bottom"/>
          </w:tcPr>
          <w:p>
            <w:pPr>
              <w:jc w:val="right"/>
              <w:spacing w:after="0"/>
              <w:rPr>
                <w:sz w:val="20"/>
                <w:szCs w:val="20"/>
                <w:color w:val="auto"/>
              </w:rPr>
            </w:pPr>
            <w:r>
              <w:rPr>
                <w:rFonts w:ascii="Arial" w:cs="Arial" w:eastAsia="Arial" w:hAnsi="Arial"/>
                <w:sz w:val="18"/>
                <w:szCs w:val="18"/>
                <w:color w:val="auto"/>
              </w:rPr>
              <w:t>0.21%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296,017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90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5"/>
        </w:trPr>
        <w:tc>
          <w:tcPr>
            <w:tcW w:w="44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Savings deposits</w:t>
            </w: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12,921</w:t>
            </w:r>
          </w:p>
        </w:tc>
        <w:tc>
          <w:tcPr>
            <w:tcW w:w="28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3</w:t>
            </w:r>
          </w:p>
        </w:tc>
        <w:tc>
          <w:tcPr>
            <w:tcW w:w="9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0.09</w:t>
            </w: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9,867</w:t>
            </w:r>
          </w:p>
        </w:tc>
        <w:tc>
          <w:tcPr>
            <w:tcW w:w="28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26</w:t>
            </w:r>
          </w:p>
        </w:tc>
        <w:tc>
          <w:tcPr>
            <w:tcW w:w="90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5"/>
        </w:trPr>
        <w:tc>
          <w:tcPr>
            <w:tcW w:w="4460" w:type="dxa"/>
            <w:vAlign w:val="bottom"/>
          </w:tcPr>
          <w:p>
            <w:pPr>
              <w:ind w:left="180"/>
              <w:spacing w:after="0"/>
              <w:rPr>
                <w:sz w:val="20"/>
                <w:szCs w:val="20"/>
                <w:color w:val="auto"/>
              </w:rPr>
            </w:pPr>
            <w:r>
              <w:rPr>
                <w:rFonts w:ascii="Arial" w:cs="Arial" w:eastAsia="Arial" w:hAnsi="Arial"/>
                <w:sz w:val="18"/>
                <w:szCs w:val="18"/>
                <w:color w:val="auto"/>
              </w:rPr>
              <w:t>Time deposits &gt;= $100</w:t>
            </w: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28,268</w:t>
            </w:r>
          </w:p>
        </w:tc>
        <w:tc>
          <w:tcPr>
            <w:tcW w:w="2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24,954</w:t>
            </w:r>
          </w:p>
        </w:tc>
        <w:tc>
          <w:tcPr>
            <w:tcW w:w="2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5"/>
        </w:trPr>
        <w:tc>
          <w:tcPr>
            <w:tcW w:w="4460" w:type="dxa"/>
            <w:vAlign w:val="bottom"/>
            <w:tcBorders>
              <w:bottom w:val="single" w:sz="8" w:color="auto"/>
            </w:tcBorders>
            <w:shd w:val="clear" w:color="auto" w:fill="B2B2B2"/>
          </w:tcPr>
          <w:p>
            <w:pPr>
              <w:ind w:left="180"/>
              <w:spacing w:after="0"/>
              <w:rPr>
                <w:sz w:val="20"/>
                <w:szCs w:val="20"/>
                <w:color w:val="auto"/>
              </w:rPr>
            </w:pPr>
            <w:r>
              <w:rPr>
                <w:rFonts w:ascii="Arial" w:cs="Arial" w:eastAsia="Arial" w:hAnsi="Arial"/>
                <w:sz w:val="18"/>
                <w:szCs w:val="18"/>
                <w:color w:val="auto"/>
              </w:rPr>
              <w:t>Other time deposits</w:t>
            </w:r>
          </w:p>
        </w:tc>
        <w:tc>
          <w:tcPr>
            <w:tcW w:w="16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ind w:right="150"/>
              <w:spacing w:after="0"/>
              <w:rPr>
                <w:sz w:val="20"/>
                <w:szCs w:val="20"/>
                <w:color w:val="auto"/>
              </w:rPr>
            </w:pPr>
            <w:r>
              <w:rPr>
                <w:rFonts w:ascii="Arial" w:cs="Arial" w:eastAsia="Arial" w:hAnsi="Arial"/>
                <w:sz w:val="18"/>
                <w:szCs w:val="18"/>
                <w:color w:val="auto"/>
              </w:rPr>
              <w:t>42,414</w:t>
            </w:r>
          </w:p>
        </w:tc>
        <w:tc>
          <w:tcPr>
            <w:tcW w:w="28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138</w:t>
            </w:r>
          </w:p>
        </w:tc>
        <w:tc>
          <w:tcPr>
            <w:tcW w:w="980" w:type="dxa"/>
            <w:vAlign w:val="bottom"/>
            <w:tcBorders>
              <w:bottom w:val="single" w:sz="8" w:color="auto"/>
            </w:tcBorders>
            <w:shd w:val="clear" w:color="auto" w:fill="B2B2B2"/>
          </w:tcPr>
          <w:p>
            <w:pPr>
              <w:jc w:val="right"/>
              <w:ind w:right="130"/>
              <w:spacing w:after="0"/>
              <w:rPr>
                <w:sz w:val="20"/>
                <w:szCs w:val="20"/>
                <w:color w:val="auto"/>
              </w:rPr>
            </w:pPr>
            <w:r>
              <w:rPr>
                <w:rFonts w:ascii="Arial" w:cs="Arial" w:eastAsia="Arial" w:hAnsi="Arial"/>
                <w:sz w:val="18"/>
                <w:szCs w:val="18"/>
                <w:color w:val="auto"/>
              </w:rPr>
              <w:t>1.31</w:t>
            </w:r>
          </w:p>
        </w:tc>
        <w:tc>
          <w:tcPr>
            <w:tcW w:w="200" w:type="dxa"/>
            <w:vAlign w:val="bottom"/>
            <w:tcBorders>
              <w:bottom w:val="single" w:sz="8" w:color="auto"/>
            </w:tcBorders>
            <w:shd w:val="clear" w:color="auto" w:fill="B2B2B2"/>
          </w:tcPr>
          <w:p>
            <w:pPr>
              <w:spacing w:after="0"/>
              <w:rPr>
                <w:sz w:val="18"/>
                <w:szCs w:val="18"/>
                <w:color w:val="auto"/>
              </w:rPr>
            </w:pPr>
          </w:p>
        </w:tc>
        <w:tc>
          <w:tcPr>
            <w:tcW w:w="16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ind w:right="150"/>
              <w:spacing w:after="0"/>
              <w:rPr>
                <w:sz w:val="20"/>
                <w:szCs w:val="20"/>
                <w:color w:val="auto"/>
              </w:rPr>
            </w:pPr>
            <w:r>
              <w:rPr>
                <w:rFonts w:ascii="Arial" w:cs="Arial" w:eastAsia="Arial" w:hAnsi="Arial"/>
                <w:sz w:val="18"/>
                <w:szCs w:val="18"/>
                <w:color w:val="auto"/>
              </w:rPr>
              <w:t>48,559</w:t>
            </w:r>
          </w:p>
        </w:tc>
        <w:tc>
          <w:tcPr>
            <w:tcW w:w="28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236</w:t>
            </w:r>
          </w:p>
        </w:tc>
        <w:tc>
          <w:tcPr>
            <w:tcW w:w="900" w:type="dxa"/>
            <w:vAlign w:val="bottom"/>
            <w:tcBorders>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9"/>
        </w:trPr>
        <w:tc>
          <w:tcPr>
            <w:tcW w:w="4460" w:type="dxa"/>
            <w:vAlign w:val="bottom"/>
          </w:tcPr>
          <w:p>
            <w:pPr>
              <w:spacing w:after="0"/>
              <w:rPr>
                <w:sz w:val="20"/>
                <w:szCs w:val="20"/>
                <w:color w:val="auto"/>
              </w:rPr>
            </w:pPr>
            <w:r>
              <w:rPr>
                <w:rFonts w:ascii="Arial" w:cs="Arial" w:eastAsia="Arial" w:hAnsi="Arial"/>
                <w:sz w:val="18"/>
                <w:szCs w:val="18"/>
                <w:color w:val="auto"/>
              </w:rPr>
              <w:t>Total interest-bearing deposits</w:t>
            </w: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478,359</w:t>
            </w:r>
          </w:p>
        </w:tc>
        <w:tc>
          <w:tcPr>
            <w:tcW w:w="2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481</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0.40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379,397</w:t>
            </w:r>
          </w:p>
        </w:tc>
        <w:tc>
          <w:tcPr>
            <w:tcW w:w="2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1,305</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5"/>
        </w:trPr>
        <w:tc>
          <w:tcPr>
            <w:tcW w:w="446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Short-term borrowings</w:t>
            </w:r>
          </w:p>
        </w:tc>
        <w:tc>
          <w:tcPr>
            <w:tcW w:w="16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ind w:right="150"/>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shd w:val="clear" w:color="auto" w:fill="B2B2B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ind w:right="150"/>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60" w:type="dxa"/>
            <w:vAlign w:val="bottom"/>
          </w:tcPr>
          <w:p>
            <w:pPr>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478,370</w:t>
            </w:r>
          </w:p>
        </w:tc>
        <w:tc>
          <w:tcPr>
            <w:tcW w:w="2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481</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0.40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379,422</w:t>
            </w:r>
          </w:p>
        </w:tc>
        <w:tc>
          <w:tcPr>
            <w:tcW w:w="2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1,305</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5"/>
        </w:trPr>
        <w:tc>
          <w:tcPr>
            <w:tcW w:w="4460" w:type="dxa"/>
            <w:vAlign w:val="bottom"/>
            <w:shd w:val="clear" w:color="auto" w:fill="B2B2B2"/>
          </w:tcPr>
          <w:p>
            <w:pPr>
              <w:spacing w:after="0"/>
              <w:rPr>
                <w:sz w:val="20"/>
                <w:szCs w:val="20"/>
                <w:color w:val="auto"/>
              </w:rPr>
            </w:pPr>
            <w:r>
              <w:rPr>
                <w:rFonts w:ascii="Arial" w:cs="Arial" w:eastAsia="Arial" w:hAnsi="Arial"/>
                <w:sz w:val="18"/>
                <w:szCs w:val="18"/>
                <w:color w:val="auto"/>
              </w:rPr>
              <w:t>Non-interest bearing liabilities</w:t>
            </w: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180"/>
              <w:spacing w:after="0"/>
              <w:rPr>
                <w:sz w:val="20"/>
                <w:szCs w:val="20"/>
                <w:color w:val="auto"/>
              </w:rPr>
            </w:pPr>
            <w:r>
              <w:rPr>
                <w:rFonts w:ascii="Arial" w:cs="Arial" w:eastAsia="Arial" w:hAnsi="Arial"/>
                <w:sz w:val="18"/>
                <w:szCs w:val="18"/>
                <w:color w:val="auto"/>
              </w:rPr>
              <w:t>Demand deposits</w:t>
            </w: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359,808</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259,377</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Accounts and drafts payable</w:t>
            </w: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741,547</w:t>
            </w:r>
          </w:p>
        </w:tc>
        <w:tc>
          <w:tcPr>
            <w:tcW w:w="28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774,623</w:t>
            </w:r>
          </w:p>
        </w:tc>
        <w:tc>
          <w:tcPr>
            <w:tcW w:w="28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64,489</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55,854</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B2B2B2"/>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w w:val="94"/>
              </w:rPr>
              <w:t>1,644,214</w:t>
            </w:r>
          </w:p>
        </w:tc>
        <w:tc>
          <w:tcPr>
            <w:tcW w:w="28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w w:val="94"/>
              </w:rPr>
              <w:t>1,469,276</w:t>
            </w:r>
          </w:p>
        </w:tc>
        <w:tc>
          <w:tcPr>
            <w:tcW w:w="28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242,101</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233,367</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B2B2B2"/>
          </w:tcPr>
          <w:p>
            <w:pPr>
              <w:jc w:val="right"/>
              <w:ind w:right="150"/>
              <w:spacing w:after="0"/>
              <w:rPr>
                <w:sz w:val="20"/>
                <w:szCs w:val="20"/>
                <w:color w:val="auto"/>
              </w:rPr>
            </w:pPr>
            <w:r>
              <w:rPr>
                <w:rFonts w:ascii="Arial" w:cs="Arial" w:eastAsia="Arial" w:hAnsi="Arial"/>
                <w:sz w:val="18"/>
                <w:szCs w:val="18"/>
                <w:color w:val="auto"/>
                <w:w w:val="94"/>
              </w:rPr>
              <w:t>1,886,315</w:t>
            </w:r>
          </w:p>
        </w:tc>
        <w:tc>
          <w:tcPr>
            <w:tcW w:w="28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1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B2B2B2"/>
          </w:tcPr>
          <w:p>
            <w:pPr>
              <w:jc w:val="right"/>
              <w:ind w:right="150"/>
              <w:spacing w:after="0"/>
              <w:rPr>
                <w:sz w:val="20"/>
                <w:szCs w:val="20"/>
                <w:color w:val="auto"/>
              </w:rPr>
            </w:pPr>
            <w:r>
              <w:rPr>
                <w:rFonts w:ascii="Arial" w:cs="Arial" w:eastAsia="Arial" w:hAnsi="Arial"/>
                <w:sz w:val="18"/>
                <w:szCs w:val="18"/>
                <w:color w:val="auto"/>
                <w:w w:val="94"/>
              </w:rPr>
              <w:t>1,702,643</w:t>
            </w:r>
          </w:p>
        </w:tc>
        <w:tc>
          <w:tcPr>
            <w:tcW w:w="28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11,635</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12,553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B2B2B2"/>
          </w:tcPr>
          <w:p>
            <w:pPr>
              <w:spacing w:after="0"/>
              <w:rPr>
                <w:sz w:val="20"/>
                <w:szCs w:val="20"/>
                <w:color w:val="auto"/>
              </w:rPr>
            </w:pPr>
            <w:r>
              <w:rPr>
                <w:rFonts w:ascii="Arial" w:cs="Arial" w:eastAsia="Arial" w:hAnsi="Arial"/>
                <w:sz w:val="18"/>
                <w:szCs w:val="18"/>
                <w:color w:val="auto"/>
              </w:rPr>
              <w:t>Net interest margin</w:t>
            </w: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Interest spread</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2.60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ind w:left="220" w:hanging="212"/>
        <w:spacing w:after="0" w:line="229" w:lineRule="auto"/>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Balances shown are daily averages.</w:t>
      </w:r>
    </w:p>
    <w:p>
      <w:pPr>
        <w:ind w:left="220" w:hanging="212"/>
        <w:spacing w:after="0" w:line="220" w:lineRule="auto"/>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Interest income on loans includes net loan fees of $565,000 and $77,000 for the Second Quarter of 2020 and 2019, respectively due to higher PPP loan fees.</w:t>
      </w:r>
    </w:p>
    <w:p>
      <w:pPr>
        <w:ind w:left="220" w:right="20" w:hanging="212"/>
        <w:spacing w:after="0" w:line="220" w:lineRule="auto"/>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21% for both 2020 and 2019. The tax-equivalent adjustment was approximately $474,000 and $531,000 for the Second Quarter of 2020 and 2019, respectively.</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purposes of these computations, yields on investment securities are computed as interest income divided by the average amortized cost of the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9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41"/>
        </w:trPr>
        <w:tc>
          <w:tcPr>
            <w:tcW w:w="3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5"/>
              </w:rPr>
              <w:t>First Half of 2020</w:t>
            </w: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3"/>
              </w:rPr>
              <w:t>First Half of 2019</w:t>
            </w:r>
          </w:p>
        </w:tc>
        <w:tc>
          <w:tcPr>
            <w:tcW w:w="920" w:type="dxa"/>
            <w:vAlign w:val="bottom"/>
            <w:tcBorders>
              <w:bottom w:val="single" w:sz="8" w:color="auto"/>
            </w:tcBorders>
          </w:tcPr>
          <w:p>
            <w:pPr>
              <w:spacing w:after="0"/>
              <w:rPr>
                <w:sz w:val="20"/>
                <w:szCs w:val="20"/>
                <w:color w:val="auto"/>
              </w:rPr>
            </w:pPr>
          </w:p>
        </w:tc>
      </w:tr>
      <w:tr>
        <w:trPr>
          <w:trHeight w:val="197"/>
        </w:trPr>
        <w:tc>
          <w:tcPr>
            <w:tcW w:w="3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ind w:left="60"/>
              <w:spacing w:after="0" w:line="197" w:lineRule="exact"/>
              <w:rPr>
                <w:sz w:val="20"/>
                <w:szCs w:val="20"/>
                <w:color w:val="auto"/>
              </w:rPr>
            </w:pPr>
            <w:r>
              <w:rPr>
                <w:rFonts w:ascii="Arial" w:cs="Arial" w:eastAsia="Arial" w:hAnsi="Arial"/>
                <w:sz w:val="18"/>
                <w:szCs w:val="18"/>
                <w:b w:val="1"/>
                <w:bCs w:val="1"/>
                <w:color w:val="auto"/>
              </w:rPr>
              <w:t>Interest</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ind w:left="60"/>
              <w:spacing w:after="0" w:line="197" w:lineRule="exact"/>
              <w:rPr>
                <w:sz w:val="20"/>
                <w:szCs w:val="20"/>
                <w:color w:val="auto"/>
              </w:rPr>
            </w:pPr>
            <w:r>
              <w:rPr>
                <w:rFonts w:ascii="Arial" w:cs="Arial" w:eastAsia="Arial" w:hAnsi="Arial"/>
                <w:sz w:val="18"/>
                <w:szCs w:val="18"/>
                <w:b w:val="1"/>
                <w:bCs w:val="1"/>
                <w:color w:val="auto"/>
              </w:rPr>
              <w:t>Interest</w:t>
            </w:r>
          </w:p>
        </w:tc>
        <w:tc>
          <w:tcPr>
            <w:tcW w:w="920" w:type="dxa"/>
            <w:vAlign w:val="bottom"/>
          </w:tcPr>
          <w:p>
            <w:pPr>
              <w:spacing w:after="0"/>
              <w:rPr>
                <w:sz w:val="17"/>
                <w:szCs w:val="17"/>
                <w:color w:val="auto"/>
              </w:rPr>
            </w:pPr>
          </w:p>
        </w:tc>
      </w:tr>
      <w:tr>
        <w:trPr>
          <w:trHeight w:val="215"/>
        </w:trPr>
        <w:tc>
          <w:tcPr>
            <w:tcW w:w="3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Average</w:t>
            </w:r>
          </w:p>
        </w:tc>
        <w:tc>
          <w:tcPr>
            <w:tcW w:w="46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b w:val="1"/>
                <w:bCs w:val="1"/>
                <w:color w:val="auto"/>
              </w:rPr>
              <w:t>Income/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Average</w:t>
            </w:r>
          </w:p>
        </w:tc>
        <w:tc>
          <w:tcPr>
            <w:tcW w:w="540" w:type="dxa"/>
            <w:vAlign w:val="bottom"/>
          </w:tcPr>
          <w:p>
            <w:pPr>
              <w:spacing w:after="0"/>
              <w:rPr>
                <w:sz w:val="18"/>
                <w:szCs w:val="18"/>
                <w:color w:val="auto"/>
              </w:rPr>
            </w:pPr>
          </w:p>
        </w:tc>
        <w:tc>
          <w:tcPr>
            <w:tcW w:w="960" w:type="dxa"/>
            <w:vAlign w:val="bottom"/>
          </w:tcPr>
          <w:p>
            <w:pPr>
              <w:ind w:left="40"/>
              <w:spacing w:after="0"/>
              <w:rPr>
                <w:sz w:val="20"/>
                <w:szCs w:val="20"/>
                <w:color w:val="auto"/>
              </w:rPr>
            </w:pPr>
            <w:r>
              <w:rPr>
                <w:rFonts w:ascii="Arial" w:cs="Arial" w:eastAsia="Arial" w:hAnsi="Arial"/>
                <w:sz w:val="18"/>
                <w:szCs w:val="18"/>
                <w:b w:val="1"/>
                <w:bCs w:val="1"/>
                <w:color w:val="auto"/>
              </w:rPr>
              <w:t>Income/</w:t>
            </w:r>
          </w:p>
        </w:tc>
        <w:tc>
          <w:tcPr>
            <w:tcW w:w="920" w:type="dxa"/>
            <w:vAlign w:val="bottom"/>
          </w:tcPr>
          <w:p>
            <w:pPr>
              <w:spacing w:after="0"/>
              <w:rPr>
                <w:sz w:val="18"/>
                <w:szCs w:val="18"/>
                <w:color w:val="auto"/>
              </w:rPr>
            </w:pPr>
          </w:p>
        </w:tc>
      </w:tr>
      <w:tr>
        <w:trPr>
          <w:trHeight w:val="241"/>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2"/>
              </w:rPr>
              <w:t>Balance</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Expense</w:t>
            </w: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Yield/Rate</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Balance</w:t>
            </w: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Expense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Yield/Rate</w:t>
            </w:r>
          </w:p>
        </w:tc>
      </w:tr>
      <w:tr>
        <w:trPr>
          <w:trHeight w:val="256"/>
        </w:trPr>
        <w:tc>
          <w:tcPr>
            <w:tcW w:w="3500" w:type="dxa"/>
            <w:vAlign w:val="bottom"/>
            <w:shd w:val="clear" w:color="auto" w:fill="B2B2B2"/>
          </w:tcPr>
          <w:p>
            <w:pPr>
              <w:spacing w:after="0" w:line="256"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9"/>
                <w:szCs w:val="29"/>
                <w:b w:val="1"/>
                <w:bCs w:val="1"/>
                <w:color w:val="auto"/>
                <w:vertAlign w:val="superscript"/>
              </w:rPr>
              <w:t>1</w:t>
            </w:r>
          </w:p>
        </w:tc>
        <w:tc>
          <w:tcPr>
            <w:tcW w:w="440" w:type="dxa"/>
            <w:vAlign w:val="bottom"/>
            <w:shd w:val="clear" w:color="auto" w:fill="B2B2B2"/>
          </w:tcPr>
          <w:p>
            <w:pPr>
              <w:spacing w:after="0"/>
              <w:rPr>
                <w:sz w:val="22"/>
                <w:szCs w:val="22"/>
                <w:color w:val="auto"/>
              </w:rPr>
            </w:pPr>
          </w:p>
        </w:tc>
        <w:tc>
          <w:tcPr>
            <w:tcW w:w="140" w:type="dxa"/>
            <w:vAlign w:val="bottom"/>
            <w:shd w:val="clear" w:color="auto" w:fill="B2B2B2"/>
          </w:tcPr>
          <w:p>
            <w:pPr>
              <w:spacing w:after="0"/>
              <w:rPr>
                <w:sz w:val="22"/>
                <w:szCs w:val="22"/>
                <w:color w:val="auto"/>
              </w:rPr>
            </w:pPr>
          </w:p>
        </w:tc>
        <w:tc>
          <w:tcPr>
            <w:tcW w:w="960" w:type="dxa"/>
            <w:vAlign w:val="bottom"/>
            <w:shd w:val="clear" w:color="auto" w:fill="B2B2B2"/>
          </w:tcPr>
          <w:p>
            <w:pPr>
              <w:spacing w:after="0"/>
              <w:rPr>
                <w:sz w:val="22"/>
                <w:szCs w:val="22"/>
                <w:color w:val="auto"/>
              </w:rPr>
            </w:pPr>
          </w:p>
        </w:tc>
        <w:tc>
          <w:tcPr>
            <w:tcW w:w="460" w:type="dxa"/>
            <w:vAlign w:val="bottom"/>
            <w:shd w:val="clear" w:color="auto" w:fill="B2B2B2"/>
          </w:tcPr>
          <w:p>
            <w:pPr>
              <w:spacing w:after="0"/>
              <w:rPr>
                <w:sz w:val="22"/>
                <w:szCs w:val="22"/>
                <w:color w:val="auto"/>
              </w:rPr>
            </w:pPr>
          </w:p>
        </w:tc>
        <w:tc>
          <w:tcPr>
            <w:tcW w:w="106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220" w:type="dxa"/>
            <w:vAlign w:val="bottom"/>
            <w:shd w:val="clear" w:color="auto" w:fill="B2B2B2"/>
          </w:tcPr>
          <w:p>
            <w:pPr>
              <w:spacing w:after="0"/>
              <w:rPr>
                <w:sz w:val="22"/>
                <w:szCs w:val="22"/>
                <w:color w:val="auto"/>
              </w:rPr>
            </w:pPr>
          </w:p>
        </w:tc>
        <w:tc>
          <w:tcPr>
            <w:tcW w:w="140" w:type="dxa"/>
            <w:vAlign w:val="bottom"/>
            <w:shd w:val="clear" w:color="auto" w:fill="B2B2B2"/>
          </w:tcPr>
          <w:p>
            <w:pPr>
              <w:spacing w:after="0"/>
              <w:rPr>
                <w:sz w:val="22"/>
                <w:szCs w:val="22"/>
                <w:color w:val="auto"/>
              </w:rPr>
            </w:pPr>
          </w:p>
        </w:tc>
        <w:tc>
          <w:tcPr>
            <w:tcW w:w="880" w:type="dxa"/>
            <w:vAlign w:val="bottom"/>
            <w:shd w:val="clear" w:color="auto" w:fill="B2B2B2"/>
          </w:tcPr>
          <w:p>
            <w:pPr>
              <w:spacing w:after="0"/>
              <w:rPr>
                <w:sz w:val="22"/>
                <w:szCs w:val="22"/>
                <w:color w:val="auto"/>
              </w:rPr>
            </w:pPr>
          </w:p>
        </w:tc>
        <w:tc>
          <w:tcPr>
            <w:tcW w:w="540" w:type="dxa"/>
            <w:vAlign w:val="bottom"/>
            <w:shd w:val="clear" w:color="auto" w:fill="B2B2B2"/>
          </w:tcPr>
          <w:p>
            <w:pPr>
              <w:spacing w:after="0"/>
              <w:rPr>
                <w:sz w:val="22"/>
                <w:szCs w:val="22"/>
                <w:color w:val="auto"/>
              </w:rPr>
            </w:pPr>
          </w:p>
        </w:tc>
        <w:tc>
          <w:tcPr>
            <w:tcW w:w="960" w:type="dxa"/>
            <w:vAlign w:val="bottom"/>
            <w:shd w:val="clear" w:color="auto" w:fill="B2B2B2"/>
          </w:tcPr>
          <w:p>
            <w:pPr>
              <w:spacing w:after="0"/>
              <w:rPr>
                <w:sz w:val="22"/>
                <w:szCs w:val="22"/>
                <w:color w:val="auto"/>
              </w:rPr>
            </w:pPr>
          </w:p>
        </w:tc>
        <w:tc>
          <w:tcPr>
            <w:tcW w:w="920" w:type="dxa"/>
            <w:vAlign w:val="bottom"/>
            <w:shd w:val="clear" w:color="auto" w:fill="B2B2B2"/>
          </w:tcPr>
          <w:p>
            <w:pPr>
              <w:spacing w:after="0"/>
              <w:rPr>
                <w:sz w:val="22"/>
                <w:szCs w:val="22"/>
                <w:color w:val="auto"/>
              </w:rPr>
            </w:pPr>
          </w:p>
        </w:tc>
      </w:tr>
      <w:tr>
        <w:trPr>
          <w:trHeight w:val="215"/>
        </w:trPr>
        <w:tc>
          <w:tcPr>
            <w:tcW w:w="3500" w:type="dxa"/>
            <w:vAlign w:val="bottom"/>
          </w:tcPr>
          <w:p>
            <w:pPr>
              <w:spacing w:after="0"/>
              <w:rPr>
                <w:sz w:val="20"/>
                <w:szCs w:val="20"/>
                <w:color w:val="auto"/>
              </w:rPr>
            </w:pPr>
            <w:r>
              <w:rPr>
                <w:rFonts w:ascii="Arial" w:cs="Arial" w:eastAsia="Arial" w:hAnsi="Arial"/>
                <w:sz w:val="18"/>
                <w:szCs w:val="18"/>
                <w:color w:val="auto"/>
              </w:rPr>
              <w:t>Interest-earning assets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6"/>
        </w:trPr>
        <w:tc>
          <w:tcPr>
            <w:tcW w:w="3500" w:type="dxa"/>
            <w:vAlign w:val="bottom"/>
            <w:shd w:val="clear" w:color="auto" w:fill="B2B2B2"/>
          </w:tcPr>
          <w:p>
            <w:pPr>
              <w:spacing w:after="0" w:line="256"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2, 3</w:t>
            </w:r>
            <w:r>
              <w:rPr>
                <w:rFonts w:ascii="Arial" w:cs="Arial" w:eastAsia="Arial" w:hAnsi="Arial"/>
                <w:sz w:val="18"/>
                <w:szCs w:val="18"/>
                <w:color w:val="auto"/>
              </w:rPr>
              <w:t>:</w:t>
            </w:r>
          </w:p>
        </w:tc>
        <w:tc>
          <w:tcPr>
            <w:tcW w:w="440" w:type="dxa"/>
            <w:vAlign w:val="bottom"/>
            <w:shd w:val="clear" w:color="auto" w:fill="B2B2B2"/>
          </w:tcPr>
          <w:p>
            <w:pPr>
              <w:spacing w:after="0"/>
              <w:rPr>
                <w:sz w:val="22"/>
                <w:szCs w:val="22"/>
                <w:color w:val="auto"/>
              </w:rPr>
            </w:pPr>
          </w:p>
        </w:tc>
        <w:tc>
          <w:tcPr>
            <w:tcW w:w="140" w:type="dxa"/>
            <w:vAlign w:val="bottom"/>
            <w:shd w:val="clear" w:color="auto" w:fill="B2B2B2"/>
          </w:tcPr>
          <w:p>
            <w:pPr>
              <w:spacing w:after="0"/>
              <w:rPr>
                <w:sz w:val="22"/>
                <w:szCs w:val="22"/>
                <w:color w:val="auto"/>
              </w:rPr>
            </w:pPr>
          </w:p>
        </w:tc>
        <w:tc>
          <w:tcPr>
            <w:tcW w:w="960" w:type="dxa"/>
            <w:vAlign w:val="bottom"/>
            <w:shd w:val="clear" w:color="auto" w:fill="B2B2B2"/>
          </w:tcPr>
          <w:p>
            <w:pPr>
              <w:spacing w:after="0"/>
              <w:rPr>
                <w:sz w:val="22"/>
                <w:szCs w:val="22"/>
                <w:color w:val="auto"/>
              </w:rPr>
            </w:pPr>
          </w:p>
        </w:tc>
        <w:tc>
          <w:tcPr>
            <w:tcW w:w="460" w:type="dxa"/>
            <w:vAlign w:val="bottom"/>
            <w:shd w:val="clear" w:color="auto" w:fill="B2B2B2"/>
          </w:tcPr>
          <w:p>
            <w:pPr>
              <w:spacing w:after="0"/>
              <w:rPr>
                <w:sz w:val="22"/>
                <w:szCs w:val="22"/>
                <w:color w:val="auto"/>
              </w:rPr>
            </w:pPr>
          </w:p>
        </w:tc>
        <w:tc>
          <w:tcPr>
            <w:tcW w:w="106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220" w:type="dxa"/>
            <w:vAlign w:val="bottom"/>
            <w:shd w:val="clear" w:color="auto" w:fill="B2B2B2"/>
          </w:tcPr>
          <w:p>
            <w:pPr>
              <w:spacing w:after="0"/>
              <w:rPr>
                <w:sz w:val="22"/>
                <w:szCs w:val="22"/>
                <w:color w:val="auto"/>
              </w:rPr>
            </w:pPr>
          </w:p>
        </w:tc>
        <w:tc>
          <w:tcPr>
            <w:tcW w:w="140" w:type="dxa"/>
            <w:vAlign w:val="bottom"/>
            <w:shd w:val="clear" w:color="auto" w:fill="B2B2B2"/>
          </w:tcPr>
          <w:p>
            <w:pPr>
              <w:spacing w:after="0"/>
              <w:rPr>
                <w:sz w:val="22"/>
                <w:szCs w:val="22"/>
                <w:color w:val="auto"/>
              </w:rPr>
            </w:pPr>
          </w:p>
        </w:tc>
        <w:tc>
          <w:tcPr>
            <w:tcW w:w="880" w:type="dxa"/>
            <w:vAlign w:val="bottom"/>
            <w:shd w:val="clear" w:color="auto" w:fill="B2B2B2"/>
          </w:tcPr>
          <w:p>
            <w:pPr>
              <w:spacing w:after="0"/>
              <w:rPr>
                <w:sz w:val="22"/>
                <w:szCs w:val="22"/>
                <w:color w:val="auto"/>
              </w:rPr>
            </w:pPr>
          </w:p>
        </w:tc>
        <w:tc>
          <w:tcPr>
            <w:tcW w:w="540" w:type="dxa"/>
            <w:vAlign w:val="bottom"/>
            <w:shd w:val="clear" w:color="auto" w:fill="B2B2B2"/>
          </w:tcPr>
          <w:p>
            <w:pPr>
              <w:spacing w:after="0"/>
              <w:rPr>
                <w:sz w:val="22"/>
                <w:szCs w:val="22"/>
                <w:color w:val="auto"/>
              </w:rPr>
            </w:pPr>
          </w:p>
        </w:tc>
        <w:tc>
          <w:tcPr>
            <w:tcW w:w="960" w:type="dxa"/>
            <w:vAlign w:val="bottom"/>
            <w:shd w:val="clear" w:color="auto" w:fill="B2B2B2"/>
          </w:tcPr>
          <w:p>
            <w:pPr>
              <w:spacing w:after="0"/>
              <w:rPr>
                <w:sz w:val="22"/>
                <w:szCs w:val="22"/>
                <w:color w:val="auto"/>
              </w:rPr>
            </w:pPr>
          </w:p>
        </w:tc>
        <w:tc>
          <w:tcPr>
            <w:tcW w:w="920" w:type="dxa"/>
            <w:vAlign w:val="bottom"/>
            <w:shd w:val="clear" w:color="auto" w:fill="B2B2B2"/>
          </w:tcPr>
          <w:p>
            <w:pPr>
              <w:spacing w:after="0"/>
              <w:rPr>
                <w:sz w:val="22"/>
                <w:szCs w:val="22"/>
                <w:color w:val="auto"/>
              </w:rPr>
            </w:pPr>
          </w:p>
        </w:tc>
      </w:tr>
      <w:tr>
        <w:trPr>
          <w:trHeight w:val="215"/>
        </w:trPr>
        <w:tc>
          <w:tcPr>
            <w:tcW w:w="3500" w:type="dxa"/>
            <w:vAlign w:val="bottom"/>
          </w:tcPr>
          <w:p>
            <w:pPr>
              <w:ind w:left="180"/>
              <w:spacing w:after="0"/>
              <w:rPr>
                <w:sz w:val="20"/>
                <w:szCs w:val="20"/>
                <w:color w:val="auto"/>
              </w:rPr>
            </w:pPr>
            <w:r>
              <w:rPr>
                <w:rFonts w:ascii="Arial" w:cs="Arial" w:eastAsia="Arial" w:hAnsi="Arial"/>
                <w:sz w:val="18"/>
                <w:szCs w:val="18"/>
                <w:color w:val="auto"/>
              </w:rPr>
              <w:t>Taxable</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881,781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18,299</w:t>
            </w:r>
          </w:p>
        </w:tc>
        <w:tc>
          <w:tcPr>
            <w:tcW w:w="1020" w:type="dxa"/>
            <w:vAlign w:val="bottom"/>
          </w:tcPr>
          <w:p>
            <w:pPr>
              <w:ind w:left="480"/>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745,592</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18,016</w:t>
            </w:r>
          </w:p>
        </w:tc>
        <w:tc>
          <w:tcPr>
            <w:tcW w:w="92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256"/>
        </w:trPr>
        <w:tc>
          <w:tcPr>
            <w:tcW w:w="3500" w:type="dxa"/>
            <w:vAlign w:val="bottom"/>
            <w:shd w:val="clear" w:color="auto" w:fill="B2B2B2"/>
          </w:tcPr>
          <w:p>
            <w:pPr>
              <w:spacing w:after="0" w:line="256" w:lineRule="exact"/>
              <w:rPr>
                <w:sz w:val="20"/>
                <w:szCs w:val="20"/>
                <w:color w:val="auto"/>
              </w:rPr>
            </w:pPr>
            <w:r>
              <w:rPr>
                <w:rFonts w:ascii="Arial" w:cs="Arial" w:eastAsia="Arial" w:hAnsi="Arial"/>
                <w:sz w:val="18"/>
                <w:szCs w:val="18"/>
                <w:color w:val="auto"/>
              </w:rPr>
              <w:t>Investment securities</w:t>
            </w:r>
            <w:r>
              <w:rPr>
                <w:rFonts w:ascii="Arial" w:cs="Arial" w:eastAsia="Arial" w:hAnsi="Arial"/>
                <w:sz w:val="29"/>
                <w:szCs w:val="29"/>
                <w:color w:val="auto"/>
                <w:vertAlign w:val="superscript"/>
              </w:rPr>
              <w:t>4</w:t>
            </w:r>
            <w:r>
              <w:rPr>
                <w:rFonts w:ascii="Arial" w:cs="Arial" w:eastAsia="Arial" w:hAnsi="Arial"/>
                <w:sz w:val="18"/>
                <w:szCs w:val="18"/>
                <w:color w:val="auto"/>
              </w:rPr>
              <w:t>:</w:t>
            </w:r>
          </w:p>
        </w:tc>
        <w:tc>
          <w:tcPr>
            <w:tcW w:w="440" w:type="dxa"/>
            <w:vAlign w:val="bottom"/>
            <w:shd w:val="clear" w:color="auto" w:fill="B2B2B2"/>
          </w:tcPr>
          <w:p>
            <w:pPr>
              <w:spacing w:after="0"/>
              <w:rPr>
                <w:sz w:val="22"/>
                <w:szCs w:val="22"/>
                <w:color w:val="auto"/>
              </w:rPr>
            </w:pPr>
          </w:p>
        </w:tc>
        <w:tc>
          <w:tcPr>
            <w:tcW w:w="140" w:type="dxa"/>
            <w:vAlign w:val="bottom"/>
            <w:shd w:val="clear" w:color="auto" w:fill="B2B2B2"/>
          </w:tcPr>
          <w:p>
            <w:pPr>
              <w:spacing w:after="0"/>
              <w:rPr>
                <w:sz w:val="22"/>
                <w:szCs w:val="22"/>
                <w:color w:val="auto"/>
              </w:rPr>
            </w:pPr>
          </w:p>
        </w:tc>
        <w:tc>
          <w:tcPr>
            <w:tcW w:w="960" w:type="dxa"/>
            <w:vAlign w:val="bottom"/>
            <w:shd w:val="clear" w:color="auto" w:fill="B2B2B2"/>
          </w:tcPr>
          <w:p>
            <w:pPr>
              <w:spacing w:after="0"/>
              <w:rPr>
                <w:sz w:val="22"/>
                <w:szCs w:val="22"/>
                <w:color w:val="auto"/>
              </w:rPr>
            </w:pPr>
          </w:p>
        </w:tc>
        <w:tc>
          <w:tcPr>
            <w:tcW w:w="460" w:type="dxa"/>
            <w:vAlign w:val="bottom"/>
            <w:shd w:val="clear" w:color="auto" w:fill="B2B2B2"/>
          </w:tcPr>
          <w:p>
            <w:pPr>
              <w:spacing w:after="0"/>
              <w:rPr>
                <w:sz w:val="22"/>
                <w:szCs w:val="22"/>
                <w:color w:val="auto"/>
              </w:rPr>
            </w:pPr>
          </w:p>
        </w:tc>
        <w:tc>
          <w:tcPr>
            <w:tcW w:w="1060" w:type="dxa"/>
            <w:vAlign w:val="bottom"/>
            <w:shd w:val="clear" w:color="auto" w:fill="B2B2B2"/>
          </w:tcPr>
          <w:p>
            <w:pPr>
              <w:spacing w:after="0"/>
              <w:rPr>
                <w:sz w:val="22"/>
                <w:szCs w:val="22"/>
                <w:color w:val="auto"/>
              </w:rPr>
            </w:pPr>
          </w:p>
        </w:tc>
        <w:tc>
          <w:tcPr>
            <w:tcW w:w="1020" w:type="dxa"/>
            <w:vAlign w:val="bottom"/>
            <w:shd w:val="clear" w:color="auto" w:fill="B2B2B2"/>
          </w:tcPr>
          <w:p>
            <w:pPr>
              <w:spacing w:after="0"/>
              <w:rPr>
                <w:sz w:val="22"/>
                <w:szCs w:val="22"/>
                <w:color w:val="auto"/>
              </w:rPr>
            </w:pPr>
          </w:p>
        </w:tc>
        <w:tc>
          <w:tcPr>
            <w:tcW w:w="220" w:type="dxa"/>
            <w:vAlign w:val="bottom"/>
            <w:shd w:val="clear" w:color="auto" w:fill="B2B2B2"/>
          </w:tcPr>
          <w:p>
            <w:pPr>
              <w:spacing w:after="0"/>
              <w:rPr>
                <w:sz w:val="22"/>
                <w:szCs w:val="22"/>
                <w:color w:val="auto"/>
              </w:rPr>
            </w:pPr>
          </w:p>
        </w:tc>
        <w:tc>
          <w:tcPr>
            <w:tcW w:w="140" w:type="dxa"/>
            <w:vAlign w:val="bottom"/>
            <w:shd w:val="clear" w:color="auto" w:fill="B2B2B2"/>
          </w:tcPr>
          <w:p>
            <w:pPr>
              <w:spacing w:after="0"/>
              <w:rPr>
                <w:sz w:val="22"/>
                <w:szCs w:val="22"/>
                <w:color w:val="auto"/>
              </w:rPr>
            </w:pPr>
          </w:p>
        </w:tc>
        <w:tc>
          <w:tcPr>
            <w:tcW w:w="880" w:type="dxa"/>
            <w:vAlign w:val="bottom"/>
            <w:shd w:val="clear" w:color="auto" w:fill="B2B2B2"/>
          </w:tcPr>
          <w:p>
            <w:pPr>
              <w:spacing w:after="0"/>
              <w:rPr>
                <w:sz w:val="22"/>
                <w:szCs w:val="22"/>
                <w:color w:val="auto"/>
              </w:rPr>
            </w:pPr>
          </w:p>
        </w:tc>
        <w:tc>
          <w:tcPr>
            <w:tcW w:w="540" w:type="dxa"/>
            <w:vAlign w:val="bottom"/>
            <w:shd w:val="clear" w:color="auto" w:fill="B2B2B2"/>
          </w:tcPr>
          <w:p>
            <w:pPr>
              <w:spacing w:after="0"/>
              <w:rPr>
                <w:sz w:val="22"/>
                <w:szCs w:val="22"/>
                <w:color w:val="auto"/>
              </w:rPr>
            </w:pPr>
          </w:p>
        </w:tc>
        <w:tc>
          <w:tcPr>
            <w:tcW w:w="960" w:type="dxa"/>
            <w:vAlign w:val="bottom"/>
            <w:shd w:val="clear" w:color="auto" w:fill="B2B2B2"/>
          </w:tcPr>
          <w:p>
            <w:pPr>
              <w:spacing w:after="0"/>
              <w:rPr>
                <w:sz w:val="22"/>
                <w:szCs w:val="22"/>
                <w:color w:val="auto"/>
              </w:rPr>
            </w:pPr>
          </w:p>
        </w:tc>
        <w:tc>
          <w:tcPr>
            <w:tcW w:w="920" w:type="dxa"/>
            <w:vAlign w:val="bottom"/>
            <w:shd w:val="clear" w:color="auto" w:fill="B2B2B2"/>
          </w:tcPr>
          <w:p>
            <w:pPr>
              <w:spacing w:after="0"/>
              <w:rPr>
                <w:sz w:val="22"/>
                <w:szCs w:val="22"/>
                <w:color w:val="auto"/>
              </w:rPr>
            </w:pPr>
          </w:p>
        </w:tc>
      </w:tr>
      <w:tr>
        <w:trPr>
          <w:trHeight w:val="215"/>
        </w:trPr>
        <w:tc>
          <w:tcPr>
            <w:tcW w:w="3500" w:type="dxa"/>
            <w:vAlign w:val="bottom"/>
          </w:tcPr>
          <w:p>
            <w:pPr>
              <w:ind w:left="180"/>
              <w:spacing w:after="0"/>
              <w:rPr>
                <w:sz w:val="20"/>
                <w:szCs w:val="20"/>
                <w:color w:val="auto"/>
              </w:rPr>
            </w:pPr>
            <w:r>
              <w:rPr>
                <w:rFonts w:ascii="Arial" w:cs="Arial" w:eastAsia="Arial" w:hAnsi="Arial"/>
                <w:sz w:val="18"/>
                <w:szCs w:val="18"/>
                <w:color w:val="auto"/>
              </w:rPr>
              <w:t>Taxable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88,899</w:t>
            </w:r>
          </w:p>
        </w:tc>
        <w:tc>
          <w:tcPr>
            <w:tcW w:w="46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1,028</w:t>
            </w:r>
          </w:p>
        </w:tc>
        <w:tc>
          <w:tcPr>
            <w:tcW w:w="1020" w:type="dxa"/>
            <w:vAlign w:val="bottom"/>
          </w:tcPr>
          <w:p>
            <w:pPr>
              <w:ind w:left="480"/>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105,685</w:t>
            </w:r>
          </w:p>
        </w:tc>
        <w:tc>
          <w:tcPr>
            <w:tcW w:w="5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1,262</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2.41</w:t>
            </w:r>
          </w:p>
        </w:tc>
      </w:tr>
      <w:tr>
        <w:trPr>
          <w:trHeight w:val="256"/>
        </w:trPr>
        <w:tc>
          <w:tcPr>
            <w:tcW w:w="3500" w:type="dxa"/>
            <w:vAlign w:val="bottom"/>
            <w:shd w:val="clear" w:color="auto" w:fill="B2B2B2"/>
          </w:tcPr>
          <w:p>
            <w:pPr>
              <w:ind w:left="180"/>
              <w:spacing w:after="0" w:line="256"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3</w:t>
            </w:r>
          </w:p>
        </w:tc>
        <w:tc>
          <w:tcPr>
            <w:tcW w:w="440" w:type="dxa"/>
            <w:vAlign w:val="bottom"/>
            <w:shd w:val="clear" w:color="auto" w:fill="B2B2B2"/>
          </w:tcPr>
          <w:p>
            <w:pPr>
              <w:spacing w:after="0"/>
              <w:rPr>
                <w:sz w:val="22"/>
                <w:szCs w:val="22"/>
                <w:color w:val="auto"/>
              </w:rPr>
            </w:pPr>
          </w:p>
        </w:tc>
        <w:tc>
          <w:tcPr>
            <w:tcW w:w="140" w:type="dxa"/>
            <w:vAlign w:val="bottom"/>
            <w:shd w:val="clear" w:color="auto" w:fill="B2B2B2"/>
          </w:tcPr>
          <w:p>
            <w:pPr>
              <w:spacing w:after="0"/>
              <w:rPr>
                <w:sz w:val="22"/>
                <w:szCs w:val="22"/>
                <w:color w:val="auto"/>
              </w:rPr>
            </w:pPr>
          </w:p>
        </w:tc>
        <w:tc>
          <w:tcPr>
            <w:tcW w:w="96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292,561</w:t>
            </w:r>
          </w:p>
        </w:tc>
        <w:tc>
          <w:tcPr>
            <w:tcW w:w="460" w:type="dxa"/>
            <w:vAlign w:val="bottom"/>
            <w:shd w:val="clear" w:color="auto" w:fill="B2B2B2"/>
          </w:tcPr>
          <w:p>
            <w:pPr>
              <w:spacing w:after="0"/>
              <w:rPr>
                <w:sz w:val="22"/>
                <w:szCs w:val="22"/>
                <w:color w:val="auto"/>
              </w:rPr>
            </w:pP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4,562</w:t>
            </w:r>
          </w:p>
        </w:tc>
        <w:tc>
          <w:tcPr>
            <w:tcW w:w="1020" w:type="dxa"/>
            <w:vAlign w:val="bottom"/>
            <w:shd w:val="clear" w:color="auto" w:fill="B2B2B2"/>
          </w:tcPr>
          <w:p>
            <w:pPr>
              <w:ind w:left="480"/>
              <w:spacing w:after="0"/>
              <w:rPr>
                <w:sz w:val="20"/>
                <w:szCs w:val="20"/>
                <w:color w:val="auto"/>
              </w:rPr>
            </w:pPr>
            <w:r>
              <w:rPr>
                <w:rFonts w:ascii="Arial" w:cs="Arial" w:eastAsia="Arial" w:hAnsi="Arial"/>
                <w:sz w:val="18"/>
                <w:szCs w:val="18"/>
                <w:color w:val="auto"/>
              </w:rPr>
              <w:t>3.14</w:t>
            </w:r>
          </w:p>
        </w:tc>
        <w:tc>
          <w:tcPr>
            <w:tcW w:w="220" w:type="dxa"/>
            <w:vAlign w:val="bottom"/>
            <w:shd w:val="clear" w:color="auto" w:fill="B2B2B2"/>
          </w:tcPr>
          <w:p>
            <w:pPr>
              <w:spacing w:after="0"/>
              <w:rPr>
                <w:sz w:val="22"/>
                <w:szCs w:val="22"/>
                <w:color w:val="auto"/>
              </w:rPr>
            </w:pPr>
          </w:p>
        </w:tc>
        <w:tc>
          <w:tcPr>
            <w:tcW w:w="140" w:type="dxa"/>
            <w:vAlign w:val="bottom"/>
            <w:shd w:val="clear" w:color="auto" w:fill="B2B2B2"/>
          </w:tcPr>
          <w:p>
            <w:pPr>
              <w:spacing w:after="0"/>
              <w:rPr>
                <w:sz w:val="22"/>
                <w:szCs w:val="22"/>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326,393</w:t>
            </w:r>
          </w:p>
        </w:tc>
        <w:tc>
          <w:tcPr>
            <w:tcW w:w="540" w:type="dxa"/>
            <w:vAlign w:val="bottom"/>
            <w:shd w:val="clear" w:color="auto" w:fill="B2B2B2"/>
          </w:tcPr>
          <w:p>
            <w:pPr>
              <w:spacing w:after="0"/>
              <w:rPr>
                <w:sz w:val="22"/>
                <w:szCs w:val="22"/>
                <w:color w:val="auto"/>
              </w:rPr>
            </w:pPr>
          </w:p>
        </w:tc>
        <w:tc>
          <w:tcPr>
            <w:tcW w:w="96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5,103</w:t>
            </w:r>
          </w:p>
        </w:tc>
        <w:tc>
          <w:tcPr>
            <w:tcW w:w="92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3.15</w:t>
            </w:r>
          </w:p>
        </w:tc>
      </w:tr>
      <w:tr>
        <w:trPr>
          <w:trHeight w:val="215"/>
        </w:trPr>
        <w:tc>
          <w:tcPr>
            <w:tcW w:w="350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46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020" w:type="dxa"/>
            <w:vAlign w:val="bottom"/>
          </w:tcPr>
          <w:p>
            <w:pPr>
              <w:ind w:left="480"/>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1,995</w:t>
            </w:r>
          </w:p>
        </w:tc>
        <w:tc>
          <w:tcPr>
            <w:tcW w:w="5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2.02</w:t>
            </w:r>
          </w:p>
        </w:tc>
      </w:tr>
      <w:tr>
        <w:trPr>
          <w:trHeight w:val="201"/>
        </w:trPr>
        <w:tc>
          <w:tcPr>
            <w:tcW w:w="3500" w:type="dxa"/>
            <w:vAlign w:val="bottom"/>
            <w:shd w:val="clear" w:color="auto" w:fill="B2B2B2"/>
          </w:tcPr>
          <w:p>
            <w:pPr>
              <w:spacing w:after="0" w:line="201" w:lineRule="exact"/>
              <w:rPr>
                <w:sz w:val="20"/>
                <w:szCs w:val="20"/>
                <w:color w:val="auto"/>
              </w:rPr>
            </w:pPr>
            <w:r>
              <w:rPr>
                <w:rFonts w:ascii="Arial" w:cs="Arial" w:eastAsia="Arial" w:hAnsi="Arial"/>
                <w:sz w:val="18"/>
                <w:szCs w:val="18"/>
                <w:color w:val="auto"/>
              </w:rPr>
              <w:t>Interest-bearing deposits in other financial</w:t>
            </w:r>
          </w:p>
        </w:tc>
        <w:tc>
          <w:tcPr>
            <w:tcW w:w="440" w:type="dxa"/>
            <w:vAlign w:val="bottom"/>
            <w:shd w:val="clear" w:color="auto" w:fill="B2B2B2"/>
          </w:tcPr>
          <w:p>
            <w:pPr>
              <w:spacing w:after="0"/>
              <w:rPr>
                <w:sz w:val="17"/>
                <w:szCs w:val="17"/>
                <w:color w:val="auto"/>
              </w:rPr>
            </w:pPr>
          </w:p>
        </w:tc>
        <w:tc>
          <w:tcPr>
            <w:tcW w:w="140" w:type="dxa"/>
            <w:vAlign w:val="bottom"/>
            <w:shd w:val="clear" w:color="auto" w:fill="B2B2B2"/>
          </w:tcPr>
          <w:p>
            <w:pPr>
              <w:spacing w:after="0"/>
              <w:rPr>
                <w:sz w:val="17"/>
                <w:szCs w:val="17"/>
                <w:color w:val="auto"/>
              </w:rPr>
            </w:pPr>
          </w:p>
        </w:tc>
        <w:tc>
          <w:tcPr>
            <w:tcW w:w="960" w:type="dxa"/>
            <w:vAlign w:val="bottom"/>
            <w:shd w:val="clear" w:color="auto" w:fill="B2B2B2"/>
          </w:tcPr>
          <w:p>
            <w:pPr>
              <w:spacing w:after="0"/>
              <w:rPr>
                <w:sz w:val="17"/>
                <w:szCs w:val="17"/>
                <w:color w:val="auto"/>
              </w:rPr>
            </w:pPr>
          </w:p>
        </w:tc>
        <w:tc>
          <w:tcPr>
            <w:tcW w:w="460" w:type="dxa"/>
            <w:vAlign w:val="bottom"/>
            <w:shd w:val="clear" w:color="auto" w:fill="B2B2B2"/>
          </w:tcPr>
          <w:p>
            <w:pPr>
              <w:spacing w:after="0"/>
              <w:rPr>
                <w:sz w:val="17"/>
                <w:szCs w:val="17"/>
                <w:color w:val="auto"/>
              </w:rPr>
            </w:pPr>
          </w:p>
        </w:tc>
        <w:tc>
          <w:tcPr>
            <w:tcW w:w="1060" w:type="dxa"/>
            <w:vAlign w:val="bottom"/>
            <w:shd w:val="clear" w:color="auto" w:fill="B2B2B2"/>
          </w:tcPr>
          <w:p>
            <w:pPr>
              <w:spacing w:after="0"/>
              <w:rPr>
                <w:sz w:val="17"/>
                <w:szCs w:val="17"/>
                <w:color w:val="auto"/>
              </w:rPr>
            </w:pPr>
          </w:p>
        </w:tc>
        <w:tc>
          <w:tcPr>
            <w:tcW w:w="102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140" w:type="dxa"/>
            <w:vAlign w:val="bottom"/>
            <w:shd w:val="clear" w:color="auto" w:fill="B2B2B2"/>
          </w:tcPr>
          <w:p>
            <w:pPr>
              <w:spacing w:after="0"/>
              <w:rPr>
                <w:sz w:val="17"/>
                <w:szCs w:val="17"/>
                <w:color w:val="auto"/>
              </w:rPr>
            </w:pPr>
          </w:p>
        </w:tc>
        <w:tc>
          <w:tcPr>
            <w:tcW w:w="880" w:type="dxa"/>
            <w:vAlign w:val="bottom"/>
            <w:shd w:val="clear" w:color="auto" w:fill="B2B2B2"/>
          </w:tcPr>
          <w:p>
            <w:pPr>
              <w:spacing w:after="0"/>
              <w:rPr>
                <w:sz w:val="17"/>
                <w:szCs w:val="17"/>
                <w:color w:val="auto"/>
              </w:rPr>
            </w:pPr>
          </w:p>
        </w:tc>
        <w:tc>
          <w:tcPr>
            <w:tcW w:w="540" w:type="dxa"/>
            <w:vAlign w:val="bottom"/>
            <w:shd w:val="clear" w:color="auto" w:fill="B2B2B2"/>
          </w:tcPr>
          <w:p>
            <w:pPr>
              <w:spacing w:after="0"/>
              <w:rPr>
                <w:sz w:val="17"/>
                <w:szCs w:val="17"/>
                <w:color w:val="auto"/>
              </w:rPr>
            </w:pPr>
          </w:p>
        </w:tc>
        <w:tc>
          <w:tcPr>
            <w:tcW w:w="960" w:type="dxa"/>
            <w:vAlign w:val="bottom"/>
            <w:shd w:val="clear" w:color="auto" w:fill="B2B2B2"/>
          </w:tcPr>
          <w:p>
            <w:pPr>
              <w:spacing w:after="0"/>
              <w:rPr>
                <w:sz w:val="17"/>
                <w:szCs w:val="17"/>
                <w:color w:val="auto"/>
              </w:rPr>
            </w:pPr>
          </w:p>
        </w:tc>
        <w:tc>
          <w:tcPr>
            <w:tcW w:w="920" w:type="dxa"/>
            <w:vAlign w:val="bottom"/>
            <w:shd w:val="clear" w:color="auto" w:fill="B2B2B2"/>
          </w:tcPr>
          <w:p>
            <w:pPr>
              <w:spacing w:after="0"/>
              <w:rPr>
                <w:sz w:val="17"/>
                <w:szCs w:val="17"/>
                <w:color w:val="auto"/>
              </w:rPr>
            </w:pPr>
          </w:p>
        </w:tc>
      </w:tr>
      <w:tr>
        <w:trPr>
          <w:trHeight w:val="230"/>
        </w:trPr>
        <w:tc>
          <w:tcPr>
            <w:tcW w:w="35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institutions</w:t>
            </w:r>
          </w:p>
        </w:tc>
        <w:tc>
          <w:tcPr>
            <w:tcW w:w="440" w:type="dxa"/>
            <w:vAlign w:val="bottom"/>
            <w:shd w:val="clear" w:color="auto" w:fill="B2B2B2"/>
          </w:tcPr>
          <w:p>
            <w:pPr>
              <w:spacing w:after="0"/>
              <w:rPr>
                <w:sz w:val="19"/>
                <w:szCs w:val="19"/>
                <w:color w:val="auto"/>
              </w:rPr>
            </w:pPr>
          </w:p>
        </w:tc>
        <w:tc>
          <w:tcPr>
            <w:tcW w:w="140" w:type="dxa"/>
            <w:vAlign w:val="bottom"/>
            <w:shd w:val="clear" w:color="auto" w:fill="B2B2B2"/>
          </w:tcPr>
          <w:p>
            <w:pPr>
              <w:spacing w:after="0"/>
              <w:rPr>
                <w:sz w:val="19"/>
                <w:szCs w:val="19"/>
                <w:color w:val="auto"/>
              </w:rPr>
            </w:pPr>
          </w:p>
        </w:tc>
        <w:tc>
          <w:tcPr>
            <w:tcW w:w="96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201,949</w:t>
            </w:r>
          </w:p>
        </w:tc>
        <w:tc>
          <w:tcPr>
            <w:tcW w:w="460" w:type="dxa"/>
            <w:vAlign w:val="bottom"/>
            <w:shd w:val="clear" w:color="auto" w:fill="B2B2B2"/>
          </w:tcPr>
          <w:p>
            <w:pPr>
              <w:spacing w:after="0"/>
              <w:rPr>
                <w:sz w:val="19"/>
                <w:szCs w:val="19"/>
                <w:color w:val="auto"/>
              </w:rPr>
            </w:pP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456</w:t>
            </w:r>
          </w:p>
        </w:tc>
        <w:tc>
          <w:tcPr>
            <w:tcW w:w="1020" w:type="dxa"/>
            <w:vAlign w:val="bottom"/>
            <w:shd w:val="clear" w:color="auto" w:fill="B2B2B2"/>
          </w:tcPr>
          <w:p>
            <w:pPr>
              <w:ind w:left="480"/>
              <w:spacing w:after="0"/>
              <w:rPr>
                <w:sz w:val="20"/>
                <w:szCs w:val="20"/>
                <w:color w:val="auto"/>
              </w:rPr>
            </w:pPr>
            <w:r>
              <w:rPr>
                <w:rFonts w:ascii="Arial" w:cs="Arial" w:eastAsia="Arial" w:hAnsi="Arial"/>
                <w:sz w:val="18"/>
                <w:szCs w:val="18"/>
                <w:color w:val="auto"/>
              </w:rPr>
              <w:t>0.45</w:t>
            </w:r>
          </w:p>
        </w:tc>
        <w:tc>
          <w:tcPr>
            <w:tcW w:w="220" w:type="dxa"/>
            <w:vAlign w:val="bottom"/>
            <w:shd w:val="clear" w:color="auto" w:fill="B2B2B2"/>
          </w:tcPr>
          <w:p>
            <w:pPr>
              <w:spacing w:after="0"/>
              <w:rPr>
                <w:sz w:val="19"/>
                <w:szCs w:val="19"/>
                <w:color w:val="auto"/>
              </w:rPr>
            </w:pPr>
          </w:p>
        </w:tc>
        <w:tc>
          <w:tcPr>
            <w:tcW w:w="140" w:type="dxa"/>
            <w:vAlign w:val="bottom"/>
            <w:shd w:val="clear" w:color="auto" w:fill="B2B2B2"/>
          </w:tcPr>
          <w:p>
            <w:pPr>
              <w:spacing w:after="0"/>
              <w:rPr>
                <w:sz w:val="19"/>
                <w:szCs w:val="19"/>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114,314</w:t>
            </w:r>
          </w:p>
        </w:tc>
        <w:tc>
          <w:tcPr>
            <w:tcW w:w="540" w:type="dxa"/>
            <w:vAlign w:val="bottom"/>
            <w:shd w:val="clear" w:color="auto" w:fill="B2B2B2"/>
          </w:tcPr>
          <w:p>
            <w:pPr>
              <w:spacing w:after="0"/>
              <w:rPr>
                <w:sz w:val="19"/>
                <w:szCs w:val="19"/>
                <w:color w:val="auto"/>
              </w:rPr>
            </w:pPr>
          </w:p>
        </w:tc>
        <w:tc>
          <w:tcPr>
            <w:tcW w:w="96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1,286</w:t>
            </w:r>
          </w:p>
        </w:tc>
        <w:tc>
          <w:tcPr>
            <w:tcW w:w="92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2.27</w:t>
            </w:r>
          </w:p>
        </w:tc>
      </w:tr>
      <w:tr>
        <w:trPr>
          <w:trHeight w:val="201"/>
        </w:trPr>
        <w:tc>
          <w:tcPr>
            <w:tcW w:w="3500" w:type="dxa"/>
            <w:vAlign w:val="bottom"/>
          </w:tcPr>
          <w:p>
            <w:pPr>
              <w:spacing w:after="0" w:line="201" w:lineRule="exact"/>
              <w:rPr>
                <w:sz w:val="20"/>
                <w:szCs w:val="20"/>
                <w:color w:val="auto"/>
              </w:rPr>
            </w:pPr>
            <w:r>
              <w:rPr>
                <w:rFonts w:ascii="Arial" w:cs="Arial" w:eastAsia="Arial" w:hAnsi="Arial"/>
                <w:sz w:val="18"/>
                <w:szCs w:val="18"/>
                <w:color w:val="auto"/>
              </w:rPr>
              <w:t>Federal funds sold and other short-term</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3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investments</w:t>
            </w: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90,547</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588</w:t>
            </w:r>
          </w:p>
        </w:tc>
        <w:tc>
          <w:tcPr>
            <w:tcW w:w="10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1.31</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140,798</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1,609</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2.30</w:t>
            </w:r>
          </w:p>
        </w:tc>
      </w:tr>
      <w:tr>
        <w:trPr>
          <w:trHeight w:val="209"/>
        </w:trPr>
        <w:tc>
          <w:tcPr>
            <w:tcW w:w="3500" w:type="dxa"/>
            <w:vAlign w:val="bottom"/>
            <w:shd w:val="clear" w:color="auto" w:fill="B2B2B2"/>
          </w:tcPr>
          <w:p>
            <w:pPr>
              <w:spacing w:after="0"/>
              <w:rPr>
                <w:sz w:val="20"/>
                <w:szCs w:val="20"/>
                <w:color w:val="auto"/>
              </w:rPr>
            </w:pPr>
            <w:r>
              <w:rPr>
                <w:rFonts w:ascii="Arial" w:cs="Arial" w:eastAsia="Arial" w:hAnsi="Arial"/>
                <w:sz w:val="18"/>
                <w:szCs w:val="18"/>
                <w:color w:val="auto"/>
              </w:rPr>
              <w:t>Total interest-earning assets</w:t>
            </w:r>
          </w:p>
        </w:tc>
        <w:tc>
          <w:tcPr>
            <w:tcW w:w="44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1,556,144</w:t>
            </w:r>
          </w:p>
        </w:tc>
        <w:tc>
          <w:tcPr>
            <w:tcW w:w="46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24,938</w:t>
            </w:r>
          </w:p>
        </w:tc>
        <w:tc>
          <w:tcPr>
            <w:tcW w:w="1020" w:type="dxa"/>
            <w:vAlign w:val="bottom"/>
            <w:shd w:val="clear" w:color="auto" w:fill="B2B2B2"/>
          </w:tcPr>
          <w:p>
            <w:pPr>
              <w:ind w:left="480"/>
              <w:spacing w:after="0"/>
              <w:rPr>
                <w:sz w:val="20"/>
                <w:szCs w:val="20"/>
                <w:color w:val="auto"/>
              </w:rPr>
            </w:pPr>
            <w:r>
              <w:rPr>
                <w:rFonts w:ascii="Arial" w:cs="Arial" w:eastAsia="Arial" w:hAnsi="Arial"/>
                <w:sz w:val="18"/>
                <w:szCs w:val="18"/>
                <w:color w:val="auto"/>
              </w:rPr>
              <w:t>3.22</w:t>
            </w:r>
          </w:p>
        </w:tc>
        <w:tc>
          <w:tcPr>
            <w:tcW w:w="2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1,434,777</w:t>
            </w:r>
          </w:p>
        </w:tc>
        <w:tc>
          <w:tcPr>
            <w:tcW w:w="54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27,296</w:t>
            </w:r>
          </w:p>
        </w:tc>
        <w:tc>
          <w:tcPr>
            <w:tcW w:w="92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3.84</w:t>
            </w:r>
          </w:p>
        </w:tc>
      </w:tr>
      <w:tr>
        <w:trPr>
          <w:trHeight w:val="215"/>
        </w:trPr>
        <w:tc>
          <w:tcPr>
            <w:tcW w:w="3500" w:type="dxa"/>
            <w:vAlign w:val="bottom"/>
          </w:tcPr>
          <w:p>
            <w:pPr>
              <w:spacing w:after="0"/>
              <w:rPr>
                <w:sz w:val="20"/>
                <w:szCs w:val="20"/>
                <w:color w:val="auto"/>
              </w:rPr>
            </w:pPr>
            <w:r>
              <w:rPr>
                <w:rFonts w:ascii="Arial" w:cs="Arial" w:eastAsia="Arial" w:hAnsi="Arial"/>
                <w:sz w:val="18"/>
                <w:szCs w:val="18"/>
                <w:color w:val="auto"/>
              </w:rPr>
              <w:t>Non-interest-earning assets: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35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Cash and due from banks</w:t>
            </w:r>
          </w:p>
        </w:tc>
        <w:tc>
          <w:tcPr>
            <w:tcW w:w="44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16,649</w:t>
            </w:r>
          </w:p>
        </w:tc>
        <w:tc>
          <w:tcPr>
            <w:tcW w:w="46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13,268</w:t>
            </w:r>
          </w:p>
        </w:tc>
        <w:tc>
          <w:tcPr>
            <w:tcW w:w="5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r>
      <w:tr>
        <w:trPr>
          <w:trHeight w:val="215"/>
        </w:trPr>
        <w:tc>
          <w:tcPr>
            <w:tcW w:w="3500" w:type="dxa"/>
            <w:vAlign w:val="bottom"/>
          </w:tcPr>
          <w:p>
            <w:pPr>
              <w:ind w:left="180"/>
              <w:spacing w:after="0"/>
              <w:rPr>
                <w:sz w:val="20"/>
                <w:szCs w:val="20"/>
                <w:color w:val="auto"/>
              </w:rPr>
            </w:pPr>
            <w:r>
              <w:rPr>
                <w:rFonts w:ascii="Arial" w:cs="Arial" w:eastAsia="Arial" w:hAnsi="Arial"/>
                <w:sz w:val="18"/>
                <w:szCs w:val="18"/>
                <w:color w:val="auto"/>
              </w:rPr>
              <w:t>Premises and equipment, net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20,182</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21,796</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35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Bank-owned life insurance</w:t>
            </w:r>
          </w:p>
        </w:tc>
        <w:tc>
          <w:tcPr>
            <w:tcW w:w="44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17,703</w:t>
            </w:r>
          </w:p>
        </w:tc>
        <w:tc>
          <w:tcPr>
            <w:tcW w:w="46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17,485</w:t>
            </w:r>
          </w:p>
        </w:tc>
        <w:tc>
          <w:tcPr>
            <w:tcW w:w="5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r>
      <w:tr>
        <w:trPr>
          <w:trHeight w:val="215"/>
        </w:trPr>
        <w:tc>
          <w:tcPr>
            <w:tcW w:w="3500" w:type="dxa"/>
            <w:vAlign w:val="bottom"/>
          </w:tcPr>
          <w:p>
            <w:pPr>
              <w:ind w:left="180"/>
              <w:spacing w:after="0"/>
              <w:rPr>
                <w:sz w:val="20"/>
                <w:szCs w:val="20"/>
                <w:color w:val="auto"/>
              </w:rPr>
            </w:pPr>
            <w:r>
              <w:rPr>
                <w:rFonts w:ascii="Arial" w:cs="Arial" w:eastAsia="Arial" w:hAnsi="Arial"/>
                <w:sz w:val="18"/>
                <w:szCs w:val="18"/>
                <w:color w:val="auto"/>
              </w:rPr>
              <w:t>Goodwill and other intangibles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18,347</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14,027</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35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Other assets</w:t>
            </w:r>
          </w:p>
        </w:tc>
        <w:tc>
          <w:tcPr>
            <w:tcW w:w="44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213,674</w:t>
            </w:r>
          </w:p>
        </w:tc>
        <w:tc>
          <w:tcPr>
            <w:tcW w:w="46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203,974</w:t>
            </w:r>
          </w:p>
        </w:tc>
        <w:tc>
          <w:tcPr>
            <w:tcW w:w="5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r>
      <w:tr>
        <w:trPr>
          <w:trHeight w:val="215"/>
        </w:trPr>
        <w:tc>
          <w:tcPr>
            <w:tcW w:w="3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Allowance for loan losses</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(10,728)</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color w:val="auto"/>
              </w:rPr>
              <w:t>(10,365)</w:t>
            </w:r>
          </w:p>
        </w:tc>
        <w:tc>
          <w:tcPr>
            <w:tcW w:w="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9"/>
        </w:trPr>
        <w:tc>
          <w:tcPr>
            <w:tcW w:w="350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Total assets</w:t>
            </w:r>
          </w:p>
        </w:tc>
        <w:tc>
          <w:tcPr>
            <w:tcW w:w="580" w:type="dxa"/>
            <w:vAlign w:val="bottom"/>
            <w:tcBorders>
              <w:bottom w:val="single" w:sz="8" w:color="auto"/>
            </w:tcBorders>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1,831,971</w:t>
            </w:r>
          </w:p>
        </w:tc>
        <w:tc>
          <w:tcPr>
            <w:tcW w:w="46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spacing w:after="0"/>
              <w:rPr>
                <w:sz w:val="18"/>
                <w:szCs w:val="18"/>
                <w:color w:val="auto"/>
              </w:rPr>
            </w:pPr>
          </w:p>
        </w:tc>
        <w:tc>
          <w:tcPr>
            <w:tcW w:w="220" w:type="dxa"/>
            <w:vAlign w:val="bottom"/>
            <w:tcBorders>
              <w:bottom w:val="single" w:sz="8" w:color="auto"/>
            </w:tcBorders>
            <w:shd w:val="clear" w:color="auto" w:fill="B2B2B2"/>
          </w:tcPr>
          <w:p>
            <w:pPr>
              <w:spacing w:after="0"/>
              <w:rPr>
                <w:sz w:val="18"/>
                <w:szCs w:val="18"/>
                <w:color w:val="auto"/>
              </w:rPr>
            </w:pPr>
          </w:p>
        </w:tc>
        <w:tc>
          <w:tcPr>
            <w:tcW w:w="1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1,694,962</w:t>
            </w:r>
          </w:p>
        </w:tc>
        <w:tc>
          <w:tcPr>
            <w:tcW w:w="54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spacing w:after="0"/>
              <w:rPr>
                <w:sz w:val="18"/>
                <w:szCs w:val="18"/>
                <w:color w:val="auto"/>
              </w:rPr>
            </w:pPr>
          </w:p>
        </w:tc>
      </w:tr>
      <w:tr>
        <w:trPr>
          <w:trHeight w:val="249"/>
        </w:trPr>
        <w:tc>
          <w:tcPr>
            <w:tcW w:w="3500" w:type="dxa"/>
            <w:vAlign w:val="bottom"/>
          </w:tcPr>
          <w:p>
            <w:pPr>
              <w:spacing w:after="0" w:line="249" w:lineRule="exact"/>
              <w:rPr>
                <w:sz w:val="20"/>
                <w:szCs w:val="20"/>
                <w:color w:val="auto"/>
              </w:rPr>
            </w:pPr>
            <w:r>
              <w:rPr>
                <w:rFonts w:ascii="Arial" w:cs="Arial" w:eastAsia="Arial" w:hAnsi="Arial"/>
                <w:sz w:val="17"/>
                <w:szCs w:val="17"/>
                <w:b w:val="1"/>
                <w:bCs w:val="1"/>
                <w:color w:val="auto"/>
              </w:rPr>
              <w:t>Liabilities and Shareholders’ Equity</w:t>
            </w:r>
            <w:r>
              <w:rPr>
                <w:rFonts w:ascii="Arial" w:cs="Arial" w:eastAsia="Arial" w:hAnsi="Arial"/>
                <w:sz w:val="28"/>
                <w:szCs w:val="28"/>
                <w:b w:val="1"/>
                <w:bCs w:val="1"/>
                <w:color w:val="auto"/>
                <w:vertAlign w:val="superscript"/>
              </w:rPr>
              <w:t>1</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5"/>
        </w:trPr>
        <w:tc>
          <w:tcPr>
            <w:tcW w:w="3500" w:type="dxa"/>
            <w:vAlign w:val="bottom"/>
            <w:shd w:val="clear" w:color="auto" w:fill="B2B2B2"/>
          </w:tcPr>
          <w:p>
            <w:pPr>
              <w:spacing w:after="0"/>
              <w:rPr>
                <w:sz w:val="20"/>
                <w:szCs w:val="20"/>
                <w:color w:val="auto"/>
              </w:rPr>
            </w:pPr>
            <w:r>
              <w:rPr>
                <w:rFonts w:ascii="Arial" w:cs="Arial" w:eastAsia="Arial" w:hAnsi="Arial"/>
                <w:sz w:val="18"/>
                <w:szCs w:val="18"/>
                <w:color w:val="auto"/>
              </w:rPr>
              <w:t>Interest-bearing liabilities:</w:t>
            </w:r>
          </w:p>
        </w:tc>
        <w:tc>
          <w:tcPr>
            <w:tcW w:w="44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r>
      <w:tr>
        <w:trPr>
          <w:trHeight w:val="215"/>
        </w:trPr>
        <w:tc>
          <w:tcPr>
            <w:tcW w:w="3500" w:type="dxa"/>
            <w:vAlign w:val="bottom"/>
          </w:tcPr>
          <w:p>
            <w:pPr>
              <w:ind w:left="180"/>
              <w:spacing w:after="0"/>
              <w:rPr>
                <w:sz w:val="20"/>
                <w:szCs w:val="20"/>
                <w:color w:val="auto"/>
              </w:rPr>
            </w:pPr>
            <w:r>
              <w:rPr>
                <w:rFonts w:ascii="Arial" w:cs="Arial" w:eastAsia="Arial" w:hAnsi="Arial"/>
                <w:sz w:val="18"/>
                <w:szCs w:val="18"/>
                <w:color w:val="auto"/>
              </w:rPr>
              <w:t>Interest-bearing demand deposits</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360,804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835</w:t>
            </w:r>
          </w:p>
        </w:tc>
        <w:tc>
          <w:tcPr>
            <w:tcW w:w="1020" w:type="dxa"/>
            <w:vAlign w:val="bottom"/>
          </w:tcPr>
          <w:p>
            <w:pPr>
              <w:ind w:left="480"/>
              <w:spacing w:after="0"/>
              <w:rPr>
                <w:sz w:val="20"/>
                <w:szCs w:val="20"/>
                <w:color w:val="auto"/>
              </w:rPr>
            </w:pPr>
            <w:r>
              <w:rPr>
                <w:rFonts w:ascii="Arial" w:cs="Arial" w:eastAsia="Arial" w:hAnsi="Arial"/>
                <w:sz w:val="18"/>
                <w:szCs w:val="18"/>
                <w:color w:val="auto"/>
              </w:rPr>
              <w:t>0.47%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300,429</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1,845</w:t>
            </w:r>
          </w:p>
        </w:tc>
        <w:tc>
          <w:tcPr>
            <w:tcW w:w="9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5"/>
        </w:trPr>
        <w:tc>
          <w:tcPr>
            <w:tcW w:w="35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Savings deposits</w:t>
            </w:r>
          </w:p>
        </w:tc>
        <w:tc>
          <w:tcPr>
            <w:tcW w:w="44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10,662</w:t>
            </w:r>
          </w:p>
        </w:tc>
        <w:tc>
          <w:tcPr>
            <w:tcW w:w="46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16</w:t>
            </w:r>
          </w:p>
        </w:tc>
        <w:tc>
          <w:tcPr>
            <w:tcW w:w="1020" w:type="dxa"/>
            <w:vAlign w:val="bottom"/>
            <w:shd w:val="clear" w:color="auto" w:fill="B2B2B2"/>
          </w:tcPr>
          <w:p>
            <w:pPr>
              <w:ind w:left="480"/>
              <w:spacing w:after="0"/>
              <w:rPr>
                <w:sz w:val="20"/>
                <w:szCs w:val="20"/>
                <w:color w:val="auto"/>
              </w:rPr>
            </w:pPr>
            <w:r>
              <w:rPr>
                <w:rFonts w:ascii="Arial" w:cs="Arial" w:eastAsia="Arial" w:hAnsi="Arial"/>
                <w:sz w:val="18"/>
                <w:szCs w:val="18"/>
                <w:color w:val="auto"/>
              </w:rPr>
              <w:t>0.30</w:t>
            </w:r>
          </w:p>
        </w:tc>
        <w:tc>
          <w:tcPr>
            <w:tcW w:w="2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10,932</w:t>
            </w:r>
          </w:p>
        </w:tc>
        <w:tc>
          <w:tcPr>
            <w:tcW w:w="54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59</w:t>
            </w:r>
          </w:p>
        </w:tc>
        <w:tc>
          <w:tcPr>
            <w:tcW w:w="92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1.09</w:t>
            </w:r>
          </w:p>
        </w:tc>
      </w:tr>
      <w:tr>
        <w:trPr>
          <w:trHeight w:val="215"/>
        </w:trPr>
        <w:tc>
          <w:tcPr>
            <w:tcW w:w="3500" w:type="dxa"/>
            <w:vAlign w:val="bottom"/>
          </w:tcPr>
          <w:p>
            <w:pPr>
              <w:ind w:left="180"/>
              <w:spacing w:after="0"/>
              <w:rPr>
                <w:sz w:val="20"/>
                <w:szCs w:val="20"/>
                <w:color w:val="auto"/>
              </w:rPr>
            </w:pPr>
            <w:r>
              <w:rPr>
                <w:rFonts w:ascii="Arial" w:cs="Arial" w:eastAsia="Arial" w:hAnsi="Arial"/>
                <w:sz w:val="18"/>
                <w:szCs w:val="18"/>
                <w:color w:val="auto"/>
              </w:rPr>
              <w:t>Time deposits &gt;= $100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29,044</w:t>
            </w:r>
          </w:p>
        </w:tc>
        <w:tc>
          <w:tcPr>
            <w:tcW w:w="46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279</w:t>
            </w:r>
          </w:p>
        </w:tc>
        <w:tc>
          <w:tcPr>
            <w:tcW w:w="1020" w:type="dxa"/>
            <w:vAlign w:val="bottom"/>
          </w:tcPr>
          <w:p>
            <w:pPr>
              <w:ind w:left="480"/>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24,092</w:t>
            </w:r>
          </w:p>
        </w:tc>
        <w:tc>
          <w:tcPr>
            <w:tcW w:w="5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1.93</w:t>
            </w:r>
          </w:p>
        </w:tc>
      </w:tr>
      <w:tr>
        <w:trPr>
          <w:trHeight w:val="215"/>
        </w:trPr>
        <w:tc>
          <w:tcPr>
            <w:tcW w:w="3500" w:type="dxa"/>
            <w:vAlign w:val="bottom"/>
            <w:tcBorders>
              <w:bottom w:val="single" w:sz="8" w:color="auto"/>
            </w:tcBorders>
            <w:shd w:val="clear" w:color="auto" w:fill="B2B2B2"/>
          </w:tcPr>
          <w:p>
            <w:pPr>
              <w:ind w:left="180"/>
              <w:spacing w:after="0"/>
              <w:rPr>
                <w:sz w:val="20"/>
                <w:szCs w:val="20"/>
                <w:color w:val="auto"/>
              </w:rPr>
            </w:pPr>
            <w:r>
              <w:rPr>
                <w:rFonts w:ascii="Arial" w:cs="Arial" w:eastAsia="Arial" w:hAnsi="Arial"/>
                <w:sz w:val="18"/>
                <w:szCs w:val="18"/>
                <w:color w:val="auto"/>
              </w:rPr>
              <w:t>Other time deposits</w:t>
            </w:r>
          </w:p>
        </w:tc>
        <w:tc>
          <w:tcPr>
            <w:tcW w:w="440" w:type="dxa"/>
            <w:vAlign w:val="bottom"/>
            <w:tcBorders>
              <w:bottom w:val="single" w:sz="8" w:color="auto"/>
            </w:tcBorders>
            <w:shd w:val="clear" w:color="auto" w:fill="B2B2B2"/>
          </w:tcPr>
          <w:p>
            <w:pPr>
              <w:spacing w:after="0"/>
              <w:rPr>
                <w:sz w:val="18"/>
                <w:szCs w:val="18"/>
                <w:color w:val="auto"/>
              </w:rPr>
            </w:pPr>
          </w:p>
        </w:tc>
        <w:tc>
          <w:tcPr>
            <w:tcW w:w="14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43,253</w:t>
            </w:r>
          </w:p>
        </w:tc>
        <w:tc>
          <w:tcPr>
            <w:tcW w:w="46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rPr>
              <w:t>314</w:t>
            </w:r>
          </w:p>
        </w:tc>
        <w:tc>
          <w:tcPr>
            <w:tcW w:w="1020" w:type="dxa"/>
            <w:vAlign w:val="bottom"/>
            <w:tcBorders>
              <w:bottom w:val="single" w:sz="8" w:color="auto"/>
            </w:tcBorders>
            <w:shd w:val="clear" w:color="auto" w:fill="B2B2B2"/>
          </w:tcPr>
          <w:p>
            <w:pPr>
              <w:ind w:left="480"/>
              <w:spacing w:after="0"/>
              <w:rPr>
                <w:sz w:val="20"/>
                <w:szCs w:val="20"/>
                <w:color w:val="auto"/>
              </w:rPr>
            </w:pPr>
            <w:r>
              <w:rPr>
                <w:rFonts w:ascii="Arial" w:cs="Arial" w:eastAsia="Arial" w:hAnsi="Arial"/>
                <w:sz w:val="18"/>
                <w:szCs w:val="18"/>
                <w:color w:val="auto"/>
              </w:rPr>
              <w:t>1.46</w:t>
            </w:r>
          </w:p>
        </w:tc>
        <w:tc>
          <w:tcPr>
            <w:tcW w:w="220" w:type="dxa"/>
            <w:vAlign w:val="bottom"/>
            <w:tcBorders>
              <w:bottom w:val="single" w:sz="8" w:color="auto"/>
            </w:tcBorders>
            <w:shd w:val="clear" w:color="auto" w:fill="B2B2B2"/>
          </w:tcPr>
          <w:p>
            <w:pPr>
              <w:spacing w:after="0"/>
              <w:rPr>
                <w:sz w:val="18"/>
                <w:szCs w:val="18"/>
                <w:color w:val="auto"/>
              </w:rPr>
            </w:pPr>
          </w:p>
        </w:tc>
        <w:tc>
          <w:tcPr>
            <w:tcW w:w="14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49,141</w:t>
            </w:r>
          </w:p>
        </w:tc>
        <w:tc>
          <w:tcPr>
            <w:tcW w:w="54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460</w:t>
            </w:r>
          </w:p>
        </w:tc>
        <w:tc>
          <w:tcPr>
            <w:tcW w:w="920" w:type="dxa"/>
            <w:vAlign w:val="bottom"/>
            <w:tcBorders>
              <w:bottom w:val="single" w:sz="8" w:color="auto"/>
            </w:tcBorders>
            <w:shd w:val="clear" w:color="auto" w:fill="B2B2B2"/>
          </w:tcPr>
          <w:p>
            <w:pPr>
              <w:jc w:val="right"/>
              <w:ind w:right="90"/>
              <w:spacing w:after="0"/>
              <w:rPr>
                <w:sz w:val="20"/>
                <w:szCs w:val="20"/>
                <w:color w:val="auto"/>
              </w:rPr>
            </w:pPr>
            <w:r>
              <w:rPr>
                <w:rFonts w:ascii="Arial" w:cs="Arial" w:eastAsia="Arial" w:hAnsi="Arial"/>
                <w:sz w:val="18"/>
                <w:szCs w:val="18"/>
                <w:color w:val="auto"/>
              </w:rPr>
              <w:t>1.89</w:t>
            </w:r>
          </w:p>
        </w:tc>
      </w:tr>
      <w:tr>
        <w:trPr>
          <w:trHeight w:val="209"/>
        </w:trPr>
        <w:tc>
          <w:tcPr>
            <w:tcW w:w="3500" w:type="dxa"/>
            <w:vAlign w:val="bottom"/>
          </w:tcPr>
          <w:p>
            <w:pPr>
              <w:spacing w:after="0"/>
              <w:rPr>
                <w:sz w:val="20"/>
                <w:szCs w:val="20"/>
                <w:color w:val="auto"/>
              </w:rPr>
            </w:pPr>
            <w:r>
              <w:rPr>
                <w:rFonts w:ascii="Arial" w:cs="Arial" w:eastAsia="Arial" w:hAnsi="Arial"/>
                <w:sz w:val="18"/>
                <w:szCs w:val="18"/>
                <w:color w:val="auto"/>
              </w:rPr>
              <w:t>Total interest-bearing deposits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443,763</w:t>
            </w:r>
          </w:p>
        </w:tc>
        <w:tc>
          <w:tcPr>
            <w:tcW w:w="46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1,444</w:t>
            </w:r>
          </w:p>
        </w:tc>
        <w:tc>
          <w:tcPr>
            <w:tcW w:w="1020" w:type="dxa"/>
            <w:vAlign w:val="bottom"/>
          </w:tcPr>
          <w:p>
            <w:pPr>
              <w:ind w:left="480"/>
              <w:spacing w:after="0"/>
              <w:rPr>
                <w:sz w:val="20"/>
                <w:szCs w:val="20"/>
                <w:color w:val="auto"/>
              </w:rPr>
            </w:pPr>
            <w:r>
              <w:rPr>
                <w:rFonts w:ascii="Arial" w:cs="Arial" w:eastAsia="Arial" w:hAnsi="Arial"/>
                <w:sz w:val="18"/>
                <w:szCs w:val="18"/>
                <w:color w:val="auto"/>
              </w:rPr>
              <w:t>0.65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384,594</w:t>
            </w:r>
          </w:p>
        </w:tc>
        <w:tc>
          <w:tcPr>
            <w:tcW w:w="5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2,595</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1.36</w:t>
            </w:r>
          </w:p>
        </w:tc>
      </w:tr>
      <w:tr>
        <w:trPr>
          <w:trHeight w:val="215"/>
        </w:trPr>
        <w:tc>
          <w:tcPr>
            <w:tcW w:w="350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Short-term borrowings</w:t>
            </w:r>
          </w:p>
        </w:tc>
        <w:tc>
          <w:tcPr>
            <w:tcW w:w="440" w:type="dxa"/>
            <w:vAlign w:val="bottom"/>
            <w:tcBorders>
              <w:bottom w:val="single" w:sz="8" w:color="auto"/>
            </w:tcBorders>
            <w:shd w:val="clear" w:color="auto" w:fill="B2B2B2"/>
          </w:tcPr>
          <w:p>
            <w:pPr>
              <w:spacing w:after="0"/>
              <w:rPr>
                <w:sz w:val="18"/>
                <w:szCs w:val="18"/>
                <w:color w:val="auto"/>
              </w:rPr>
            </w:pPr>
          </w:p>
        </w:tc>
        <w:tc>
          <w:tcPr>
            <w:tcW w:w="14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110</w:t>
            </w:r>
          </w:p>
        </w:tc>
        <w:tc>
          <w:tcPr>
            <w:tcW w:w="46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rPr>
              <w:t>2</w:t>
            </w:r>
          </w:p>
        </w:tc>
        <w:tc>
          <w:tcPr>
            <w:tcW w:w="1020" w:type="dxa"/>
            <w:vAlign w:val="bottom"/>
            <w:tcBorders>
              <w:bottom w:val="single" w:sz="8" w:color="auto"/>
            </w:tcBorders>
            <w:shd w:val="clear" w:color="auto" w:fill="B2B2B2"/>
          </w:tcPr>
          <w:p>
            <w:pPr>
              <w:ind w:left="480"/>
              <w:spacing w:after="0"/>
              <w:rPr>
                <w:sz w:val="20"/>
                <w:szCs w:val="20"/>
                <w:color w:val="auto"/>
              </w:rPr>
            </w:pPr>
            <w:r>
              <w:rPr>
                <w:rFonts w:ascii="Arial" w:cs="Arial" w:eastAsia="Arial" w:hAnsi="Arial"/>
                <w:sz w:val="18"/>
                <w:szCs w:val="18"/>
                <w:color w:val="auto"/>
              </w:rPr>
              <w:t>3.66</w:t>
            </w:r>
          </w:p>
        </w:tc>
        <w:tc>
          <w:tcPr>
            <w:tcW w:w="220" w:type="dxa"/>
            <w:vAlign w:val="bottom"/>
            <w:tcBorders>
              <w:bottom w:val="single" w:sz="8" w:color="auto"/>
            </w:tcBorders>
            <w:shd w:val="clear" w:color="auto" w:fill="B2B2B2"/>
          </w:tcPr>
          <w:p>
            <w:pPr>
              <w:spacing w:after="0"/>
              <w:rPr>
                <w:sz w:val="18"/>
                <w:szCs w:val="18"/>
                <w:color w:val="auto"/>
              </w:rPr>
            </w:pPr>
          </w:p>
        </w:tc>
        <w:tc>
          <w:tcPr>
            <w:tcW w:w="14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13</w:t>
            </w:r>
          </w:p>
        </w:tc>
        <w:tc>
          <w:tcPr>
            <w:tcW w:w="54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B2B2B2"/>
          </w:tcPr>
          <w:p>
            <w:pPr>
              <w:jc w:val="right"/>
              <w:ind w:right="90"/>
              <w:spacing w:after="0"/>
              <w:rPr>
                <w:sz w:val="20"/>
                <w:szCs w:val="20"/>
                <w:color w:val="auto"/>
              </w:rPr>
            </w:pPr>
            <w:r>
              <w:rPr>
                <w:rFonts w:ascii="Arial" w:cs="Arial" w:eastAsia="Arial" w:hAnsi="Arial"/>
                <w:sz w:val="18"/>
                <w:szCs w:val="18"/>
                <w:color w:val="auto"/>
              </w:rPr>
              <w:t>—</w:t>
            </w:r>
          </w:p>
        </w:tc>
      </w:tr>
      <w:tr>
        <w:trPr>
          <w:trHeight w:val="209"/>
        </w:trPr>
        <w:tc>
          <w:tcPr>
            <w:tcW w:w="3500" w:type="dxa"/>
            <w:vAlign w:val="bottom"/>
          </w:tcPr>
          <w:p>
            <w:pPr>
              <w:spacing w:after="0"/>
              <w:rPr>
                <w:sz w:val="20"/>
                <w:szCs w:val="20"/>
                <w:color w:val="auto"/>
              </w:rPr>
            </w:pPr>
            <w:r>
              <w:rPr>
                <w:rFonts w:ascii="Arial" w:cs="Arial" w:eastAsia="Arial" w:hAnsi="Arial"/>
                <w:sz w:val="18"/>
                <w:szCs w:val="18"/>
                <w:color w:val="auto"/>
              </w:rPr>
              <w:t>Total interest-bearing liabilities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443,873</w:t>
            </w:r>
          </w:p>
        </w:tc>
        <w:tc>
          <w:tcPr>
            <w:tcW w:w="46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1,446</w:t>
            </w:r>
          </w:p>
        </w:tc>
        <w:tc>
          <w:tcPr>
            <w:tcW w:w="1020" w:type="dxa"/>
            <w:vAlign w:val="bottom"/>
          </w:tcPr>
          <w:p>
            <w:pPr>
              <w:ind w:left="480"/>
              <w:spacing w:after="0"/>
              <w:rPr>
                <w:sz w:val="20"/>
                <w:szCs w:val="20"/>
                <w:color w:val="auto"/>
              </w:rPr>
            </w:pPr>
            <w:r>
              <w:rPr>
                <w:rFonts w:ascii="Arial" w:cs="Arial" w:eastAsia="Arial" w:hAnsi="Arial"/>
                <w:sz w:val="18"/>
                <w:szCs w:val="18"/>
                <w:color w:val="auto"/>
              </w:rPr>
              <w:t>0.66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384,607</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3500" w:type="dxa"/>
            <w:vAlign w:val="bottom"/>
            <w:shd w:val="clear" w:color="auto" w:fill="B2B2B2"/>
          </w:tcPr>
          <w:p>
            <w:pPr>
              <w:spacing w:after="0"/>
              <w:rPr>
                <w:sz w:val="20"/>
                <w:szCs w:val="20"/>
                <w:color w:val="auto"/>
              </w:rPr>
            </w:pPr>
            <w:r>
              <w:rPr>
                <w:rFonts w:ascii="Arial" w:cs="Arial" w:eastAsia="Arial" w:hAnsi="Arial"/>
                <w:sz w:val="18"/>
                <w:szCs w:val="18"/>
                <w:color w:val="auto"/>
              </w:rPr>
              <w:t>Non-interest bearing liabilities:</w:t>
            </w:r>
          </w:p>
        </w:tc>
        <w:tc>
          <w:tcPr>
            <w:tcW w:w="44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r>
      <w:tr>
        <w:trPr>
          <w:trHeight w:val="215"/>
        </w:trPr>
        <w:tc>
          <w:tcPr>
            <w:tcW w:w="3500" w:type="dxa"/>
            <w:vAlign w:val="bottom"/>
          </w:tcPr>
          <w:p>
            <w:pPr>
              <w:ind w:left="180"/>
              <w:spacing w:after="0"/>
              <w:rPr>
                <w:sz w:val="20"/>
                <w:szCs w:val="20"/>
                <w:color w:val="auto"/>
              </w:rPr>
            </w:pPr>
            <w:r>
              <w:rPr>
                <w:rFonts w:ascii="Arial" w:cs="Arial" w:eastAsia="Arial" w:hAnsi="Arial"/>
                <w:sz w:val="18"/>
                <w:szCs w:val="18"/>
                <w:color w:val="auto"/>
              </w:rPr>
              <w:t>Demand deposits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327,486</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264,743</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35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Accounts and drafts payable</w:t>
            </w:r>
          </w:p>
        </w:tc>
        <w:tc>
          <w:tcPr>
            <w:tcW w:w="44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754,773</w:t>
            </w:r>
          </w:p>
        </w:tc>
        <w:tc>
          <w:tcPr>
            <w:tcW w:w="46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762,416</w:t>
            </w:r>
          </w:p>
        </w:tc>
        <w:tc>
          <w:tcPr>
            <w:tcW w:w="5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r>
      <w:tr>
        <w:trPr>
          <w:trHeight w:val="215"/>
        </w:trPr>
        <w:tc>
          <w:tcPr>
            <w:tcW w:w="3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liabilities</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63,359</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53,653</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9"/>
        </w:trPr>
        <w:tc>
          <w:tcPr>
            <w:tcW w:w="3500" w:type="dxa"/>
            <w:vAlign w:val="bottom"/>
            <w:shd w:val="clear" w:color="auto" w:fill="B2B2B2"/>
          </w:tcPr>
          <w:p>
            <w:pPr>
              <w:spacing w:after="0"/>
              <w:rPr>
                <w:sz w:val="20"/>
                <w:szCs w:val="20"/>
                <w:color w:val="auto"/>
              </w:rPr>
            </w:pPr>
            <w:r>
              <w:rPr>
                <w:rFonts w:ascii="Arial" w:cs="Arial" w:eastAsia="Arial" w:hAnsi="Arial"/>
                <w:sz w:val="18"/>
                <w:szCs w:val="18"/>
                <w:color w:val="auto"/>
              </w:rPr>
              <w:t>Total liabilities</w:t>
            </w:r>
          </w:p>
        </w:tc>
        <w:tc>
          <w:tcPr>
            <w:tcW w:w="44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1,589,491</w:t>
            </w:r>
          </w:p>
        </w:tc>
        <w:tc>
          <w:tcPr>
            <w:tcW w:w="46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1,465,419</w:t>
            </w:r>
          </w:p>
        </w:tc>
        <w:tc>
          <w:tcPr>
            <w:tcW w:w="5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r>
      <w:tr>
        <w:trPr>
          <w:trHeight w:val="21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Shareholders’ equity</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242,480</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229,543</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9"/>
        </w:trPr>
        <w:tc>
          <w:tcPr>
            <w:tcW w:w="350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Total liabilities and shareholders’ equity</w:t>
            </w:r>
          </w:p>
        </w:tc>
        <w:tc>
          <w:tcPr>
            <w:tcW w:w="580" w:type="dxa"/>
            <w:vAlign w:val="bottom"/>
            <w:tcBorders>
              <w:bottom w:val="single" w:sz="8" w:color="auto"/>
            </w:tcBorders>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1,831,971</w:t>
            </w:r>
          </w:p>
        </w:tc>
        <w:tc>
          <w:tcPr>
            <w:tcW w:w="46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spacing w:after="0"/>
              <w:rPr>
                <w:sz w:val="18"/>
                <w:szCs w:val="18"/>
                <w:color w:val="auto"/>
              </w:rPr>
            </w:pPr>
          </w:p>
        </w:tc>
        <w:tc>
          <w:tcPr>
            <w:tcW w:w="220" w:type="dxa"/>
            <w:vAlign w:val="bottom"/>
            <w:tcBorders>
              <w:bottom w:val="single" w:sz="8" w:color="auto"/>
            </w:tcBorders>
            <w:shd w:val="clear" w:color="auto" w:fill="B2B2B2"/>
          </w:tcPr>
          <w:p>
            <w:pPr>
              <w:spacing w:after="0"/>
              <w:rPr>
                <w:sz w:val="18"/>
                <w:szCs w:val="18"/>
                <w:color w:val="auto"/>
              </w:rPr>
            </w:pPr>
          </w:p>
        </w:tc>
        <w:tc>
          <w:tcPr>
            <w:tcW w:w="1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1,694,962</w:t>
            </w:r>
          </w:p>
        </w:tc>
        <w:tc>
          <w:tcPr>
            <w:tcW w:w="54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spacing w:after="0"/>
              <w:rPr>
                <w:sz w:val="18"/>
                <w:szCs w:val="18"/>
                <w:color w:val="auto"/>
              </w:rPr>
            </w:pPr>
          </w:p>
        </w:tc>
      </w:tr>
      <w:tr>
        <w:trPr>
          <w:trHeight w:val="209"/>
        </w:trPr>
        <w:tc>
          <w:tcPr>
            <w:tcW w:w="3500" w:type="dxa"/>
            <w:vAlign w:val="bottom"/>
          </w:tcPr>
          <w:p>
            <w:pPr>
              <w:spacing w:after="0"/>
              <w:rPr>
                <w:sz w:val="20"/>
                <w:szCs w:val="20"/>
                <w:color w:val="auto"/>
              </w:rPr>
            </w:pPr>
            <w:r>
              <w:rPr>
                <w:rFonts w:ascii="Arial" w:cs="Arial" w:eastAsia="Arial" w:hAnsi="Arial"/>
                <w:sz w:val="18"/>
                <w:szCs w:val="18"/>
                <w:color w:val="auto"/>
              </w:rPr>
              <w:t>Net interest income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23,492</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24,701</w:t>
            </w:r>
          </w:p>
        </w:tc>
        <w:tc>
          <w:tcPr>
            <w:tcW w:w="920" w:type="dxa"/>
            <w:vAlign w:val="bottom"/>
          </w:tcPr>
          <w:p>
            <w:pPr>
              <w:spacing w:after="0"/>
              <w:rPr>
                <w:sz w:val="18"/>
                <w:szCs w:val="18"/>
                <w:color w:val="auto"/>
              </w:rPr>
            </w:pPr>
          </w:p>
        </w:tc>
      </w:tr>
      <w:tr>
        <w:trPr>
          <w:trHeight w:val="215"/>
        </w:trPr>
        <w:tc>
          <w:tcPr>
            <w:tcW w:w="3500" w:type="dxa"/>
            <w:vAlign w:val="bottom"/>
            <w:shd w:val="clear" w:color="auto" w:fill="B2B2B2"/>
          </w:tcPr>
          <w:p>
            <w:pPr>
              <w:spacing w:after="0"/>
              <w:rPr>
                <w:sz w:val="20"/>
                <w:szCs w:val="20"/>
                <w:color w:val="auto"/>
              </w:rPr>
            </w:pPr>
            <w:r>
              <w:rPr>
                <w:rFonts w:ascii="Arial" w:cs="Arial" w:eastAsia="Arial" w:hAnsi="Arial"/>
                <w:sz w:val="18"/>
                <w:szCs w:val="18"/>
                <w:color w:val="auto"/>
              </w:rPr>
              <w:t>Net interest margin</w:t>
            </w:r>
          </w:p>
        </w:tc>
        <w:tc>
          <w:tcPr>
            <w:tcW w:w="44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20" w:type="dxa"/>
            <w:vAlign w:val="bottom"/>
            <w:shd w:val="clear" w:color="auto" w:fill="B2B2B2"/>
          </w:tcPr>
          <w:p>
            <w:pPr>
              <w:ind w:left="480"/>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3.47%</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Interest spread</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ind w:left="480"/>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ind w:left="220" w:hanging="212"/>
        <w:spacing w:after="0" w:line="229" w:lineRule="auto"/>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Balances shown are daily averages.</w:t>
      </w:r>
    </w:p>
    <w:p>
      <w:pPr>
        <w:ind w:left="220" w:hanging="212"/>
        <w:spacing w:after="0" w:line="220" w:lineRule="auto"/>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Interest income on loans includes net loan fees of $721,000 and $242,000 for the First Half of 2020 and 2019, respectively due to higher PPP loan fees.</w:t>
      </w:r>
    </w:p>
    <w:p>
      <w:pPr>
        <w:ind w:left="220" w:right="20" w:hanging="212"/>
        <w:spacing w:after="0" w:line="220" w:lineRule="auto"/>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21% for both 2020 and 2019. The tax-equivalent adjustment was approximately $958,000 and $1,072,000 for the First Half of 2020 and 2019, respectively.</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purposes of these computations, yields on investment securities are computed as interest income divided by the average amortized cost of the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9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Analysis of Net Interest Income Changes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4"/>
          </w:tcPr>
          <w:p>
            <w:pPr>
              <w:jc w:val="right"/>
              <w:spacing w:after="0"/>
              <w:rPr>
                <w:sz w:val="20"/>
                <w:szCs w:val="20"/>
                <w:color w:val="auto"/>
              </w:rPr>
            </w:pPr>
            <w:r>
              <w:rPr>
                <w:rFonts w:ascii="Arial" w:cs="Arial" w:eastAsia="Arial" w:hAnsi="Arial"/>
                <w:sz w:val="18"/>
                <w:szCs w:val="18"/>
                <w:b w:val="1"/>
                <w:bCs w:val="1"/>
                <w:color w:val="auto"/>
              </w:rPr>
              <w:t>Second Quarter of 2020 Over</w:t>
            </w:r>
          </w:p>
        </w:tc>
        <w:tc>
          <w:tcPr>
            <w:tcW w:w="680" w:type="dxa"/>
            <w:vAlign w:val="bottom"/>
          </w:tcPr>
          <w:p>
            <w:pPr>
              <w:spacing w:after="0"/>
              <w:rPr>
                <w:sz w:val="18"/>
                <w:szCs w:val="18"/>
                <w:color w:val="auto"/>
              </w:rPr>
            </w:pPr>
          </w:p>
        </w:tc>
      </w:tr>
      <w:tr>
        <w:trPr>
          <w:trHeight w:val="241"/>
        </w:trPr>
        <w:tc>
          <w:tcPr>
            <w:tcW w:w="58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Second Quarter of 2019</w:t>
            </w: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r>
      <w:tr>
        <w:trPr>
          <w:trHeight w:val="222"/>
        </w:trPr>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Volume</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Rate</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Total</w:t>
            </w:r>
          </w:p>
        </w:tc>
      </w:tr>
      <w:tr>
        <w:trPr>
          <w:trHeight w:val="215"/>
        </w:trPr>
        <w:tc>
          <w:tcPr>
            <w:tcW w:w="5800" w:type="dxa"/>
            <w:vAlign w:val="bottom"/>
            <w:shd w:val="clear" w:color="auto" w:fill="B2B2B2"/>
          </w:tcPr>
          <w:p>
            <w:pPr>
              <w:spacing w:after="0"/>
              <w:rPr>
                <w:sz w:val="20"/>
                <w:szCs w:val="20"/>
                <w:color w:val="auto"/>
              </w:rPr>
            </w:pPr>
            <w:r>
              <w:rPr>
                <w:rFonts w:ascii="Arial" w:cs="Arial" w:eastAsia="Arial" w:hAnsi="Arial"/>
                <w:sz w:val="18"/>
                <w:szCs w:val="18"/>
                <w:color w:val="auto"/>
              </w:rPr>
              <w:t>Increase (decrease) in interest income:</w:t>
            </w:r>
          </w:p>
        </w:tc>
        <w:tc>
          <w:tcPr>
            <w:tcW w:w="17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680" w:type="dxa"/>
            <w:vAlign w:val="bottom"/>
            <w:shd w:val="clear" w:color="auto" w:fill="B2B2B2"/>
          </w:tcPr>
          <w:p>
            <w:pPr>
              <w:spacing w:after="0"/>
              <w:rPr>
                <w:sz w:val="18"/>
                <w:szCs w:val="18"/>
                <w:color w:val="auto"/>
              </w:rPr>
            </w:pPr>
          </w:p>
        </w:tc>
      </w:tr>
      <w:tr>
        <w:trPr>
          <w:trHeight w:val="256"/>
        </w:trPr>
        <w:tc>
          <w:tcPr>
            <w:tcW w:w="5800" w:type="dxa"/>
            <w:vAlign w:val="bottom"/>
          </w:tcPr>
          <w:p>
            <w:pPr>
              <w:ind w:left="180"/>
              <w:spacing w:after="0" w:line="256"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1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15"/>
        </w:trPr>
        <w:tc>
          <w:tcPr>
            <w:tcW w:w="5800" w:type="dxa"/>
            <w:vAlign w:val="bottom"/>
            <w:shd w:val="clear" w:color="auto" w:fill="B2B2B2"/>
          </w:tcPr>
          <w:p>
            <w:pPr>
              <w:ind w:left="360"/>
              <w:spacing w:after="0"/>
              <w:rPr>
                <w:sz w:val="20"/>
                <w:szCs w:val="20"/>
                <w:color w:val="auto"/>
              </w:rPr>
            </w:pPr>
            <w:r>
              <w:rPr>
                <w:rFonts w:ascii="Arial" w:cs="Arial" w:eastAsia="Arial" w:hAnsi="Arial"/>
                <w:sz w:val="18"/>
                <w:szCs w:val="18"/>
                <w:color w:val="auto"/>
              </w:rPr>
              <w:t>Taxable</w:t>
            </w:r>
          </w:p>
        </w:tc>
        <w:tc>
          <w:tcPr>
            <w:tcW w:w="194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2,090</w:t>
            </w:r>
          </w:p>
        </w:tc>
        <w:tc>
          <w:tcPr>
            <w:tcW w:w="44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B2B2B2"/>
          </w:tcPr>
          <w:p>
            <w:pPr>
              <w:jc w:val="right"/>
              <w:ind w:right="230"/>
              <w:spacing w:after="0"/>
              <w:rPr>
                <w:sz w:val="20"/>
                <w:szCs w:val="20"/>
                <w:color w:val="auto"/>
              </w:rPr>
            </w:pPr>
            <w:r>
              <w:rPr>
                <w:rFonts w:ascii="Arial" w:cs="Arial" w:eastAsia="Arial" w:hAnsi="Arial"/>
                <w:sz w:val="18"/>
                <w:szCs w:val="18"/>
                <w:color w:val="auto"/>
              </w:rPr>
              <w:t>(2,179)</w:t>
            </w:r>
          </w:p>
        </w:tc>
        <w:tc>
          <w:tcPr>
            <w:tcW w:w="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(89)</w:t>
            </w:r>
          </w:p>
        </w:tc>
      </w:tr>
      <w:tr>
        <w:trPr>
          <w:trHeight w:val="215"/>
        </w:trPr>
        <w:tc>
          <w:tcPr>
            <w:tcW w:w="580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5"/>
        </w:trPr>
        <w:tc>
          <w:tcPr>
            <w:tcW w:w="5800" w:type="dxa"/>
            <w:vAlign w:val="bottom"/>
            <w:shd w:val="clear" w:color="auto" w:fill="B2B2B2"/>
          </w:tcPr>
          <w:p>
            <w:pPr>
              <w:ind w:left="360"/>
              <w:spacing w:after="0"/>
              <w:rPr>
                <w:sz w:val="20"/>
                <w:szCs w:val="20"/>
                <w:color w:val="auto"/>
              </w:rPr>
            </w:pPr>
            <w:r>
              <w:rPr>
                <w:rFonts w:ascii="Arial" w:cs="Arial" w:eastAsia="Arial" w:hAnsi="Arial"/>
                <w:sz w:val="18"/>
                <w:szCs w:val="18"/>
                <w:color w:val="auto"/>
              </w:rPr>
              <w:t>Taxable</w:t>
            </w:r>
          </w:p>
        </w:tc>
        <w:tc>
          <w:tcPr>
            <w:tcW w:w="17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(132)</w:t>
            </w:r>
          </w:p>
        </w:tc>
        <w:tc>
          <w:tcPr>
            <w:tcW w:w="440" w:type="dxa"/>
            <w:vAlign w:val="bottom"/>
            <w:shd w:val="clear" w:color="auto" w:fill="B2B2B2"/>
          </w:tcPr>
          <w:p>
            <w:pPr>
              <w:spacing w:after="0"/>
              <w:rPr>
                <w:sz w:val="18"/>
                <w:szCs w:val="18"/>
                <w:color w:val="auto"/>
              </w:rPr>
            </w:pPr>
          </w:p>
        </w:tc>
        <w:tc>
          <w:tcPr>
            <w:tcW w:w="1120" w:type="dxa"/>
            <w:vAlign w:val="bottom"/>
            <w:shd w:val="clear" w:color="auto" w:fill="B2B2B2"/>
          </w:tcPr>
          <w:p>
            <w:pPr>
              <w:jc w:val="right"/>
              <w:ind w:right="23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B2B2B2"/>
          </w:tcPr>
          <w:p>
            <w:pPr>
              <w:spacing w:after="0"/>
              <w:rPr>
                <w:sz w:val="18"/>
                <w:szCs w:val="18"/>
                <w:color w:val="auto"/>
              </w:rPr>
            </w:pPr>
          </w:p>
        </w:tc>
        <w:tc>
          <w:tcPr>
            <w:tcW w:w="6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(159)</w:t>
            </w:r>
          </w:p>
        </w:tc>
      </w:tr>
      <w:tr>
        <w:trPr>
          <w:trHeight w:val="256"/>
        </w:trPr>
        <w:tc>
          <w:tcPr>
            <w:tcW w:w="5800" w:type="dxa"/>
            <w:vAlign w:val="bottom"/>
          </w:tcPr>
          <w:p>
            <w:pPr>
              <w:ind w:left="360"/>
              <w:spacing w:after="0" w:line="256"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2</w:t>
            </w:r>
          </w:p>
        </w:tc>
        <w:tc>
          <w:tcPr>
            <w:tcW w:w="1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(274)</w:t>
            </w:r>
          </w:p>
        </w:tc>
        <w:tc>
          <w:tcPr>
            <w:tcW w:w="440" w:type="dxa"/>
            <w:vAlign w:val="bottom"/>
          </w:tcPr>
          <w:p>
            <w:pPr>
              <w:spacing w:after="0"/>
              <w:rPr>
                <w:sz w:val="22"/>
                <w:szCs w:val="22"/>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15"/>
        </w:trPr>
        <w:tc>
          <w:tcPr>
            <w:tcW w:w="58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Certificates of deposit</w:t>
            </w:r>
          </w:p>
        </w:tc>
        <w:tc>
          <w:tcPr>
            <w:tcW w:w="17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(10)</w:t>
            </w:r>
          </w:p>
        </w:tc>
        <w:tc>
          <w:tcPr>
            <w:tcW w:w="440" w:type="dxa"/>
            <w:vAlign w:val="bottom"/>
            <w:shd w:val="clear" w:color="auto" w:fill="B2B2B2"/>
          </w:tcPr>
          <w:p>
            <w:pPr>
              <w:spacing w:after="0"/>
              <w:rPr>
                <w:sz w:val="18"/>
                <w:szCs w:val="18"/>
                <w:color w:val="auto"/>
              </w:rPr>
            </w:pPr>
          </w:p>
        </w:tc>
        <w:tc>
          <w:tcPr>
            <w:tcW w:w="1120" w:type="dxa"/>
            <w:vAlign w:val="bottom"/>
            <w:shd w:val="clear" w:color="auto" w:fill="B2B2B2"/>
          </w:tcPr>
          <w:p>
            <w:pPr>
              <w:jc w:val="right"/>
              <w:ind w:right="290"/>
              <w:spacing w:after="0"/>
              <w:rPr>
                <w:sz w:val="20"/>
                <w:szCs w:val="20"/>
                <w:color w:val="auto"/>
              </w:rPr>
            </w:pPr>
            <w:r>
              <w:rPr>
                <w:rFonts w:ascii="Arial" w:cs="Arial" w:eastAsia="Arial" w:hAnsi="Arial"/>
                <w:sz w:val="18"/>
                <w:szCs w:val="18"/>
                <w:color w:val="auto"/>
              </w:rPr>
              <w:t>2</w:t>
            </w:r>
          </w:p>
        </w:tc>
        <w:tc>
          <w:tcPr>
            <w:tcW w:w="220" w:type="dxa"/>
            <w:vAlign w:val="bottom"/>
            <w:shd w:val="clear" w:color="auto" w:fill="B2B2B2"/>
          </w:tcPr>
          <w:p>
            <w:pPr>
              <w:spacing w:after="0"/>
              <w:rPr>
                <w:sz w:val="18"/>
                <w:szCs w:val="18"/>
                <w:color w:val="auto"/>
              </w:rPr>
            </w:pPr>
          </w:p>
        </w:tc>
        <w:tc>
          <w:tcPr>
            <w:tcW w:w="6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w:t>
            </w:r>
          </w:p>
        </w:tc>
      </w:tr>
      <w:tr>
        <w:trPr>
          <w:trHeight w:val="215"/>
        </w:trPr>
        <w:tc>
          <w:tcPr>
            <w:tcW w:w="5800" w:type="dxa"/>
            <w:vAlign w:val="bottom"/>
          </w:tcPr>
          <w:p>
            <w:pPr>
              <w:ind w:left="180"/>
              <w:spacing w:after="0"/>
              <w:rPr>
                <w:sz w:val="20"/>
                <w:szCs w:val="20"/>
                <w:color w:val="auto"/>
              </w:rPr>
            </w:pPr>
            <w:r>
              <w:rPr>
                <w:rFonts w:ascii="Arial" w:cs="Arial" w:eastAsia="Arial" w:hAnsi="Arial"/>
                <w:sz w:val="18"/>
                <w:szCs w:val="18"/>
                <w:color w:val="auto"/>
              </w:rPr>
              <w:t>Interest-bearing deposits in other financial institutions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347</w:t>
            </w:r>
          </w:p>
        </w:tc>
        <w:tc>
          <w:tcPr>
            <w:tcW w:w="44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(751)</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15"/>
        </w:trPr>
        <w:tc>
          <w:tcPr>
            <w:tcW w:w="58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Federal funds sold and other short-term investments</w:t>
            </w:r>
          </w:p>
        </w:tc>
        <w:tc>
          <w:tcPr>
            <w:tcW w:w="1740" w:type="dxa"/>
            <w:vAlign w:val="bottom"/>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ind w:right="90"/>
              <w:spacing w:after="0"/>
              <w:rPr>
                <w:sz w:val="20"/>
                <w:szCs w:val="20"/>
                <w:color w:val="auto"/>
              </w:rPr>
            </w:pPr>
            <w:r>
              <w:rPr>
                <w:rFonts w:ascii="Arial" w:cs="Arial" w:eastAsia="Arial" w:hAnsi="Arial"/>
                <w:sz w:val="18"/>
                <w:szCs w:val="18"/>
                <w:color w:val="auto"/>
              </w:rPr>
              <w:t>(412)</w:t>
            </w:r>
          </w:p>
        </w:tc>
        <w:tc>
          <w:tcPr>
            <w:tcW w:w="44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shd w:val="clear" w:color="auto" w:fill="B2B2B2"/>
          </w:tcPr>
          <w:p>
            <w:pPr>
              <w:jc w:val="right"/>
              <w:ind w:right="230"/>
              <w:spacing w:after="0"/>
              <w:rPr>
                <w:sz w:val="20"/>
                <w:szCs w:val="20"/>
                <w:color w:val="auto"/>
              </w:rPr>
            </w:pPr>
            <w:r>
              <w:rPr>
                <w:rFonts w:ascii="Arial" w:cs="Arial" w:eastAsia="Arial" w:hAnsi="Arial"/>
                <w:sz w:val="18"/>
                <w:szCs w:val="18"/>
                <w:color w:val="auto"/>
              </w:rPr>
              <w:t>(406)</w:t>
            </w:r>
          </w:p>
        </w:tc>
        <w:tc>
          <w:tcPr>
            <w:tcW w:w="220" w:type="dxa"/>
            <w:vAlign w:val="bottom"/>
            <w:tcBorders>
              <w:bottom w:val="single" w:sz="8" w:color="auto"/>
            </w:tcBorders>
            <w:shd w:val="clear" w:color="auto" w:fill="B2B2B2"/>
          </w:tcPr>
          <w:p>
            <w:pPr>
              <w:spacing w:after="0"/>
              <w:rPr>
                <w:sz w:val="18"/>
                <w:szCs w:val="18"/>
                <w:color w:val="auto"/>
              </w:rPr>
            </w:pPr>
          </w:p>
        </w:tc>
        <w:tc>
          <w:tcPr>
            <w:tcW w:w="6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(818)</w:t>
            </w:r>
          </w:p>
        </w:tc>
      </w:tr>
      <w:tr>
        <w:trPr>
          <w:trHeight w:val="209"/>
        </w:trPr>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interest income</w:t>
            </w:r>
          </w:p>
        </w:tc>
        <w:tc>
          <w:tcPr>
            <w:tcW w:w="1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1,609</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(3,351)</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w:t>
            </w:r>
          </w:p>
        </w:tc>
      </w:tr>
      <w:tr>
        <w:trPr>
          <w:trHeight w:val="209"/>
        </w:trPr>
        <w:tc>
          <w:tcPr>
            <w:tcW w:w="5800" w:type="dxa"/>
            <w:vAlign w:val="bottom"/>
            <w:shd w:val="clear" w:color="auto" w:fill="B2B2B2"/>
          </w:tcPr>
          <w:p>
            <w:pPr>
              <w:spacing w:after="0"/>
              <w:rPr>
                <w:sz w:val="20"/>
                <w:szCs w:val="20"/>
                <w:color w:val="auto"/>
              </w:rPr>
            </w:pPr>
            <w:r>
              <w:rPr>
                <w:rFonts w:ascii="Arial" w:cs="Arial" w:eastAsia="Arial" w:hAnsi="Arial"/>
                <w:sz w:val="18"/>
                <w:szCs w:val="18"/>
                <w:color w:val="auto"/>
              </w:rPr>
              <w:t>Interest expense on:</w:t>
            </w:r>
          </w:p>
        </w:tc>
        <w:tc>
          <w:tcPr>
            <w:tcW w:w="17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680" w:type="dxa"/>
            <w:vAlign w:val="bottom"/>
            <w:shd w:val="clear" w:color="auto" w:fill="B2B2B2"/>
          </w:tcPr>
          <w:p>
            <w:pPr>
              <w:spacing w:after="0"/>
              <w:rPr>
                <w:sz w:val="18"/>
                <w:szCs w:val="18"/>
                <w:color w:val="auto"/>
              </w:rPr>
            </w:pPr>
          </w:p>
        </w:tc>
      </w:tr>
      <w:tr>
        <w:trPr>
          <w:trHeight w:val="215"/>
        </w:trPr>
        <w:tc>
          <w:tcPr>
            <w:tcW w:w="5800" w:type="dxa"/>
            <w:vAlign w:val="bottom"/>
          </w:tcPr>
          <w:p>
            <w:pPr>
              <w:ind w:left="180"/>
              <w:spacing w:after="0"/>
              <w:rPr>
                <w:sz w:val="20"/>
                <w:szCs w:val="20"/>
                <w:color w:val="auto"/>
              </w:rPr>
            </w:pPr>
            <w:r>
              <w:rPr>
                <w:rFonts w:ascii="Arial" w:cs="Arial" w:eastAsia="Arial" w:hAnsi="Arial"/>
                <w:sz w:val="18"/>
                <w:szCs w:val="18"/>
                <w:color w:val="auto"/>
              </w:rPr>
              <w:t>Interest-bearing demand deposits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234</w:t>
            </w:r>
          </w:p>
        </w:tc>
        <w:tc>
          <w:tcPr>
            <w:tcW w:w="44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(955)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(721)</w:t>
            </w:r>
          </w:p>
        </w:tc>
      </w:tr>
      <w:tr>
        <w:trPr>
          <w:trHeight w:val="215"/>
        </w:trPr>
        <w:tc>
          <w:tcPr>
            <w:tcW w:w="58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Savings deposits</w:t>
            </w:r>
          </w:p>
        </w:tc>
        <w:tc>
          <w:tcPr>
            <w:tcW w:w="17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6</w:t>
            </w:r>
          </w:p>
        </w:tc>
        <w:tc>
          <w:tcPr>
            <w:tcW w:w="440" w:type="dxa"/>
            <w:vAlign w:val="bottom"/>
            <w:shd w:val="clear" w:color="auto" w:fill="B2B2B2"/>
          </w:tcPr>
          <w:p>
            <w:pPr>
              <w:spacing w:after="0"/>
              <w:rPr>
                <w:sz w:val="18"/>
                <w:szCs w:val="18"/>
                <w:color w:val="auto"/>
              </w:rPr>
            </w:pPr>
          </w:p>
        </w:tc>
        <w:tc>
          <w:tcPr>
            <w:tcW w:w="1120" w:type="dxa"/>
            <w:vAlign w:val="bottom"/>
            <w:shd w:val="clear" w:color="auto" w:fill="B2B2B2"/>
          </w:tcPr>
          <w:p>
            <w:pPr>
              <w:jc w:val="right"/>
              <w:ind w:right="23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B2B2B2"/>
          </w:tcPr>
          <w:p>
            <w:pPr>
              <w:spacing w:after="0"/>
              <w:rPr>
                <w:sz w:val="18"/>
                <w:szCs w:val="18"/>
                <w:color w:val="auto"/>
              </w:rPr>
            </w:pPr>
          </w:p>
        </w:tc>
        <w:tc>
          <w:tcPr>
            <w:tcW w:w="6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w:t>
            </w:r>
          </w:p>
        </w:tc>
      </w:tr>
      <w:tr>
        <w:trPr>
          <w:trHeight w:val="215"/>
        </w:trPr>
        <w:tc>
          <w:tcPr>
            <w:tcW w:w="5800" w:type="dxa"/>
            <w:vAlign w:val="bottom"/>
          </w:tcPr>
          <w:p>
            <w:pPr>
              <w:ind w:left="180"/>
              <w:spacing w:after="0"/>
              <w:rPr>
                <w:sz w:val="20"/>
                <w:szCs w:val="20"/>
                <w:color w:val="auto"/>
              </w:rPr>
            </w:pPr>
            <w:r>
              <w:rPr>
                <w:rFonts w:ascii="Arial" w:cs="Arial" w:eastAsia="Arial" w:hAnsi="Arial"/>
                <w:sz w:val="18"/>
                <w:szCs w:val="18"/>
                <w:color w:val="auto"/>
              </w:rPr>
              <w:t>Time deposits &gt;=$100</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5"/>
        </w:trPr>
        <w:tc>
          <w:tcPr>
            <w:tcW w:w="58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Other time deposits</w:t>
            </w:r>
          </w:p>
        </w:tc>
        <w:tc>
          <w:tcPr>
            <w:tcW w:w="1740" w:type="dxa"/>
            <w:vAlign w:val="bottom"/>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ind w:right="90"/>
              <w:spacing w:after="0"/>
              <w:rPr>
                <w:sz w:val="20"/>
                <w:szCs w:val="20"/>
                <w:color w:val="auto"/>
              </w:rPr>
            </w:pPr>
            <w:r>
              <w:rPr>
                <w:rFonts w:ascii="Arial" w:cs="Arial" w:eastAsia="Arial" w:hAnsi="Arial"/>
                <w:sz w:val="18"/>
                <w:szCs w:val="18"/>
                <w:color w:val="auto"/>
              </w:rPr>
              <w:t>(27)</w:t>
            </w:r>
          </w:p>
        </w:tc>
        <w:tc>
          <w:tcPr>
            <w:tcW w:w="44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shd w:val="clear" w:color="auto" w:fill="B2B2B2"/>
          </w:tcPr>
          <w:p>
            <w:pPr>
              <w:jc w:val="right"/>
              <w:ind w:right="230"/>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auto"/>
            </w:tcBorders>
            <w:shd w:val="clear" w:color="auto" w:fill="B2B2B2"/>
          </w:tcPr>
          <w:p>
            <w:pPr>
              <w:spacing w:after="0"/>
              <w:rPr>
                <w:sz w:val="18"/>
                <w:szCs w:val="18"/>
                <w:color w:val="auto"/>
              </w:rPr>
            </w:pPr>
          </w:p>
        </w:tc>
        <w:tc>
          <w:tcPr>
            <w:tcW w:w="6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(98)</w:t>
            </w:r>
          </w:p>
        </w:tc>
      </w:tr>
      <w:tr>
        <w:trPr>
          <w:trHeight w:val="209"/>
        </w:trPr>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interest expense</w:t>
            </w:r>
          </w:p>
        </w:tc>
        <w:tc>
          <w:tcPr>
            <w:tcW w:w="1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229</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(1,053)</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r>
      <w:tr>
        <w:trPr>
          <w:trHeight w:val="209"/>
        </w:trPr>
        <w:tc>
          <w:tcPr>
            <w:tcW w:w="580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Net interest income</w:t>
            </w:r>
          </w:p>
        </w:tc>
        <w:tc>
          <w:tcPr>
            <w:tcW w:w="1940" w:type="dxa"/>
            <w:vAlign w:val="bottom"/>
            <w:tcBorders>
              <w:bottom w:val="single" w:sz="8" w:color="auto"/>
            </w:tcBorders>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B2B2B2"/>
          </w:tcPr>
          <w:p>
            <w:pPr>
              <w:jc w:val="right"/>
              <w:ind w:right="150"/>
              <w:spacing w:after="0"/>
              <w:rPr>
                <w:sz w:val="20"/>
                <w:szCs w:val="20"/>
                <w:color w:val="auto"/>
              </w:rPr>
            </w:pPr>
            <w:r>
              <w:rPr>
                <w:rFonts w:ascii="Arial" w:cs="Arial" w:eastAsia="Arial" w:hAnsi="Arial"/>
                <w:sz w:val="18"/>
                <w:szCs w:val="18"/>
                <w:color w:val="auto"/>
              </w:rPr>
              <w:t>1,380</w:t>
            </w:r>
          </w:p>
        </w:tc>
        <w:tc>
          <w:tcPr>
            <w:tcW w:w="44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B2B2B2"/>
          </w:tcPr>
          <w:p>
            <w:pPr>
              <w:jc w:val="right"/>
              <w:ind w:right="230"/>
              <w:spacing w:after="0"/>
              <w:rPr>
                <w:sz w:val="20"/>
                <w:szCs w:val="20"/>
                <w:color w:val="auto"/>
              </w:rPr>
            </w:pPr>
            <w:r>
              <w:rPr>
                <w:rFonts w:ascii="Arial" w:cs="Arial" w:eastAsia="Arial" w:hAnsi="Arial"/>
                <w:sz w:val="18"/>
                <w:szCs w:val="18"/>
                <w:color w:val="auto"/>
              </w:rPr>
              <w:t>(2,298)</w:t>
            </w:r>
          </w:p>
        </w:tc>
        <w:tc>
          <w:tcPr>
            <w:tcW w:w="2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(918)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9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3"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Interest income includes net loan fees.</w:t>
      </w: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21% for the Second Quarter of 2020 and 2019.</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3"/>
          </w:tcPr>
          <w:p>
            <w:pPr>
              <w:jc w:val="right"/>
              <w:spacing w:after="0"/>
              <w:rPr>
                <w:sz w:val="20"/>
                <w:szCs w:val="20"/>
                <w:color w:val="auto"/>
              </w:rPr>
            </w:pPr>
            <w:r>
              <w:rPr>
                <w:rFonts w:ascii="Arial" w:cs="Arial" w:eastAsia="Arial" w:hAnsi="Arial"/>
                <w:sz w:val="18"/>
                <w:szCs w:val="18"/>
                <w:b w:val="1"/>
                <w:bCs w:val="1"/>
                <w:color w:val="auto"/>
              </w:rPr>
              <w:t>First Half of 2020 Over</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41"/>
        </w:trPr>
        <w:tc>
          <w:tcPr>
            <w:tcW w:w="58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w w:val="95"/>
              </w:rPr>
              <w:t>First Half of 2019</w:t>
            </w: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r>
      <w:tr>
        <w:trPr>
          <w:trHeight w:val="222"/>
        </w:trPr>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Volume</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Rate</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Total</w:t>
            </w:r>
          </w:p>
        </w:tc>
      </w:tr>
      <w:tr>
        <w:trPr>
          <w:trHeight w:val="215"/>
        </w:trPr>
        <w:tc>
          <w:tcPr>
            <w:tcW w:w="5800" w:type="dxa"/>
            <w:vAlign w:val="bottom"/>
            <w:shd w:val="clear" w:color="auto" w:fill="B2B2B2"/>
          </w:tcPr>
          <w:p>
            <w:pPr>
              <w:spacing w:after="0"/>
              <w:rPr>
                <w:sz w:val="20"/>
                <w:szCs w:val="20"/>
                <w:color w:val="auto"/>
              </w:rPr>
            </w:pPr>
            <w:r>
              <w:rPr>
                <w:rFonts w:ascii="Arial" w:cs="Arial" w:eastAsia="Arial" w:hAnsi="Arial"/>
                <w:sz w:val="18"/>
                <w:szCs w:val="18"/>
                <w:color w:val="auto"/>
              </w:rPr>
              <w:t>Increase (decrease) in interest income:</w:t>
            </w:r>
          </w:p>
        </w:tc>
        <w:tc>
          <w:tcPr>
            <w:tcW w:w="17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680" w:type="dxa"/>
            <w:vAlign w:val="bottom"/>
            <w:shd w:val="clear" w:color="auto" w:fill="B2B2B2"/>
          </w:tcPr>
          <w:p>
            <w:pPr>
              <w:spacing w:after="0"/>
              <w:rPr>
                <w:sz w:val="18"/>
                <w:szCs w:val="18"/>
                <w:color w:val="auto"/>
              </w:rPr>
            </w:pPr>
          </w:p>
        </w:tc>
      </w:tr>
      <w:tr>
        <w:trPr>
          <w:trHeight w:val="256"/>
        </w:trPr>
        <w:tc>
          <w:tcPr>
            <w:tcW w:w="5800" w:type="dxa"/>
            <w:vAlign w:val="bottom"/>
          </w:tcPr>
          <w:p>
            <w:pPr>
              <w:ind w:left="180"/>
              <w:spacing w:after="0" w:line="256"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1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15"/>
        </w:trPr>
        <w:tc>
          <w:tcPr>
            <w:tcW w:w="5800" w:type="dxa"/>
            <w:vAlign w:val="bottom"/>
            <w:shd w:val="clear" w:color="auto" w:fill="B2B2B2"/>
          </w:tcPr>
          <w:p>
            <w:pPr>
              <w:ind w:left="360"/>
              <w:spacing w:after="0"/>
              <w:rPr>
                <w:sz w:val="20"/>
                <w:szCs w:val="20"/>
                <w:color w:val="auto"/>
              </w:rPr>
            </w:pPr>
            <w:r>
              <w:rPr>
                <w:rFonts w:ascii="Arial" w:cs="Arial" w:eastAsia="Arial" w:hAnsi="Arial"/>
                <w:sz w:val="18"/>
                <w:szCs w:val="18"/>
                <w:color w:val="auto"/>
              </w:rPr>
              <w:t>Taxable</w:t>
            </w:r>
          </w:p>
        </w:tc>
        <w:tc>
          <w:tcPr>
            <w:tcW w:w="194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3,071</w:t>
            </w:r>
          </w:p>
        </w:tc>
        <w:tc>
          <w:tcPr>
            <w:tcW w:w="58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2B2B2"/>
          </w:tcPr>
          <w:p>
            <w:pPr>
              <w:jc w:val="right"/>
              <w:ind w:right="210"/>
              <w:spacing w:after="0"/>
              <w:rPr>
                <w:sz w:val="20"/>
                <w:szCs w:val="20"/>
                <w:color w:val="auto"/>
              </w:rPr>
            </w:pPr>
            <w:r>
              <w:rPr>
                <w:rFonts w:ascii="Arial" w:cs="Arial" w:eastAsia="Arial" w:hAnsi="Arial"/>
                <w:sz w:val="18"/>
                <w:szCs w:val="18"/>
                <w:color w:val="auto"/>
              </w:rPr>
              <w:t>(2,788)</w:t>
            </w:r>
          </w:p>
        </w:tc>
        <w:tc>
          <w:tcPr>
            <w:tcW w:w="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283</w:t>
            </w:r>
          </w:p>
        </w:tc>
      </w:tr>
      <w:tr>
        <w:trPr>
          <w:trHeight w:val="215"/>
        </w:trPr>
        <w:tc>
          <w:tcPr>
            <w:tcW w:w="580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5"/>
        </w:trPr>
        <w:tc>
          <w:tcPr>
            <w:tcW w:w="5800" w:type="dxa"/>
            <w:vAlign w:val="bottom"/>
            <w:shd w:val="clear" w:color="auto" w:fill="B2B2B2"/>
          </w:tcPr>
          <w:p>
            <w:pPr>
              <w:ind w:left="360"/>
              <w:spacing w:after="0"/>
              <w:rPr>
                <w:sz w:val="20"/>
                <w:szCs w:val="20"/>
                <w:color w:val="auto"/>
              </w:rPr>
            </w:pPr>
            <w:r>
              <w:rPr>
                <w:rFonts w:ascii="Arial" w:cs="Arial" w:eastAsia="Arial" w:hAnsi="Arial"/>
                <w:sz w:val="18"/>
                <w:szCs w:val="18"/>
                <w:color w:val="auto"/>
              </w:rPr>
              <w:t>Taxable</w:t>
            </w:r>
          </w:p>
        </w:tc>
        <w:tc>
          <w:tcPr>
            <w:tcW w:w="17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(192)</w:t>
            </w:r>
          </w:p>
        </w:tc>
        <w:tc>
          <w:tcPr>
            <w:tcW w:w="58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21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B2B2B2"/>
          </w:tcPr>
          <w:p>
            <w:pPr>
              <w:spacing w:after="0"/>
              <w:rPr>
                <w:sz w:val="18"/>
                <w:szCs w:val="18"/>
                <w:color w:val="auto"/>
              </w:rPr>
            </w:pPr>
          </w:p>
        </w:tc>
        <w:tc>
          <w:tcPr>
            <w:tcW w:w="6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(234)</w:t>
            </w:r>
          </w:p>
        </w:tc>
      </w:tr>
      <w:tr>
        <w:trPr>
          <w:trHeight w:val="256"/>
        </w:trPr>
        <w:tc>
          <w:tcPr>
            <w:tcW w:w="5800" w:type="dxa"/>
            <w:vAlign w:val="bottom"/>
          </w:tcPr>
          <w:p>
            <w:pPr>
              <w:ind w:left="360"/>
              <w:spacing w:after="0" w:line="256"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2</w:t>
            </w:r>
          </w:p>
        </w:tc>
        <w:tc>
          <w:tcPr>
            <w:tcW w:w="1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(514)</w:t>
            </w:r>
          </w:p>
        </w:tc>
        <w:tc>
          <w:tcPr>
            <w:tcW w:w="580" w:type="dxa"/>
            <w:vAlign w:val="bottom"/>
          </w:tcPr>
          <w:p>
            <w:pPr>
              <w:spacing w:after="0"/>
              <w:rPr>
                <w:sz w:val="22"/>
                <w:szCs w:val="22"/>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15"/>
        </w:trPr>
        <w:tc>
          <w:tcPr>
            <w:tcW w:w="58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Certificates of deposit</w:t>
            </w:r>
          </w:p>
        </w:tc>
        <w:tc>
          <w:tcPr>
            <w:tcW w:w="17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(19)</w:t>
            </w:r>
          </w:p>
        </w:tc>
        <w:tc>
          <w:tcPr>
            <w:tcW w:w="58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270"/>
              <w:spacing w:after="0"/>
              <w:rPr>
                <w:sz w:val="20"/>
                <w:szCs w:val="20"/>
                <w:color w:val="auto"/>
              </w:rPr>
            </w:pPr>
            <w:r>
              <w:rPr>
                <w:rFonts w:ascii="Arial" w:cs="Arial" w:eastAsia="Arial" w:hAnsi="Arial"/>
                <w:sz w:val="18"/>
                <w:szCs w:val="18"/>
                <w:color w:val="auto"/>
              </w:rPr>
              <w:t>4</w:t>
            </w:r>
          </w:p>
        </w:tc>
        <w:tc>
          <w:tcPr>
            <w:tcW w:w="220" w:type="dxa"/>
            <w:vAlign w:val="bottom"/>
            <w:shd w:val="clear" w:color="auto" w:fill="B2B2B2"/>
          </w:tcPr>
          <w:p>
            <w:pPr>
              <w:spacing w:after="0"/>
              <w:rPr>
                <w:sz w:val="18"/>
                <w:szCs w:val="18"/>
                <w:color w:val="auto"/>
              </w:rPr>
            </w:pPr>
          </w:p>
        </w:tc>
        <w:tc>
          <w:tcPr>
            <w:tcW w:w="6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w:t>
            </w:r>
          </w:p>
        </w:tc>
      </w:tr>
      <w:tr>
        <w:trPr>
          <w:trHeight w:val="215"/>
        </w:trPr>
        <w:tc>
          <w:tcPr>
            <w:tcW w:w="5800" w:type="dxa"/>
            <w:vAlign w:val="bottom"/>
          </w:tcPr>
          <w:p>
            <w:pPr>
              <w:ind w:left="180"/>
              <w:spacing w:after="0"/>
              <w:rPr>
                <w:sz w:val="20"/>
                <w:szCs w:val="20"/>
                <w:color w:val="auto"/>
              </w:rPr>
            </w:pPr>
            <w:r>
              <w:rPr>
                <w:rFonts w:ascii="Arial" w:cs="Arial" w:eastAsia="Arial" w:hAnsi="Arial"/>
                <w:sz w:val="18"/>
                <w:szCs w:val="18"/>
                <w:color w:val="auto"/>
              </w:rPr>
              <w:t>Interest-bearing deposits in other financial institutions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58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(1,436)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(830)</w:t>
            </w:r>
          </w:p>
        </w:tc>
      </w:tr>
      <w:tr>
        <w:trPr>
          <w:trHeight w:val="215"/>
        </w:trPr>
        <w:tc>
          <w:tcPr>
            <w:tcW w:w="58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Federal funds sold and other short-term investments</w:t>
            </w:r>
          </w:p>
        </w:tc>
        <w:tc>
          <w:tcPr>
            <w:tcW w:w="1740" w:type="dxa"/>
            <w:vAlign w:val="bottom"/>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(461)</w:t>
            </w:r>
          </w:p>
        </w:tc>
        <w:tc>
          <w:tcPr>
            <w:tcW w:w="580" w:type="dxa"/>
            <w:vAlign w:val="bottom"/>
            <w:tcBorders>
              <w:bottom w:val="single" w:sz="8" w:color="auto"/>
            </w:tcBorders>
            <w:shd w:val="clear" w:color="auto" w:fill="B2B2B2"/>
          </w:tcPr>
          <w:p>
            <w:pPr>
              <w:spacing w:after="0"/>
              <w:rPr>
                <w:sz w:val="18"/>
                <w:szCs w:val="18"/>
                <w:color w:val="auto"/>
              </w:rPr>
            </w:pPr>
          </w:p>
        </w:tc>
        <w:tc>
          <w:tcPr>
            <w:tcW w:w="1100" w:type="dxa"/>
            <w:vAlign w:val="bottom"/>
            <w:tcBorders>
              <w:bottom w:val="single" w:sz="8" w:color="auto"/>
            </w:tcBorders>
            <w:shd w:val="clear" w:color="auto" w:fill="B2B2B2"/>
          </w:tcPr>
          <w:p>
            <w:pPr>
              <w:jc w:val="right"/>
              <w:ind w:right="210"/>
              <w:spacing w:after="0"/>
              <w:rPr>
                <w:sz w:val="20"/>
                <w:szCs w:val="20"/>
                <w:color w:val="auto"/>
              </w:rPr>
            </w:pPr>
            <w:r>
              <w:rPr>
                <w:rFonts w:ascii="Arial" w:cs="Arial" w:eastAsia="Arial" w:hAnsi="Arial"/>
                <w:sz w:val="18"/>
                <w:szCs w:val="18"/>
                <w:color w:val="auto"/>
              </w:rPr>
              <w:t>(560)</w:t>
            </w:r>
          </w:p>
        </w:tc>
        <w:tc>
          <w:tcPr>
            <w:tcW w:w="220" w:type="dxa"/>
            <w:vAlign w:val="bottom"/>
            <w:tcBorders>
              <w:bottom w:val="single" w:sz="8" w:color="auto"/>
            </w:tcBorders>
            <w:shd w:val="clear" w:color="auto" w:fill="B2B2B2"/>
          </w:tcPr>
          <w:p>
            <w:pPr>
              <w:spacing w:after="0"/>
              <w:rPr>
                <w:sz w:val="18"/>
                <w:szCs w:val="18"/>
                <w:color w:val="auto"/>
              </w:rPr>
            </w:pPr>
          </w:p>
        </w:tc>
        <w:tc>
          <w:tcPr>
            <w:tcW w:w="6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(1,021)</w:t>
            </w:r>
          </w:p>
        </w:tc>
      </w:tr>
      <w:tr>
        <w:trPr>
          <w:trHeight w:val="209"/>
        </w:trPr>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interest income</w:t>
            </w:r>
          </w:p>
        </w:tc>
        <w:tc>
          <w:tcPr>
            <w:tcW w:w="1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2,490</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(4,849)</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r>
      <w:tr>
        <w:trPr>
          <w:trHeight w:val="209"/>
        </w:trPr>
        <w:tc>
          <w:tcPr>
            <w:tcW w:w="5800" w:type="dxa"/>
            <w:vAlign w:val="bottom"/>
            <w:shd w:val="clear" w:color="auto" w:fill="B2B2B2"/>
          </w:tcPr>
          <w:p>
            <w:pPr>
              <w:spacing w:after="0"/>
              <w:rPr>
                <w:sz w:val="20"/>
                <w:szCs w:val="20"/>
                <w:color w:val="auto"/>
              </w:rPr>
            </w:pPr>
            <w:r>
              <w:rPr>
                <w:rFonts w:ascii="Arial" w:cs="Arial" w:eastAsia="Arial" w:hAnsi="Arial"/>
                <w:sz w:val="18"/>
                <w:szCs w:val="18"/>
                <w:color w:val="auto"/>
              </w:rPr>
              <w:t>Interest expense on:</w:t>
            </w:r>
          </w:p>
        </w:tc>
        <w:tc>
          <w:tcPr>
            <w:tcW w:w="17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680" w:type="dxa"/>
            <w:vAlign w:val="bottom"/>
            <w:shd w:val="clear" w:color="auto" w:fill="B2B2B2"/>
          </w:tcPr>
          <w:p>
            <w:pPr>
              <w:spacing w:after="0"/>
              <w:rPr>
                <w:sz w:val="18"/>
                <w:szCs w:val="18"/>
                <w:color w:val="auto"/>
              </w:rPr>
            </w:pPr>
          </w:p>
        </w:tc>
      </w:tr>
      <w:tr>
        <w:trPr>
          <w:trHeight w:val="215"/>
        </w:trPr>
        <w:tc>
          <w:tcPr>
            <w:tcW w:w="5800" w:type="dxa"/>
            <w:vAlign w:val="bottom"/>
          </w:tcPr>
          <w:p>
            <w:pPr>
              <w:ind w:left="180"/>
              <w:spacing w:after="0"/>
              <w:rPr>
                <w:sz w:val="20"/>
                <w:szCs w:val="20"/>
                <w:color w:val="auto"/>
              </w:rPr>
            </w:pPr>
            <w:r>
              <w:rPr>
                <w:rFonts w:ascii="Arial" w:cs="Arial" w:eastAsia="Arial" w:hAnsi="Arial"/>
                <w:sz w:val="18"/>
                <w:szCs w:val="18"/>
                <w:color w:val="auto"/>
              </w:rPr>
              <w:t>Interest-bearing demand deposits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318</w:t>
            </w:r>
          </w:p>
        </w:tc>
        <w:tc>
          <w:tcPr>
            <w:tcW w:w="58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(1,328)</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(1,010)</w:t>
            </w:r>
          </w:p>
        </w:tc>
      </w:tr>
      <w:tr>
        <w:trPr>
          <w:trHeight w:val="215"/>
        </w:trPr>
        <w:tc>
          <w:tcPr>
            <w:tcW w:w="58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Savings deposits</w:t>
            </w:r>
          </w:p>
        </w:tc>
        <w:tc>
          <w:tcPr>
            <w:tcW w:w="17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w:t>
            </w:r>
          </w:p>
        </w:tc>
        <w:tc>
          <w:tcPr>
            <w:tcW w:w="58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21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B2B2B2"/>
          </w:tcPr>
          <w:p>
            <w:pPr>
              <w:spacing w:after="0"/>
              <w:rPr>
                <w:sz w:val="18"/>
                <w:szCs w:val="18"/>
                <w:color w:val="auto"/>
              </w:rPr>
            </w:pPr>
          </w:p>
        </w:tc>
        <w:tc>
          <w:tcPr>
            <w:tcW w:w="6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(43)</w:t>
            </w:r>
          </w:p>
        </w:tc>
      </w:tr>
      <w:tr>
        <w:trPr>
          <w:trHeight w:val="215"/>
        </w:trPr>
        <w:tc>
          <w:tcPr>
            <w:tcW w:w="5800" w:type="dxa"/>
            <w:vAlign w:val="bottom"/>
          </w:tcPr>
          <w:p>
            <w:pPr>
              <w:ind w:left="180"/>
              <w:spacing w:after="0"/>
              <w:rPr>
                <w:sz w:val="20"/>
                <w:szCs w:val="20"/>
                <w:color w:val="auto"/>
              </w:rPr>
            </w:pPr>
            <w:r>
              <w:rPr>
                <w:rFonts w:ascii="Arial" w:cs="Arial" w:eastAsia="Arial" w:hAnsi="Arial"/>
                <w:sz w:val="18"/>
                <w:szCs w:val="18"/>
                <w:color w:val="auto"/>
              </w:rPr>
              <w:t>Time deposits &gt;=$100</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5"/>
        </w:trPr>
        <w:tc>
          <w:tcPr>
            <w:tcW w:w="58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Other time deposits</w:t>
            </w:r>
          </w:p>
        </w:tc>
        <w:tc>
          <w:tcPr>
            <w:tcW w:w="17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w:t>
            </w:r>
          </w:p>
        </w:tc>
        <w:tc>
          <w:tcPr>
            <w:tcW w:w="58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210"/>
              <w:spacing w:after="0"/>
              <w:rPr>
                <w:sz w:val="20"/>
                <w:szCs w:val="20"/>
                <w:color w:val="auto"/>
              </w:rPr>
            </w:pPr>
            <w:r>
              <w:rPr>
                <w:rFonts w:ascii="Arial" w:cs="Arial" w:eastAsia="Arial" w:hAnsi="Arial"/>
                <w:sz w:val="18"/>
                <w:szCs w:val="18"/>
                <w:color w:val="auto"/>
              </w:rPr>
              <w:t>(96)</w:t>
            </w:r>
          </w:p>
        </w:tc>
        <w:tc>
          <w:tcPr>
            <w:tcW w:w="220" w:type="dxa"/>
            <w:vAlign w:val="bottom"/>
            <w:shd w:val="clear" w:color="auto" w:fill="B2B2B2"/>
          </w:tcPr>
          <w:p>
            <w:pPr>
              <w:spacing w:after="0"/>
              <w:rPr>
                <w:sz w:val="18"/>
                <w:szCs w:val="18"/>
                <w:color w:val="auto"/>
              </w:rPr>
            </w:pPr>
          </w:p>
        </w:tc>
        <w:tc>
          <w:tcPr>
            <w:tcW w:w="6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(146)</w:t>
            </w:r>
          </w:p>
        </w:tc>
      </w:tr>
      <w:tr>
        <w:trPr>
          <w:trHeight w:val="215"/>
        </w:trPr>
        <w:tc>
          <w:tcPr>
            <w:tcW w:w="5800" w:type="dxa"/>
            <w:vAlign w:val="bottom"/>
            <w:tcBorders>
              <w:bottom w:val="single" w:sz="8" w:color="B2B2B2"/>
            </w:tcBorders>
          </w:tcPr>
          <w:p>
            <w:pPr>
              <w:ind w:left="180"/>
              <w:spacing w:after="0"/>
              <w:rPr>
                <w:sz w:val="20"/>
                <w:szCs w:val="20"/>
                <w:color w:val="auto"/>
              </w:rPr>
            </w:pPr>
            <w:r>
              <w:rPr>
                <w:rFonts w:ascii="Arial" w:cs="Arial" w:eastAsia="Arial" w:hAnsi="Arial"/>
                <w:sz w:val="18"/>
                <w:szCs w:val="18"/>
                <w:color w:val="auto"/>
              </w:rPr>
              <w:t>Short-term borrowings</w:t>
            </w:r>
          </w:p>
        </w:tc>
        <w:tc>
          <w:tcPr>
            <w:tcW w:w="1740" w:type="dxa"/>
            <w:vAlign w:val="bottom"/>
            <w:tcBorders>
              <w:bottom w:val="single" w:sz="8" w:color="B2B2B2"/>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580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Total interest expense</w:t>
            </w:r>
          </w:p>
        </w:tc>
        <w:tc>
          <w:tcPr>
            <w:tcW w:w="174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315</w:t>
            </w:r>
          </w:p>
        </w:tc>
        <w:tc>
          <w:tcPr>
            <w:tcW w:w="580" w:type="dxa"/>
            <w:vAlign w:val="bottom"/>
            <w:tcBorders>
              <w:bottom w:val="single" w:sz="8" w:color="auto"/>
            </w:tcBorders>
            <w:shd w:val="clear" w:color="auto" w:fill="B2B2B2"/>
          </w:tcPr>
          <w:p>
            <w:pPr>
              <w:spacing w:after="0"/>
              <w:rPr>
                <w:sz w:val="18"/>
                <w:szCs w:val="18"/>
                <w:color w:val="auto"/>
              </w:rPr>
            </w:pPr>
          </w:p>
        </w:tc>
        <w:tc>
          <w:tcPr>
            <w:tcW w:w="1100" w:type="dxa"/>
            <w:vAlign w:val="bottom"/>
            <w:tcBorders>
              <w:bottom w:val="single" w:sz="8" w:color="auto"/>
            </w:tcBorders>
            <w:shd w:val="clear" w:color="auto" w:fill="B2B2B2"/>
          </w:tcPr>
          <w:p>
            <w:pPr>
              <w:jc w:val="right"/>
              <w:ind w:right="210"/>
              <w:spacing w:after="0"/>
              <w:rPr>
                <w:sz w:val="20"/>
                <w:szCs w:val="20"/>
                <w:color w:val="auto"/>
              </w:rPr>
            </w:pPr>
            <w:r>
              <w:rPr>
                <w:rFonts w:ascii="Arial" w:cs="Arial" w:eastAsia="Arial" w:hAnsi="Arial"/>
                <w:sz w:val="18"/>
                <w:szCs w:val="18"/>
                <w:color w:val="auto"/>
              </w:rPr>
              <w:t>(1,464)</w:t>
            </w:r>
          </w:p>
        </w:tc>
        <w:tc>
          <w:tcPr>
            <w:tcW w:w="220" w:type="dxa"/>
            <w:vAlign w:val="bottom"/>
            <w:tcBorders>
              <w:bottom w:val="single" w:sz="8" w:color="auto"/>
            </w:tcBorders>
            <w:shd w:val="clear" w:color="auto" w:fill="B2B2B2"/>
          </w:tcPr>
          <w:p>
            <w:pPr>
              <w:spacing w:after="0"/>
              <w:rPr>
                <w:sz w:val="18"/>
                <w:szCs w:val="18"/>
                <w:color w:val="auto"/>
              </w:rPr>
            </w:pPr>
          </w:p>
        </w:tc>
        <w:tc>
          <w:tcPr>
            <w:tcW w:w="6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(1,149)</w:t>
            </w: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Net interest income</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2,176</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(3,385)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ind w:left="220" w:hanging="212"/>
        <w:spacing w:after="0" w:line="229" w:lineRule="auto"/>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Interest income includes net loan fees.</w:t>
      </w: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21% for the First Half of 2020 and 2019.</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and Allowance for Loan Losses (“ALLL”)</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significant determinant of the Company’s operating results can be the provision for loan losses. There was a loan loss provision of $400,000 recorded in the Second Quarter of 2020 to support the growth in the loan portfolio and as a result of the impact of COVID-19 while no loan loss provision was recorded in the Second Quarter of 2019. There was a loan loss provision of $725,000 recorded in the First Half of 2020 to support the growth in the loan portfolio and as a result of the impact of COVID-19 while there was a loan loss provision of $250,000 in the First Half of 2019. As discussed below, the Company continually analyzes the outstanding loan portfolio based on the performance, financial condition and collateralization of the credits. Net loan recoveries were $3,000 during the Second Quarter of 2020 and $20,000 during the Second Quarter of 2019. Net loan recoveries were $11,000 in the First Half of 2020 and $31,000 during the First Half of 2019.</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ALLL at June 30, 2020 was $11,292,000 and at December 31, 2019 was $10,556,000. The ratio of ALLL to total loans outstanding was 1.17% and 1.37% at June 30, 2020 and December 31, 2019, respectively. In support of the CARES Act, the Bank had processed nearly 350 applications for PPP loans of approximately $170,000,000 to provide much-needed cash to small business and self-employed taxpayers during the COVID-19 crisis. The loans were primarily made to existing bank customers and are 100% guaranteed by the Small Business Administration and no allowance for loan loss was recorded for these loans. There were no nonperforming loans at June 30, 2020 or December 31, 2019.</w:t>
      </w:r>
    </w:p>
    <w:p>
      <w:pPr>
        <w:spacing w:after="0" w:line="16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ALLL has been established and is maintained to absorb reasonably estimated and probable losses in the loan portfolio. An ongoing assessment is performed to determine if the balance is adequate. Charges or credits are made to expense to cover any deficiency or reduce any excess, as required. The current methodology consists of two components: 1) estimated credit losses on individually evaluated loans that are determined to be impaired in accordance with FASB ASC 310, “</w:t>
      </w:r>
      <w:r>
        <w:rPr>
          <w:rFonts w:ascii="Arial" w:cs="Arial" w:eastAsia="Arial" w:hAnsi="Arial"/>
          <w:sz w:val="16"/>
          <w:szCs w:val="16"/>
          <w:i w:val="1"/>
          <w:iCs w:val="1"/>
          <w:color w:val="auto"/>
        </w:rPr>
        <w:t>Allowance for Credit Losses</w:t>
      </w:r>
      <w:r>
        <w:rPr>
          <w:rFonts w:ascii="Arial" w:cs="Arial" w:eastAsia="Arial" w:hAnsi="Arial"/>
          <w:sz w:val="16"/>
          <w:szCs w:val="16"/>
          <w:color w:val="auto"/>
        </w:rPr>
        <w:t>,” and 2) estimated credit losses inherent in the remainder of the loan portfolio in accordance</w:t>
      </w:r>
    </w:p>
    <w:p>
      <w:pPr>
        <w:sectPr>
          <w:pgSz w:w="11900" w:h="16838" w:orient="portrait"/>
          <w:cols w:equalWidth="0" w:num="1">
            <w:col w:w="11240"/>
          </w:cols>
          <w:pgMar w:left="320" w:top="323" w:right="339" w:bottom="0" w:gutter="0" w:footer="0" w:header="0"/>
        </w:sectPr>
      </w:pPr>
    </w:p>
    <w:bookmarkStart w:id="27" w:name="page28"/>
    <w:bookmarkEnd w:id="27"/>
    <w:p>
      <w:pPr>
        <w:spacing w:after="0" w:line="276" w:lineRule="auto"/>
        <w:rPr>
          <w:sz w:val="20"/>
          <w:szCs w:val="20"/>
          <w:color w:val="auto"/>
        </w:rPr>
      </w:pPr>
      <w:r>
        <w:rPr>
          <w:rFonts w:ascii="Arial" w:cs="Arial" w:eastAsia="Arial" w:hAnsi="Arial"/>
          <w:sz w:val="18"/>
          <w:szCs w:val="18"/>
          <w:color w:val="auto"/>
        </w:rPr>
        <w:t>with FASB ASC 450, “</w:t>
      </w:r>
      <w:r>
        <w:rPr>
          <w:rFonts w:ascii="Arial" w:cs="Arial" w:eastAsia="Arial" w:hAnsi="Arial"/>
          <w:sz w:val="18"/>
          <w:szCs w:val="18"/>
          <w:i w:val="1"/>
          <w:iCs w:val="1"/>
          <w:color w:val="auto"/>
        </w:rPr>
        <w:t>Contingencies</w:t>
      </w:r>
      <w:r>
        <w:rPr>
          <w:rFonts w:ascii="Arial" w:cs="Arial" w:eastAsia="Arial" w:hAnsi="Arial"/>
          <w:sz w:val="18"/>
          <w:szCs w:val="18"/>
          <w:color w:val="auto"/>
        </w:rPr>
        <w:t>.” Estimated credit losses is an estimate of the current amount of loans that is probable the Company will be unable to collect according to the original terms.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For loans that are individually evaluated, the Company uses two impairment measurement methods: 1) the present value of expected future cash flows and</w:t>
      </w:r>
    </w:p>
    <w:p>
      <w:pPr>
        <w:spacing w:after="0" w:line="46" w:lineRule="exact"/>
        <w:rPr>
          <w:sz w:val="20"/>
          <w:szCs w:val="20"/>
          <w:color w:val="auto"/>
        </w:rPr>
      </w:pPr>
    </w:p>
    <w:p>
      <w:pPr>
        <w:jc w:val="both"/>
        <w:ind w:firstLine="8"/>
        <w:spacing w:after="0" w:line="272" w:lineRule="auto"/>
        <w:tabs>
          <w:tab w:leader="none" w:pos="199"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collateral value. For the remainder of the portfolio, the Company groups loans with similar risk characteristics into eight segments and applies historical loss rates to each segment based on a five fiscal-year look-back period. In addition, qualitative factors including credit concentration risk, national and local economic conditions, nature and volume of loan portfolio, legal and regulatory factors, downturns in specific industries including losses in collateral value, trends in credit quality at the Company and in the banking industry and trends in risk-rating agencies are also considered.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jc w:val="both"/>
        <w:spacing w:after="0" w:line="285" w:lineRule="auto"/>
        <w:rPr>
          <w:sz w:val="20"/>
          <w:szCs w:val="20"/>
          <w:color w:val="auto"/>
        </w:rPr>
      </w:pPr>
      <w:r>
        <w:rPr>
          <w:rFonts w:ascii="Arial" w:cs="Arial" w:eastAsia="Arial" w:hAnsi="Arial"/>
          <w:sz w:val="17"/>
          <w:szCs w:val="17"/>
          <w:color w:val="auto"/>
        </w:rPr>
        <w:t>The Company also utilizes ratio analysis to evaluate the overall reasonableness of the ALLL compared to its peers and required levels of regulatory capital. Federal and state agencies review the Company’s methodology for maintaining the ALLL. These agencies may require the Company to adjust the ALLL based on their judgments and interpretations about information available to them at the time of their examinations.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Asset Quality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the Company’s provision for loan losses and analysis of the ALLL: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Second Quarter of</w:t>
            </w: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First Half of</w:t>
            </w:r>
          </w:p>
        </w:tc>
      </w:tr>
      <w:tr>
        <w:trPr>
          <w:trHeight w:val="222"/>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r>
      <w:tr>
        <w:trPr>
          <w:trHeight w:val="215"/>
        </w:trPr>
        <w:tc>
          <w:tcPr>
            <w:tcW w:w="6720" w:type="dxa"/>
            <w:vAlign w:val="bottom"/>
            <w:shd w:val="clear" w:color="auto" w:fill="B2B2B2"/>
          </w:tcPr>
          <w:p>
            <w:pPr>
              <w:spacing w:after="0"/>
              <w:rPr>
                <w:sz w:val="20"/>
                <w:szCs w:val="20"/>
                <w:color w:val="auto"/>
              </w:rPr>
            </w:pPr>
            <w:r>
              <w:rPr>
                <w:rFonts w:ascii="Arial" w:cs="Arial" w:eastAsia="Arial" w:hAnsi="Arial"/>
                <w:sz w:val="18"/>
                <w:szCs w:val="18"/>
                <w:color w:val="auto"/>
              </w:rPr>
              <w:t>Allowance at beginning of period</w:t>
            </w:r>
          </w:p>
        </w:tc>
        <w:tc>
          <w:tcPr>
            <w:tcW w:w="200" w:type="dxa"/>
            <w:vAlign w:val="bottom"/>
            <w:shd w:val="clear" w:color="auto" w:fill="B2B2B2"/>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10,889</w:t>
            </w:r>
          </w:p>
        </w:tc>
        <w:tc>
          <w:tcPr>
            <w:tcW w:w="2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10,486</w:t>
            </w:r>
          </w:p>
        </w:tc>
        <w:tc>
          <w:tcPr>
            <w:tcW w:w="24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10,556</w:t>
            </w:r>
          </w:p>
        </w:tc>
        <w:tc>
          <w:tcPr>
            <w:tcW w:w="26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10,225</w:t>
            </w:r>
          </w:p>
        </w:tc>
      </w:tr>
      <w:tr>
        <w:trPr>
          <w:trHeight w:val="215"/>
        </w:trPr>
        <w:tc>
          <w:tcPr>
            <w:tcW w:w="6720" w:type="dxa"/>
            <w:vAlign w:val="bottom"/>
          </w:tcPr>
          <w:p>
            <w:pPr>
              <w:spacing w:after="0"/>
              <w:rPr>
                <w:sz w:val="20"/>
                <w:szCs w:val="20"/>
                <w:color w:val="auto"/>
              </w:rPr>
            </w:pPr>
            <w:r>
              <w:rPr>
                <w:rFonts w:ascii="Arial" w:cs="Arial" w:eastAsia="Arial" w:hAnsi="Arial"/>
                <w:sz w:val="18"/>
                <w:szCs w:val="18"/>
                <w:color w:val="auto"/>
              </w:rPr>
              <w:t>Provision</w:t>
            </w:r>
          </w:p>
        </w:tc>
        <w:tc>
          <w:tcPr>
            <w:tcW w:w="20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725</w:t>
            </w:r>
          </w:p>
        </w:tc>
        <w:tc>
          <w:tcPr>
            <w:tcW w:w="26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250</w:t>
            </w:r>
          </w:p>
        </w:tc>
      </w:tr>
      <w:tr>
        <w:trPr>
          <w:trHeight w:val="215"/>
        </w:trPr>
        <w:tc>
          <w:tcPr>
            <w:tcW w:w="67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Loans charged off</w:t>
            </w:r>
          </w:p>
        </w:tc>
        <w:tc>
          <w:tcPr>
            <w:tcW w:w="20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r>
      <w:tr>
        <w:trPr>
          <w:trHeight w:val="215"/>
        </w:trPr>
        <w:tc>
          <w:tcPr>
            <w:tcW w:w="6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Recoveries on loans previously charged off</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w:t>
            </w:r>
          </w:p>
        </w:tc>
      </w:tr>
      <w:tr>
        <w:trPr>
          <w:trHeight w:val="209"/>
        </w:trPr>
        <w:tc>
          <w:tcPr>
            <w:tcW w:w="6720" w:type="dxa"/>
            <w:vAlign w:val="bottom"/>
            <w:shd w:val="clear" w:color="auto" w:fill="B2B2B2"/>
          </w:tcPr>
          <w:p>
            <w:pPr>
              <w:spacing w:after="0"/>
              <w:rPr>
                <w:sz w:val="20"/>
                <w:szCs w:val="20"/>
                <w:color w:val="auto"/>
              </w:rPr>
            </w:pPr>
            <w:r>
              <w:rPr>
                <w:rFonts w:ascii="Arial" w:cs="Arial" w:eastAsia="Arial" w:hAnsi="Arial"/>
                <w:sz w:val="18"/>
                <w:szCs w:val="18"/>
                <w:color w:val="auto"/>
              </w:rPr>
              <w:t>Net recoveries</w:t>
            </w:r>
          </w:p>
        </w:tc>
        <w:tc>
          <w:tcPr>
            <w:tcW w:w="20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3</w:t>
            </w:r>
          </w:p>
        </w:tc>
        <w:tc>
          <w:tcPr>
            <w:tcW w:w="26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31</w:t>
            </w:r>
          </w:p>
        </w:tc>
      </w:tr>
      <w:tr>
        <w:trPr>
          <w:trHeight w:val="215"/>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Allowance at end of period</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11,292</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10,506</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11,292</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10,506</w:t>
            </w:r>
          </w:p>
        </w:tc>
      </w:tr>
      <w:tr>
        <w:trPr>
          <w:trHeight w:val="209"/>
        </w:trPr>
        <w:tc>
          <w:tcPr>
            <w:tcW w:w="6720" w:type="dxa"/>
            <w:vAlign w:val="bottom"/>
            <w:shd w:val="clear" w:color="auto" w:fill="B2B2B2"/>
          </w:tcPr>
          <w:p>
            <w:pPr>
              <w:spacing w:after="0"/>
              <w:rPr>
                <w:sz w:val="20"/>
                <w:szCs w:val="20"/>
                <w:color w:val="auto"/>
              </w:rPr>
            </w:pPr>
            <w:r>
              <w:rPr>
                <w:rFonts w:ascii="Arial" w:cs="Arial" w:eastAsia="Arial" w:hAnsi="Arial"/>
                <w:sz w:val="18"/>
                <w:szCs w:val="18"/>
                <w:color w:val="auto"/>
              </w:rPr>
              <w:t>Loans outstanding:</w:t>
            </w:r>
          </w:p>
        </w:tc>
        <w:tc>
          <w:tcPr>
            <w:tcW w:w="2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r>
      <w:tr>
        <w:trPr>
          <w:trHeight w:val="215"/>
        </w:trPr>
        <w:tc>
          <w:tcPr>
            <w:tcW w:w="6720" w:type="dxa"/>
            <w:vAlign w:val="bottom"/>
          </w:tcPr>
          <w:p>
            <w:pPr>
              <w:ind w:left="180"/>
              <w:spacing w:after="0"/>
              <w:rPr>
                <w:sz w:val="20"/>
                <w:szCs w:val="20"/>
                <w:color w:val="auto"/>
              </w:rPr>
            </w:pPr>
            <w:r>
              <w:rPr>
                <w:rFonts w:ascii="Arial" w:cs="Arial" w:eastAsia="Arial" w:hAnsi="Arial"/>
                <w:sz w:val="18"/>
                <w:szCs w:val="18"/>
                <w:color w:val="auto"/>
              </w:rPr>
              <w:t>Average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964,060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769,394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881,781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745,592</w:t>
            </w:r>
          </w:p>
        </w:tc>
      </w:tr>
      <w:tr>
        <w:trPr>
          <w:trHeight w:val="215"/>
        </w:trPr>
        <w:tc>
          <w:tcPr>
            <w:tcW w:w="67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June 30</w:t>
            </w:r>
          </w:p>
        </w:tc>
        <w:tc>
          <w:tcPr>
            <w:tcW w:w="20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963,726</w:t>
            </w:r>
          </w:p>
        </w:tc>
        <w:tc>
          <w:tcPr>
            <w:tcW w:w="26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790,552</w:t>
            </w: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963,726</w:t>
            </w:r>
          </w:p>
        </w:tc>
        <w:tc>
          <w:tcPr>
            <w:tcW w:w="26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790,552</w:t>
            </w:r>
          </w:p>
        </w:tc>
      </w:tr>
      <w:tr>
        <w:trPr>
          <w:trHeight w:val="215"/>
        </w:trPr>
        <w:tc>
          <w:tcPr>
            <w:tcW w:w="6720" w:type="dxa"/>
            <w:vAlign w:val="bottom"/>
          </w:tcPr>
          <w:p>
            <w:pPr>
              <w:spacing w:after="0"/>
              <w:rPr>
                <w:sz w:val="20"/>
                <w:szCs w:val="20"/>
                <w:color w:val="auto"/>
              </w:rPr>
            </w:pPr>
            <w:r>
              <w:rPr>
                <w:rFonts w:ascii="Arial" w:cs="Arial" w:eastAsia="Arial" w:hAnsi="Arial"/>
                <w:sz w:val="18"/>
                <w:szCs w:val="18"/>
                <w:color w:val="auto"/>
              </w:rPr>
              <w:t>Ratio of ALLL to loans outstanding:</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5"/>
        </w:trPr>
        <w:tc>
          <w:tcPr>
            <w:tcW w:w="67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Average</w:t>
            </w:r>
          </w:p>
        </w:tc>
        <w:tc>
          <w:tcPr>
            <w:tcW w:w="20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1.41%</w:t>
            </w:r>
          </w:p>
        </w:tc>
      </w:tr>
      <w:tr>
        <w:trPr>
          <w:trHeight w:val="215"/>
        </w:trPr>
        <w:tc>
          <w:tcPr>
            <w:tcW w:w="6720" w:type="dxa"/>
            <w:vAlign w:val="bottom"/>
          </w:tcPr>
          <w:p>
            <w:pPr>
              <w:ind w:left="180"/>
              <w:spacing w:after="0"/>
              <w:rPr>
                <w:sz w:val="20"/>
                <w:szCs w:val="20"/>
                <w:color w:val="auto"/>
              </w:rPr>
            </w:pPr>
            <w:r>
              <w:rPr>
                <w:rFonts w:ascii="Arial" w:cs="Arial" w:eastAsia="Arial" w:hAnsi="Arial"/>
                <w:sz w:val="18"/>
                <w:szCs w:val="18"/>
                <w:color w:val="auto"/>
              </w:rPr>
              <w:t>June 30</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5"/>
        </w:trPr>
        <w:tc>
          <w:tcPr>
            <w:tcW w:w="6720" w:type="dxa"/>
            <w:vAlign w:val="bottom"/>
            <w:shd w:val="clear" w:color="auto" w:fill="B2B2B2"/>
          </w:tcPr>
          <w:p>
            <w:pPr>
              <w:spacing w:after="0"/>
              <w:rPr>
                <w:sz w:val="20"/>
                <w:szCs w:val="20"/>
                <w:color w:val="auto"/>
              </w:rPr>
            </w:pPr>
            <w:r>
              <w:rPr>
                <w:rFonts w:ascii="Arial" w:cs="Arial" w:eastAsia="Arial" w:hAnsi="Arial"/>
                <w:sz w:val="18"/>
                <w:szCs w:val="18"/>
                <w:color w:val="auto"/>
              </w:rPr>
              <w:t>Non-performing loans:</w:t>
            </w:r>
          </w:p>
        </w:tc>
        <w:tc>
          <w:tcPr>
            <w:tcW w:w="2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r>
      <w:tr>
        <w:trPr>
          <w:trHeight w:val="215"/>
        </w:trPr>
        <w:tc>
          <w:tcPr>
            <w:tcW w:w="6720" w:type="dxa"/>
            <w:vAlign w:val="bottom"/>
          </w:tcPr>
          <w:p>
            <w:pPr>
              <w:ind w:left="180"/>
              <w:spacing w:after="0"/>
              <w:rPr>
                <w:sz w:val="20"/>
                <w:szCs w:val="20"/>
                <w:color w:val="auto"/>
              </w:rPr>
            </w:pPr>
            <w:r>
              <w:rPr>
                <w:rFonts w:ascii="Arial" w:cs="Arial" w:eastAsia="Arial" w:hAnsi="Arial"/>
                <w:sz w:val="18"/>
                <w:szCs w:val="18"/>
                <w:color w:val="auto"/>
              </w:rPr>
              <w:t>Nonaccrual loans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5"/>
        </w:trPr>
        <w:tc>
          <w:tcPr>
            <w:tcW w:w="6720" w:type="dxa"/>
            <w:vAlign w:val="bottom"/>
            <w:tcBorders>
              <w:bottom w:val="single" w:sz="8" w:color="auto"/>
            </w:tcBorders>
            <w:shd w:val="clear" w:color="auto" w:fill="B2B2B2"/>
          </w:tcPr>
          <w:p>
            <w:pPr>
              <w:ind w:left="180"/>
              <w:spacing w:after="0"/>
              <w:rPr>
                <w:sz w:val="20"/>
                <w:szCs w:val="20"/>
                <w:color w:val="auto"/>
              </w:rPr>
            </w:pPr>
            <w:r>
              <w:rPr>
                <w:rFonts w:ascii="Arial" w:cs="Arial" w:eastAsia="Arial" w:hAnsi="Arial"/>
                <w:sz w:val="18"/>
                <w:szCs w:val="18"/>
                <w:color w:val="auto"/>
              </w:rPr>
              <w:t>Loans past due 90 days or more</w:t>
            </w:r>
          </w:p>
        </w:tc>
        <w:tc>
          <w:tcPr>
            <w:tcW w:w="20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w:t>
            </w:r>
          </w:p>
        </w:tc>
      </w:tr>
      <w:tr>
        <w:trPr>
          <w:trHeight w:val="209"/>
        </w:trPr>
        <w:tc>
          <w:tcPr>
            <w:tcW w:w="6720" w:type="dxa"/>
            <w:vAlign w:val="bottom"/>
          </w:tcPr>
          <w:p>
            <w:pPr>
              <w:ind w:left="180"/>
              <w:spacing w:after="0"/>
              <w:rPr>
                <w:sz w:val="20"/>
                <w:szCs w:val="20"/>
                <w:color w:val="auto"/>
              </w:rPr>
            </w:pPr>
            <w:r>
              <w:rPr>
                <w:rFonts w:ascii="Arial" w:cs="Arial" w:eastAsia="Arial" w:hAnsi="Arial"/>
                <w:sz w:val="18"/>
                <w:szCs w:val="18"/>
                <w:color w:val="auto"/>
              </w:rPr>
              <w:t>Total non-performing loans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5"/>
        </w:trPr>
        <w:tc>
          <w:tcPr>
            <w:tcW w:w="672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Foreclosed assets</w:t>
            </w:r>
          </w:p>
        </w:tc>
        <w:tc>
          <w:tcPr>
            <w:tcW w:w="200" w:type="dxa"/>
            <w:vAlign w:val="bottom"/>
            <w:tcBorders>
              <w:bottom w:val="single" w:sz="8" w:color="auto"/>
            </w:tcBorders>
            <w:shd w:val="clear" w:color="auto" w:fill="B2B2B2"/>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B2B2B2"/>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B2B2B2"/>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Non-performing loans as percentage of average loans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Bank had no property carried as other real estate owned as of June 30, 2020 and June 30, 2019.</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95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Operating Expenses</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operating expenses for the Second Quarter of 2020 were down 8.7%, or $2,614,000, compared to the Second Quarter of 2019 as personnel expense decreased due to the decline in transportation and facility-related transaction volumes. Total operating expenses for the First Half of 2020 were down $2,147,000, or 3.7%, compared to the First Half of 2019 for the same reason as the Second Quarter.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Total assets at June 30, 2020 were $1,828,984,000, an increase of $64,741,000, or 3.7%, from December 31, 2019. The most significant changes in asset balances during this period were increases in loans of $191,088,000 due to the PPP loans and cash and cash equivalents of $28,185,000. These increases were partially offset by a decrease in other assets of $66,121,000, payments in excess of funding of $43,948,000, and in security investments of $42,694,000. Changes in cash and cash equivalents reflect the Company’s daily liquidity position and are affected by the changes in the other asset balances and changes in deposit and accounts and drafts payable balances.</w:t>
      </w:r>
    </w:p>
    <w:p>
      <w:pPr>
        <w:spacing w:after="0" w:line="16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Total liabilities at June 30, 2020 were $1,580,457,000 an increase of $60,404,000, or 4.0%, from December 31, 2019. Total deposits at June 30, 2020 were $825,956,000, an increase of $68,820,000, or 9.1%, from December 31, 2019 as the funds from the PPP loans largely remained in deposit accounts. Accounts and drafts payable at June 30, 2020 were $687,538,000, an increase of $3,243,000, or 0.5%, from December 31, 2019.</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shareholders’ equity at June 30, 2020 was $248,527,000, a $4,337,000, or 1.8%, increase from December 31, 2019. Total shareholders’ equity increased due to net income of $12,984,000 and a decrease in accumulated other comprehensive loss of $4,379,000. These were offset by dividends paid of $7,811,000 and share repurchases of $5,508,000.</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Accounts and drafts payable will fluctuate from period-end to period-end due to the payment processing cycle, which results in lower balances on days when payments clear and higher balances on days when payments are issued. For this reason, average balances are a more meaningful measure of accounts and drafts payable (for average balances refer to the tables under the “Distribution of Assets, Liabilities and Shareholders’ Equity; Interest Rate and Interest Differential” section of this report).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balance of liquid assets consists of cash and cash equivalents, which include cash and due from banks, interest-bearing deposits in other financial institutions, federal funds sold and money market funds, and was $232,139,000 at June 30, 2020, an increase of $28,185,000, or 13.8%, from December 31, 2019. At June 30, 2020, these assets represented 12.7% of total assets. These funds are the Company’s and its subsidiaries’ primary source of liquidity to meet future expected and unexpected loan demand, depositor withdrawals or reductions in accounts and drafts payable.</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Secondary sources of liquidity include the investment portfolio and borrowing lines. Total investment in securities was $379,971,000 at June 30, 2020, a decrease of $42,694,000 from December 31, 2019. These assets represented 20.8% of total assets at June 30, 2020. Of this total, 80% were state and political subdivision securities. Of the total portfolio, 14.5% mature in one year, 23.5% mature in one to five years, and 62.0% mature in five or more years.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Bank has unsecured lines of credit at correspondent banks to purchase federal funds up to a maximum of $83,000,000 at the following banks: US Bank, $20,000,000; UMB Bank, $20,000,000; Wells Fargo Bank, $15,000,000; PNC Bank, $12,000,000; Frost National Bank, $10,000,000; and JPM Chase Bank, $6,000,000. The Bank also has secured lines of credit with the Federal Home Loan Bank of $193,362,000 collateralized by commercial mortgage loans. The Company also has secured lines of credit with UMB Bank of $75,000,000 and First Horizon Bank of $75,000,000 collateralized by state and political subdivision securities. There were no amounts outstanding under any line of credit as of June 30, 2020. There was $18,000,000 outstanding under the lines of credit discussed above at December 31, 2019. The amount outstanding at the end of the 2019 was borrowed on December 31, 2019 and repaid on January 2, 2020.</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lines of credit discussed above, as of April 21, 2020 the Bank was approved for the Federal Reserve’s Paycheck Protection Program Lending Facility. The Bank can receive non-recourse loans with the previously mentioned PPP loans pledged as collateral. The Bank can borrow an amount up to 100% of the amount of the PPP loans, which was $172,563,000 as of June 30, 2020.</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deposits of the Company's banking subsidiary have historically been stable, consisting of a sizable volume of core deposits related to customers that utilize other commercial products of the Bank. The accounts and drafts payable generated by the Company has also historically been a stable source of funds. The Company is part of the Certificate of Deposit Account Registry Service (“CDARS”) and Insured Cash Sweep (“ICS”) deposit placement programs. Time deposits include $41,521,000 of CDARS deposits and interest-bearing demand deposits include $88,323,000 of ICS deposits. These programs offer the Bank’s customers the ability to maximize Federal Deposit Insurance Corporation (“FDIC”) insurance coverage. The Company uses these programs to retain or attract deposits from existing customers.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cash flows provided by operating activities were $32,655,000 for the First Half of 2020, compared to $26,373,000 for the First Half of 2019, an increase of $6,282,000.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 investments and cash from operations will continue to be sufficient to fund the Company’s operations and capital expenditures in 2020, which are estimated to range from $4 million to $6 million.</w:t>
      </w:r>
    </w:p>
    <w:p>
      <w:pPr>
        <w:spacing w:after="0" w:line="152"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and energy costs as well as new business opportunities available to the Company.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1" w:name="page32"/>
    <w:bookmarkEnd w:id="31"/>
    <w:p>
      <w:pPr>
        <w:jc w:val="both"/>
        <w:spacing w:after="0" w:line="269" w:lineRule="auto"/>
        <w:rPr>
          <w:sz w:val="20"/>
          <w:szCs w:val="20"/>
          <w:color w:val="auto"/>
        </w:rPr>
      </w:pPr>
      <w:r>
        <w:rPr>
          <w:rFonts w:ascii="Arial" w:cs="Arial" w:eastAsia="Arial" w:hAnsi="Arial"/>
          <w:sz w:val="17"/>
          <w:szCs w:val="17"/>
          <w:color w:val="auto"/>
        </w:rPr>
        <w:t>As a financial institution, a significant source of the Company’s earnings is generated from net interest income. Therefore, the prevailing interest rate environment is important to the Company’s performance. A major portion of the Company’s funding sources are the non-interest 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 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 For a discussion of trends and impacts relating to COVID-19, refer to Note 1 “Basis of Presentation.”</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overall level of economic activity can have a significant impact on the Company’s ability to generate revenues and income, as the volume and size of customer invoices processed may increase or decrease. Higher levels of economic activity increase both fee income (as more invoices are processed) and balances of accounts and drafts payable. For a discussion of trends and impacts relating to COVID-19, refer to Note 1 “Basis of Presentation.” Lower levels of economic activity, such as those experienced by the Company as a result of COVID-19 and governmental actions related thereto, decrease both fee income and balances of accounts and drafts payable.</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 For a discussion of trends and impacts relating to COVID-19, refer to Note 1 “Basis of Presentation.”</w:t>
      </w:r>
    </w:p>
    <w:p>
      <w:pPr>
        <w:spacing w:after="0" w:line="15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New business opportunities are an important component of the Company’s strategy to grow earnings and improve performance. Generating new customers allows the Company to leverage existing systems and facilities and grow revenues faster than expenses.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Basel III Capital Rules require FDIC insured depository institutions to meet and maintain several minimum capital standards: a common equity Tier 1 capital to risk-based assets ratio of 4.5%, a Tier 1 capital to risk-based assets ratio of 6.0%, a total capital to risk-based assets of 8.0%, and a 4.0% Tier 1 capital to total assets leverage ratio.</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loan losses limited to a maximum of 1.25% of risk-weighted assets and, for non-advanced approaches institutions like Cass that have exercised a one-time opt-out election regarding the treatment of Accumulated Other Comprehensive Income, up to 45% of net unrealized gains on available-for-sale equity securities with readily determinable fair market values. The calculation of all types of regulatory capital is subject to deductions and adjustments specified in applicable regulations.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determining the amount of risk-weighted assets for purposes of calculating risk-based capital ratios, all assets, including certain off-balance sheet assets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 to four-family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Fully phased-in as of January 1, 2019, the Basel III Capital Rules require banking organizations, like Cass, to maintain:</w:t>
      </w:r>
    </w:p>
    <w:p>
      <w:pPr>
        <w:spacing w:after="0" w:line="32" w:lineRule="exact"/>
        <w:rPr>
          <w:sz w:val="20"/>
          <w:szCs w:val="20"/>
          <w:color w:val="auto"/>
        </w:rPr>
      </w:pPr>
    </w:p>
    <w:p>
      <w:pPr>
        <w:ind w:left="560" w:hanging="229"/>
        <w:spacing w:after="0"/>
        <w:tabs>
          <w:tab w:leader="none" w:pos="560" w:val="left"/>
        </w:tabs>
        <w:numPr>
          <w:ilvl w:val="0"/>
          <w:numId w:val="13"/>
        </w:numPr>
        <w:rPr>
          <w:rFonts w:ascii="Arial" w:cs="Arial" w:eastAsia="Arial" w:hAnsi="Arial"/>
          <w:sz w:val="32"/>
          <w:szCs w:val="32"/>
          <w:color w:val="auto"/>
        </w:rPr>
      </w:pPr>
      <w:r>
        <w:rPr>
          <w:rFonts w:ascii="Arial" w:cs="Arial" w:eastAsia="Arial" w:hAnsi="Arial"/>
          <w:sz w:val="18"/>
          <w:szCs w:val="18"/>
          <w:color w:val="auto"/>
        </w:rPr>
        <w:t>a minimum ratio of common equity Tier 1 capital to risk-weighted assets of at least 4.5%, plus a 2.5% capital conservation buffer;</w:t>
      </w:r>
    </w:p>
    <w:p>
      <w:pPr>
        <w:spacing w:after="0" w:line="55" w:lineRule="exact"/>
        <w:rPr>
          <w:rFonts w:ascii="Arial" w:cs="Arial" w:eastAsia="Arial" w:hAnsi="Arial"/>
          <w:sz w:val="32"/>
          <w:szCs w:val="32"/>
          <w:color w:val="auto"/>
        </w:rPr>
      </w:pPr>
    </w:p>
    <w:p>
      <w:pPr>
        <w:ind w:left="560" w:hanging="229"/>
        <w:spacing w:after="0" w:line="186" w:lineRule="auto"/>
        <w:tabs>
          <w:tab w:leader="none" w:pos="560" w:val="left"/>
        </w:tabs>
        <w:numPr>
          <w:ilvl w:val="0"/>
          <w:numId w:val="13"/>
        </w:numPr>
        <w:rPr>
          <w:rFonts w:ascii="Arial" w:cs="Arial" w:eastAsia="Arial" w:hAnsi="Arial"/>
          <w:sz w:val="24"/>
          <w:szCs w:val="24"/>
          <w:color w:val="auto"/>
        </w:rPr>
      </w:pPr>
      <w:r>
        <w:rPr>
          <w:rFonts w:ascii="Arial" w:cs="Arial" w:eastAsia="Arial" w:hAnsi="Arial"/>
          <w:sz w:val="15"/>
          <w:szCs w:val="15"/>
          <w:color w:val="auto"/>
        </w:rPr>
        <w:t>a minimum ratio of Tier 1 capital to risk-weighted assets of at least 6.0%, plus a 2.5% capital conservation buffer;</w:t>
      </w:r>
    </w:p>
    <w:p>
      <w:pPr>
        <w:spacing w:after="0" w:line="68" w:lineRule="exact"/>
        <w:rPr>
          <w:rFonts w:ascii="Arial" w:cs="Arial" w:eastAsia="Arial" w:hAnsi="Arial"/>
          <w:sz w:val="24"/>
          <w:szCs w:val="24"/>
          <w:color w:val="auto"/>
        </w:rPr>
      </w:pPr>
    </w:p>
    <w:p>
      <w:pPr>
        <w:ind w:left="560" w:hanging="229"/>
        <w:spacing w:after="0" w:line="182" w:lineRule="auto"/>
        <w:tabs>
          <w:tab w:leader="none" w:pos="560" w:val="left"/>
        </w:tabs>
        <w:numPr>
          <w:ilvl w:val="0"/>
          <w:numId w:val="13"/>
        </w:numPr>
        <w:rPr>
          <w:rFonts w:ascii="Arial" w:cs="Arial" w:eastAsia="Arial" w:hAnsi="Arial"/>
          <w:sz w:val="31"/>
          <w:szCs w:val="31"/>
          <w:color w:val="auto"/>
        </w:rPr>
      </w:pPr>
      <w:r>
        <w:rPr>
          <w:rFonts w:ascii="Arial" w:cs="Arial" w:eastAsia="Arial" w:hAnsi="Arial"/>
          <w:sz w:val="18"/>
          <w:szCs w:val="18"/>
          <w:color w:val="auto"/>
        </w:rPr>
        <w:t>a minimum ratio of total capital (that is, Tier 1 plus Tier 2 capital) to risk-weighted assets of at least 8.0%, plus the 2.5% capital conservation buffer; and</w:t>
      </w:r>
    </w:p>
    <w:p>
      <w:pPr>
        <w:spacing w:after="0" w:line="2" w:lineRule="exact"/>
        <w:rPr>
          <w:rFonts w:ascii="Arial" w:cs="Arial" w:eastAsia="Arial" w:hAnsi="Arial"/>
          <w:sz w:val="31"/>
          <w:szCs w:val="31"/>
          <w:color w:val="auto"/>
        </w:rPr>
      </w:pPr>
    </w:p>
    <w:p>
      <w:pPr>
        <w:ind w:left="560" w:hanging="229"/>
        <w:spacing w:after="0" w:line="181" w:lineRule="auto"/>
        <w:tabs>
          <w:tab w:leader="none" w:pos="560" w:val="left"/>
        </w:tabs>
        <w:numPr>
          <w:ilvl w:val="0"/>
          <w:numId w:val="13"/>
        </w:numPr>
        <w:rPr>
          <w:rFonts w:ascii="Arial" w:cs="Arial" w:eastAsia="Arial" w:hAnsi="Arial"/>
          <w:sz w:val="31"/>
          <w:szCs w:val="31"/>
          <w:color w:val="auto"/>
        </w:rPr>
      </w:pPr>
      <w:r>
        <w:rPr>
          <w:rFonts w:ascii="Arial" w:cs="Arial" w:eastAsia="Arial" w:hAnsi="Arial"/>
          <w:sz w:val="18"/>
          <w:szCs w:val="18"/>
          <w:color w:val="auto"/>
        </w:rPr>
        <w:t>a minimum leverage ratio of 4.0%, calculated as the ratio of Tier 1 capital to adjusted average consolidated assets.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capital conservation buffer is designed to absorb losses during periods of economic stress. Banking institutions with a ratio of common equity Tier 1 capital to risk-weighted assets above the minimum but below the conservation buffer will face limitations on the payment of dividends, common stock repurchases and discretionary cash payments to executive officers based on the amount of the shortfall.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the Bank continue to exceed all regulatory capital requirements, as evidenced by the following capital amounts and ratios: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3"/>
          </w:tcPr>
          <w:p>
            <w:pPr>
              <w:ind w:left="420"/>
              <w:spacing w:after="0"/>
              <w:rPr>
                <w:sz w:val="20"/>
                <w:szCs w:val="20"/>
                <w:color w:val="auto"/>
              </w:rPr>
            </w:pPr>
            <w:r>
              <w:rPr>
                <w:rFonts w:ascii="Arial" w:cs="Arial" w:eastAsia="Arial" w:hAnsi="Arial"/>
                <w:sz w:val="18"/>
                <w:szCs w:val="18"/>
                <w:b w:val="1"/>
                <w:bCs w:val="1"/>
                <w:color w:val="auto"/>
              </w:rPr>
              <w:t>June 30, 2020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3"/>
          </w:tcPr>
          <w:p>
            <w:pPr>
              <w:ind w:left="180"/>
              <w:spacing w:after="0"/>
              <w:rPr>
                <w:sz w:val="20"/>
                <w:szCs w:val="20"/>
                <w:color w:val="auto"/>
              </w:rPr>
            </w:pPr>
            <w:r>
              <w:rPr>
                <w:rFonts w:ascii="Arial" w:cs="Arial" w:eastAsia="Arial" w:hAnsi="Arial"/>
                <w:sz w:val="18"/>
                <w:szCs w:val="18"/>
                <w:b w:val="1"/>
                <w:bCs w:val="1"/>
                <w:color w:val="auto"/>
              </w:rPr>
              <w:t>December 31, 2019</w:t>
            </w:r>
          </w:p>
        </w:tc>
      </w:tr>
      <w:tr>
        <w:trPr>
          <w:trHeight w:val="222"/>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148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7"/>
              </w:rPr>
              <w:t>Amount</w:t>
            </w:r>
          </w:p>
        </w:tc>
        <w:tc>
          <w:tcPr>
            <w:tcW w:w="9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Ratio</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7"/>
              </w:rPr>
              <w:t>Amount</w:t>
            </w: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Ratio</w:t>
            </w:r>
          </w:p>
        </w:tc>
        <w:tc>
          <w:tcPr>
            <w:tcW w:w="20" w:type="dxa"/>
            <w:vAlign w:val="bottom"/>
          </w:tcPr>
          <w:p>
            <w:pPr>
              <w:spacing w:after="0"/>
              <w:rPr>
                <w:sz w:val="19"/>
                <w:szCs w:val="19"/>
                <w:color w:val="auto"/>
              </w:rPr>
            </w:pPr>
          </w:p>
        </w:tc>
      </w:tr>
      <w:tr>
        <w:trPr>
          <w:trHeight w:val="215"/>
        </w:trPr>
        <w:tc>
          <w:tcPr>
            <w:tcW w:w="5380" w:type="dxa"/>
            <w:vAlign w:val="bottom"/>
            <w:shd w:val="clear" w:color="auto" w:fill="B2B2B2"/>
          </w:tcPr>
          <w:p>
            <w:pPr>
              <w:spacing w:after="0"/>
              <w:rPr>
                <w:sz w:val="20"/>
                <w:szCs w:val="20"/>
                <w:color w:val="auto"/>
              </w:rPr>
            </w:pPr>
            <w:r>
              <w:rPr>
                <w:rFonts w:ascii="Arial" w:cs="Arial" w:eastAsia="Arial" w:hAnsi="Arial"/>
                <w:sz w:val="18"/>
                <w:szCs w:val="18"/>
                <w:color w:val="auto"/>
              </w:rPr>
              <w:t>Total capital (to risk-weighted assets)</w:t>
            </w:r>
          </w:p>
        </w:tc>
        <w:tc>
          <w:tcPr>
            <w:tcW w:w="148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380" w:type="dxa"/>
            <w:vAlign w:val="bottom"/>
          </w:tcPr>
          <w:p>
            <w:pPr>
              <w:ind w:left="180"/>
              <w:spacing w:after="0"/>
              <w:rPr>
                <w:sz w:val="20"/>
                <w:szCs w:val="20"/>
                <w:color w:val="auto"/>
              </w:rPr>
            </w:pPr>
            <w:r>
              <w:rPr>
                <w:rFonts w:ascii="Arial" w:cs="Arial" w:eastAsia="Arial" w:hAnsi="Arial"/>
                <w:sz w:val="18"/>
                <w:szCs w:val="18"/>
                <w:color w:val="auto"/>
              </w:rPr>
              <w:t>Cass Information Systems, Inc.</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250,949</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21.32%</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249,954</w:t>
            </w:r>
          </w:p>
        </w:tc>
        <w:tc>
          <w:tcPr>
            <w:tcW w:w="900" w:type="dxa"/>
            <w:vAlign w:val="bottom"/>
          </w:tcPr>
          <w:p>
            <w:pPr>
              <w:jc w:val="right"/>
              <w:spacing w:after="0"/>
              <w:rPr>
                <w:sz w:val="20"/>
                <w:szCs w:val="20"/>
                <w:color w:val="auto"/>
              </w:rPr>
            </w:pPr>
            <w:r>
              <w:rPr>
                <w:rFonts w:ascii="Arial" w:cs="Arial" w:eastAsia="Arial" w:hAnsi="Arial"/>
                <w:sz w:val="18"/>
                <w:szCs w:val="18"/>
                <w:color w:val="auto"/>
              </w:rPr>
              <w:t>19.70%</w:t>
            </w:r>
          </w:p>
        </w:tc>
        <w:tc>
          <w:tcPr>
            <w:tcW w:w="20" w:type="dxa"/>
            <w:vAlign w:val="bottom"/>
          </w:tcPr>
          <w:p>
            <w:pPr>
              <w:spacing w:after="0"/>
              <w:rPr>
                <w:sz w:val="18"/>
                <w:szCs w:val="18"/>
                <w:color w:val="auto"/>
              </w:rPr>
            </w:pPr>
          </w:p>
        </w:tc>
      </w:tr>
      <w:tr>
        <w:trPr>
          <w:trHeight w:val="215"/>
        </w:trPr>
        <w:tc>
          <w:tcPr>
            <w:tcW w:w="538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Cass Commercial Bank</w:t>
            </w:r>
          </w:p>
        </w:tc>
        <w:tc>
          <w:tcPr>
            <w:tcW w:w="148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162,782</w:t>
            </w:r>
          </w:p>
        </w:tc>
        <w:tc>
          <w:tcPr>
            <w:tcW w:w="98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20.08%</w:t>
            </w:r>
          </w:p>
        </w:tc>
        <w:tc>
          <w:tcPr>
            <w:tcW w:w="6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154,011</w:t>
            </w: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19.32%</w:t>
            </w:r>
          </w:p>
        </w:tc>
        <w:tc>
          <w:tcPr>
            <w:tcW w:w="20" w:type="dxa"/>
            <w:vAlign w:val="bottom"/>
          </w:tcPr>
          <w:p>
            <w:pPr>
              <w:spacing w:after="0"/>
              <w:rPr>
                <w:sz w:val="18"/>
                <w:szCs w:val="18"/>
                <w:color w:val="auto"/>
              </w:rPr>
            </w:pPr>
          </w:p>
        </w:tc>
      </w:tr>
      <w:tr>
        <w:trPr>
          <w:trHeight w:val="215"/>
        </w:trPr>
        <w:tc>
          <w:tcPr>
            <w:tcW w:w="5380" w:type="dxa"/>
            <w:vAlign w:val="bottom"/>
          </w:tcPr>
          <w:p>
            <w:pPr>
              <w:spacing w:after="0"/>
              <w:rPr>
                <w:sz w:val="20"/>
                <w:szCs w:val="20"/>
                <w:color w:val="auto"/>
              </w:rPr>
            </w:pPr>
            <w:r>
              <w:rPr>
                <w:rFonts w:ascii="Arial" w:cs="Arial" w:eastAsia="Arial" w:hAnsi="Arial"/>
                <w:sz w:val="18"/>
                <w:szCs w:val="18"/>
                <w:color w:val="auto"/>
              </w:rPr>
              <w:t>Common equity tier I capital (to risk-weighted assets)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38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Cass Information Systems, Inc.</w:t>
            </w:r>
          </w:p>
        </w:tc>
        <w:tc>
          <w:tcPr>
            <w:tcW w:w="162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239,657</w:t>
            </w:r>
          </w:p>
        </w:tc>
        <w:tc>
          <w:tcPr>
            <w:tcW w:w="98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20.36%</w:t>
            </w:r>
          </w:p>
        </w:tc>
        <w:tc>
          <w:tcPr>
            <w:tcW w:w="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239,398</w:t>
            </w: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18.86%</w:t>
            </w:r>
          </w:p>
        </w:tc>
        <w:tc>
          <w:tcPr>
            <w:tcW w:w="20" w:type="dxa"/>
            <w:vAlign w:val="bottom"/>
          </w:tcPr>
          <w:p>
            <w:pPr>
              <w:spacing w:after="0"/>
              <w:rPr>
                <w:sz w:val="18"/>
                <w:szCs w:val="18"/>
                <w:color w:val="auto"/>
              </w:rPr>
            </w:pPr>
          </w:p>
        </w:tc>
      </w:tr>
      <w:tr>
        <w:trPr>
          <w:trHeight w:val="215"/>
        </w:trPr>
        <w:tc>
          <w:tcPr>
            <w:tcW w:w="5380" w:type="dxa"/>
            <w:vAlign w:val="bottom"/>
          </w:tcPr>
          <w:p>
            <w:pPr>
              <w:ind w:left="180"/>
              <w:spacing w:after="0"/>
              <w:rPr>
                <w:sz w:val="20"/>
                <w:szCs w:val="20"/>
                <w:color w:val="auto"/>
              </w:rPr>
            </w:pPr>
            <w:r>
              <w:rPr>
                <w:rFonts w:ascii="Arial" w:cs="Arial" w:eastAsia="Arial" w:hAnsi="Arial"/>
                <w:sz w:val="18"/>
                <w:szCs w:val="18"/>
                <w:color w:val="auto"/>
              </w:rPr>
              <w:t>Cass Commercial Bank</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153,708</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18.96%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145,673</w:t>
            </w:r>
          </w:p>
        </w:tc>
        <w:tc>
          <w:tcPr>
            <w:tcW w:w="900" w:type="dxa"/>
            <w:vAlign w:val="bottom"/>
          </w:tcPr>
          <w:p>
            <w:pPr>
              <w:jc w:val="right"/>
              <w:spacing w:after="0"/>
              <w:rPr>
                <w:sz w:val="20"/>
                <w:szCs w:val="20"/>
                <w:color w:val="auto"/>
              </w:rPr>
            </w:pPr>
            <w:r>
              <w:rPr>
                <w:rFonts w:ascii="Arial" w:cs="Arial" w:eastAsia="Arial" w:hAnsi="Arial"/>
                <w:sz w:val="18"/>
                <w:szCs w:val="18"/>
                <w:color w:val="auto"/>
              </w:rPr>
              <w:t>18.27%</w:t>
            </w:r>
          </w:p>
        </w:tc>
        <w:tc>
          <w:tcPr>
            <w:tcW w:w="20" w:type="dxa"/>
            <w:vAlign w:val="bottom"/>
          </w:tcPr>
          <w:p>
            <w:pPr>
              <w:spacing w:after="0"/>
              <w:rPr>
                <w:sz w:val="18"/>
                <w:szCs w:val="18"/>
                <w:color w:val="auto"/>
              </w:rPr>
            </w:pPr>
          </w:p>
        </w:tc>
      </w:tr>
      <w:tr>
        <w:trPr>
          <w:trHeight w:val="215"/>
        </w:trPr>
        <w:tc>
          <w:tcPr>
            <w:tcW w:w="5380" w:type="dxa"/>
            <w:vAlign w:val="bottom"/>
            <w:shd w:val="clear" w:color="auto" w:fill="B2B2B2"/>
          </w:tcPr>
          <w:p>
            <w:pPr>
              <w:spacing w:after="0"/>
              <w:rPr>
                <w:sz w:val="20"/>
                <w:szCs w:val="20"/>
                <w:color w:val="auto"/>
              </w:rPr>
            </w:pPr>
            <w:r>
              <w:rPr>
                <w:rFonts w:ascii="Arial" w:cs="Arial" w:eastAsia="Arial" w:hAnsi="Arial"/>
                <w:sz w:val="18"/>
                <w:szCs w:val="18"/>
                <w:color w:val="auto"/>
              </w:rPr>
              <w:t>Tier I capital (to risk-weighted assets)</w:t>
            </w:r>
          </w:p>
        </w:tc>
        <w:tc>
          <w:tcPr>
            <w:tcW w:w="148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380" w:type="dxa"/>
            <w:vAlign w:val="bottom"/>
          </w:tcPr>
          <w:p>
            <w:pPr>
              <w:ind w:left="180"/>
              <w:spacing w:after="0"/>
              <w:rPr>
                <w:sz w:val="20"/>
                <w:szCs w:val="20"/>
                <w:color w:val="auto"/>
              </w:rPr>
            </w:pPr>
            <w:r>
              <w:rPr>
                <w:rFonts w:ascii="Arial" w:cs="Arial" w:eastAsia="Arial" w:hAnsi="Arial"/>
                <w:sz w:val="18"/>
                <w:szCs w:val="18"/>
                <w:color w:val="auto"/>
              </w:rPr>
              <w:t>Cass Information Systems, Inc.</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239,657</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20.36%</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239,398</w:t>
            </w:r>
          </w:p>
        </w:tc>
        <w:tc>
          <w:tcPr>
            <w:tcW w:w="900" w:type="dxa"/>
            <w:vAlign w:val="bottom"/>
          </w:tcPr>
          <w:p>
            <w:pPr>
              <w:jc w:val="right"/>
              <w:spacing w:after="0"/>
              <w:rPr>
                <w:sz w:val="20"/>
                <w:szCs w:val="20"/>
                <w:color w:val="auto"/>
              </w:rPr>
            </w:pPr>
            <w:r>
              <w:rPr>
                <w:rFonts w:ascii="Arial" w:cs="Arial" w:eastAsia="Arial" w:hAnsi="Arial"/>
                <w:sz w:val="18"/>
                <w:szCs w:val="18"/>
                <w:color w:val="auto"/>
              </w:rPr>
              <w:t>18.86%</w:t>
            </w:r>
          </w:p>
        </w:tc>
        <w:tc>
          <w:tcPr>
            <w:tcW w:w="20" w:type="dxa"/>
            <w:vAlign w:val="bottom"/>
          </w:tcPr>
          <w:p>
            <w:pPr>
              <w:spacing w:after="0"/>
              <w:rPr>
                <w:sz w:val="18"/>
                <w:szCs w:val="18"/>
                <w:color w:val="auto"/>
              </w:rPr>
            </w:pPr>
          </w:p>
        </w:tc>
      </w:tr>
      <w:tr>
        <w:trPr>
          <w:trHeight w:val="215"/>
        </w:trPr>
        <w:tc>
          <w:tcPr>
            <w:tcW w:w="538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Cass Commercial Bank</w:t>
            </w:r>
          </w:p>
        </w:tc>
        <w:tc>
          <w:tcPr>
            <w:tcW w:w="148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153,708</w:t>
            </w:r>
          </w:p>
        </w:tc>
        <w:tc>
          <w:tcPr>
            <w:tcW w:w="98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18.96%</w:t>
            </w:r>
          </w:p>
        </w:tc>
        <w:tc>
          <w:tcPr>
            <w:tcW w:w="6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145,673</w:t>
            </w: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18.27%</w:t>
            </w:r>
          </w:p>
        </w:tc>
        <w:tc>
          <w:tcPr>
            <w:tcW w:w="20" w:type="dxa"/>
            <w:vAlign w:val="bottom"/>
          </w:tcPr>
          <w:p>
            <w:pPr>
              <w:spacing w:after="0"/>
              <w:rPr>
                <w:sz w:val="18"/>
                <w:szCs w:val="18"/>
                <w:color w:val="auto"/>
              </w:rPr>
            </w:pPr>
          </w:p>
        </w:tc>
      </w:tr>
      <w:tr>
        <w:trPr>
          <w:trHeight w:val="215"/>
        </w:trPr>
        <w:tc>
          <w:tcPr>
            <w:tcW w:w="5380" w:type="dxa"/>
            <w:vAlign w:val="bottom"/>
          </w:tcPr>
          <w:p>
            <w:pPr>
              <w:spacing w:after="0"/>
              <w:rPr>
                <w:sz w:val="20"/>
                <w:szCs w:val="20"/>
                <w:color w:val="auto"/>
              </w:rPr>
            </w:pPr>
            <w:r>
              <w:rPr>
                <w:rFonts w:ascii="Arial" w:cs="Arial" w:eastAsia="Arial" w:hAnsi="Arial"/>
                <w:sz w:val="18"/>
                <w:szCs w:val="18"/>
                <w:color w:val="auto"/>
              </w:rPr>
              <w:t>Tier I capital (to leverage assets)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38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Cass Information Systems, Inc.</w:t>
            </w:r>
          </w:p>
        </w:tc>
        <w:tc>
          <w:tcPr>
            <w:tcW w:w="162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239,657</w:t>
            </w:r>
          </w:p>
        </w:tc>
        <w:tc>
          <w:tcPr>
            <w:tcW w:w="98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12.83%</w:t>
            </w:r>
          </w:p>
        </w:tc>
        <w:tc>
          <w:tcPr>
            <w:tcW w:w="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239,398</w:t>
            </w: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13.24%</w:t>
            </w:r>
          </w:p>
        </w:tc>
        <w:tc>
          <w:tcPr>
            <w:tcW w:w="20" w:type="dxa"/>
            <w:vAlign w:val="bottom"/>
          </w:tcPr>
          <w:p>
            <w:pPr>
              <w:spacing w:after="0"/>
              <w:rPr>
                <w:sz w:val="18"/>
                <w:szCs w:val="18"/>
                <w:color w:val="auto"/>
              </w:rPr>
            </w:pPr>
          </w:p>
        </w:tc>
      </w:tr>
      <w:tr>
        <w:trPr>
          <w:trHeight w:val="222"/>
        </w:trPr>
        <w:tc>
          <w:tcPr>
            <w:tcW w:w="53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Cass Commercial Bank</w:t>
            </w:r>
          </w:p>
        </w:tc>
        <w:tc>
          <w:tcPr>
            <w:tcW w:w="14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153,708</w:t>
            </w: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13.13%</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145,673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20" w:type="dxa"/>
            <w:vAlign w:val="bottom"/>
            <w:tcBorders>
              <w:bottom w:val="single" w:sz="8" w:color="auto"/>
            </w:tcBorders>
          </w:tcPr>
          <w:p>
            <w:pPr>
              <w:spacing w:after="0"/>
              <w:rPr>
                <w:sz w:val="19"/>
                <w:szCs w:val="19"/>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assets and liabilities are primarily monetary, consisting of cash, cash equivalents, securities, loans, payables and deposits. Monetary assets and liabilities are those that can be converted into a fixed number of dollars. The Company's consolidated balance sheet reflects a net positive monetary position (monetary assets exceed monetary liabilities). During periods of inflation, the holding of a net positive monetary position will result in an overall decline in the purchasing power of a company. Management believes that replacement costs of equipment, furniture, and leasehold improvements will not materially affect operations. The rate of inflation does affect certain expenses, such as those for employee compensation, which may not be readily recoverable in the price of the Company’s services.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and Not Yet Adopted Accounting Pronouncements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The ASU requires measurement and recognition of expected credit losses for financial assets held, which include allowances</w:t>
      </w:r>
      <w:r>
        <w:rPr>
          <w:rFonts w:ascii="Arial" w:cs="Arial" w:eastAsia="Arial" w:hAnsi="Arial"/>
          <w:sz w:val="18"/>
          <w:szCs w:val="18"/>
          <w:i w:val="1"/>
          <w:iCs w:val="1"/>
          <w:color w:val="auto"/>
        </w:rPr>
        <w:t xml:space="preserve"> </w:t>
      </w:r>
      <w:r>
        <w:rPr>
          <w:rFonts w:ascii="Arial" w:cs="Arial" w:eastAsia="Arial" w:hAnsi="Arial"/>
          <w:sz w:val="18"/>
          <w:szCs w:val="18"/>
          <w:color w:val="auto"/>
        </w:rPr>
        <w:t>for losses expected to be incurred over the life of the portfolio, rather than incurred losses, which include allowances for current known and inherent losses within the portfolio. Under this standard, the Company will be required to hold an allowance equal to the expected life-of-loan losses on the loan portfolio. The standard is effective for fiscal periods beginning after December 15, 2019 and was adopted on January 1, 2020. The CARES Act was signed into law on March 27, 2020 and includes provisions that temporarily delay the required implementation date of ASU 2016-13. The Company has elected to defer the adoption of ASU 2016-13 until the earlier of December 31, 2020 or the date the national emergency declaration is terminated as permitted by the CARES Act.</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formed a cross-functional working group under the direction of the Chief Financial Officer comprised of individuals from various functional areas including credit, risk management, finance, and accounting that addressed the adoption and implementation of the ASU. The Company currently expects the adoption of ASU 2016-13 will result in a one-time cumulative effect adjustment to retained earnings and an increase of up to 25% of the allowance for loan losses and the reserves for unfunded commitments. The expected increase is a result of changing from an incurred loss model, which encompasses allowances for current known and inherent losses within the portfolio, to an expected loss model, which encompasses allowances for losses expected to be incurred over the life of the portfolio based upon reasonable and supportable forecasts of economic conditions. The ASU also requires an allowance to be established for expected credit losses for certain debt securities and other financial assets, however the Company does not expect these allowances to be significant.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described in the Company’s Annual Report on Form 10-K for the year ended December 31, 2019, the Company manages its interest rate risk through measurement techniques that include gap analysis and a simulation model. As part of the risk management process, asset/liability management policies are established and monitored by management. The policy objective is to limit the change in annualized net interest income to 15% from an immediate and sustained parallel change in interest rates of 200 basis points. The economic impact of the COVID-19 pandemic has introduced significant uncertainty and market volatility, which may result in the deterioration of the Company’s risk position since December 31, 2019.</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spacing w:after="0" w:line="12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were no changes in the Second Quarter of 2020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Company has included in Part I, Item 1A of its Annual Report on Form 10-K for the year ended December 31, 2019, a description of certain risks and uncertainties that could affect the Company’s business, future performance or financial condition (the “Risk Factors”). There are no material changes to the Risk Factors as disclosed in the Company’s 2019 Annual Report on Form 10-K, other than the risks described below.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COVID-19 pandemic creates significant risks and uncertainties for the Company’s business and results of operations.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2020, the World Health Organization declared COVID-19 as a global pandemic. The COVID-19 pandemic has negatively impacted the global economy, disrupted global supply chains and manufacturing, lowered energy prices, lowered equity market valuations, created significant volatility and disruption in financial markets, and increased unemployment levels. In addition, the pandemic has resulted in temporary closures of many businesses and the institution of social distancing and sheltering in place requirements in many states and communities, including those in major markets in which Cass Commercial Bank, the Company’s St. Louis, Missouri-based bank subsidiary, is located or does business.</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a result, the demand for the Company’s products and services has been, and will continue to be, significantly impacted. Demand for payment and information processing services by manufacturing, distribution, and retail enterprises, and loans and other products and services that the Company and the Bank offer and on which success the Company relies to drive growth, is highly dependent upon the business environment in the primary markets in which the Company operates and in the United States as a whole.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4" w:name="page35"/>
    <w:bookmarkEnd w:id="34"/>
    <w:p>
      <w:pPr>
        <w:jc w:val="both"/>
        <w:spacing w:after="0" w:line="311" w:lineRule="auto"/>
        <w:rPr>
          <w:sz w:val="20"/>
          <w:szCs w:val="20"/>
          <w:color w:val="auto"/>
        </w:rPr>
      </w:pPr>
      <w:r>
        <w:rPr>
          <w:rFonts w:ascii="Arial" w:cs="Arial" w:eastAsia="Arial" w:hAnsi="Arial"/>
          <w:sz w:val="16"/>
          <w:szCs w:val="16"/>
          <w:color w:val="auto"/>
        </w:rPr>
        <w:t>Business closures, including constrictions in the manufacturing sector, have decreased volumes in the Company’s payment and information processing services due to the decline in customers’ business activity. In addition, the dampened demand for oil and resulting plummet in oil prices has had, and can continue to have, a negative effect on both the number of freight transactions processed and the dollar amount of invoices processed.</w:t>
      </w:r>
    </w:p>
    <w:p>
      <w:pPr>
        <w:spacing w:after="0" w:line="12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Furthermore, the pandemic could influence the recognition of credit losses in the Company’s loan and lease portfolios and increase its allowance for credit losses, as both businesses and consumers are negatively impacted by the economic downturn. Bank regulatory agencies and various governmental authorities are urging financial institutions to work prudently with borrowers who are or may be unable to meet their contractual payment obligations because of the effects of COVID-19. In response to the pandemic and in coordination with its primary regulators, the Company has deferred borrower principle payments on loans, on an as needed basis, for periods of up to six months. In addition, the Federal Reserve has taken action to lower the Federal Funds rate, which has and could continue to adversely affect interest income and therefore, the Company’s results of operations and financial condition.</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business operations may also be disrupted if significant portions of its workforce are unable to work effectively, including because of quarantines, illness, government actions, or other restrictions in connection with the pandemic, travel restrictions, technology limitations and/or disruptions, including remote working measures and their attendant cybersecurity risks. Furthermore, the business operations of the Company and the Bank may be disrupted due to vendors and third-party service providers being unable to work or provide services effectively, including because of quarantines, illness, government actions, or other restrictions in connection with the pandemic.</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extent to which the COVID-19 pandemic impacts the Company’s business, results of operations, and financial condition, as well as its regulatory capital and liquidity ratios, will depend on future developments, which are highly uncertain, including the scope and duration of the pandemic and actions taken by governmental authorities and other third parties in response to the pandemic. Moreover, the effects of the COVID-19 pandemic may heighten many of the other risks described in the section entitled “Risk Factors” in the Company’s most recent Annual Report on Form 10-K and any subsequent Quarterly Report on Form 10-Q or Current Report on Form 8-K including, but not limited to, risks of credit deterioration, interest rate changes, governmental actions, market volatility, security breaches and technology interruptions.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5. OTHER INFORMATION</w:t>
      </w:r>
    </w:p>
    <w:p>
      <w:pPr>
        <w:spacing w:after="0" w:line="39" w:lineRule="exact"/>
        <w:rPr>
          <w:sz w:val="20"/>
          <w:szCs w:val="20"/>
          <w:color w:val="auto"/>
        </w:rPr>
      </w:pPr>
    </w:p>
    <w:p>
      <w:pPr>
        <w:ind w:left="720" w:hanging="353"/>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None.</w:t>
      </w:r>
    </w:p>
    <w:p>
      <w:pPr>
        <w:spacing w:after="0" w:line="89" w:lineRule="exact"/>
        <w:rPr>
          <w:rFonts w:ascii="Arial" w:cs="Arial" w:eastAsia="Arial" w:hAnsi="Arial"/>
          <w:sz w:val="18"/>
          <w:szCs w:val="18"/>
          <w:color w:val="auto"/>
        </w:rPr>
      </w:pPr>
    </w:p>
    <w:p>
      <w:pPr>
        <w:ind w:left="720" w:hanging="353"/>
        <w:spacing w:after="0" w:line="276"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have been no material changes to the procedures by which security holders may recommend nominees to the Company’s Board of Directors implemented in the Second Quarter of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5" w:lineRule="exact"/>
        <w:rPr>
          <w:sz w:val="20"/>
          <w:szCs w:val="20"/>
          <w:color w:val="auto"/>
        </w:rPr>
      </w:pPr>
    </w:p>
    <w:p>
      <w:pPr>
        <w:ind w:left="5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Exhibit 31.1 Certification Pursuant to Section 302 of the Sarbanes-Oxley Act of 2002.</w:t>
        </w:r>
      </w:hyperlink>
    </w:p>
    <w:p>
      <w:pPr>
        <w:spacing w:after="0" w:line="211" w:lineRule="exact"/>
        <w:rPr>
          <w:sz w:val="20"/>
          <w:szCs w:val="20"/>
          <w:color w:val="auto"/>
        </w:rPr>
      </w:pPr>
    </w:p>
    <w:p>
      <w:pPr>
        <w:ind w:left="5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Exhibit 31.2 Certification Pursuant to Section 302 of the Sarbanes-Oxley Act of 2002.</w:t>
        </w:r>
      </w:hyperlink>
    </w:p>
    <w:p>
      <w:pPr>
        <w:spacing w:after="0" w:line="197" w:lineRule="exact"/>
        <w:rPr>
          <w:sz w:val="20"/>
          <w:szCs w:val="20"/>
          <w:color w:val="auto"/>
        </w:rPr>
      </w:pPr>
    </w:p>
    <w:p>
      <w:pPr>
        <w:ind w:left="5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Exhibit 32.1 Certification Pursuant to 18 U.S.C. Section 1350, as Adopted Pursuant to Section 906 of the Sarbanes-Oxley Act of 2002.</w:t>
        </w:r>
      </w:hyperlink>
    </w:p>
    <w:p>
      <w:pPr>
        <w:spacing w:after="0" w:line="211" w:lineRule="exact"/>
        <w:rPr>
          <w:sz w:val="20"/>
          <w:szCs w:val="20"/>
          <w:color w:val="auto"/>
        </w:rPr>
      </w:pPr>
    </w:p>
    <w:p>
      <w:pPr>
        <w:ind w:left="5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Exhibit 32.2 Certification Pursuant to 18 U.S.C. Section 1350, as Adopted Pursuant to Section 906 of the Sarbanes-Oxley Act of 2002.</w:t>
        </w:r>
      </w:hyperlink>
    </w:p>
    <w:p>
      <w:pPr>
        <w:spacing w:after="0" w:line="211" w:lineRule="exact"/>
        <w:rPr>
          <w:sz w:val="20"/>
          <w:szCs w:val="20"/>
          <w:color w:val="auto"/>
        </w:rPr>
      </w:pPr>
    </w:p>
    <w:p>
      <w:pPr>
        <w:ind w:left="540"/>
        <w:spacing w:after="0" w:line="276" w:lineRule="auto"/>
        <w:rPr>
          <w:sz w:val="20"/>
          <w:szCs w:val="20"/>
          <w:color w:val="auto"/>
        </w:rPr>
      </w:pPr>
      <w:r>
        <w:rPr>
          <w:rFonts w:ascii="Arial" w:cs="Arial" w:eastAsia="Arial" w:hAnsi="Arial"/>
          <w:sz w:val="18"/>
          <w:szCs w:val="18"/>
          <w:color w:val="auto"/>
        </w:rPr>
        <w:t>Exhibit 101.INS XBRL Instance Document. The instance document does not appear in the Interactive Data File because its XBRL tags are embedded within the Inline XBRL document.</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Exhibit 101.SCH Inline XBRL Taxonomy Extension Schema Document.</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Exhibit 101.CAL Inline XBRL Taxonomy Extension Calculation Linkbase Document.</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Exhibit 101.LAB Inline XBRL Taxonomy Extension Label Linkbase Document.</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Exhibit 101.PRE Inline XBRL Taxonomy Extension Presentation Linkbase Document.</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Exhibit 101.DEF Inline XBRL Taxonomy Extension Definition Linkbase Document.</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Exhibit 104 Cover Page Interactive Data File (formatted as Inline XBRL and contained in Exhibit 101).</w:t>
      </w:r>
    </w:p>
    <w:p>
      <w:pPr>
        <w:spacing w:after="0" w:line="22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01" w:lineRule="exact"/>
        <w:rPr>
          <w:sz w:val="20"/>
          <w:szCs w:val="20"/>
          <w:color w:val="auto"/>
        </w:rPr>
      </w:pPr>
    </w:p>
    <w:p>
      <w:pPr>
        <w:ind w:firstLine="323"/>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7640" w:type="dxa"/>
            <w:vAlign w:val="bottom"/>
            <w:gridSpan w:val="2"/>
          </w:tcPr>
          <w:p>
            <w:pPr>
              <w:ind w:left="1960"/>
              <w:spacing w:after="0"/>
              <w:rPr>
                <w:sz w:val="20"/>
                <w:szCs w:val="20"/>
                <w:color w:val="auto"/>
              </w:rPr>
            </w:pPr>
            <w:r>
              <w:rPr>
                <w:rFonts w:ascii="Arial" w:cs="Arial" w:eastAsia="Arial" w:hAnsi="Arial"/>
                <w:sz w:val="18"/>
                <w:szCs w:val="18"/>
                <w:color w:val="auto"/>
              </w:rPr>
              <w:t>CASS INFORMATION SYSTEMS, INC.</w:t>
            </w:r>
          </w:p>
        </w:tc>
      </w:tr>
      <w:tr>
        <w:trPr>
          <w:trHeight w:val="646"/>
        </w:trPr>
        <w:tc>
          <w:tcPr>
            <w:tcW w:w="3600" w:type="dxa"/>
            <w:vAlign w:val="bottom"/>
          </w:tcPr>
          <w:p>
            <w:pPr>
              <w:spacing w:after="0"/>
              <w:rPr>
                <w:sz w:val="20"/>
                <w:szCs w:val="20"/>
                <w:color w:val="auto"/>
              </w:rPr>
            </w:pPr>
            <w:r>
              <w:rPr>
                <w:rFonts w:ascii="Arial" w:cs="Arial" w:eastAsia="Arial" w:hAnsi="Arial"/>
                <w:sz w:val="18"/>
                <w:szCs w:val="18"/>
                <w:color w:val="auto"/>
              </w:rPr>
              <w:t>DATE: August 6, 2020</w:t>
            </w:r>
          </w:p>
        </w:tc>
        <w:tc>
          <w:tcPr>
            <w:tcW w:w="2400" w:type="dxa"/>
            <w:vAlign w:val="bottom"/>
          </w:tcPr>
          <w:p>
            <w:pPr>
              <w:ind w:left="196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Eric H. Brunngraber</w:t>
            </w:r>
          </w:p>
        </w:tc>
      </w:tr>
      <w:tr>
        <w:trPr>
          <w:trHeight w:val="195"/>
        </w:trPr>
        <w:tc>
          <w:tcPr>
            <w:tcW w:w="36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40" w:type="dxa"/>
            <w:vAlign w:val="bottom"/>
          </w:tcPr>
          <w:p>
            <w:pPr>
              <w:jc w:val="center"/>
              <w:spacing w:after="0" w:line="195" w:lineRule="exact"/>
              <w:rPr>
                <w:sz w:val="20"/>
                <w:szCs w:val="20"/>
                <w:color w:val="auto"/>
              </w:rPr>
            </w:pPr>
            <w:r>
              <w:rPr>
                <w:rFonts w:ascii="Arial" w:cs="Arial" w:eastAsia="Arial" w:hAnsi="Arial"/>
                <w:sz w:val="18"/>
                <w:szCs w:val="18"/>
                <w:color w:val="auto"/>
                <w:w w:val="93"/>
              </w:rPr>
              <w:t>Eric H. Brunngraber</w:t>
            </w:r>
          </w:p>
        </w:tc>
      </w:tr>
      <w:tr>
        <w:trPr>
          <w:trHeight w:val="215"/>
        </w:trPr>
        <w:tc>
          <w:tcPr>
            <w:tcW w:w="36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1"/>
              </w:rPr>
              <w:t>Chairman, President, and Chief Executive Officer</w:t>
            </w:r>
          </w:p>
        </w:tc>
      </w:tr>
      <w:tr>
        <w:trPr>
          <w:trHeight w:val="230"/>
        </w:trPr>
        <w:tc>
          <w:tcPr>
            <w:tcW w:w="36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r>
        <w:trPr>
          <w:trHeight w:val="646"/>
        </w:trPr>
        <w:tc>
          <w:tcPr>
            <w:tcW w:w="3600" w:type="dxa"/>
            <w:vAlign w:val="bottom"/>
          </w:tcPr>
          <w:p>
            <w:pPr>
              <w:spacing w:after="0"/>
              <w:rPr>
                <w:sz w:val="20"/>
                <w:szCs w:val="20"/>
                <w:color w:val="auto"/>
              </w:rPr>
            </w:pPr>
            <w:r>
              <w:rPr>
                <w:rFonts w:ascii="Arial" w:cs="Arial" w:eastAsia="Arial" w:hAnsi="Arial"/>
                <w:sz w:val="18"/>
                <w:szCs w:val="18"/>
                <w:color w:val="auto"/>
              </w:rPr>
              <w:t>DATE: August 6, 2020</w:t>
            </w:r>
          </w:p>
        </w:tc>
        <w:tc>
          <w:tcPr>
            <w:tcW w:w="2400" w:type="dxa"/>
            <w:vAlign w:val="bottom"/>
          </w:tcPr>
          <w:p>
            <w:pPr>
              <w:ind w:left="1960"/>
              <w:spacing w:after="0"/>
              <w:rPr>
                <w:sz w:val="20"/>
                <w:szCs w:val="20"/>
                <w:color w:val="auto"/>
              </w:rPr>
            </w:pPr>
            <w:r>
              <w:rPr>
                <w:rFonts w:ascii="Arial" w:cs="Arial" w:eastAsia="Arial" w:hAnsi="Arial"/>
                <w:sz w:val="18"/>
                <w:szCs w:val="18"/>
                <w:color w:val="auto"/>
              </w:rPr>
              <w:t>By</w:t>
            </w:r>
          </w:p>
        </w:tc>
        <w:tc>
          <w:tcPr>
            <w:tcW w:w="5240" w:type="dxa"/>
            <w:vAlign w:val="bottom"/>
          </w:tcPr>
          <w:p>
            <w:pPr>
              <w:jc w:val="center"/>
              <w:spacing w:after="0"/>
              <w:rPr>
                <w:sz w:val="20"/>
                <w:szCs w:val="20"/>
                <w:color w:val="auto"/>
              </w:rPr>
            </w:pPr>
            <w:r>
              <w:rPr>
                <w:rFonts w:ascii="Arial" w:cs="Arial" w:eastAsia="Arial" w:hAnsi="Arial"/>
                <w:sz w:val="18"/>
                <w:szCs w:val="18"/>
                <w:color w:val="auto"/>
                <w:w w:val="87"/>
              </w:rPr>
              <w:t>/s/ P. Stephen Appelbaum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0</wp:posOffset>
            </wp:positionV>
            <wp:extent cx="33267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26765" cy="8255"/>
                    </a:xfrm>
                    <a:prstGeom prst="rect">
                      <a:avLst/>
                    </a:prstGeom>
                    <a:noFill/>
                  </pic:spPr>
                </pic:pic>
              </a:graphicData>
            </a:graphic>
          </wp:anchor>
        </w:drawing>
      </w:r>
    </w:p>
    <w:p>
      <w:pPr>
        <w:jc w:val="center"/>
        <w:ind w:left="5980"/>
        <w:spacing w:after="0"/>
        <w:rPr>
          <w:sz w:val="20"/>
          <w:szCs w:val="20"/>
          <w:color w:val="auto"/>
        </w:rPr>
      </w:pPr>
      <w:r>
        <w:rPr>
          <w:rFonts w:ascii="Arial" w:cs="Arial" w:eastAsia="Arial" w:hAnsi="Arial"/>
          <w:sz w:val="18"/>
          <w:szCs w:val="18"/>
          <w:color w:val="auto"/>
        </w:rPr>
        <w:t>P. Stephen Appelbaum</w:t>
      </w:r>
    </w:p>
    <w:p>
      <w:pPr>
        <w:spacing w:after="0" w:line="22"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(Principal Financial and Accounting Officer)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955"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342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Eric H. Brunngraber, certify that:</w:t>
      </w:r>
    </w:p>
    <w:p>
      <w:pPr>
        <w:spacing w:after="0" w:line="8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Cass Information Systems, Inc.;</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 w:lineRule="exact"/>
        <w:rPr>
          <w:rFonts w:ascii="Arial" w:cs="Arial" w:eastAsia="Arial" w:hAnsi="Arial"/>
          <w:sz w:val="18"/>
          <w:szCs w:val="18"/>
          <w:color w:val="auto"/>
        </w:rPr>
      </w:pPr>
    </w:p>
    <w:p>
      <w:pPr>
        <w:ind w:left="340" w:hanging="332"/>
        <w:spacing w:after="0" w:line="276"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3" w:lineRule="exact"/>
        <w:rPr>
          <w:rFonts w:ascii="Arial" w:cs="Arial" w:eastAsia="Arial" w:hAnsi="Arial"/>
          <w:sz w:val="18"/>
          <w:szCs w:val="18"/>
          <w:color w:val="auto"/>
        </w:rPr>
      </w:pPr>
    </w:p>
    <w:p>
      <w:pPr>
        <w:jc w:val="both"/>
        <w:ind w:left="700" w:hanging="369"/>
        <w:spacing w:after="0" w:line="263" w:lineRule="auto"/>
        <w:tabs>
          <w:tab w:leader="none" w:pos="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3" w:lineRule="exact"/>
        <w:rPr>
          <w:rFonts w:ascii="Arial" w:cs="Arial" w:eastAsia="Arial" w:hAnsi="Arial"/>
          <w:sz w:val="18"/>
          <w:szCs w:val="18"/>
          <w:color w:val="auto"/>
        </w:rPr>
      </w:pPr>
    </w:p>
    <w:p>
      <w:pPr>
        <w:jc w:val="both"/>
        <w:ind w:left="700" w:hanging="369"/>
        <w:spacing w:after="0" w:line="263" w:lineRule="auto"/>
        <w:tabs>
          <w:tab w:leader="none" w:pos="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700" w:right="20" w:hanging="369"/>
        <w:spacing w:after="0" w:line="305" w:lineRule="auto"/>
        <w:tabs>
          <w:tab w:leader="none" w:pos="7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7"/>
          <w:szCs w:val="17"/>
          <w:color w:val="auto"/>
        </w:rPr>
      </w:pPr>
    </w:p>
    <w:p>
      <w:pPr>
        <w:jc w:val="both"/>
        <w:ind w:left="700" w:hanging="369"/>
        <w:spacing w:after="0" w:line="263" w:lineRule="auto"/>
        <w:tabs>
          <w:tab w:leader="none" w:pos="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 w:lineRule="exact"/>
        <w:rPr>
          <w:rFonts w:ascii="Arial" w:cs="Arial" w:eastAsia="Arial" w:hAnsi="Arial"/>
          <w:sz w:val="18"/>
          <w:szCs w:val="18"/>
          <w:color w:val="auto"/>
        </w:rPr>
      </w:pPr>
    </w:p>
    <w:p>
      <w:pPr>
        <w:ind w:left="340" w:hanging="332"/>
        <w:spacing w:after="0" w:line="306"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Arial" w:cs="Arial" w:eastAsia="Arial" w:hAnsi="Arial"/>
          <w:sz w:val="17"/>
          <w:szCs w:val="17"/>
          <w:color w:val="auto"/>
        </w:rPr>
      </w:pPr>
    </w:p>
    <w:p>
      <w:pPr>
        <w:ind w:left="700" w:right="20" w:hanging="369"/>
        <w:spacing w:after="0" w:line="276" w:lineRule="auto"/>
        <w:tabs>
          <w:tab w:leader="none" w:pos="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Arial" w:cs="Arial" w:eastAsia="Arial" w:hAnsi="Arial"/>
          <w:sz w:val="18"/>
          <w:szCs w:val="18"/>
          <w:color w:val="auto"/>
        </w:rPr>
      </w:pPr>
    </w:p>
    <w:p>
      <w:pPr>
        <w:ind w:left="700" w:right="20" w:hanging="369"/>
        <w:spacing w:after="0" w:line="276" w:lineRule="auto"/>
        <w:tabs>
          <w:tab w:leader="none" w:pos="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Date: August 6, 2020</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H. Brunngraber</w:t>
            </w:r>
          </w:p>
        </w:tc>
        <w:tc>
          <w:tcPr>
            <w:tcW w:w="660" w:type="dxa"/>
            <w:vAlign w:val="bottom"/>
          </w:tcPr>
          <w:p>
            <w:pPr>
              <w:spacing w:after="0"/>
              <w:rPr>
                <w:sz w:val="19"/>
                <w:szCs w:val="19"/>
                <w:color w:val="auto"/>
              </w:rPr>
            </w:pPr>
          </w:p>
        </w:tc>
      </w:tr>
      <w:tr>
        <w:trPr>
          <w:trHeight w:val="195"/>
        </w:trPr>
        <w:tc>
          <w:tcPr>
            <w:tcW w:w="6740" w:type="dxa"/>
            <w:vAlign w:val="bottom"/>
          </w:tcPr>
          <w:p>
            <w:pPr>
              <w:spacing w:after="0"/>
              <w:rPr>
                <w:sz w:val="16"/>
                <w:szCs w:val="16"/>
                <w:color w:val="auto"/>
              </w:rPr>
            </w:pPr>
          </w:p>
        </w:tc>
        <w:tc>
          <w:tcPr>
            <w:tcW w:w="3820" w:type="dxa"/>
            <w:vAlign w:val="bottom"/>
          </w:tcPr>
          <w:p>
            <w:pPr>
              <w:spacing w:after="0" w:line="195" w:lineRule="exact"/>
              <w:rPr>
                <w:sz w:val="20"/>
                <w:szCs w:val="20"/>
                <w:color w:val="auto"/>
              </w:rPr>
            </w:pPr>
            <w:r>
              <w:rPr>
                <w:rFonts w:ascii="Arial" w:cs="Arial" w:eastAsia="Arial" w:hAnsi="Arial"/>
                <w:sz w:val="18"/>
                <w:szCs w:val="18"/>
                <w:color w:val="auto"/>
              </w:rPr>
              <w:t>Eric H. Brunngraber</w:t>
            </w:r>
          </w:p>
        </w:tc>
        <w:tc>
          <w:tcPr>
            <w:tcW w:w="660" w:type="dxa"/>
            <w:vAlign w:val="bottom"/>
          </w:tcPr>
          <w:p>
            <w:pPr>
              <w:spacing w:after="0"/>
              <w:rPr>
                <w:sz w:val="16"/>
                <w:szCs w:val="16"/>
                <w:color w:val="auto"/>
              </w:rPr>
            </w:pPr>
          </w:p>
        </w:tc>
      </w:tr>
      <w:tr>
        <w:trPr>
          <w:trHeight w:val="215"/>
        </w:trPr>
        <w:tc>
          <w:tcPr>
            <w:tcW w:w="67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6"/>
              </w:rPr>
              <w:t>Chairman, President, and Chief Executive Officer</w:t>
            </w:r>
          </w:p>
        </w:tc>
        <w:tc>
          <w:tcPr>
            <w:tcW w:w="660" w:type="dxa"/>
            <w:vAlign w:val="bottom"/>
          </w:tcPr>
          <w:p>
            <w:pPr>
              <w:spacing w:after="0"/>
              <w:rPr>
                <w:sz w:val="18"/>
                <w:szCs w:val="18"/>
                <w:color w:val="auto"/>
              </w:rPr>
            </w:pPr>
          </w:p>
        </w:tc>
      </w:tr>
      <w:tr>
        <w:trPr>
          <w:trHeight w:val="230"/>
        </w:trPr>
        <w:tc>
          <w:tcPr>
            <w:tcW w:w="67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660" w:type="dxa"/>
            <w:vAlign w:val="bottom"/>
          </w:tcPr>
          <w:p>
            <w:pPr>
              <w:spacing w:after="0"/>
              <w:rPr>
                <w:sz w:val="19"/>
                <w:szCs w:val="19"/>
                <w:color w:val="auto"/>
              </w:rPr>
            </w:pPr>
          </w:p>
        </w:tc>
      </w:tr>
      <w:tr>
        <w:trPr>
          <w:trHeight w:val="215"/>
        </w:trPr>
        <w:tc>
          <w:tcPr>
            <w:tcW w:w="6740" w:type="dxa"/>
            <w:vAlign w:val="bottom"/>
            <w:tcBorders>
              <w:bottom w:val="single" w:sz="8" w:color="EEEEEE"/>
            </w:tcBorders>
          </w:tcPr>
          <w:p>
            <w:pPr>
              <w:spacing w:after="0"/>
              <w:rPr>
                <w:sz w:val="18"/>
                <w:szCs w:val="18"/>
                <w:color w:val="auto"/>
              </w:rPr>
            </w:pPr>
          </w:p>
        </w:tc>
        <w:tc>
          <w:tcPr>
            <w:tcW w:w="3820" w:type="dxa"/>
            <w:vAlign w:val="bottom"/>
            <w:tcBorders>
              <w:bottom w:val="single" w:sz="8" w:color="EEEEEE"/>
            </w:tcBorders>
          </w:tcPr>
          <w:p>
            <w:pPr>
              <w:spacing w:after="0"/>
              <w:rPr>
                <w:sz w:val="18"/>
                <w:szCs w:val="18"/>
                <w:color w:val="auto"/>
              </w:rPr>
            </w:pPr>
          </w:p>
        </w:tc>
        <w:tc>
          <w:tcPr>
            <w:tcW w:w="66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95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P. Stephen Appelbaum, certify that:</w:t>
      </w:r>
    </w:p>
    <w:p>
      <w:pPr>
        <w:spacing w:after="0" w:line="8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Cass Information Systems, Inc.;</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 w:lineRule="exact"/>
        <w:rPr>
          <w:rFonts w:ascii="Arial" w:cs="Arial" w:eastAsia="Arial" w:hAnsi="Arial"/>
          <w:sz w:val="18"/>
          <w:szCs w:val="18"/>
          <w:color w:val="auto"/>
        </w:rPr>
      </w:pPr>
    </w:p>
    <w:p>
      <w:pPr>
        <w:ind w:left="340" w:hanging="332"/>
        <w:spacing w:after="0" w:line="276"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3" w:lineRule="exact"/>
        <w:rPr>
          <w:rFonts w:ascii="Arial" w:cs="Arial" w:eastAsia="Arial" w:hAnsi="Arial"/>
          <w:sz w:val="18"/>
          <w:szCs w:val="18"/>
          <w:color w:val="auto"/>
        </w:rPr>
      </w:pPr>
    </w:p>
    <w:p>
      <w:pPr>
        <w:jc w:val="both"/>
        <w:ind w:left="700" w:hanging="369"/>
        <w:spacing w:after="0" w:line="263" w:lineRule="auto"/>
        <w:tabs>
          <w:tab w:leader="none" w:pos="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3" w:lineRule="exact"/>
        <w:rPr>
          <w:rFonts w:ascii="Arial" w:cs="Arial" w:eastAsia="Arial" w:hAnsi="Arial"/>
          <w:sz w:val="18"/>
          <w:szCs w:val="18"/>
          <w:color w:val="auto"/>
        </w:rPr>
      </w:pPr>
    </w:p>
    <w:p>
      <w:pPr>
        <w:jc w:val="both"/>
        <w:ind w:left="700" w:hanging="369"/>
        <w:spacing w:after="0" w:line="263" w:lineRule="auto"/>
        <w:tabs>
          <w:tab w:leader="none" w:pos="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700" w:right="20" w:hanging="369"/>
        <w:spacing w:after="0" w:line="305" w:lineRule="auto"/>
        <w:tabs>
          <w:tab w:leader="none" w:pos="7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7"/>
          <w:szCs w:val="17"/>
          <w:color w:val="auto"/>
        </w:rPr>
      </w:pPr>
    </w:p>
    <w:p>
      <w:pPr>
        <w:jc w:val="both"/>
        <w:ind w:left="700" w:hanging="369"/>
        <w:spacing w:after="0" w:line="263" w:lineRule="auto"/>
        <w:tabs>
          <w:tab w:leader="none" w:pos="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 w:lineRule="exact"/>
        <w:rPr>
          <w:rFonts w:ascii="Arial" w:cs="Arial" w:eastAsia="Arial" w:hAnsi="Arial"/>
          <w:sz w:val="18"/>
          <w:szCs w:val="18"/>
          <w:color w:val="auto"/>
        </w:rPr>
      </w:pPr>
    </w:p>
    <w:p>
      <w:pPr>
        <w:ind w:left="340" w:hanging="332"/>
        <w:spacing w:after="0" w:line="306"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Arial" w:cs="Arial" w:eastAsia="Arial" w:hAnsi="Arial"/>
          <w:sz w:val="17"/>
          <w:szCs w:val="17"/>
          <w:color w:val="auto"/>
        </w:rPr>
      </w:pPr>
    </w:p>
    <w:p>
      <w:pPr>
        <w:ind w:left="700" w:right="20" w:hanging="369"/>
        <w:spacing w:after="0" w:line="276" w:lineRule="auto"/>
        <w:tabs>
          <w:tab w:leader="none" w:pos="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Arial" w:cs="Arial" w:eastAsia="Arial" w:hAnsi="Arial"/>
          <w:sz w:val="18"/>
          <w:szCs w:val="18"/>
          <w:color w:val="auto"/>
        </w:rPr>
      </w:pPr>
    </w:p>
    <w:p>
      <w:pPr>
        <w:ind w:left="700" w:right="20" w:hanging="369"/>
        <w:spacing w:after="0" w:line="276" w:lineRule="auto"/>
        <w:tabs>
          <w:tab w:leader="none" w:pos="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Date: August 6, 2020</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 Stephen Appelbaum</w:t>
            </w:r>
          </w:p>
        </w:tc>
        <w:tc>
          <w:tcPr>
            <w:tcW w:w="660" w:type="dxa"/>
            <w:vAlign w:val="bottom"/>
          </w:tcPr>
          <w:p>
            <w:pPr>
              <w:spacing w:after="0"/>
              <w:rPr>
                <w:sz w:val="19"/>
                <w:szCs w:val="19"/>
                <w:color w:val="auto"/>
              </w:rPr>
            </w:pPr>
          </w:p>
        </w:tc>
      </w:tr>
      <w:tr>
        <w:trPr>
          <w:trHeight w:val="195"/>
        </w:trPr>
        <w:tc>
          <w:tcPr>
            <w:tcW w:w="6740" w:type="dxa"/>
            <w:vAlign w:val="bottom"/>
          </w:tcPr>
          <w:p>
            <w:pPr>
              <w:spacing w:after="0"/>
              <w:rPr>
                <w:sz w:val="16"/>
                <w:szCs w:val="16"/>
                <w:color w:val="auto"/>
              </w:rPr>
            </w:pPr>
          </w:p>
        </w:tc>
        <w:tc>
          <w:tcPr>
            <w:tcW w:w="3820" w:type="dxa"/>
            <w:vAlign w:val="bottom"/>
          </w:tcPr>
          <w:p>
            <w:pPr>
              <w:spacing w:after="0" w:line="195" w:lineRule="exact"/>
              <w:rPr>
                <w:sz w:val="20"/>
                <w:szCs w:val="20"/>
                <w:color w:val="auto"/>
              </w:rPr>
            </w:pPr>
            <w:r>
              <w:rPr>
                <w:rFonts w:ascii="Arial" w:cs="Arial" w:eastAsia="Arial" w:hAnsi="Arial"/>
                <w:sz w:val="18"/>
                <w:szCs w:val="18"/>
                <w:color w:val="auto"/>
              </w:rPr>
              <w:t>P. Stephen Appelbaum</w:t>
            </w:r>
          </w:p>
        </w:tc>
        <w:tc>
          <w:tcPr>
            <w:tcW w:w="660" w:type="dxa"/>
            <w:vAlign w:val="bottom"/>
          </w:tcPr>
          <w:p>
            <w:pPr>
              <w:spacing w:after="0"/>
              <w:rPr>
                <w:sz w:val="16"/>
                <w:szCs w:val="16"/>
                <w:color w:val="auto"/>
              </w:rPr>
            </w:pPr>
          </w:p>
        </w:tc>
      </w:tr>
      <w:tr>
        <w:trPr>
          <w:trHeight w:val="215"/>
        </w:trPr>
        <w:tc>
          <w:tcPr>
            <w:tcW w:w="67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Executive Vice President and Chief Financial</w:t>
            </w:r>
          </w:p>
        </w:tc>
        <w:tc>
          <w:tcPr>
            <w:tcW w:w="660" w:type="dxa"/>
            <w:vAlign w:val="bottom"/>
          </w:tcPr>
          <w:p>
            <w:pPr>
              <w:spacing w:after="0"/>
              <w:rPr>
                <w:sz w:val="18"/>
                <w:szCs w:val="18"/>
                <w:color w:val="auto"/>
              </w:rPr>
            </w:pPr>
          </w:p>
        </w:tc>
      </w:tr>
      <w:tr>
        <w:trPr>
          <w:trHeight w:val="215"/>
        </w:trPr>
        <w:tc>
          <w:tcPr>
            <w:tcW w:w="67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Officer</w:t>
            </w:r>
          </w:p>
        </w:tc>
        <w:tc>
          <w:tcPr>
            <w:tcW w:w="660" w:type="dxa"/>
            <w:vAlign w:val="bottom"/>
          </w:tcPr>
          <w:p>
            <w:pPr>
              <w:spacing w:after="0"/>
              <w:rPr>
                <w:sz w:val="18"/>
                <w:szCs w:val="18"/>
                <w:color w:val="auto"/>
              </w:rPr>
            </w:pPr>
          </w:p>
        </w:tc>
      </w:tr>
      <w:tr>
        <w:trPr>
          <w:trHeight w:val="230"/>
        </w:trPr>
        <w:tc>
          <w:tcPr>
            <w:tcW w:w="67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660" w:type="dxa"/>
            <w:vAlign w:val="bottom"/>
          </w:tcPr>
          <w:p>
            <w:pPr>
              <w:spacing w:after="0"/>
              <w:rPr>
                <w:sz w:val="19"/>
                <w:szCs w:val="19"/>
                <w:color w:val="auto"/>
              </w:rPr>
            </w:pPr>
          </w:p>
        </w:tc>
      </w:tr>
      <w:tr>
        <w:trPr>
          <w:trHeight w:val="215"/>
        </w:trPr>
        <w:tc>
          <w:tcPr>
            <w:tcW w:w="6740" w:type="dxa"/>
            <w:vAlign w:val="bottom"/>
            <w:tcBorders>
              <w:bottom w:val="single" w:sz="8" w:color="EEEEEE"/>
            </w:tcBorders>
          </w:tcPr>
          <w:p>
            <w:pPr>
              <w:spacing w:after="0"/>
              <w:rPr>
                <w:sz w:val="18"/>
                <w:szCs w:val="18"/>
                <w:color w:val="auto"/>
              </w:rPr>
            </w:pPr>
          </w:p>
        </w:tc>
        <w:tc>
          <w:tcPr>
            <w:tcW w:w="3820" w:type="dxa"/>
            <w:vAlign w:val="bottom"/>
            <w:tcBorders>
              <w:bottom w:val="single" w:sz="8" w:color="EEEEEE"/>
            </w:tcBorders>
          </w:tcPr>
          <w:p>
            <w:pPr>
              <w:spacing w:after="0"/>
              <w:rPr>
                <w:sz w:val="18"/>
                <w:szCs w:val="18"/>
                <w:color w:val="auto"/>
              </w:rPr>
            </w:pPr>
          </w:p>
        </w:tc>
        <w:tc>
          <w:tcPr>
            <w:tcW w:w="66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95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 connection with the Quarterly Report of Cass Information Systems, Inc. (“the Company”) on Form 10-Q for the period ended June 30, 2020 as filed with the Securities and Exchange Commission on the date hereof (the “Report”), I, Eric H. Brunngraber, Chairman, President and Chief Executive Officer of the Company, certify, pursuant to 18 U.S.C. § 1350, as adopted pursuant to § 906 of the Sarbanes-Oxley Act of 2002, that:</w:t>
      </w:r>
    </w:p>
    <w:p>
      <w:pPr>
        <w:spacing w:after="0" w:line="395" w:lineRule="exact"/>
        <w:rPr>
          <w:sz w:val="20"/>
          <w:szCs w:val="20"/>
          <w:color w:val="auto"/>
        </w:rPr>
      </w:pPr>
    </w:p>
    <w:p>
      <w:pPr>
        <w:ind w:left="720" w:hanging="353"/>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5" w:lineRule="exact"/>
        <w:rPr>
          <w:rFonts w:ascii="Arial" w:cs="Arial" w:eastAsia="Arial" w:hAnsi="Arial"/>
          <w:sz w:val="18"/>
          <w:szCs w:val="18"/>
          <w:color w:val="auto"/>
        </w:rPr>
      </w:pPr>
    </w:p>
    <w:p>
      <w:pPr>
        <w:ind w:left="720" w:hanging="353"/>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4281170</wp:posOffset>
            </wp:positionH>
            <wp:positionV relativeFrom="paragraph">
              <wp:posOffset>14605</wp:posOffset>
            </wp:positionV>
            <wp:extent cx="24206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Eric H. Brunngraber</w:t>
      </w:r>
    </w:p>
    <w:p>
      <w:pPr>
        <w:spacing w:after="0" w:line="2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August 6, 2020</w:t>
      </w:r>
    </w:p>
    <w:p>
      <w:pPr>
        <w:spacing w:after="0" w:line="200" w:lineRule="exact"/>
        <w:rPr>
          <w:sz w:val="20"/>
          <w:szCs w:val="20"/>
          <w:color w:val="auto"/>
        </w:rPr>
      </w:pP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95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 connection with the Quarterly Report of Cass Information Systems, Inc. (“the Company”) on Form 10-Q for the period ended June 30, 2020 as filed with the Securities and Exchange Commission on the date hereof (the “Report”), I, P. Stephen Appelbaum, Executive Vice President and Chief Financial Officer of the Company, certify, pursuant to 18 U.S.C. § 1350, as adopted pursuant to § 906 of the Sarbanes-Oxley Act of 2002, that:</w:t>
      </w:r>
    </w:p>
    <w:p>
      <w:pPr>
        <w:spacing w:after="0" w:line="200" w:lineRule="exact"/>
        <w:rPr>
          <w:sz w:val="20"/>
          <w:szCs w:val="20"/>
          <w:color w:val="auto"/>
        </w:rPr>
      </w:pPr>
    </w:p>
    <w:p>
      <w:pPr>
        <w:spacing w:after="0" w:line="208" w:lineRule="exact"/>
        <w:rPr>
          <w:sz w:val="20"/>
          <w:szCs w:val="20"/>
          <w:color w:val="auto"/>
        </w:rPr>
      </w:pPr>
    </w:p>
    <w:p>
      <w:pPr>
        <w:ind w:left="720" w:hanging="353"/>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5" w:lineRule="exact"/>
        <w:rPr>
          <w:rFonts w:ascii="Arial" w:cs="Arial" w:eastAsia="Arial" w:hAnsi="Arial"/>
          <w:sz w:val="18"/>
          <w:szCs w:val="18"/>
          <w:color w:val="auto"/>
        </w:rPr>
      </w:pPr>
    </w:p>
    <w:p>
      <w:pPr>
        <w:ind w:left="720" w:hanging="353"/>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4281170</wp:posOffset>
            </wp:positionH>
            <wp:positionV relativeFrom="paragraph">
              <wp:posOffset>14605</wp:posOffset>
            </wp:positionV>
            <wp:extent cx="24206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 Stephen Appelbaum</w:t>
      </w:r>
    </w:p>
    <w:p>
      <w:pPr>
        <w:spacing w:after="0" w:line="2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Executive Vice President and Chief Financial</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August 6, 2020</w:t>
      </w:r>
    </w:p>
    <w:p>
      <w:pPr>
        <w:spacing w:after="0" w:line="200" w:lineRule="exact"/>
        <w:rPr>
          <w:sz w:val="20"/>
          <w:szCs w:val="20"/>
          <w:color w:val="auto"/>
        </w:rPr>
      </w:pPr>
    </w:p>
    <w:p>
      <w:pPr>
        <w:spacing w:after="0" w:line="23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95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bullet"/>
      <w:start w:val="1"/>
    </w:lvl>
  </w:abstractNum>
  <w:abstractNum w:abstractNumId="6">
    <w:nsid w:val="140E0F76"/>
    <w:multiLevelType w:val="hybridMultilevel"/>
    <w:lvl w:ilvl="0">
      <w:lvlJc w:val="left"/>
      <w:lvlText w:val="1"/>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2"/>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2020-08-06T11:46:13Z</dcterms:created>
  <dcterms:modified xsi:type="dcterms:W3CDTF">2020-08-06T11:46:13Z</dcterms:modified>
</cp:coreProperties>
</file>