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18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auto"/>
        </w:rPr>
        <w:t>(Mark One)</w:t>
      </w:r>
    </w:p>
    <w:p>
      <w:pPr>
        <w:sectPr>
          <w:pgSz w:w="11900" w:h="16838" w:orient="portrait"/>
          <w:cols w:equalWidth="0" w:num="1">
            <w:col w:w="11240"/>
          </w:cols>
          <w:pgMar w:left="320" w:top="225" w:right="339" w:bottom="1440" w:gutter="0" w:footer="0" w:header="0"/>
        </w:sectPr>
      </w:pPr>
    </w:p>
    <w:p>
      <w:pPr>
        <w:spacing w:after="0" w:line="15" w:lineRule="exact"/>
        <w:rPr>
          <w:sz w:val="24"/>
          <w:szCs w:val="24"/>
          <w:color w:val="auto"/>
        </w:rPr>
      </w:pPr>
    </w:p>
    <w:p>
      <w:pPr>
        <w:ind w:left="3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2660"/>
        <w:spacing w:after="0"/>
        <w:rPr>
          <w:sz w:val="20"/>
          <w:szCs w:val="20"/>
          <w:color w:val="auto"/>
        </w:rPr>
      </w:pPr>
      <w:r>
        <w:rPr>
          <w:rFonts w:ascii="Times New Roman" w:cs="Times New Roman" w:eastAsia="Times New Roman" w:hAnsi="Times New Roman"/>
          <w:sz w:val="17"/>
          <w:szCs w:val="17"/>
          <w:color w:val="auto"/>
        </w:rPr>
        <w:t>ANNUAL REPORT PURSUANT TO SECTION 13 OR 15(d) OF THE SECURITIES</w:t>
      </w:r>
    </w:p>
    <w:p>
      <w:pPr>
        <w:spacing w:after="0" w:line="39" w:lineRule="exact"/>
        <w:rPr>
          <w:sz w:val="24"/>
          <w:szCs w:val="24"/>
          <w:color w:val="auto"/>
        </w:rPr>
      </w:pPr>
    </w:p>
    <w:p>
      <w:pPr>
        <w:jc w:val="center"/>
        <w:ind w:right="2660"/>
        <w:spacing w:after="0"/>
        <w:rPr>
          <w:sz w:val="20"/>
          <w:szCs w:val="20"/>
          <w:color w:val="auto"/>
        </w:rPr>
      </w:pPr>
      <w:r>
        <w:rPr>
          <w:rFonts w:ascii="Times New Roman" w:cs="Times New Roman" w:eastAsia="Times New Roman" w:hAnsi="Times New Roman"/>
          <w:sz w:val="18"/>
          <w:szCs w:val="18"/>
          <w:color w:val="auto"/>
        </w:rPr>
        <w:t>EXCHANGE ACT OF 1934</w:t>
      </w:r>
    </w:p>
    <w:p>
      <w:pPr>
        <w:spacing w:after="0" w:line="9" w:lineRule="exact"/>
        <w:rPr>
          <w:sz w:val="24"/>
          <w:szCs w:val="24"/>
          <w:color w:val="auto"/>
        </w:rPr>
      </w:pPr>
    </w:p>
    <w:p>
      <w:pPr>
        <w:jc w:val="center"/>
        <w:ind w:right="2660"/>
        <w:spacing w:after="0"/>
        <w:rPr>
          <w:sz w:val="20"/>
          <w:szCs w:val="20"/>
          <w:color w:val="auto"/>
        </w:rPr>
      </w:pPr>
      <w:r>
        <w:rPr>
          <w:rFonts w:ascii="Times New Roman" w:cs="Times New Roman" w:eastAsia="Times New Roman" w:hAnsi="Times New Roman"/>
          <w:sz w:val="18"/>
          <w:szCs w:val="18"/>
          <w:color w:val="auto"/>
        </w:rPr>
        <w:t>For the fiscal year ended December 31, 2020</w:t>
      </w:r>
    </w:p>
    <w:p>
      <w:pPr>
        <w:spacing w:after="0" w:line="178" w:lineRule="exact"/>
        <w:rPr>
          <w:sz w:val="24"/>
          <w:szCs w:val="24"/>
          <w:color w:val="auto"/>
        </w:rPr>
      </w:pPr>
    </w:p>
    <w:p>
      <w:pPr>
        <w:sectPr>
          <w:pgSz w:w="11900" w:h="16838" w:orient="portrait"/>
          <w:cols w:equalWidth="0" w:num="2">
            <w:col w:w="1600" w:space="720"/>
            <w:col w:w="8920"/>
          </w:cols>
          <w:pgMar w:left="320" w:top="225" w:right="339" w:bottom="1440" w:gutter="0" w:footer="0" w:header="0"/>
          <w:type w:val="continuous"/>
        </w:sectPr>
      </w:pPr>
    </w:p>
    <w:p>
      <w:pPr>
        <w:ind w:left="3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3040"/>
        <w:spacing w:after="0" w:line="266" w:lineRule="auto"/>
        <w:rPr>
          <w:sz w:val="20"/>
          <w:szCs w:val="20"/>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 to _______</w:t>
      </w:r>
    </w:p>
    <w:p>
      <w:pPr>
        <w:spacing w:after="0" w:line="162" w:lineRule="exact"/>
        <w:rPr>
          <w:sz w:val="24"/>
          <w:szCs w:val="24"/>
          <w:color w:val="auto"/>
        </w:rPr>
      </w:pPr>
    </w:p>
    <w:p>
      <w:pPr>
        <w:sectPr>
          <w:pgSz w:w="11900" w:h="16838" w:orient="portrait"/>
          <w:cols w:equalWidth="0" w:num="2">
            <w:col w:w="1980" w:space="720"/>
            <w:col w:w="8540"/>
          </w:cols>
          <w:pgMar w:left="320" w:top="225"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000-20827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154305</wp:posOffset>
            </wp:positionV>
            <wp:extent cx="41148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1480" cy="3600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CASS INFORMATION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540" w:type="dxa"/>
            <w:vAlign w:val="bottom"/>
            <w:gridSpan w:val="6"/>
          </w:tcPr>
          <w:p>
            <w:pPr>
              <w:ind w:left="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Missouri</w:t>
            </w: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43-1265338</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520" w:type="dxa"/>
            <w:vAlign w:val="bottom"/>
            <w:gridSpan w:val="8"/>
          </w:tcPr>
          <w:p>
            <w:pPr>
              <w:ind w:left="128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7520" w:type="dxa"/>
            <w:vAlign w:val="bottom"/>
            <w:tcBorders>
              <w:bottom w:val="single" w:sz="8" w:color="auto"/>
            </w:tcBorders>
            <w:gridSpan w:val="8"/>
          </w:tcPr>
          <w:p>
            <w:pPr>
              <w:ind w:left="1140"/>
              <w:spacing w:after="0"/>
              <w:rPr>
                <w:sz w:val="20"/>
                <w:szCs w:val="20"/>
                <w:color w:val="auto"/>
              </w:rPr>
            </w:pPr>
            <w:r>
              <w:rPr>
                <w:rFonts w:ascii="Times New Roman" w:cs="Times New Roman" w:eastAsia="Times New Roman" w:hAnsi="Times New Roman"/>
                <w:sz w:val="18"/>
                <w:szCs w:val="18"/>
                <w:color w:val="auto"/>
              </w:rPr>
              <w:t>12444 Powerscourt Drive, Suite 550, St. Louis, Missouri 63131</w:t>
            </w:r>
          </w:p>
        </w:tc>
        <w:tc>
          <w:tcPr>
            <w:tcW w:w="3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 506-5500</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color w:val="auto"/>
              </w:rPr>
              <w:t>(Zip Code)</w:t>
            </w:r>
          </w:p>
        </w:tc>
        <w:tc>
          <w:tcPr>
            <w:tcW w:w="3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(Telephone Number, incl. area code)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1"/>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1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Title of each class</w:t>
            </w:r>
          </w:p>
        </w:tc>
        <w:tc>
          <w:tcPr>
            <w:tcW w:w="1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Trading Symbol</w:t>
            </w:r>
          </w:p>
        </w:tc>
        <w:tc>
          <w:tcPr>
            <w:tcW w:w="900" w:type="dxa"/>
            <w:vAlign w:val="bottom"/>
            <w:gridSpan w:val="2"/>
          </w:tcPr>
          <w:p>
            <w:pPr>
              <w:spacing w:after="0"/>
              <w:rPr>
                <w:sz w:val="16"/>
                <w:szCs w:val="16"/>
                <w:color w:val="auto"/>
              </w:rPr>
            </w:pPr>
          </w:p>
        </w:tc>
        <w:tc>
          <w:tcPr>
            <w:tcW w:w="3240" w:type="dxa"/>
            <w:vAlign w:val="bottom"/>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Common Stock, par value $0.50 per share</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CASS</w:t>
            </w:r>
          </w:p>
        </w:tc>
        <w:tc>
          <w:tcPr>
            <w:tcW w:w="3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tc>
        <w:tc>
          <w:tcPr>
            <w:tcW w:w="900" w:type="dxa"/>
            <w:vAlign w:val="bottom"/>
          </w:tcPr>
          <w:p>
            <w:pPr>
              <w:spacing w:after="0"/>
              <w:rPr>
                <w:sz w:val="24"/>
                <w:szCs w:val="24"/>
                <w:color w:val="auto"/>
              </w:rPr>
            </w:pPr>
          </w:p>
        </w:tc>
        <w:tc>
          <w:tcPr>
            <w:tcW w:w="13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820" w:type="dxa"/>
            <w:vAlign w:val="bottom"/>
            <w:vMerge w:val="restart"/>
          </w:tcPr>
          <w:p>
            <w:pPr>
              <w:spacing w:after="0"/>
              <w:rPr>
                <w:sz w:val="24"/>
                <w:szCs w:val="24"/>
                <w:color w:val="auto"/>
              </w:rPr>
            </w:pPr>
          </w:p>
        </w:tc>
        <w:tc>
          <w:tcPr>
            <w:tcW w:w="3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Borders>
              <w:bottom w:val="single" w:sz="8" w:color="auto"/>
            </w:tcBorders>
            <w:gridSpan w:val="3"/>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3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7"/>
              </w:rPr>
              <w:t>None</w:t>
            </w:r>
          </w:p>
        </w:tc>
        <w:tc>
          <w:tcPr>
            <w:tcW w:w="3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0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500" w:type="dxa"/>
            <w:vAlign w:val="bottom"/>
            <w:gridSpan w:val="2"/>
            <w:vMerge w:val="restart"/>
          </w:tcPr>
          <w:p>
            <w:pPr>
              <w:jc w:val="right"/>
              <w:ind w:righ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40" w:type="dxa"/>
            <w:vAlign w:val="bottom"/>
            <w:gridSpan w:val="2"/>
          </w:tcPr>
          <w:p>
            <w:pPr>
              <w:ind w:left="260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5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tc>
        <w:tc>
          <w:tcPr>
            <w:tcW w:w="500" w:type="dxa"/>
            <w:vAlign w:val="bottom"/>
            <w:gridSpan w:val="2"/>
            <w:vMerge w:val="restart"/>
          </w:tcPr>
          <w:p>
            <w:pPr>
              <w:jc w:val="right"/>
              <w:ind w:righ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40" w:type="dxa"/>
            <w:vAlign w:val="bottom"/>
            <w:gridSpan w:val="2"/>
          </w:tcPr>
          <w:p>
            <w:pPr>
              <w:ind w:left="260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5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10"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120"/>
        <w:spacing w:after="0" w:line="207" w:lineRule="exact"/>
        <w:tabs>
          <w:tab w:leader="none" w:pos="108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44"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120"/>
        <w:spacing w:after="0" w:line="207" w:lineRule="exact"/>
        <w:tabs>
          <w:tab w:leader="none" w:pos="108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31"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12"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2"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ind w:left="10120"/>
        <w:spacing w:after="0" w:line="207" w:lineRule="exact"/>
        <w:tabs>
          <w:tab w:leader="none" w:pos="108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was approximately $550,311,000 based on the closing price of the common stock of $39.03 on June 30, 2020, as reported by The Nasdaq Global Select Market. As of February 17, 2021, the Registrant had 14,394,275 shares outstanding of common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information required for Part III of this report is incorporated by reference to the Registrant’s Proxy Statement for the 2021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CASS INFORMATION SYSTEMS, INC.</w:t>
      </w:r>
    </w:p>
    <w:p>
      <w:pPr>
        <w:spacing w:after="0" w:line="31"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FORM 10-K ANNUAL REPORT</w:t>
      </w:r>
    </w:p>
    <w:p>
      <w:pPr>
        <w:spacing w:after="0" w:line="9"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PART I.</w:t>
        </w:r>
      </w:hyperlink>
    </w:p>
    <w:p>
      <w:pPr>
        <w:spacing w:after="0" w:line="77" w:lineRule="exact"/>
        <w:rPr>
          <w:sz w:val="20"/>
          <w:szCs w:val="20"/>
          <w:color w:val="auto"/>
        </w:rPr>
      </w:pPr>
    </w:p>
    <w:p>
      <w:pPr>
        <w:spacing w:after="0"/>
        <w:tabs>
          <w:tab w:leader="none" w:pos="900" w:val="left"/>
        </w:tabs>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Item 1.</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8"/>
            <w:szCs w:val="18"/>
            <w:u w:val="single" w:color="auto"/>
            <w:color w:val="0000EE"/>
          </w:rPr>
          <w:t>BUSINESS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8"/>
            <w:szCs w:val="18"/>
            <w:u w:val="single" w:color="auto"/>
            <w:color w:val="0000EE"/>
          </w:rPr>
          <w:t>Item 1A</w:t>
        </w:r>
        <w:r>
          <w:rPr>
            <w:rFonts w:ascii="Times New Roman" w:cs="Times New Roman" w:eastAsia="Times New Roman" w:hAnsi="Times New Roman"/>
            <w:sz w:val="18"/>
            <w:szCs w:val="18"/>
            <w:color w:val="0000EE"/>
          </w:rPr>
          <w:t>.</w:t>
        </w:r>
      </w:hyperlink>
      <w:r>
        <w:rPr>
          <w:rFonts w:ascii="Times New Roman" w:cs="Times New Roman" w:eastAsia="Times New Roman" w:hAnsi="Times New Roman"/>
          <w:sz w:val="18"/>
          <w:szCs w:val="18"/>
          <w:color w:val="0000EE"/>
        </w:rPr>
        <w:tab/>
      </w:r>
      <w:hyperlink w:anchor="page11">
        <w:r>
          <w:rPr>
            <w:rFonts w:ascii="Times New Roman" w:cs="Times New Roman" w:eastAsia="Times New Roman" w:hAnsi="Times New Roman"/>
            <w:sz w:val="17"/>
            <w:szCs w:val="17"/>
            <w:u w:val="single" w:color="auto"/>
            <w:color w:val="0000EE"/>
          </w:rPr>
          <w:t>RISK FACTORS</w:t>
        </w:r>
      </w:hyperlink>
    </w:p>
    <w:p>
      <w:pPr>
        <w:spacing w:after="0" w:line="77"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hyperlink w:anchor="page18">
        <w:r>
          <w:rPr>
            <w:rFonts w:ascii="Times New Roman" w:cs="Times New Roman" w:eastAsia="Times New Roman" w:hAnsi="Times New Roman"/>
            <w:sz w:val="18"/>
            <w:szCs w:val="18"/>
            <w:u w:val="single" w:color="auto"/>
            <w:color w:val="0000EE"/>
          </w:rPr>
          <w:t>Item 1B.</w:t>
        </w:r>
      </w:hyperlink>
      <w:r>
        <w:rPr>
          <w:rFonts w:ascii="Times New Roman" w:cs="Times New Roman" w:eastAsia="Times New Roman" w:hAnsi="Times New Roman"/>
          <w:sz w:val="18"/>
          <w:szCs w:val="18"/>
          <w:u w:val="single" w:color="auto"/>
          <w:color w:val="0000EE"/>
        </w:rPr>
        <w:tab/>
      </w:r>
      <w:hyperlink w:anchor="page18">
        <w:r>
          <w:rPr>
            <w:rFonts w:ascii="Times New Roman" w:cs="Times New Roman" w:eastAsia="Times New Roman" w:hAnsi="Times New Roman"/>
            <w:sz w:val="17"/>
            <w:szCs w:val="17"/>
            <w:u w:val="single" w:color="auto"/>
            <w:color w:val="0000EE"/>
          </w:rPr>
          <w:t>UNRESOLVED STAFF COMMENTS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hyperlink w:anchor="page18">
        <w:r>
          <w:rPr>
            <w:rFonts w:ascii="Times New Roman" w:cs="Times New Roman" w:eastAsia="Times New Roman" w:hAnsi="Times New Roman"/>
            <w:sz w:val="18"/>
            <w:szCs w:val="18"/>
            <w:u w:val="single" w:color="auto"/>
            <w:color w:val="0000EE"/>
          </w:rPr>
          <w:t>Item 2.</w:t>
        </w:r>
      </w:hyperlink>
      <w:r>
        <w:rPr>
          <w:rFonts w:ascii="Times New Roman" w:cs="Times New Roman" w:eastAsia="Times New Roman" w:hAnsi="Times New Roman"/>
          <w:sz w:val="18"/>
          <w:szCs w:val="18"/>
          <w:u w:val="single" w:color="auto"/>
          <w:color w:val="0000EE"/>
        </w:rPr>
        <w:tab/>
      </w:r>
      <w:hyperlink w:anchor="page18">
        <w:r>
          <w:rPr>
            <w:rFonts w:ascii="Times New Roman" w:cs="Times New Roman" w:eastAsia="Times New Roman" w:hAnsi="Times New Roman"/>
            <w:sz w:val="17"/>
            <w:szCs w:val="17"/>
            <w:u w:val="single" w:color="auto"/>
            <w:color w:val="0000EE"/>
          </w:rPr>
          <w:t>PROPERTIES</w:t>
        </w:r>
      </w:hyperlink>
    </w:p>
    <w:p>
      <w:pPr>
        <w:spacing w:after="0" w:line="77" w:lineRule="exact"/>
        <w:rPr>
          <w:sz w:val="20"/>
          <w:szCs w:val="20"/>
          <w:color w:val="auto"/>
        </w:rPr>
      </w:pPr>
    </w:p>
    <w:p>
      <w:pPr>
        <w:spacing w:after="0"/>
        <w:tabs>
          <w:tab w:leader="none" w:pos="900" w:val="left"/>
        </w:tabs>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Item 3.</w:t>
        </w:r>
      </w:hyperlink>
      <w:r>
        <w:rPr>
          <w:rFonts w:ascii="Times New Roman" w:cs="Times New Roman" w:eastAsia="Times New Roman" w:hAnsi="Times New Roman"/>
          <w:sz w:val="18"/>
          <w:szCs w:val="18"/>
          <w:u w:val="single" w:color="auto"/>
          <w:color w:val="0000EE"/>
        </w:rPr>
        <w:tab/>
      </w:r>
      <w:hyperlink w:anchor="page18">
        <w:r>
          <w:rPr>
            <w:rFonts w:ascii="Times New Roman" w:cs="Times New Roman" w:eastAsia="Times New Roman" w:hAnsi="Times New Roman"/>
            <w:sz w:val="18"/>
            <w:szCs w:val="18"/>
            <w:u w:val="single" w:color="auto"/>
            <w:color w:val="0000EE"/>
          </w:rPr>
          <w:t>LEGAL PROCEEDINGS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hyperlink w:anchor="page18">
        <w:r>
          <w:rPr>
            <w:rFonts w:ascii="Times New Roman" w:cs="Times New Roman" w:eastAsia="Times New Roman" w:hAnsi="Times New Roman"/>
            <w:sz w:val="18"/>
            <w:szCs w:val="18"/>
            <w:u w:val="single" w:color="auto"/>
            <w:color w:val="0000EE"/>
          </w:rPr>
          <w:t>Item 4.</w:t>
        </w:r>
      </w:hyperlink>
      <w:r>
        <w:rPr>
          <w:rFonts w:ascii="Times New Roman" w:cs="Times New Roman" w:eastAsia="Times New Roman" w:hAnsi="Times New Roman"/>
          <w:sz w:val="18"/>
          <w:szCs w:val="18"/>
          <w:u w:val="single" w:color="auto"/>
          <w:color w:val="0000EE"/>
        </w:rPr>
        <w:tab/>
      </w:r>
      <w:hyperlink w:anchor="page18">
        <w:r>
          <w:rPr>
            <w:rFonts w:ascii="Times New Roman" w:cs="Times New Roman" w:eastAsia="Times New Roman" w:hAnsi="Times New Roman"/>
            <w:sz w:val="17"/>
            <w:szCs w:val="17"/>
            <w:u w:val="single" w:color="auto"/>
            <w:color w:val="0000EE"/>
          </w:rPr>
          <w:t>MINE SAFETY DISCLOSURES</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PART II.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57" w:lineRule="exact"/>
        <w:rPr>
          <w:sz w:val="20"/>
          <w:szCs w:val="20"/>
          <w:color w:val="auto"/>
        </w:rPr>
      </w:pPr>
    </w:p>
    <w:p>
      <w:pPr>
        <w:ind w:left="920" w:hanging="935"/>
        <w:spacing w:after="0" w:line="273" w:lineRule="auto"/>
        <w:tabs>
          <w:tab w:leader="none" w:pos="900" w:val="left"/>
        </w:tabs>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5.</w:t>
        </w:r>
      </w:hyperlink>
      <w:r>
        <w:rPr>
          <w:rFonts w:ascii="Times New Roman" w:cs="Times New Roman" w:eastAsia="Times New Roman" w:hAnsi="Times New Roman"/>
          <w:sz w:val="18"/>
          <w:szCs w:val="18"/>
          <w:u w:val="single" w:color="auto"/>
          <w:color w:val="0000EE"/>
        </w:rPr>
        <w:tab/>
      </w:r>
      <w:hyperlink w:anchor="page19">
        <w:r>
          <w:rPr>
            <w:rFonts w:ascii="Times New Roman" w:cs="Times New Roman" w:eastAsia="Times New Roman" w:hAnsi="Times New Roman"/>
            <w:sz w:val="18"/>
            <w:szCs w:val="18"/>
            <w:u w:val="single" w:color="auto"/>
            <w:color w:val="0000EE"/>
          </w:rPr>
          <w:t>MARKET FOR REGISTRANT’S COMMON EQUITY, RELATED STOCKHOLDER MATTERS AND ISSUER PURCHASES OF</w:t>
        </w:r>
      </w:hyperlink>
      <w:r>
        <w:rPr>
          <w:rFonts w:ascii="Times New Roman" w:cs="Times New Roman" w:eastAsia="Times New Roman" w:hAnsi="Times New Roman"/>
          <w:sz w:val="18"/>
          <w:szCs w:val="18"/>
          <w:u w:val="single" w:color="auto"/>
          <w:color w:val="0000EE"/>
        </w:rPr>
        <w:t xml:space="preserve"> </w:t>
      </w:r>
      <w:hyperlink w:anchor="page19">
        <w:r>
          <w:rPr>
            <w:rFonts w:ascii="Times New Roman" w:cs="Times New Roman" w:eastAsia="Times New Roman" w:hAnsi="Times New Roman"/>
            <w:sz w:val="18"/>
            <w:szCs w:val="18"/>
            <w:u w:val="single" w:color="auto"/>
            <w:color w:val="0000EE"/>
          </w:rPr>
          <w:t>EQUITY SECURITIES</w:t>
        </w:r>
      </w:hyperlink>
    </w:p>
    <w:p>
      <w:pPr>
        <w:spacing w:after="0" w:line="2" w:lineRule="exact"/>
        <w:rPr>
          <w:rFonts w:ascii="Times New Roman" w:cs="Times New Roman" w:eastAsia="Times New Roman" w:hAnsi="Times New Roman"/>
          <w:sz w:val="18"/>
          <w:szCs w:val="18"/>
          <w:u w:val="single" w:color="auto"/>
          <w:color w:val="0000EE"/>
        </w:rPr>
      </w:pPr>
    </w:p>
    <w:p>
      <w:pPr>
        <w:spacing w:after="0"/>
        <w:tabs>
          <w:tab w:leader="none" w:pos="900" w:val="left"/>
        </w:tabs>
        <w:rPr>
          <w:rFonts w:ascii="Times New Roman" w:cs="Times New Roman" w:eastAsia="Times New Roman" w:hAnsi="Times New Roman"/>
          <w:sz w:val="17"/>
          <w:szCs w:val="17"/>
          <w:u w:val="single" w:color="auto"/>
          <w:color w:val="0000EE"/>
        </w:rPr>
      </w:pPr>
      <w:hyperlink w:anchor="page21">
        <w:r>
          <w:rPr>
            <w:rFonts w:ascii="Times New Roman" w:cs="Times New Roman" w:eastAsia="Times New Roman" w:hAnsi="Times New Roman"/>
            <w:sz w:val="18"/>
            <w:szCs w:val="18"/>
            <w:u w:val="single" w:color="auto"/>
            <w:color w:val="0000EE"/>
          </w:rPr>
          <w:t>Item 6.</w:t>
        </w:r>
      </w:hyperlink>
      <w:r>
        <w:rPr>
          <w:rFonts w:ascii="Times New Roman" w:cs="Times New Roman" w:eastAsia="Times New Roman" w:hAnsi="Times New Roman"/>
          <w:sz w:val="18"/>
          <w:szCs w:val="18"/>
          <w:u w:val="single" w:color="auto"/>
          <w:color w:val="0000EE"/>
        </w:rPr>
        <w:tab/>
      </w:r>
      <w:hyperlink w:anchor="page21">
        <w:r>
          <w:rPr>
            <w:rFonts w:ascii="Times New Roman" w:cs="Times New Roman" w:eastAsia="Times New Roman" w:hAnsi="Times New Roman"/>
            <w:sz w:val="17"/>
            <w:szCs w:val="17"/>
            <w:u w:val="single" w:color="auto"/>
            <w:color w:val="0000EE"/>
          </w:rPr>
          <w:t>SELECTED FINANCIAL DATA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7"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hyperlink w:anchor="page21">
        <w:r>
          <w:rPr>
            <w:rFonts w:ascii="Times New Roman" w:cs="Times New Roman" w:eastAsia="Times New Roman" w:hAnsi="Times New Roman"/>
            <w:sz w:val="18"/>
            <w:szCs w:val="18"/>
            <w:u w:val="single" w:color="auto"/>
            <w:color w:val="0000EE"/>
          </w:rPr>
          <w:t>Item 7.</w:t>
        </w:r>
      </w:hyperlink>
      <w:r>
        <w:rPr>
          <w:rFonts w:ascii="Times New Roman" w:cs="Times New Roman" w:eastAsia="Times New Roman" w:hAnsi="Times New Roman"/>
          <w:sz w:val="18"/>
          <w:szCs w:val="18"/>
          <w:u w:val="single" w:color="auto"/>
          <w:color w:val="0000EE"/>
        </w:rPr>
        <w:tab/>
      </w:r>
      <w:hyperlink w:anchor="page21">
        <w:r>
          <w:rPr>
            <w:rFonts w:ascii="Times New Roman" w:cs="Times New Roman" w:eastAsia="Times New Roman" w:hAnsi="Times New Roman"/>
            <w:sz w:val="17"/>
            <w:szCs w:val="17"/>
            <w:u w:val="single" w:color="auto"/>
            <w:color w:val="0000EE"/>
          </w:rPr>
          <w:t>MANAGEMENT’S DISCUSSION AND ANALYSIS OF FINANCIAL CONDITION AND RESULTS OF OPERATIONS</w:t>
        </w:r>
      </w:hyperlink>
    </w:p>
    <w:p>
      <w:pPr>
        <w:spacing w:after="0" w:line="50"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hyperlink w:anchor="page36">
        <w:r>
          <w:rPr>
            <w:rFonts w:ascii="Times New Roman" w:cs="Times New Roman" w:eastAsia="Times New Roman" w:hAnsi="Times New Roman"/>
            <w:sz w:val="18"/>
            <w:szCs w:val="18"/>
            <w:u w:val="single" w:color="auto"/>
            <w:color w:val="0000EE"/>
          </w:rPr>
          <w:t>Item 7A</w:t>
        </w:r>
        <w:r>
          <w:rPr>
            <w:rFonts w:ascii="Times New Roman" w:cs="Times New Roman" w:eastAsia="Times New Roman" w:hAnsi="Times New Roman"/>
            <w:sz w:val="18"/>
            <w:szCs w:val="18"/>
            <w:color w:val="0000EE"/>
          </w:rPr>
          <w:t>.</w:t>
        </w:r>
      </w:hyperlink>
      <w:r>
        <w:rPr>
          <w:rFonts w:ascii="Times New Roman" w:cs="Times New Roman" w:eastAsia="Times New Roman" w:hAnsi="Times New Roman"/>
          <w:sz w:val="18"/>
          <w:szCs w:val="18"/>
          <w:color w:val="0000EE"/>
        </w:rPr>
        <w:tab/>
      </w:r>
      <w:hyperlink w:anchor="page36">
        <w:r>
          <w:rPr>
            <w:rFonts w:ascii="Times New Roman" w:cs="Times New Roman" w:eastAsia="Times New Roman" w:hAnsi="Times New Roman"/>
            <w:sz w:val="17"/>
            <w:szCs w:val="17"/>
            <w:u w:val="single" w:color="auto"/>
            <w:color w:val="0000EE"/>
          </w:rPr>
          <w:t>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hyperlink w:anchor="page38">
        <w:r>
          <w:rPr>
            <w:rFonts w:ascii="Times New Roman" w:cs="Times New Roman" w:eastAsia="Times New Roman" w:hAnsi="Times New Roman"/>
            <w:sz w:val="18"/>
            <w:szCs w:val="18"/>
            <w:u w:val="single" w:color="auto"/>
            <w:color w:val="0000EE"/>
          </w:rPr>
          <w:t>Item 8.</w:t>
        </w:r>
      </w:hyperlink>
      <w:r>
        <w:rPr>
          <w:rFonts w:ascii="Times New Roman" w:cs="Times New Roman" w:eastAsia="Times New Roman" w:hAnsi="Times New Roman"/>
          <w:sz w:val="18"/>
          <w:szCs w:val="18"/>
          <w:u w:val="single" w:color="auto"/>
          <w:color w:val="0000EE"/>
        </w:rPr>
        <w:tab/>
      </w:r>
      <w:hyperlink w:anchor="page38">
        <w:r>
          <w:rPr>
            <w:rFonts w:ascii="Times New Roman" w:cs="Times New Roman" w:eastAsia="Times New Roman" w:hAnsi="Times New Roman"/>
            <w:sz w:val="17"/>
            <w:szCs w:val="17"/>
            <w:u w:val="single" w:color="auto"/>
            <w:color w:val="0000EE"/>
          </w:rPr>
          <w:t>FINANCIAL STATEMENTS AND SUPPLEMENTARY DATA</w:t>
        </w:r>
      </w:hyperlink>
    </w:p>
    <w:p>
      <w:pPr>
        <w:spacing w:after="0" w:line="77"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hyperlink w:anchor="page73">
        <w:r>
          <w:rPr>
            <w:rFonts w:ascii="Times New Roman" w:cs="Times New Roman" w:eastAsia="Times New Roman" w:hAnsi="Times New Roman"/>
            <w:sz w:val="18"/>
            <w:szCs w:val="18"/>
            <w:u w:val="single" w:color="auto"/>
            <w:color w:val="0000EE"/>
          </w:rPr>
          <w:t>Item 9.</w:t>
        </w:r>
      </w:hyperlink>
      <w:r>
        <w:rPr>
          <w:rFonts w:ascii="Times New Roman" w:cs="Times New Roman" w:eastAsia="Times New Roman" w:hAnsi="Times New Roman"/>
          <w:sz w:val="18"/>
          <w:szCs w:val="18"/>
          <w:u w:val="single" w:color="auto"/>
          <w:color w:val="0000EE"/>
        </w:rPr>
        <w:tab/>
      </w:r>
      <w:hyperlink w:anchor="page73">
        <w:r>
          <w:rPr>
            <w:rFonts w:ascii="Times New Roman" w:cs="Times New Roman" w:eastAsia="Times New Roman" w:hAnsi="Times New Roman"/>
            <w:sz w:val="17"/>
            <w:szCs w:val="17"/>
            <w:u w:val="single" w:color="auto"/>
            <w:color w:val="0000EE"/>
          </w:rPr>
          <w:t>CHANGES IN AND DISAGREEMENTS WITH ACCOUNTANTS ON ACCOUNTING AND FINANCIAL DISCLOSURE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0"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hyperlink w:anchor="page73">
        <w:r>
          <w:rPr>
            <w:rFonts w:ascii="Times New Roman" w:cs="Times New Roman" w:eastAsia="Times New Roman" w:hAnsi="Times New Roman"/>
            <w:sz w:val="18"/>
            <w:szCs w:val="18"/>
            <w:u w:val="single" w:color="auto"/>
            <w:color w:val="0000EE"/>
          </w:rPr>
          <w:t>Item 9A</w:t>
        </w:r>
        <w:r>
          <w:rPr>
            <w:rFonts w:ascii="Times New Roman" w:cs="Times New Roman" w:eastAsia="Times New Roman" w:hAnsi="Times New Roman"/>
            <w:sz w:val="18"/>
            <w:szCs w:val="18"/>
            <w:color w:val="0000EE"/>
          </w:rPr>
          <w:t>.</w:t>
        </w:r>
      </w:hyperlink>
      <w:r>
        <w:rPr>
          <w:rFonts w:ascii="Times New Roman" w:cs="Times New Roman" w:eastAsia="Times New Roman" w:hAnsi="Times New Roman"/>
          <w:sz w:val="18"/>
          <w:szCs w:val="18"/>
          <w:color w:val="0000EE"/>
        </w:rPr>
        <w:tab/>
      </w:r>
      <w:hyperlink w:anchor="page73">
        <w:r>
          <w:rPr>
            <w:rFonts w:ascii="Times New Roman" w:cs="Times New Roman" w:eastAsia="Times New Roman" w:hAnsi="Times New Roman"/>
            <w:sz w:val="17"/>
            <w:szCs w:val="17"/>
            <w:u w:val="single" w:color="auto"/>
            <w:color w:val="0000EE"/>
          </w:rPr>
          <w:t>CONTROLS AND PROCEDURES</w:t>
        </w:r>
      </w:hyperlink>
    </w:p>
    <w:p>
      <w:pPr>
        <w:spacing w:after="0" w:line="77"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hyperlink w:anchor="page75">
        <w:r>
          <w:rPr>
            <w:rFonts w:ascii="Times New Roman" w:cs="Times New Roman" w:eastAsia="Times New Roman" w:hAnsi="Times New Roman"/>
            <w:sz w:val="18"/>
            <w:szCs w:val="18"/>
            <w:u w:val="single" w:color="auto"/>
            <w:color w:val="0000EE"/>
          </w:rPr>
          <w:t>Item 9B.</w:t>
        </w:r>
      </w:hyperlink>
      <w:r>
        <w:rPr>
          <w:rFonts w:ascii="Times New Roman" w:cs="Times New Roman" w:eastAsia="Times New Roman" w:hAnsi="Times New Roman"/>
          <w:sz w:val="18"/>
          <w:szCs w:val="18"/>
          <w:u w:val="single" w:color="auto"/>
          <w:color w:val="0000EE"/>
        </w:rPr>
        <w:tab/>
      </w:r>
      <w:hyperlink w:anchor="page75">
        <w:r>
          <w:rPr>
            <w:rFonts w:ascii="Times New Roman" w:cs="Times New Roman" w:eastAsia="Times New Roman" w:hAnsi="Times New Roman"/>
            <w:sz w:val="17"/>
            <w:szCs w:val="17"/>
            <w:u w:val="single" w:color="auto"/>
            <w:color w:val="0000EE"/>
          </w:rPr>
          <w:t>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PART III.</w:t>
        </w:r>
      </w:hyperlink>
    </w:p>
    <w:p>
      <w:pPr>
        <w:spacing w:after="0" w:line="77"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hyperlink w:anchor="page76">
        <w:r>
          <w:rPr>
            <w:rFonts w:ascii="Times New Roman" w:cs="Times New Roman" w:eastAsia="Times New Roman" w:hAnsi="Times New Roman"/>
            <w:sz w:val="18"/>
            <w:szCs w:val="18"/>
            <w:u w:val="single" w:color="auto"/>
            <w:color w:val="0000EE"/>
          </w:rPr>
          <w:t>Item 10</w:t>
        </w:r>
        <w:r>
          <w:rPr>
            <w:rFonts w:ascii="Times New Roman" w:cs="Times New Roman" w:eastAsia="Times New Roman" w:hAnsi="Times New Roman"/>
            <w:sz w:val="18"/>
            <w:szCs w:val="18"/>
            <w:color w:val="0000EE"/>
          </w:rPr>
          <w:t>.</w:t>
        </w:r>
      </w:hyperlink>
      <w:r>
        <w:rPr>
          <w:rFonts w:ascii="Times New Roman" w:cs="Times New Roman" w:eastAsia="Times New Roman" w:hAnsi="Times New Roman"/>
          <w:sz w:val="18"/>
          <w:szCs w:val="18"/>
          <w:color w:val="0000EE"/>
        </w:rPr>
        <w:tab/>
      </w:r>
      <w:hyperlink w:anchor="page76">
        <w:r>
          <w:rPr>
            <w:rFonts w:ascii="Times New Roman" w:cs="Times New Roman" w:eastAsia="Times New Roman" w:hAnsi="Times New Roman"/>
            <w:sz w:val="17"/>
            <w:szCs w:val="17"/>
            <w:u w:val="single" w:color="auto"/>
            <w:color w:val="0000EE"/>
          </w:rPr>
          <w:t>DIRECTORS, EXECUTIVE OFFICERS AND CORPORATE GOVERNANCE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hyperlink w:anchor="page76">
        <w:r>
          <w:rPr>
            <w:rFonts w:ascii="Times New Roman" w:cs="Times New Roman" w:eastAsia="Times New Roman" w:hAnsi="Times New Roman"/>
            <w:sz w:val="18"/>
            <w:szCs w:val="18"/>
            <w:u w:val="single" w:color="auto"/>
            <w:color w:val="0000EE"/>
          </w:rPr>
          <w:t>Item 11.</w:t>
        </w:r>
      </w:hyperlink>
      <w:r>
        <w:rPr>
          <w:rFonts w:ascii="Times New Roman" w:cs="Times New Roman" w:eastAsia="Times New Roman" w:hAnsi="Times New Roman"/>
          <w:sz w:val="18"/>
          <w:szCs w:val="18"/>
          <w:u w:val="single" w:color="auto"/>
          <w:color w:val="0000EE"/>
        </w:rPr>
        <w:tab/>
      </w:r>
      <w:hyperlink w:anchor="page76">
        <w:r>
          <w:rPr>
            <w:rFonts w:ascii="Times New Roman" w:cs="Times New Roman" w:eastAsia="Times New Roman" w:hAnsi="Times New Roman"/>
            <w:sz w:val="17"/>
            <w:szCs w:val="17"/>
            <w:u w:val="single" w:color="auto"/>
            <w:color w:val="0000EE"/>
          </w:rPr>
          <w:t>EXECUTIVE COMPENSATION</w:t>
        </w:r>
      </w:hyperlink>
    </w:p>
    <w:p>
      <w:pPr>
        <w:spacing w:after="0" w:line="77" w:lineRule="exact"/>
        <w:rPr>
          <w:sz w:val="20"/>
          <w:szCs w:val="20"/>
          <w:color w:val="auto"/>
        </w:rPr>
      </w:pPr>
    </w:p>
    <w:p>
      <w:pPr>
        <w:ind w:left="920" w:right="260" w:hanging="935"/>
        <w:spacing w:after="0" w:line="273" w:lineRule="auto"/>
        <w:tabs>
          <w:tab w:leader="none" w:pos="900" w:val="left"/>
        </w:tabs>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Item 12</w:t>
        </w:r>
        <w:r>
          <w:rPr>
            <w:rFonts w:ascii="Times New Roman" w:cs="Times New Roman" w:eastAsia="Times New Roman" w:hAnsi="Times New Roman"/>
            <w:sz w:val="18"/>
            <w:szCs w:val="18"/>
            <w:color w:val="0000EE"/>
          </w:rPr>
          <w:t>.</w:t>
        </w:r>
      </w:hyperlink>
      <w:r>
        <w:rPr>
          <w:rFonts w:ascii="Times New Roman" w:cs="Times New Roman" w:eastAsia="Times New Roman" w:hAnsi="Times New Roman"/>
          <w:sz w:val="18"/>
          <w:szCs w:val="18"/>
          <w:color w:val="0000EE"/>
        </w:rPr>
        <w:tab/>
      </w:r>
      <w:hyperlink w:anchor="page76">
        <w:r>
          <w:rPr>
            <w:rFonts w:ascii="Times New Roman" w:cs="Times New Roman" w:eastAsia="Times New Roman" w:hAnsi="Times New Roman"/>
            <w:sz w:val="18"/>
            <w:szCs w:val="18"/>
            <w:u w:val="single" w:color="auto"/>
            <w:color w:val="0000EE"/>
          </w:rPr>
          <w:t>SECURITY OWNERSHIP OF CERTAIN BENEFICIAL OWNERS AND MANAGEMENT AND RELATED STOCKHOLDER</w:t>
        </w:r>
      </w:hyperlink>
      <w:r>
        <w:rPr>
          <w:rFonts w:ascii="Times New Roman" w:cs="Times New Roman" w:eastAsia="Times New Roman" w:hAnsi="Times New Roman"/>
          <w:sz w:val="18"/>
          <w:szCs w:val="18"/>
          <w:u w:val="single" w:color="auto"/>
          <w:color w:val="0000EE"/>
        </w:rPr>
        <w:t xml:space="preserve"> </w:t>
      </w:r>
      <w:hyperlink w:anchor="page76">
        <w:r>
          <w:rPr>
            <w:rFonts w:ascii="Times New Roman" w:cs="Times New Roman" w:eastAsia="Times New Roman" w:hAnsi="Times New Roman"/>
            <w:sz w:val="18"/>
            <w:szCs w:val="18"/>
            <w:u w:val="single" w:color="auto"/>
            <w:color w:val="0000EE"/>
          </w:rPr>
          <w:t>MATTERS</w:t>
        </w:r>
      </w:hyperlink>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tabs>
          <w:tab w:leader="none" w:pos="900" w:val="left"/>
        </w:tabs>
        <w:rPr>
          <w:rFonts w:ascii="Times New Roman" w:cs="Times New Roman" w:eastAsia="Times New Roman" w:hAnsi="Times New Roman"/>
          <w:sz w:val="17"/>
          <w:szCs w:val="17"/>
          <w:u w:val="single" w:color="auto"/>
          <w:color w:val="0000EE"/>
        </w:rPr>
      </w:pPr>
      <w:hyperlink w:anchor="page77">
        <w:r>
          <w:rPr>
            <w:rFonts w:ascii="Times New Roman" w:cs="Times New Roman" w:eastAsia="Times New Roman" w:hAnsi="Times New Roman"/>
            <w:sz w:val="18"/>
            <w:szCs w:val="18"/>
            <w:u w:val="single" w:color="auto"/>
            <w:color w:val="0000EE"/>
          </w:rPr>
          <w:t>Item 13</w:t>
        </w:r>
        <w:r>
          <w:rPr>
            <w:rFonts w:ascii="Times New Roman" w:cs="Times New Roman" w:eastAsia="Times New Roman" w:hAnsi="Times New Roman"/>
            <w:sz w:val="18"/>
            <w:szCs w:val="18"/>
            <w:color w:val="0000EE"/>
          </w:rPr>
          <w:t>.</w:t>
        </w:r>
      </w:hyperlink>
      <w:r>
        <w:rPr>
          <w:rFonts w:ascii="Times New Roman" w:cs="Times New Roman" w:eastAsia="Times New Roman" w:hAnsi="Times New Roman"/>
          <w:sz w:val="18"/>
          <w:szCs w:val="18"/>
          <w:color w:val="0000EE"/>
        </w:rPr>
        <w:tab/>
      </w:r>
      <w:hyperlink w:anchor="page77">
        <w:r>
          <w:rPr>
            <w:rFonts w:ascii="Times New Roman" w:cs="Times New Roman" w:eastAsia="Times New Roman" w:hAnsi="Times New Roman"/>
            <w:sz w:val="17"/>
            <w:szCs w:val="17"/>
            <w:u w:val="single" w:color="auto"/>
            <w:color w:val="0000EE"/>
          </w:rPr>
          <w:t>CERTAIN RELATIONSHIPS AND RELATED TRANSACTIONS, AND DIRECTOR INDEPENDENCE</w:t>
        </w:r>
      </w:hyperlink>
    </w:p>
    <w:p>
      <w:pPr>
        <w:spacing w:after="0" w:line="77"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hyperlink w:anchor="page77">
        <w:r>
          <w:rPr>
            <w:rFonts w:ascii="Times New Roman" w:cs="Times New Roman" w:eastAsia="Times New Roman" w:hAnsi="Times New Roman"/>
            <w:sz w:val="18"/>
            <w:szCs w:val="18"/>
            <w:u w:val="single" w:color="auto"/>
            <w:color w:val="0000EE"/>
          </w:rPr>
          <w:t>Item 14</w:t>
        </w:r>
        <w:r>
          <w:rPr>
            <w:rFonts w:ascii="Times New Roman" w:cs="Times New Roman" w:eastAsia="Times New Roman" w:hAnsi="Times New Roman"/>
            <w:sz w:val="18"/>
            <w:szCs w:val="18"/>
            <w:color w:val="0000EE"/>
          </w:rPr>
          <w:t>.</w:t>
        </w:r>
      </w:hyperlink>
      <w:r>
        <w:rPr>
          <w:rFonts w:ascii="Times New Roman" w:cs="Times New Roman" w:eastAsia="Times New Roman" w:hAnsi="Times New Roman"/>
          <w:sz w:val="18"/>
          <w:szCs w:val="18"/>
          <w:color w:val="0000EE"/>
        </w:rPr>
        <w:tab/>
      </w:r>
      <w:hyperlink w:anchor="page77">
        <w:r>
          <w:rPr>
            <w:rFonts w:ascii="Times New Roman" w:cs="Times New Roman" w:eastAsia="Times New Roman" w:hAnsi="Times New Roman"/>
            <w:sz w:val="17"/>
            <w:szCs w:val="17"/>
            <w:u w:val="single" w:color="auto"/>
            <w:color w:val="0000EE"/>
          </w:rPr>
          <w:t>PRINCIPAL ACCOUNTANT FEES AND SERVICES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PART IV.</w:t>
        </w:r>
      </w:hyperlink>
    </w:p>
    <w:p>
      <w:pPr>
        <w:spacing w:after="0" w:line="77"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hyperlink w:anchor="page78">
        <w:r>
          <w:rPr>
            <w:rFonts w:ascii="Times New Roman" w:cs="Times New Roman" w:eastAsia="Times New Roman" w:hAnsi="Times New Roman"/>
            <w:sz w:val="18"/>
            <w:szCs w:val="18"/>
            <w:u w:val="single" w:color="auto"/>
            <w:color w:val="0000EE"/>
          </w:rPr>
          <w:t>Item 15</w:t>
        </w:r>
        <w:r>
          <w:rPr>
            <w:rFonts w:ascii="Times New Roman" w:cs="Times New Roman" w:eastAsia="Times New Roman" w:hAnsi="Times New Roman"/>
            <w:sz w:val="18"/>
            <w:szCs w:val="18"/>
            <w:color w:val="0000EE"/>
          </w:rPr>
          <w:t>.</w:t>
        </w:r>
      </w:hyperlink>
      <w:r>
        <w:rPr>
          <w:rFonts w:ascii="Times New Roman" w:cs="Times New Roman" w:eastAsia="Times New Roman" w:hAnsi="Times New Roman"/>
          <w:sz w:val="18"/>
          <w:szCs w:val="18"/>
          <w:color w:val="0000EE"/>
        </w:rPr>
        <w:tab/>
      </w:r>
      <w:hyperlink w:anchor="page78">
        <w:r>
          <w:rPr>
            <w:rFonts w:ascii="Times New Roman" w:cs="Times New Roman" w:eastAsia="Times New Roman" w:hAnsi="Times New Roman"/>
            <w:sz w:val="17"/>
            <w:szCs w:val="17"/>
            <w:u w:val="single" w:color="auto"/>
            <w:color w:val="0000EE"/>
          </w:rPr>
          <w:t>EXHIBITS AND FINANCIAL STATEMENT SCHEDULES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hyperlink w:anchor="page79">
        <w:r>
          <w:rPr>
            <w:rFonts w:ascii="Times New Roman" w:cs="Times New Roman" w:eastAsia="Times New Roman" w:hAnsi="Times New Roman"/>
            <w:sz w:val="18"/>
            <w:szCs w:val="18"/>
            <w:u w:val="single" w:color="auto"/>
            <w:color w:val="0000EE"/>
          </w:rPr>
          <w:t>Item 16</w:t>
        </w:r>
        <w:r>
          <w:rPr>
            <w:rFonts w:ascii="Times New Roman" w:cs="Times New Roman" w:eastAsia="Times New Roman" w:hAnsi="Times New Roman"/>
            <w:sz w:val="18"/>
            <w:szCs w:val="18"/>
            <w:color w:val="0000EE"/>
          </w:rPr>
          <w:t>.</w:t>
        </w:r>
      </w:hyperlink>
      <w:r>
        <w:rPr>
          <w:rFonts w:ascii="Times New Roman" w:cs="Times New Roman" w:eastAsia="Times New Roman" w:hAnsi="Times New Roman"/>
          <w:sz w:val="18"/>
          <w:szCs w:val="18"/>
          <w:color w:val="0000EE"/>
        </w:rPr>
        <w:tab/>
      </w:r>
      <w:hyperlink w:anchor="page79">
        <w:r>
          <w:rPr>
            <w:rFonts w:ascii="Times New Roman" w:cs="Times New Roman" w:eastAsia="Times New Roman" w:hAnsi="Times New Roman"/>
            <w:sz w:val="17"/>
            <w:szCs w:val="17"/>
            <w:u w:val="single" w:color="auto"/>
            <w:color w:val="0000EE"/>
          </w:rPr>
          <w:t>FORM 10-K SUMMARY</w:t>
        </w:r>
      </w:hyperlink>
    </w:p>
    <w:p>
      <w:pPr>
        <w:spacing w:after="0" w:line="77" w:lineRule="exact"/>
        <w:rPr>
          <w:sz w:val="20"/>
          <w:szCs w:val="20"/>
          <w:color w:val="auto"/>
        </w:rPr>
      </w:pPr>
    </w:p>
    <w:p>
      <w:pPr>
        <w:ind w:left="940"/>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SIGNATURES</w:t>
        </w:r>
      </w:hyperlink>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 Factors That May Affect Future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1</w:t>
        </w:r>
      </w:hyperlink>
    </w:p>
    <w:p>
      <w:pPr>
        <w:spacing w:after="0" w:line="77"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8</w:t>
        </w:r>
      </w:hyperlink>
    </w:p>
    <w:p>
      <w:pPr>
        <w:spacing w:after="0" w:line="77" w:lineRule="exact"/>
        <w:rPr>
          <w:sz w:val="20"/>
          <w:szCs w:val="20"/>
          <w:color w:val="auto"/>
        </w:rPr>
      </w:pPr>
    </w:p>
    <w:p>
      <w:pPr>
        <w:jc w:val="right"/>
        <w:spacing w:after="0"/>
        <w:rPr>
          <w:rFonts w:ascii="Times New Roman" w:cs="Times New Roman" w:eastAsia="Times New Roman" w:hAnsi="Times New Roman"/>
          <w:sz w:val="17"/>
          <w:szCs w:val="17"/>
          <w:u w:val="single" w:color="auto"/>
          <w:color w:val="0000EE"/>
        </w:rPr>
      </w:pPr>
      <w:hyperlink w:anchor="page18">
        <w:r>
          <w:rPr>
            <w:rFonts w:ascii="Times New Roman" w:cs="Times New Roman" w:eastAsia="Times New Roman" w:hAnsi="Times New Roman"/>
            <w:sz w:val="17"/>
            <w:szCs w:val="17"/>
            <w:u w:val="single" w:color="auto"/>
            <w:color w:val="0000EE"/>
          </w:rPr>
          <w:t>15</w:t>
        </w:r>
      </w:hyperlink>
    </w:p>
    <w:p>
      <w:pPr>
        <w:spacing w:after="0" w:line="88" w:lineRule="exact"/>
        <w:rPr>
          <w:sz w:val="20"/>
          <w:szCs w:val="20"/>
          <w:color w:val="auto"/>
        </w:rPr>
      </w:pPr>
    </w:p>
    <w:p>
      <w:pPr>
        <w:jc w:val="right"/>
        <w:spacing w:after="0"/>
        <w:rPr>
          <w:rFonts w:ascii="Times New Roman" w:cs="Times New Roman" w:eastAsia="Times New Roman" w:hAnsi="Times New Roman"/>
          <w:sz w:val="17"/>
          <w:szCs w:val="17"/>
          <w:u w:val="single" w:color="auto"/>
          <w:color w:val="0000EE"/>
        </w:rPr>
      </w:pPr>
      <w:hyperlink w:anchor="page18">
        <w:r>
          <w:rPr>
            <w:rFonts w:ascii="Times New Roman" w:cs="Times New Roman" w:eastAsia="Times New Roman" w:hAnsi="Times New Roman"/>
            <w:sz w:val="17"/>
            <w:szCs w:val="17"/>
            <w:u w:val="single" w:color="auto"/>
            <w:color w:val="0000EE"/>
          </w:rPr>
          <w:t>15</w:t>
        </w:r>
      </w:hyperlink>
    </w:p>
    <w:p>
      <w:pPr>
        <w:spacing w:after="0" w:line="88" w:lineRule="exact"/>
        <w:rPr>
          <w:sz w:val="20"/>
          <w:szCs w:val="20"/>
          <w:color w:val="auto"/>
        </w:rPr>
      </w:pPr>
    </w:p>
    <w:p>
      <w:pPr>
        <w:jc w:val="right"/>
        <w:spacing w:after="0"/>
        <w:rPr>
          <w:rFonts w:ascii="Times New Roman" w:cs="Times New Roman" w:eastAsia="Times New Roman" w:hAnsi="Times New Roman"/>
          <w:sz w:val="17"/>
          <w:szCs w:val="17"/>
          <w:u w:val="single" w:color="auto"/>
          <w:color w:val="0000EE"/>
        </w:rPr>
      </w:pPr>
      <w:hyperlink w:anchor="page18">
        <w:r>
          <w:rPr>
            <w:rFonts w:ascii="Times New Roman" w:cs="Times New Roman" w:eastAsia="Times New Roman" w:hAnsi="Times New Roman"/>
            <w:sz w:val="17"/>
            <w:szCs w:val="17"/>
            <w:u w:val="single" w:color="auto"/>
            <w:color w:val="0000EE"/>
          </w:rPr>
          <w:t>15</w:t>
        </w:r>
      </w:hyperlink>
    </w:p>
    <w:p>
      <w:pPr>
        <w:spacing w:after="0" w:line="88" w:lineRule="exact"/>
        <w:rPr>
          <w:sz w:val="20"/>
          <w:szCs w:val="20"/>
          <w:color w:val="auto"/>
        </w:rPr>
      </w:pPr>
    </w:p>
    <w:p>
      <w:pPr>
        <w:jc w:val="right"/>
        <w:spacing w:after="0"/>
        <w:rPr>
          <w:rFonts w:ascii="Times New Roman" w:cs="Times New Roman" w:eastAsia="Times New Roman" w:hAnsi="Times New Roman"/>
          <w:sz w:val="17"/>
          <w:szCs w:val="17"/>
          <w:u w:val="single" w:color="auto"/>
          <w:color w:val="0000EE"/>
        </w:rPr>
      </w:pPr>
      <w:hyperlink w:anchor="page18">
        <w:r>
          <w:rPr>
            <w:rFonts w:ascii="Times New Roman" w:cs="Times New Roman" w:eastAsia="Times New Roman" w:hAnsi="Times New Roman"/>
            <w:sz w:val="17"/>
            <w:szCs w:val="17"/>
            <w:u w:val="single" w:color="auto"/>
            <w:color w:val="0000EE"/>
          </w:rPr>
          <w:t>15</w:t>
        </w:r>
      </w:hyperlink>
    </w:p>
    <w:p>
      <w:pPr>
        <w:spacing w:after="0" w:line="200" w:lineRule="exact"/>
        <w:rPr>
          <w:sz w:val="20"/>
          <w:szCs w:val="20"/>
          <w:color w:val="auto"/>
        </w:rPr>
      </w:pPr>
    </w:p>
    <w:p>
      <w:pPr>
        <w:spacing w:after="0" w:line="361"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19">
        <w:r>
          <w:rPr>
            <w:rFonts w:ascii="Times New Roman" w:cs="Times New Roman" w:eastAsia="Times New Roman" w:hAnsi="Times New Roman"/>
            <w:sz w:val="17"/>
            <w:szCs w:val="17"/>
            <w:u w:val="single" w:color="auto"/>
            <w:color w:val="0000EE"/>
          </w:rPr>
          <w:t>16</w:t>
        </w:r>
      </w:hyperlink>
    </w:p>
    <w:p>
      <w:pPr>
        <w:spacing w:after="0" w:line="88"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21">
        <w:r>
          <w:rPr>
            <w:rFonts w:ascii="Times New Roman" w:cs="Times New Roman" w:eastAsia="Times New Roman" w:hAnsi="Times New Roman"/>
            <w:sz w:val="17"/>
            <w:szCs w:val="17"/>
            <w:u w:val="single" w:color="auto"/>
            <w:color w:val="0000EE"/>
          </w:rPr>
          <w:t>18</w:t>
        </w:r>
      </w:hyperlink>
    </w:p>
    <w:p>
      <w:pPr>
        <w:spacing w:after="0" w:line="61"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21">
        <w:r>
          <w:rPr>
            <w:rFonts w:ascii="Times New Roman" w:cs="Times New Roman" w:eastAsia="Times New Roman" w:hAnsi="Times New Roman"/>
            <w:sz w:val="17"/>
            <w:szCs w:val="17"/>
            <w:u w:val="single" w:color="auto"/>
            <w:color w:val="0000EE"/>
          </w:rPr>
          <w:t>18</w:t>
        </w:r>
      </w:hyperlink>
    </w:p>
    <w:p>
      <w:pPr>
        <w:spacing w:after="0" w:line="88"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36">
        <w:r>
          <w:rPr>
            <w:rFonts w:ascii="Times New Roman" w:cs="Times New Roman" w:eastAsia="Times New Roman" w:hAnsi="Times New Roman"/>
            <w:sz w:val="17"/>
            <w:szCs w:val="17"/>
            <w:u w:val="single" w:color="auto"/>
            <w:color w:val="0000EE"/>
          </w:rPr>
          <w:t>33</w:t>
        </w:r>
      </w:hyperlink>
    </w:p>
    <w:p>
      <w:pPr>
        <w:spacing w:after="0" w:line="88"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38">
        <w:r>
          <w:rPr>
            <w:rFonts w:ascii="Times New Roman" w:cs="Times New Roman" w:eastAsia="Times New Roman" w:hAnsi="Times New Roman"/>
            <w:sz w:val="17"/>
            <w:szCs w:val="17"/>
            <w:u w:val="single" w:color="auto"/>
            <w:color w:val="0000EE"/>
          </w:rPr>
          <w:t>35</w:t>
        </w:r>
      </w:hyperlink>
    </w:p>
    <w:p>
      <w:pPr>
        <w:spacing w:after="0" w:line="61"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73">
        <w:r>
          <w:rPr>
            <w:rFonts w:ascii="Times New Roman" w:cs="Times New Roman" w:eastAsia="Times New Roman" w:hAnsi="Times New Roman"/>
            <w:sz w:val="17"/>
            <w:szCs w:val="17"/>
            <w:u w:val="single" w:color="auto"/>
            <w:color w:val="0000EE"/>
          </w:rPr>
          <w:t>70</w:t>
        </w:r>
      </w:hyperlink>
    </w:p>
    <w:p>
      <w:pPr>
        <w:spacing w:after="0" w:line="88"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73">
        <w:r>
          <w:rPr>
            <w:rFonts w:ascii="Times New Roman" w:cs="Times New Roman" w:eastAsia="Times New Roman" w:hAnsi="Times New Roman"/>
            <w:sz w:val="17"/>
            <w:szCs w:val="17"/>
            <w:u w:val="single" w:color="auto"/>
            <w:color w:val="0000EE"/>
          </w:rPr>
          <w:t>70</w:t>
        </w:r>
      </w:hyperlink>
    </w:p>
    <w:p>
      <w:pPr>
        <w:spacing w:after="0" w:line="88"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75">
        <w:r>
          <w:rPr>
            <w:rFonts w:ascii="Times New Roman" w:cs="Times New Roman" w:eastAsia="Times New Roman" w:hAnsi="Times New Roman"/>
            <w:sz w:val="17"/>
            <w:szCs w:val="17"/>
            <w:u w:val="single" w:color="auto"/>
            <w:color w:val="0000EE"/>
          </w:rPr>
          <w:t>72</w:t>
        </w:r>
      </w:hyperlink>
    </w:p>
    <w:p>
      <w:pPr>
        <w:spacing w:after="0" w:line="372"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76">
        <w:r>
          <w:rPr>
            <w:rFonts w:ascii="Times New Roman" w:cs="Times New Roman" w:eastAsia="Times New Roman" w:hAnsi="Times New Roman"/>
            <w:sz w:val="17"/>
            <w:szCs w:val="17"/>
            <w:u w:val="single" w:color="auto"/>
            <w:color w:val="0000EE"/>
          </w:rPr>
          <w:t>73</w:t>
        </w:r>
      </w:hyperlink>
    </w:p>
    <w:p>
      <w:pPr>
        <w:spacing w:after="0" w:line="88"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76">
        <w:r>
          <w:rPr>
            <w:rFonts w:ascii="Times New Roman" w:cs="Times New Roman" w:eastAsia="Times New Roman" w:hAnsi="Times New Roman"/>
            <w:sz w:val="17"/>
            <w:szCs w:val="17"/>
            <w:u w:val="single" w:color="auto"/>
            <w:color w:val="0000EE"/>
          </w:rPr>
          <w:t>73</w:t>
        </w:r>
      </w:hyperlink>
    </w:p>
    <w:p>
      <w:pPr>
        <w:spacing w:after="0" w:line="277"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76">
        <w:r>
          <w:rPr>
            <w:rFonts w:ascii="Times New Roman" w:cs="Times New Roman" w:eastAsia="Times New Roman" w:hAnsi="Times New Roman"/>
            <w:sz w:val="17"/>
            <w:szCs w:val="17"/>
            <w:u w:val="single" w:color="auto"/>
            <w:color w:val="0000EE"/>
          </w:rPr>
          <w:t>73</w:t>
        </w:r>
      </w:hyperlink>
    </w:p>
    <w:p>
      <w:pPr>
        <w:spacing w:after="0" w:line="88"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77">
        <w:r>
          <w:rPr>
            <w:rFonts w:ascii="Times New Roman" w:cs="Times New Roman" w:eastAsia="Times New Roman" w:hAnsi="Times New Roman"/>
            <w:sz w:val="17"/>
            <w:szCs w:val="17"/>
            <w:u w:val="single" w:color="auto"/>
            <w:color w:val="0000EE"/>
          </w:rPr>
          <w:t>74</w:t>
        </w:r>
      </w:hyperlink>
    </w:p>
    <w:p>
      <w:pPr>
        <w:spacing w:after="0" w:line="88"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77">
        <w:r>
          <w:rPr>
            <w:rFonts w:ascii="Times New Roman" w:cs="Times New Roman" w:eastAsia="Times New Roman" w:hAnsi="Times New Roman"/>
            <w:sz w:val="17"/>
            <w:szCs w:val="17"/>
            <w:u w:val="single" w:color="auto"/>
            <w:color w:val="0000EE"/>
          </w:rPr>
          <w:t>74</w:t>
        </w:r>
      </w:hyperlink>
    </w:p>
    <w:p>
      <w:pPr>
        <w:spacing w:after="0" w:line="372"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78">
        <w:r>
          <w:rPr>
            <w:rFonts w:ascii="Times New Roman" w:cs="Times New Roman" w:eastAsia="Times New Roman" w:hAnsi="Times New Roman"/>
            <w:sz w:val="17"/>
            <w:szCs w:val="17"/>
            <w:u w:val="single" w:color="auto"/>
            <w:color w:val="0000EE"/>
          </w:rPr>
          <w:t>75</w:t>
        </w:r>
      </w:hyperlink>
    </w:p>
    <w:p>
      <w:pPr>
        <w:spacing w:after="0" w:line="88"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79">
        <w:r>
          <w:rPr>
            <w:rFonts w:ascii="Times New Roman" w:cs="Times New Roman" w:eastAsia="Times New Roman" w:hAnsi="Times New Roman"/>
            <w:sz w:val="17"/>
            <w:szCs w:val="17"/>
            <w:u w:val="single" w:color="auto"/>
            <w:color w:val="0000EE"/>
          </w:rPr>
          <w:t>76</w:t>
        </w:r>
      </w:hyperlink>
    </w:p>
    <w:p>
      <w:pPr>
        <w:spacing w:after="0" w:line="88"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80">
        <w:r>
          <w:rPr>
            <w:rFonts w:ascii="Times New Roman" w:cs="Times New Roman" w:eastAsia="Times New Roman" w:hAnsi="Times New Roman"/>
            <w:sz w:val="17"/>
            <w:szCs w:val="17"/>
            <w:u w:val="single" w:color="auto"/>
            <w:color w:val="0000EE"/>
          </w:rPr>
          <w:t>77</w:t>
        </w:r>
      </w:hyperlink>
    </w:p>
    <w:p>
      <w:pPr>
        <w:spacing w:after="0" w:line="626" w:lineRule="exact"/>
        <w:rPr>
          <w:sz w:val="20"/>
          <w:szCs w:val="20"/>
          <w:color w:val="auto"/>
        </w:rPr>
      </w:pPr>
    </w:p>
    <w:p>
      <w:pPr>
        <w:sectPr>
          <w:pgSz w:w="11900" w:h="16838" w:orient="portrait"/>
          <w:cols w:equalWidth="0" w:num="2">
            <w:col w:w="10540" w:space="520"/>
            <w:col w:w="180"/>
          </w:cols>
          <w:pgMar w:left="320" w:top="293" w:right="339" w:bottom="1440" w:gutter="0" w:footer="0" w:header="0"/>
        </w:sectPr>
      </w:pP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the section Part I, Item 1A, “Risk Factors.” We undertake no obligation to publicly update or revise any forward-looking statements to reflect changed assumptions, the occurrence of anticipated or unanticipated events, or changes to future results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Cass Information Systems, Inc. (“Cass” or the “Company”) provides payment and information processing services to large manufacturing, distribution and retail enterprises across the United States. The Company’s services include freight invoice rating, payment processing, auditing, and the generation of accounting and transportation information. Cass also processes and pays facility-related invoices, which include electricity and gas as well as waste and telecommunications expenses, and is a provider of telecom expense management solutions. Cass solutions include a B2B payment platform for clients that require an agile fintech partner. Additionally, the Company offers an on-line platform to provide generosity services for faith-based and non-profit organizations. The Company’s bank subsidiary, Cass Commercial Bank (the “Bank”), supports the Company’s payment operations. The Bank also provides banking services to its target markets, which include privately-owned businesses and faith-based ministries in the St. Louis metropolitan area as well as other selected cities in the United States.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Strategy and Core Competencies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Cass is an information services company with a primary focus on processing payables and payables-related transactions for large corporations located in the United States. Cass possesses four core competencies that encompass most of its processing services.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Data acquisition </w:t>
      </w:r>
      <w:r>
        <w:rPr>
          <w:rFonts w:ascii="Times New Roman" w:cs="Times New Roman" w:eastAsia="Times New Roman" w:hAnsi="Times New Roman"/>
          <w:sz w:val="18"/>
          <w:szCs w:val="18"/>
          <w:color w:val="auto"/>
        </w:rPr>
        <w:t>– This refers to the gathering of data elements from diverse, heterogeneous sources and the building of complete databases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Data is the raw material of the information economy. Cass gathers vital data from complex and diverse input documents, electronic media, proprietary databases and data feeds, including data acquired from vendor invoices as well as customer procurement and sales systems. Through its numerous methods of obtaining streams and pieces of raw data, Cass is able to assemble vital data into centralized data management systems and warehouses, thus producing an engine to create the power of information for managing critical corporate functions and processing systems.</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Data management </w:t>
      </w:r>
      <w:r>
        <w:rPr>
          <w:rFonts w:ascii="Times New Roman" w:cs="Times New Roman" w:eastAsia="Times New Roman" w:hAnsi="Times New Roman"/>
          <w:sz w:val="18"/>
          <w:szCs w:val="18"/>
          <w:color w:val="auto"/>
        </w:rPr>
        <w:t>– Once data is assembled, Cass is able to utilize the power from derived information to produce significant savings and benefits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This information is integrated into customers’ unique financial and accounting systems, eliminating the need for internal accounting processing and providing internal and external support for these critical systems. Information is also used to produce management and exception reporting for operational control, feedback, planning assistance and performance measurement.</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Business Intelligence </w:t>
      </w:r>
      <w:r>
        <w:rPr>
          <w:rFonts w:ascii="Times New Roman" w:cs="Times New Roman" w:eastAsia="Times New Roman" w:hAnsi="Times New Roman"/>
          <w:sz w:val="18"/>
          <w:szCs w:val="18"/>
          <w:color w:val="auto"/>
        </w:rPr>
        <w:t>– Receiving information in the right place at the right time and in the required format is paramount for business survival. Cass’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delivery solutions provide reports, digital images, data files and retrieval capabilities through the internet or directly into customer internal systems. Cass’ proprietary internet management delivery system is the foundation for driving these critical functions. Transaction, operational, control, status and processing exception information are all delivered through this system creating an efficient, accessible and highly reliable asset for Cass customers.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Financial exchange </w:t>
      </w:r>
      <w:r>
        <w:rPr>
          <w:rFonts w:ascii="Times New Roman" w:cs="Times New Roman" w:eastAsia="Times New Roman" w:hAnsi="Times New Roman"/>
          <w:sz w:val="18"/>
          <w:szCs w:val="18"/>
          <w:color w:val="auto"/>
        </w:rPr>
        <w:t>– Since Cass is unique among its competition in that it owns a commercial bank, it is also able to manage the movement of funds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customers to their suppliers. This is a distinguishing factor, which clearly requires the processing capability, operating systems and financial integrity of a banking organization. Cass provides immediate, accurate, controlled and protected funds management and transfer system capabilities for all of its customers. Old and costly check processing and delivery mechanisms are replaced with more efficient electronic cash management and funds transfer systems.</w:t>
      </w:r>
    </w:p>
    <w:p>
      <w:pPr>
        <w:spacing w:after="0" w:line="1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Cass’ core competencies allow it to perform the highest volumes of transaction processing in an integrated, efficient and systematic approach. Not only is Cass able to process the transaction, it is also able to collect the data defining the transaction and effect the financial payment governing its terms.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core competencies, enhanced through shared business processes, drive Cass’ strategic business units. Building upon these foundations, Cass continues to explore new business opportunities that leverage these competencies and processes.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Customers and Competition</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through its Transportation Information Services business unit, is one of the largest firms in the transportation bill processing and payment industry in the United States based on the total dollars of transportation bills paid and items processed. Competition consists of a few primary competitors and numerous small transportation bill audit firms located throughout the United States. While offering transportation payment services, few of these audit firms compete on a national basis. These competitors compete mainly on price, functionality and service levels. The Company, through its Expense Management business unit, also competes with other companies located throughout the United States that pay energy and waste bills and provide management reporting. Available data indicates that the Company is one of the largest providers of energy information processing and payment services. Cass is unique among these competitors in that it is not exclusively affiliated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any one energy service provider (“ESP”). Various ESPs market the Company’s services, adding value with their unique auditing, consulting and technological capabilities. Many of Cass’ services are customized for the ESPs, providing a full-featured solution without any development costs to the ESP. The Company, through its Telecom Information Services business unit, is a leader in the growing telecom expense management market and competes with other companies located throughout the United States in this market. The Company, through its Waste Expense Management business competes against small expense management companies along with large national account programs of major haulers. The Company division known as Gyve Generosity Services uses an on-line platform to provide generosity services for faith-based and non-profit organizations, which is a complementary service offering to the Bank’s faith-based customers. Also, the Company through its Integrated Financial Services business competes with providers of corporate payment solutions.</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Bank is organized as a Missouri trust company with banking powers and was founded in 1906. The Company was originally classified as a bank holding corporation due to its ownership of a federally-insured commercial bank and was originally organized in 1982 as Cass Commercial Corporation under the laws of Missouri. Approval by the Board of Governors of the Federal Reserve System was received in February 1983. The Company changed its name to Cass Information Systems, Inc. in January 2001. In December 2011, the Federal Reserve Bank (“FRB”) of St. Louis approved the election of Cass Information Systems, Inc. to become a financial holding company. As a financial holding company, Cass may engage in activities that are financial in nature or incidental to a financial activity. The Bank encounters competition from numerous banks and financial institutions located throughout the St. Louis, Missouri metropolitan area and other areas in which the Bank competes. The Bank’s principal competitors, however, are large bank holding companies that are able to offer a wide range of banking and related services through extensive branch networks. The Bank targets its services to privately held businesses located in the St. Louis, Missouri area and faith-based ministries located in St. Louis, Missouri and other selected cities located throughout the United States.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holds several trademarks for the payment and rating services it provides. These include: FreightPay®, Transdata®, Ratemaker®, Best Rate®, Rate Exchange®, CassPort®, Cass Freight Index®, Cass Truckload Linehaul Index®, Cass Intermodal Price Index® Expense$mart®, ExpenseSmart®, WasteVision™ and Direct2Carrier Payments™. The Company holds patents for methods and systems for managing employee-liable expenses and methods and systems for communicating expense management information.</w:t>
      </w:r>
    </w:p>
    <w:p>
      <w:pPr>
        <w:spacing w:after="0" w:line="1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have a varied client base and are not dependent on any one customer or group of customers for a significant portion of its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had 862 full-time and 239 part-time employees as of February 17, 2021. Of these employees, the Bank had 63 full-time and one part-time employee.</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Cass has long been committed to comprehensive and competitive compensation and benefits programs to attract and retain talent in a competitive environment. Retention of skilled and highly trained employees is critical as the Company’s future operating results depend substantially upon the continued service of executive officers and key personnel. Furthering the philosophy to attract and retain a pool of talented and motivated employees who will continue to advance the Company’s purpose and contribute to overall success, compensation and benefits programs include: a noncontributory profit sharing program for most employees; a defined contribution 401(k) plan to provide retirement benefits to eligible employees; a performance-based equity compensation program for executive officers and key personnel; and incentive programs for loan and sales personnel. Cass also provides comprehensive health, dental, and vision plans to most employees, as well as free employee assistance programs to all employees and members of their families.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invests in employees’ future by assisting with tuition reimbursement for continued education throughout the Company’s employee ranks.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are also able to participate in educational seminars run by outside parties to maintain and expand professional knowledge.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develop a workforce that aligns with the Company’s corporate values, regularly sponsored campaigns and events occur, such as charitable workplace campaigns, food drives to assist local food banks, and toy drives to support charities during the holidays. Additionally, the Company supports a number of organizations with annual financial contributions.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Cass strives to place the health and well-being of employees above all else. Never has this been more necessary than during the novel coronavirus (“COVID-19”) pandemic. In response to the COVID-19 pandemic, the Company has taken significant steps to protect the health and well-being of employees and clients. These steps include implementing a work-from-home policy for the majority of employees, establishing safety guidelines in facilities based on guidance from the U.S. Centers for Disease Control and Prevention (“CDC”), and pausing travel that was routine in the Company’s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Supervision and Regulation</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its bank subsidiary are extensively regulated under federal and state law. These laws and regulations are intended to primarily protect depositors, not shareholders. The Bank is subject to regulation and supervision by the Missouri Division of Finance, the FRB and the Federal Deposit Insurance Corporation (the “FDIC”). The Company is a financial holding company within the meaning of the Bank Holding Company Act of 1956, as amended (the “BHC Act”), and as such, it is subject to regulation, supervision and examination by the FRB. Significant elements of the laws and regulations applicable to the Company and the Bank are described below. The description is qualified in its entirety by reference to the full text of the statutes, regulations and policies that are described. Also, such statutes, regulations and policies are continually under review by Congress and state legislatures and federal and state regulatory agencies. A change in statutes, regulations or regulatory policies applicable to the Company and its subsidiaries could have a material effect on the business, financial condition and results of operations of the Company.</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Bank Holding Company Activities </w:t>
      </w:r>
      <w:r>
        <w:rPr>
          <w:rFonts w:ascii="Times New Roman" w:cs="Times New Roman" w:eastAsia="Times New Roman" w:hAnsi="Times New Roman"/>
          <w:sz w:val="17"/>
          <w:szCs w:val="17"/>
          <w:color w:val="auto"/>
        </w:rPr>
        <w:t>– In general, the BHC Act limits the business of bank holding companies to banking, managing or controlling banks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related activities. In addition, bank holding companies that qualify and elect to be financial holding companies, such as the Company, may engage in any activity, or acquire and retain the shares of a company engaged in any activity, that is either (i) financial in nature or incidental to such financial activity or (ii) complementary to a financial activity and does not pose a substantial risk to the safety and soundness of depository institutions or the financial system generally. Such permitted activities include securities underwriting and dealing, insurance underwriting and making merchant banking investments.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maintain financial holding company status, a financial holding company and all of its depository institution subsidiaries must be “well capitalized” and “well managed.” A depository institution subsidiary is considered to be “well capitalized” if it satisfies the requirements for this status discussed in the section “Prompt Corrective Action” below. A depository institution subsidiary is considered “well managed” if it received a composite rating and management rating of at least “satisfactory” in its most recent examination. A financial holding company’s status will also depend upon it maintaining its status as “well capitalized” and “well managed’ under applicable FRB regulations. If a financial holding company ceases to meet these capital and management requirements, the FRB may impose limitations or conditions on the conduct of its activities during the non-compliance period, and the company may not commence any of the broader financial activities permissible for financial holding companies or acquire a company engaged in such financial activities without prior approval of the FRB. If the company does not return to compliance within 180 days, the FRB may require divestiture of the holding company’s depository institutions.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for a financial holding company to commence any new activity permitted by the BHC Act or to acquire a company engaged in any new activity permitted by the BHC Act, each insured depository institution subsidiary of the financial holding company must have received a rating of at least “satisfactory” in its most recent examination under the Community Reinvestment Act. See “Community Reinvestment Act” below.</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FRB has the power to order any bank holding company or its subsidiaries to terminate any activity or to terminate its ownership or control of any subsidiary when the FRB has reasonable grounds to believe that continuation of such activity or such ownership or control constitutes a serious risk to the financial soundness, safety or stability of any bank subsidiary of the bank holding company.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BHC Act, the Bank Merger Act, and other federal and state statutes regulate acquisitions of banks and banking companies. The BHC Act requires the prior approval of the FRB for the direct or indirect acquisition by the Company of more than 5% of the voting shares or substantially all of the assets of a bank or bank holding company. Under the Bank Merger Act, the prior approval of the FRB or other appropriate bank regulatory authority is required for the Bank to merge with another bank or purchase the assets or assume the deposits of another bank. In reviewing acquisition applications, the bank regulatory authorities will consider, among other things, the competitive effect and public benefits of the transactions, the capital position of the combined organization, the risks to the stability of the U.S. banking or financial system, the applicant’s performance record under the Community Reinvestment Act and its compliance with fair housing laws.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Dodd-Frank Act </w:t>
      </w:r>
      <w:r>
        <w:rPr>
          <w:rFonts w:ascii="Times New Roman" w:cs="Times New Roman" w:eastAsia="Times New Roman" w:hAnsi="Times New Roman"/>
          <w:sz w:val="18"/>
          <w:szCs w:val="18"/>
          <w:color w:val="auto"/>
        </w:rPr>
        <w:t>– The Dodd-Frank Wall Street Reform and Consumer Protection Act (the “Dodd-Frank Act”), enacted in July 2010, significantly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restructured the financial regulatory environment in the United States, affecting all bank holding companies and banks, including the Company and the Bank, some of which are described in more detail below. The impact of the Dodd-Frank Act on the Company and the Bank has been substantial.</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Dividends and Stock Repurchases </w:t>
      </w:r>
      <w:r>
        <w:rPr>
          <w:rFonts w:ascii="Times New Roman" w:cs="Times New Roman" w:eastAsia="Times New Roman" w:hAnsi="Times New Roman"/>
          <w:sz w:val="18"/>
          <w:szCs w:val="18"/>
          <w:color w:val="auto"/>
        </w:rPr>
        <w:t>– Both the Company and the Bank are subject to various regulations that restrict their ability to pay dividends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dividends that they may pay. Under the Federal Deposit Insurance Corporation Improvement Act of 1991, a depository institution, such as the Bank, may not pay dividends if payment would cause it to become undercapitalized or if it is already undercapitalized. The payment of dividends by the Company and the Bank may also be affected or limited by other factors, such as the requirement to maintain adequate capital and, under certain circumstances, the ability of federal regulators to prohibit dividend payments as an unsound or unsafe practice.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2019, the federal bank regulators adopted final rules (the “Capital Simplifications Rules”) applicable to banks, like Cass, that are not subject to the advanced approaches capital framework that applies to large, internationally active banking organizations with at least $250 billion in total consolidated assets or at least $10 billion in total on-balance sheet foreign exposure. Among other things, the Capital Simplifications Rules eliminated the standalone Federal Reserve prior approval requirement in the Basel III Capital Rules for any repurchase of common stock. In certain circumstances, the Company’s repurchases of its common stock may be subject to a prior approval or notice requirement under other regulations, policies or supervisory expectations of the Federal Reserve Board.</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Capital Requirements </w:t>
      </w:r>
      <w:r>
        <w:rPr>
          <w:rFonts w:ascii="Times New Roman" w:cs="Times New Roman" w:eastAsia="Times New Roman" w:hAnsi="Times New Roman"/>
          <w:sz w:val="18"/>
          <w:szCs w:val="18"/>
          <w:color w:val="auto"/>
        </w:rPr>
        <w:t>– As a bank holding company, the Company and the Bank are subject to capital requirements pursuant to the FRB’s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which include (i) risk-based capital guidelines, which are designed to make capital requirements more sensitive to various risk profiles and account for off-balance sheet exposure; (ii) guidelines that consider market risk, which is the risk of loss due to change in value of assets and liabilities due to changes in interest rates; and (iii) guidelines that use a leverage ratio which places a constraint on the maximum degree of risk to which a financial holding company may leverage its equity capital base.</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July 2, 2013, the FRB approved final rules known as the “Basel III Capital Rules” that substantially revised the risk-based capital and leverage capital requirements applicable to bank holding companies and depository institutions, including the Company and the Bank. The Basel III Capital Rules implement aspects of the Basel III capital framework agreed upon by the Basel Committee and incorporate changes required by the Dodd-Frank Act.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Basel III Capital Rules implemented common equity Tier 1 capital as a new capital measure, which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credit losses limited to a maximum of 1.25% of risk-weighted assets and, for non-advanced approaches institutions like Cass that have exercised a one-time opt-out election regarding the treatment of Accumulated Other Comprehensive Income (“AOCI”), up to 45% of net unrealized gains on available-for-sale equity securities with readily determinable fair market values.</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calculation of all types of regulatory capital is subject to deductions and adjustments specified in the regulations. For instance, the Basel III Capital Rules and the Capital Simplification Rules provide for a number of deductions from and adjustments to common equity Tier 1 capital. These include, for example, the requirement that certain deferred tax assets and significant investments in non-consolidated financial entities be deducted from Tier 1 capital to the extent that any one such category exceeds 25% of common equity Tier 1 capital. Prior to the adoption of the Capital Simplification Rules, amounts were deducted from common equity Tier 1 capital to the extent that any one such category exceeded 10% of common equity Tier 1 capital or all such items, in the aggregate, exceeded 15% of common equity Tier 1 capital. The Capital Simplification Rules took effect for the Company and the Bank as of January 1, 2020.</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Fully phased-in as of January 1, 2019, the Basel III Capital Rules require banking organizations, like Cass, to maintain:</w:t>
      </w:r>
    </w:p>
    <w:p>
      <w:pPr>
        <w:spacing w:after="0" w:line="37"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32"/>
          <w:szCs w:val="32"/>
          <w:color w:val="auto"/>
        </w:rPr>
      </w:pPr>
      <w:r>
        <w:rPr>
          <w:rFonts w:ascii="Times New Roman" w:cs="Times New Roman" w:eastAsia="Times New Roman" w:hAnsi="Times New Roman"/>
          <w:sz w:val="18"/>
          <w:szCs w:val="18"/>
          <w:color w:val="auto"/>
        </w:rPr>
        <w:t>a minimum ratio of common equity Tier 1 capital to risk-weighted assets of at least 4.5%, plus a 2.5% capital conservation buffer;</w:t>
      </w:r>
    </w:p>
    <w:p>
      <w:pPr>
        <w:spacing w:after="0" w:line="69" w:lineRule="exact"/>
        <w:rPr>
          <w:rFonts w:ascii="Times New Roman" w:cs="Times New Roman" w:eastAsia="Times New Roman" w:hAnsi="Times New Roman"/>
          <w:sz w:val="32"/>
          <w:szCs w:val="32"/>
          <w:color w:val="auto"/>
        </w:rPr>
      </w:pPr>
    </w:p>
    <w:p>
      <w:pPr>
        <w:ind w:left="640" w:hanging="308"/>
        <w:spacing w:after="0" w:line="186" w:lineRule="auto"/>
        <w:tabs>
          <w:tab w:leader="none" w:pos="640" w:val="left"/>
        </w:tabs>
        <w:numPr>
          <w:ilvl w:val="0"/>
          <w:numId w:val="1"/>
        </w:numPr>
        <w:rPr>
          <w:rFonts w:ascii="Times New Roman" w:cs="Times New Roman" w:eastAsia="Times New Roman" w:hAnsi="Times New Roman"/>
          <w:sz w:val="24"/>
          <w:szCs w:val="24"/>
          <w:color w:val="auto"/>
        </w:rPr>
      </w:pPr>
      <w:r>
        <w:rPr>
          <w:rFonts w:ascii="Times New Roman" w:cs="Times New Roman" w:eastAsia="Times New Roman" w:hAnsi="Times New Roman"/>
          <w:sz w:val="15"/>
          <w:szCs w:val="15"/>
          <w:color w:val="auto"/>
        </w:rPr>
        <w:t>a minimum ratio of Tier 1 capital to risk-weighted assets of at least 6.0%, plus a 2.5% capital conservation buffer;</w:t>
      </w:r>
    </w:p>
    <w:p>
      <w:pPr>
        <w:spacing w:after="0" w:line="56" w:lineRule="exact"/>
        <w:rPr>
          <w:rFonts w:ascii="Times New Roman" w:cs="Times New Roman" w:eastAsia="Times New Roman" w:hAnsi="Times New Roman"/>
          <w:sz w:val="24"/>
          <w:szCs w:val="24"/>
          <w:color w:val="auto"/>
        </w:rPr>
      </w:pPr>
    </w:p>
    <w:p>
      <w:pPr>
        <w:ind w:left="640" w:right="440" w:hanging="308"/>
        <w:spacing w:after="0" w:line="183" w:lineRule="auto"/>
        <w:tabs>
          <w:tab w:leader="none" w:pos="640" w:val="left"/>
        </w:tabs>
        <w:numPr>
          <w:ilvl w:val="0"/>
          <w:numId w:val="1"/>
        </w:numPr>
        <w:rPr>
          <w:rFonts w:ascii="Times New Roman" w:cs="Times New Roman" w:eastAsia="Times New Roman" w:hAnsi="Times New Roman"/>
          <w:sz w:val="31"/>
          <w:szCs w:val="31"/>
          <w:color w:val="auto"/>
        </w:rPr>
      </w:pPr>
      <w:r>
        <w:rPr>
          <w:rFonts w:ascii="Times New Roman" w:cs="Times New Roman" w:eastAsia="Times New Roman" w:hAnsi="Times New Roman"/>
          <w:sz w:val="18"/>
          <w:szCs w:val="18"/>
          <w:color w:val="auto"/>
        </w:rPr>
        <w:t>a minimum ratio of total capital (that is, Tier 1 plus Tier 2 capital) to risk-weighted assets of at least 8.0%, plus the 2.5% capital conservation buffer; and</w:t>
      </w:r>
    </w:p>
    <w:p>
      <w:pPr>
        <w:ind w:left="640" w:hanging="308"/>
        <w:spacing w:after="0" w:line="181" w:lineRule="auto"/>
        <w:tabs>
          <w:tab w:leader="none" w:pos="640" w:val="left"/>
        </w:tabs>
        <w:numPr>
          <w:ilvl w:val="0"/>
          <w:numId w:val="1"/>
        </w:numPr>
        <w:rPr>
          <w:rFonts w:ascii="Times New Roman" w:cs="Times New Roman" w:eastAsia="Times New Roman" w:hAnsi="Times New Roman"/>
          <w:sz w:val="31"/>
          <w:szCs w:val="31"/>
          <w:color w:val="auto"/>
        </w:rPr>
      </w:pPr>
      <w:r>
        <w:rPr>
          <w:rFonts w:ascii="Times New Roman" w:cs="Times New Roman" w:eastAsia="Times New Roman" w:hAnsi="Times New Roman"/>
          <w:sz w:val="18"/>
          <w:szCs w:val="18"/>
          <w:color w:val="auto"/>
        </w:rPr>
        <w:t>a minimum leverage ratio of 4.0%, calculated as the ratio of Tier 1 capital to adjusted average consolidated assets.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FRB has authority to establish individual minimum capital requirements in appropriate cases upon a determination that an institution’s capital level is or may become inadequate in light of the particular risks or circumstances. As of December 31, 2020, the Company and the Bank met all capital adequacy requirements under the Basel III Capital Rules.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2017, the Basel Committee published standards that it described as the finalization of the Basel III post-crisis regulatory reforms (commonly referred to as “Basel IV”). Among other things, these standards revise the Basel Committee's standardized approach for credit risk (including by recalibrating risk weights and introducing new capital requirements for certain “unconditionally cancellable commitments,” such as unused credit card lines of credit) and provides a new standardized approach for operational risk capital. Under the Basel framework, these standards will generally be effective on January 1, 2022, with an aggregate output floor phasing in through January 1, 2027. Under the current U.S. capital rules, operational risk capital requirements and a capital floor apply only to advanced approaches institutions, and not to the Company or the Bank. The impact of Basel IV on the Company will depend on the manner in which it is implemented by the federal bank regulators.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Source of Strength Doctrine </w:t>
      </w:r>
      <w:r>
        <w:rPr>
          <w:rFonts w:ascii="Times New Roman" w:cs="Times New Roman" w:eastAsia="Times New Roman" w:hAnsi="Times New Roman"/>
          <w:sz w:val="18"/>
          <w:szCs w:val="18"/>
          <w:color w:val="auto"/>
        </w:rPr>
        <w:t>– FRB and other regulations require bank holding companies to act as a source of financial and managerial strength to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banks. Under this requirement, the Company is expected to commit resources to support the Bank. Any capital loans by a bank holding company to any of its subsidiary banks are subordinate in right of payment to depositors and to certain other indebtedness of such subsidiary banks. In the event of a bank holding company’s bankruptcy, any commitment by the bank holding company to a federal bank regulatory agency to maintain the capital of a subsidiary bank will be assumed by the bankruptcy trustee and entitled to priority of payment.</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Deposit Insurance </w:t>
      </w:r>
      <w:r>
        <w:rPr>
          <w:rFonts w:ascii="Times New Roman" w:cs="Times New Roman" w:eastAsia="Times New Roman" w:hAnsi="Times New Roman"/>
          <w:sz w:val="18"/>
          <w:szCs w:val="18"/>
          <w:color w:val="auto"/>
        </w:rPr>
        <w:t>– Substantially all of the deposits of the Bank are insured up to applicable limits by the Deposit Insurance Fund (“DIF”) of the FDIC,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Bank is subject to deposit insurance assessments to maintain the DIF. Deposit insurance assessments are based on average consolidated total assets minus average tangible equity. Under the FDIC’s risk-based assessment system, insured institutions with less than $10 billion in assets, such as the Bank, are assigned to one of four risk categories based on supervisory evaluations, regulatory capital level, and certain other factors, with less risky institutions paying lower assessments. An institution’s assessment rate depends upon the category to which it is assigned and certain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FDIC insurance expense totaled approximately $152,500, $108,700 and $222,200 for the years ended December 31, 2020, 2019 and 2018, respectively.</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Prompt Corrective Action </w:t>
      </w:r>
      <w:r>
        <w:rPr>
          <w:rFonts w:ascii="Times New Roman" w:cs="Times New Roman" w:eastAsia="Times New Roman" w:hAnsi="Times New Roman"/>
          <w:sz w:val="18"/>
          <w:szCs w:val="18"/>
          <w:color w:val="auto"/>
        </w:rPr>
        <w:t>– The Basel III Capital Rules incorporate new requirements into the prompt correction action framework, described above.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Deposit Insurance Act (“FDIA”) requires that federal banking agencies take “prompt corrective action” against depository institutions that do not meet minimum capital requirements and includes the following five capital tiers: “well-capitalized,” “adequately capitalized,” “undercapitalized,” “significantly undercapitalized” and “critically undercapitalized.” A depository institution’s capital tier will depend upon how its capital levels compare with various relevant capital measures and certain other factors, as established by regulation.</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depository institution is deemed to be (i) “well-capitalized” if the institution has a total risk-based capital ratio of 10% or greater, a Tier 1 risk-based capital ratio of 8% or greater, a leverage ratio of 5% or greater, a common equity Tier 1 ratio of 6.5% or greater and is not subject to any regulatory order agreement or written directive to meet and maintain a specific capital level for any capital measure; (ii) “adequately capitalized” if the institution has a total risk-based capital ratio of 8% or greater, a Tier 1 risk-based capital ratio of 6% or greater, a leverage ratio of 4% or greater, a common equity Tier 1 ratio of 4.5% or greater and does not meet the definition of “well capitalized”; (iii) “undercapitalized” if the institution has a total risk-based capital ratio that is less than 8%, a Tier 1 risk-based capital ratio of less than 6%, a leverage ratio of less than 4% or a common equity Tier 1 ratio of less than 4.5%; (iv) “significantly undercapitalized” if the institution has a total risk-based capital ratio of less than 6%, a Tier 1 risk-based capital ratio of less than 4%, a leverage ratio of less than 3% or a common equity Tier 1 ratio of less than 3%; and (v) “critically undercapitalized” if the institution has a ratio of tangible equity (as defined in the regulations) to total assets that is equal to or less than 2%. An institution may be deemed to be in a capital category that is lower than indicated by its capital ratios if it is determined to be in an unsafe or unsound condition or if it receives an unsatisfactory examination rating with respect to certain matters. A bank’s capital category is determined solely for the purpose of applying prompt corrective action regulations, and the capital category may not constitute an accurate representation of the bank’s overall financial condition or prospects for other purposes.</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a narrow exception, a receiver or conservator is required to be appointed for an institution that is “critically undercapitalized” within specified time frames. The regulations also provide that a capital restoration plan must be filed with the FRB within 45 days of the date an institution is deemed to have received notice that it is “undercapitalized,” “significantly undercapitalized” or “critically undercapitalized.” Compliance with the plan must be guaranteed by any parent holding company up to the lesser of 5% of the institution’s total assets when it was deemed to be undercapitalized or the amount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necessary to achieve compliance with applicable capital requirements. In addition, numerous mandatory supervisory actions become immediately applicable to an undercapitalized institution including, but not limited to, increased monitoring by regulators and restrictions on growth, capital distributions and expansion. The FRB could also take any one of a number of discretionary supervisory actions, including the issuance of a capital directive and the replacement of senior executive officers and directors. Significantly and critically undercapitalized institutions are subject to additional mandatory and discretionary measures.</w:t>
      </w:r>
    </w:p>
    <w:p>
      <w:pPr>
        <w:spacing w:after="0" w:line="1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2020, the most recent notification from the regulatory agencies categorized the Company and the Bank as well-capitalized. For further information regarding the capital ratios and leverage ratio of the Company and the Bank, see Item 8, Note 2 of this report.</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Safety and Soundness Regulations </w:t>
      </w:r>
      <w:r>
        <w:rPr>
          <w:rFonts w:ascii="Times New Roman" w:cs="Times New Roman" w:eastAsia="Times New Roman" w:hAnsi="Times New Roman"/>
          <w:sz w:val="18"/>
          <w:szCs w:val="18"/>
          <w:color w:val="auto"/>
        </w:rPr>
        <w:t>– In accordance with the FDIA, the federal banking agencies adopted guidelines establishing general standards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internal controls, information systems, internal audit systems, loan documentation, credit underwriting, interest rate risk exposure, asset growth, asset quality, earnings, compensation, fees and benefits. In general, the guidelines require that institutions maintain appropriate systems and practices to identify and manage the risks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shareholder. In addition, regulations adopted by the federal banking agencies authorize the agencies to require that an institution that has been given notice that it is not satisfying any of such safety and soundness standards to submit a compliance plan. If the institution fails to submit an acceptable compliance plan or fails in any material respect to implement an accepted compliance plan, the agency must issue an order directing corrective actions and may issue an order directing other actions of the types to which an undercapitalized institution is subject under the “prompt corrective action” provisions of FDIA. If the institution fails to comply with such an order, the agency may seek to enforce such order in judicial proceedings and to impose civil money penalties.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Loans-to-One-Borrower </w:t>
      </w:r>
      <w:r>
        <w:rPr>
          <w:rFonts w:ascii="Times New Roman" w:cs="Times New Roman" w:eastAsia="Times New Roman" w:hAnsi="Times New Roman"/>
          <w:sz w:val="18"/>
          <w:szCs w:val="18"/>
          <w:color w:val="auto"/>
        </w:rPr>
        <w:t>– The Bank generally may not make loans or extend credit to a single or related group of borrowers in excess of 15%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unimpaired capital and surplus. An additional amount may be loaned, up to 10% of unimpaired capital and surplus, if the loan is secured by readily marketable collateral, which generally does not include real estate. As of December 31, 2020, the Bank was in compliance with the loans-to-one-borrower limitations.</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Depositor Preference </w:t>
      </w:r>
      <w:r>
        <w:rPr>
          <w:rFonts w:ascii="Times New Roman" w:cs="Times New Roman" w:eastAsia="Times New Roman" w:hAnsi="Times New Roman"/>
          <w:sz w:val="18"/>
          <w:szCs w:val="18"/>
          <w:color w:val="auto"/>
        </w:rPr>
        <w:t>– The FDIA provides that, in the event of the “liquidation or other resolution” of an insured depository institution, the claims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depositors whose deposits are payable only outside of the United States and the parent bank holding company, with respect to any extensions of credit they have made to such insured depository institution.</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Community Reinvestment Act </w:t>
      </w:r>
      <w:r>
        <w:rPr>
          <w:rFonts w:ascii="Times New Roman" w:cs="Times New Roman" w:eastAsia="Times New Roman" w:hAnsi="Times New Roman"/>
          <w:sz w:val="18"/>
          <w:szCs w:val="18"/>
          <w:color w:val="auto"/>
        </w:rPr>
        <w:t>– The Community Reinvestment Act of 1977 (“CRA”) requires depository institutions to assist in meeting the credit needs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market areas consistent with safe and sound banking practice. Under the CRA, each depository institution is required to help meet the credit needs of its market areas by, among other things, providing credit to low- and moderate-income individuals and communities. Depository institutions are periodically examined for compliance with the CRA and are assigned ratings that must be publicly disclosed. In order for a financial holding company to commence any new activity permitted by the BHC Act, or to acquire any company engaged in any new activity permitted by the BHC Act, each insured depository institution subsidiary of the financial holding company must have received a rating of at least “satisfactory” in its most recent examination under the CRA. The Bank received a rating of “satisfactory” in its most recent CRA exam.</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2019, the FDIC joined the Office of the Comptroller of the Currency (the “OCC”) in proposing rules that would significantly change existing CRA regulations. The Federal Reserve did not join in the proposed rulemaking. The proposed rules are intended to increase bank activity in low and moderate income communities where there is significant need for credit, more responsible lending, greater access to banking services, and improvements to critical infrastructure. The proposals focus on four improvement areas: (i) clarifying what activities qualify for CRA credit; (ii) updating assessment areas where activities count for CRA credit; (iii) providing a more objective method for measuring CRA performance; and (iv) improving the timeliness and transparency of record keeping and reporting. The OCC has adopted these rules as final, but the FDIC and Federal Reserve have yet to take action that would finalize and implement new CRA regulations. As the Company is not subject to OCC regulation, it will continue to monitor CRA regulatory changes and evaluate any resulting impact on the Company’s financial condition and results of operations.</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Privacy </w:t>
      </w:r>
      <w:r>
        <w:rPr>
          <w:rFonts w:ascii="Times New Roman" w:cs="Times New Roman" w:eastAsia="Times New Roman" w:hAnsi="Times New Roman"/>
          <w:sz w:val="18"/>
          <w:szCs w:val="18"/>
          <w:color w:val="auto"/>
        </w:rPr>
        <w:t>– Banks and other financial institutions are subject to regulations that limit their ability to disclose non-public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to nonaffiliated third parties. These limitations require disclosure of privacy policies to consumers and affect how consumer information is transmitted through diversified financial companies and conveyed to outside vendors.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is also subject to regulatory guidelines establishing standards for safeguarding customer information and maintaining information security programs. The standards set forth in the guidelines are intended to ensure the security and confidentiality of customer records and information, protect against any anticipated threats or hazards to the security or integrity of such records and protect against unauthorized access to or use of such records or information that could result in substantial harm or inconvenience to any customer.</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Transactions with Affiliates </w:t>
      </w:r>
      <w:r>
        <w:rPr>
          <w:rFonts w:ascii="Times New Roman" w:cs="Times New Roman" w:eastAsia="Times New Roman" w:hAnsi="Times New Roman"/>
          <w:sz w:val="18"/>
          <w:szCs w:val="18"/>
          <w:color w:val="auto"/>
        </w:rPr>
        <w:t>– Transactions between the Bank and its affiliates are subject to regulations that limit the types and amounts of covered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engaged in by the Bank and generally require those transactions to be on an arm’s-length basis. The term “affiliate” is defined to mean any company that controls or is under common control with the Bank and includes the Company and its non-bank subsidiaries. “Covered transactions” include a loan or extension of credit, as well as a purchase of securities issued by an affiliate, certain purchases of assets from the affiliate, certain derivative transactions that create a credit exposure to an affiliate, the acceptance of securities issued by the affiliate as collateral for a loan, and the issuance of a guarantee, acceptance or letter of credit on behalf of an affiliate. In general, these regulations require that any such transaction by the Bank (or its subsidiaries) with an affiliate must be secured by designated amounts of specified collateral and must be limited to certain thresholds on an individual and aggregate basis.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Federal law also limits the Bank’s authority to extend credit to its directors, executive officers and 10% shareholders, as well as to entities controlled by such persons. Among other things, extensions of credit to insiders are required to be made on terms that are substantially the same as, and follow credit underwriting procedures that are not less stringent than, those prevailing for comparable transactions with unaffiliated persons. Also, the terms of such extensions of credit may not involve more than the normal risk of repayment or present other unfavorable features and may not exceed certain limitations on the amount of credit extended to such persons, individually and in the aggregate, which limits are based, in part, on the amount of the Bank’s capital.</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Federal Reserve System </w:t>
      </w:r>
      <w:r>
        <w:rPr>
          <w:rFonts w:ascii="Times New Roman" w:cs="Times New Roman" w:eastAsia="Times New Roman" w:hAnsi="Times New Roman"/>
          <w:sz w:val="18"/>
          <w:szCs w:val="18"/>
          <w:color w:val="auto"/>
        </w:rPr>
        <w:t>– FRB regulations require depository institutions to maintain cash reserves against their transaction accounts (primarily negotiable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of withdrawal and demand deposit accounts). A reserve of 3% is to be maintained against aggregate transaction accounts between $15.2 million and $110.2 million (subject to adjustment by the FRB) plus a reserve of 10% (subject to adjustment by the FRB between 8% and 14%) against that portion of total transaction accounts in excess of $110.2 million. The first $15.2 million of otherwise reservable balances (subject to adjustment by the FRB) is exempt from the reserve requirements. The Bank is in compliance with the foregoing requirements.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Cybersecurity </w:t>
      </w:r>
      <w:r>
        <w:rPr>
          <w:rFonts w:ascii="Times New Roman" w:cs="Times New Roman" w:eastAsia="Times New Roman" w:hAnsi="Times New Roman"/>
          <w:sz w:val="18"/>
          <w:szCs w:val="18"/>
          <w:color w:val="auto"/>
        </w:rPr>
        <w:t>– In March 2015, federal regulators issued two related statements regarding cybersecurity. One statement indicates that financial institutions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design multiple layers of security controls to establish lines of defense and to ensure that their risk management processes address the risk posed by compromised customer credentials, including security measures to reliably authenticate customers accessing internet-based services of the financial institution. The other statement indicates that a financial institution’s management is expected to maintain sufficient business continuity planning processes to ensure the rapid recovery, resumption and maintenance of the institution’s operations after a cyber-attack involving destructive malware. A financial institution is expected to develop appropriate processes to enable recovery of data and business operations and address rebuilding network capabilities and restoring data if the institution or its critical service providers fall victim to this type of cyber-attack. If the Company fails to observe the regulatory guidance, it could be subject to various regulatory sanctions, including financial penalties.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relies on electronic communications and information systems to conduct operations and store sensitive data. The Company employs an in-depth, layered, defensive approach that leverages people, processes and technology to manage and maintain cybersecurity controls. The Company also employs a variety of preventative and detective tools to identify, protect, detect, respond, and recover against suspicious activity, as well as to report on any suspected advanced persistent threats. Notwithstanding the strength of the Company’s defensive measures, the threat from cyber attacks is severe, attacks are sophisticated and increasing in volume, and attackers respond rapidly to changes in defensive measures. While the Company has not experienced a significant compromise to date, significant data loss or any material financial losses related to cybersecurity attacks, the Company’s systems and those of its customers and third-party service providers are under constant threat and it is possible that the Company could experience a significant event in the future. Risks and exposures related to cybersecurity attacks are expected to remain high for the foreseeable future due to the rapidly evolving nature and sophistication of these threats, as well as due to the expanding use of internet banking, mobile banking and other technology-based products and services by the Company and its customers. See Item 1A, “Risk Factors” for a further discussion of risks related to cybersecurity.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Regulations </w:t>
      </w:r>
      <w:r>
        <w:rPr>
          <w:rFonts w:ascii="Times New Roman" w:cs="Times New Roman" w:eastAsia="Times New Roman" w:hAnsi="Times New Roman"/>
          <w:sz w:val="18"/>
          <w:szCs w:val="18"/>
          <w:color w:val="auto"/>
        </w:rPr>
        <w:t>– The operations of the Company and the Bank are also subject to:</w:t>
      </w:r>
    </w:p>
    <w:p>
      <w:pPr>
        <w:spacing w:after="0" w:line="39"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32"/>
          <w:szCs w:val="32"/>
          <w:color w:val="auto"/>
        </w:rPr>
      </w:pPr>
      <w:r>
        <w:rPr>
          <w:rFonts w:ascii="Times New Roman" w:cs="Times New Roman" w:eastAsia="Times New Roman" w:hAnsi="Times New Roman"/>
          <w:sz w:val="18"/>
          <w:szCs w:val="18"/>
          <w:color w:val="auto"/>
        </w:rPr>
        <w:t>Truth-In-Lending Act, governing disclosures of credit terms to consumer borrowers;</w:t>
      </w:r>
    </w:p>
    <w:p>
      <w:pPr>
        <w:spacing w:after="0" w:line="69" w:lineRule="exact"/>
        <w:rPr>
          <w:rFonts w:ascii="Times New Roman" w:cs="Times New Roman" w:eastAsia="Times New Roman" w:hAnsi="Times New Roman"/>
          <w:sz w:val="32"/>
          <w:szCs w:val="32"/>
          <w:color w:val="auto"/>
        </w:rPr>
      </w:pPr>
    </w:p>
    <w:p>
      <w:pPr>
        <w:ind w:left="640" w:hanging="308"/>
        <w:spacing w:after="0" w:line="186" w:lineRule="auto"/>
        <w:tabs>
          <w:tab w:leader="none" w:pos="640"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15"/>
          <w:szCs w:val="15"/>
          <w:color w:val="auto"/>
        </w:rPr>
        <w:t>Fair Credit Reporting Act, governing the provision of consumer information to credit reporting agencies and the use of consumer information;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122"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32"/>
          <w:szCs w:val="32"/>
          <w:color w:val="auto"/>
        </w:rPr>
      </w:pPr>
      <w:r>
        <w:rPr>
          <w:rFonts w:ascii="Times New Roman" w:cs="Times New Roman" w:eastAsia="Times New Roman" w:hAnsi="Times New Roman"/>
          <w:sz w:val="18"/>
          <w:szCs w:val="18"/>
          <w:color w:val="auto"/>
        </w:rPr>
        <w:t>Fair Debt Collection Act, governing the manner in which consumer debts may be collected by collection agencies;</w:t>
      </w:r>
    </w:p>
    <w:p>
      <w:pPr>
        <w:spacing w:after="0" w:line="55" w:lineRule="exact"/>
        <w:rPr>
          <w:rFonts w:ascii="Times New Roman" w:cs="Times New Roman" w:eastAsia="Times New Roman" w:hAnsi="Times New Roman"/>
          <w:sz w:val="32"/>
          <w:szCs w:val="32"/>
          <w:color w:val="auto"/>
        </w:rPr>
      </w:pPr>
    </w:p>
    <w:p>
      <w:pPr>
        <w:ind w:left="640" w:right="20" w:hanging="308"/>
        <w:spacing w:after="0" w:line="183" w:lineRule="auto"/>
        <w:tabs>
          <w:tab w:leader="none" w:pos="640" w:val="left"/>
        </w:tabs>
        <w:numPr>
          <w:ilvl w:val="0"/>
          <w:numId w:val="3"/>
        </w:numPr>
        <w:rPr>
          <w:rFonts w:ascii="Times New Roman" w:cs="Times New Roman" w:eastAsia="Times New Roman" w:hAnsi="Times New Roman"/>
          <w:sz w:val="31"/>
          <w:szCs w:val="31"/>
          <w:color w:val="auto"/>
        </w:rPr>
      </w:pPr>
      <w:r>
        <w:rPr>
          <w:rFonts w:ascii="Times New Roman" w:cs="Times New Roman" w:eastAsia="Times New Roman" w:hAnsi="Times New Roman"/>
          <w:sz w:val="18"/>
          <w:szCs w:val="18"/>
          <w:color w:val="auto"/>
        </w:rPr>
        <w:t>Electronic Funds Transfer Act, governing automatic deposits to and withdrawals from deposit accounts and customers’ rights and liabilities arising from the use of automated teller machines and other electronic banking services.</w:t>
      </w:r>
    </w:p>
    <w:p>
      <w:pPr>
        <w:spacing w:after="0" w:line="49" w:lineRule="exact"/>
        <w:rPr>
          <w:rFonts w:ascii="Times New Roman" w:cs="Times New Roman" w:eastAsia="Times New Roman" w:hAnsi="Times New Roman"/>
          <w:sz w:val="31"/>
          <w:szCs w:val="31"/>
          <w:color w:val="auto"/>
        </w:rPr>
      </w:pPr>
    </w:p>
    <w:p>
      <w:pPr>
        <w:ind w:left="640" w:right="40" w:hanging="308"/>
        <w:spacing w:after="0" w:line="204" w:lineRule="auto"/>
        <w:tabs>
          <w:tab w:leader="none" w:pos="640" w:val="left"/>
        </w:tabs>
        <w:numPr>
          <w:ilvl w:val="0"/>
          <w:numId w:val="3"/>
        </w:numPr>
        <w:rPr>
          <w:rFonts w:ascii="Times New Roman" w:cs="Times New Roman" w:eastAsia="Times New Roman" w:hAnsi="Times New Roman"/>
          <w:sz w:val="32"/>
          <w:szCs w:val="32"/>
          <w:color w:val="auto"/>
        </w:rPr>
      </w:pPr>
      <w:r>
        <w:rPr>
          <w:rFonts w:ascii="Times New Roman" w:cs="Times New Roman" w:eastAsia="Times New Roman" w:hAnsi="Times New Roman"/>
          <w:sz w:val="18"/>
          <w:szCs w:val="18"/>
          <w:color w:val="auto"/>
        </w:rPr>
        <w:t>Real Estate Settlement Procedures Act, requiring that borrowers for mortgage loans for one- to four-family residential real estate receive various disclosures, including good faith estimates of settlement costs, lender servicing and escrow account practices, and prohibiting certain practices that increase the cost of settlement services;</w:t>
      </w:r>
    </w:p>
    <w:p>
      <w:pPr>
        <w:spacing w:after="0" w:line="1" w:lineRule="exact"/>
        <w:rPr>
          <w:rFonts w:ascii="Times New Roman" w:cs="Times New Roman" w:eastAsia="Times New Roman" w:hAnsi="Times New Roman"/>
          <w:sz w:val="32"/>
          <w:szCs w:val="32"/>
          <w:color w:val="auto"/>
        </w:rPr>
      </w:pPr>
    </w:p>
    <w:p>
      <w:pPr>
        <w:ind w:left="640" w:hanging="308"/>
        <w:spacing w:after="0" w:line="181" w:lineRule="auto"/>
        <w:tabs>
          <w:tab w:leader="none" w:pos="640" w:val="left"/>
        </w:tabs>
        <w:numPr>
          <w:ilvl w:val="0"/>
          <w:numId w:val="3"/>
        </w:numPr>
        <w:rPr>
          <w:rFonts w:ascii="Times New Roman" w:cs="Times New Roman" w:eastAsia="Times New Roman" w:hAnsi="Times New Roman"/>
          <w:sz w:val="31"/>
          <w:szCs w:val="31"/>
          <w:color w:val="auto"/>
        </w:rPr>
      </w:pPr>
      <w:r>
        <w:rPr>
          <w:rFonts w:ascii="Times New Roman" w:cs="Times New Roman" w:eastAsia="Times New Roman" w:hAnsi="Times New Roman"/>
          <w:sz w:val="18"/>
          <w:szCs w:val="18"/>
          <w:color w:val="auto"/>
        </w:rPr>
        <w:t>Equal Credit Opportunity Act, prohibiting discrimination on the basis of race, creed or other prohibited factors in extending credit;</w:t>
      </w:r>
    </w:p>
    <w:p>
      <w:pPr>
        <w:spacing w:after="0" w:line="56" w:lineRule="exact"/>
        <w:rPr>
          <w:rFonts w:ascii="Times New Roman" w:cs="Times New Roman" w:eastAsia="Times New Roman" w:hAnsi="Times New Roman"/>
          <w:sz w:val="31"/>
          <w:szCs w:val="31"/>
          <w:color w:val="auto"/>
        </w:rPr>
      </w:pPr>
    </w:p>
    <w:p>
      <w:pPr>
        <w:ind w:left="640" w:right="280" w:hanging="308"/>
        <w:spacing w:after="0" w:line="183" w:lineRule="auto"/>
        <w:tabs>
          <w:tab w:leader="none" w:pos="640" w:val="left"/>
        </w:tabs>
        <w:numPr>
          <w:ilvl w:val="0"/>
          <w:numId w:val="3"/>
        </w:numPr>
        <w:rPr>
          <w:rFonts w:ascii="Times New Roman" w:cs="Times New Roman" w:eastAsia="Times New Roman" w:hAnsi="Times New Roman"/>
          <w:sz w:val="31"/>
          <w:szCs w:val="31"/>
          <w:color w:val="auto"/>
        </w:rPr>
      </w:pPr>
      <w:r>
        <w:rPr>
          <w:rFonts w:ascii="Times New Roman" w:cs="Times New Roman" w:eastAsia="Times New Roman" w:hAnsi="Times New Roman"/>
          <w:sz w:val="18"/>
          <w:szCs w:val="18"/>
          <w:color w:val="auto"/>
        </w:rPr>
        <w:t>Check Clearing for the 21st Century Act (also known as “Check 21”), which gives “substitute checks,” such as digital check images and copies made from that image, the same legal standing as the original paper check;</w:t>
      </w:r>
    </w:p>
    <w:p>
      <w:pPr>
        <w:spacing w:after="0" w:line="49" w:lineRule="exact"/>
        <w:rPr>
          <w:rFonts w:ascii="Times New Roman" w:cs="Times New Roman" w:eastAsia="Times New Roman" w:hAnsi="Times New Roman"/>
          <w:sz w:val="31"/>
          <w:szCs w:val="31"/>
          <w:color w:val="auto"/>
        </w:rPr>
      </w:pPr>
    </w:p>
    <w:p>
      <w:pPr>
        <w:ind w:left="640" w:right="260" w:hanging="308"/>
        <w:spacing w:after="0" w:line="187" w:lineRule="auto"/>
        <w:tabs>
          <w:tab w:leader="none" w:pos="640" w:val="left"/>
        </w:tabs>
        <w:numPr>
          <w:ilvl w:val="0"/>
          <w:numId w:val="3"/>
        </w:numPr>
        <w:rPr>
          <w:rFonts w:ascii="Times New Roman" w:cs="Times New Roman" w:eastAsia="Times New Roman" w:hAnsi="Times New Roman"/>
          <w:sz w:val="32"/>
          <w:szCs w:val="32"/>
          <w:color w:val="auto"/>
        </w:rPr>
      </w:pPr>
      <w:r>
        <w:rPr>
          <w:rFonts w:ascii="Times New Roman" w:cs="Times New Roman" w:eastAsia="Times New Roman" w:hAnsi="Times New Roman"/>
          <w:sz w:val="18"/>
          <w:szCs w:val="18"/>
          <w:color w:val="auto"/>
        </w:rPr>
        <w:t>The USA PATRIOT Act, which requires banks and savings institutions to establish broadened anti-money laundering compliance programs and due diligence policies and controls to ensure the detection and reporting of money laundering; and</w:t>
      </w:r>
    </w:p>
    <w:p>
      <w:pPr>
        <w:spacing w:after="0" w:line="38" w:lineRule="exact"/>
        <w:rPr>
          <w:rFonts w:ascii="Times New Roman" w:cs="Times New Roman" w:eastAsia="Times New Roman" w:hAnsi="Times New Roman"/>
          <w:sz w:val="32"/>
          <w:szCs w:val="32"/>
          <w:color w:val="auto"/>
        </w:rPr>
      </w:pPr>
    </w:p>
    <w:p>
      <w:pPr>
        <w:ind w:left="640" w:right="120" w:hanging="308"/>
        <w:spacing w:after="0" w:line="187" w:lineRule="auto"/>
        <w:tabs>
          <w:tab w:leader="none" w:pos="640" w:val="left"/>
        </w:tabs>
        <w:numPr>
          <w:ilvl w:val="0"/>
          <w:numId w:val="3"/>
        </w:numPr>
        <w:rPr>
          <w:rFonts w:ascii="Times New Roman" w:cs="Times New Roman" w:eastAsia="Times New Roman" w:hAnsi="Times New Roman"/>
          <w:sz w:val="32"/>
          <w:szCs w:val="32"/>
          <w:color w:val="auto"/>
        </w:rPr>
      </w:pPr>
      <w:r>
        <w:rPr>
          <w:rFonts w:ascii="Times New Roman" w:cs="Times New Roman" w:eastAsia="Times New Roman" w:hAnsi="Times New Roman"/>
          <w:sz w:val="18"/>
          <w:szCs w:val="18"/>
          <w:color w:val="auto"/>
        </w:rPr>
        <w:t>The Bank Secrecy Act, which requires U.S. financial institutions to collaborate with the U.S. government in cases of suspected money laundering and fraud.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these laws are consumer protection laws that extensively govern the Company’s relationship with its customers.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the Company operates and civil money penalties. Failure to comply with consumer protection requirements may also result in the Company’s inability to pursue merger or acquisition transactions.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Availability of SEC Reports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Cass files annual, quarterly and current reports with the Securities and Exchange Commission (the “SEC”). Cass will, as soon as reasonably practicable after they are electronically filed with or furnished to the SEC, make available free of charge on its website each of its Annual Reports on Form 10-K, Quarterly Reports on Form 10-Q, Current Reports on Form 8-K, all amendments to those reports, and its definitive proxy statements. The address of Cass’ website is: www.cassinfo.com.</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reference to the Company’s website address does not constitute incorporation by reference of the information contained on the website and should not be considered part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Statistical Disclosure by Bank Holding Companies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statistical disclosure by bank holding companies, refer to Item 7, “Management’s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section highlights specific risks that could affect the Company’s business. Although this section attempts to highlight key factors, please be aware that other risks may prove to be important in the future. New risks may emerge at any time, and Cass cannot predict such risks or estimate the extent to which they may affect the Company’s financial performance. In addition to the factors discussed elsewhere or incorporated by reference in this report, the identified risks that could cause actual results to differ materially include the following: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and Market Conditions Risk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creates significant risks and uncertainties for the Company’s business and results of operations.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2020, the World Health Organization (“WHO”) declared COVID-19 as a global pandemic. The COVID-19 pandemic has negatively impacted the global economy, disrupted global supply chains and manufacturing, lowered energy prices, lowered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equity market valuations, lowered interest rates, created significant volatility and disruption in financial markets, and increased unemployment levels. In addition, the pandemic has resulted in temporary closures of many businesses and the institution of social distancing and sheltering in place requirements in many states and communities, including those in major markets in which Cass Commercial Bank, the Company’s St. Louis, Missouri-based bank subsidiary, is located or does business. Although in various locations certain activity restrictions have been relaxed with some success, many states and localities are experiencing further significant increases in the number of COVID-19 cases, prompting a reinstatement of prior activity restrictions in some locations and the need for additional aid and other forms of relief for affected individuals, businesses and other entities.</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late fiscal 2020, vaccines for combatting COVID-19 were approved by health agencies within the Company’s operating markets and began to be administered. However, initial quantities of vaccines are limited and vaccine distributions, controlled by local authorities, are being allocated, generally first to front-line health care workers and other essential workers and next to those members of individual populations believed most susceptible to severe effects from COVID-19. The timeline of full administration of the COVID-19 vaccines is uncertain and fluctuating, but is widely thought to be unlikely to occur in most jurisdictions until mid to late 2021. The impact of COVID-19, including the impact of restrictions imposed to combat its spread, could result in additional and prolonged business closures, work restrictions and activity restrictions.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the demand for the Company’s products and services has been, and will continue to be, significantly impacted. Demand for payment and information processing services by manufacturing, distribution, and retail enterprises, and loans and other products and services that the Company and the Bank offer and on which success the Company relies to drive growth, is highly dependent upon the business environment in the primary markets in which the Company operates and in the United States as a whole.</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Business closures, including constrictions in the manufacturing sector for a portion of the year, have decreased volumes in the Company’s payment and information processing services due to the decline in customers’ business activity. In addition, the dampened demand for oil and resulting plummet in oil prices has had, and can continue to have, a negative effect on both the number of freight transactions processed and the dollar amount of invoices processed.</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pandemic could influence the recognition of credit losses in the Company’s loan and lease portfolios and increase its allowance for credit losses, as both businesses and consumers are negatively impacted by the economic downturn. Bank regulatory agencies and various governmental authorities are urging financial institutions to work prudently with borrowers who are or may be unable to meet their contractual payment obligations because of the effects of COVID-19. In addition, the Federal Reserve has taken action to lower the Federal Funds rate, which has adversely affected, and could continue to adversely affect, interest income and therefore, the Company’s results of operations and financial condition.</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business operations may also be disrupted if significant portions of its workforce are unable to work effectively, because of quarantines, illness, government actions, or other restrictions in connection with the pandemic, travel restrictions, technology limitations and/or disruptions, including remote working measures and their attendant cybersecurity risks. Furthermore, the business operations of the Company and the Bank may be disrupted due to vendors and third-party service providers being unable to work or provide services effectively, because of quarantines, illness, government actions, or other restrictions in connection with the pandemic.</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extent to which the COVID-19 pandemic impacts the Company’s business, results of operations, and financial condition, as well as its regulatory capital and liquidity ratios, will depend on future developments, which are highly uncertain, including the scope and duration of the pandemic and actions taken by governmental authorities and other third parties in response to the pandemic. Moreover, the effects of the COVID-19 pandemic may heighten many of the other risks described in this Item 1A, “Risk Factors” section. including, but not limited to, risks of credit deterioration, interest rate changes, governmental actions, market volatility, security breaches and technology interruptions.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political, economic or industry conditions may be less favorable than expected.</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Local, domestic, and international economic, political and industry-specific conditions and governmental monetary and fiscal policies affect the industries in which the Company competes, directly and indirectly. Conditions such as inflation, recession, unemployment, volatile interest rates, tight money supply, real estate values, international conflicts and other factors outside of Cass’ control may adversely affect the Company. Economic downturns could result in the delinquency of outstanding loans, which could have a material adverse impact on Cass’ earnings.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developments concerning customer credit quality could affect Cass’ financial results.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Company regularly reviews credit exposure related to its customers and various industry sectors in which it has business relationships, default risk may arise from events or circumstances that are difficult to detect or foresee. Under such circumstances, the Company could experience an increase in the level of provision for credit losses, delinquencies, nonperforming assets, net charge-offs and allowance for credit losses.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Cass remits payment of invoices prior to receiving funds from its customers. As such, Cass could experience losses if such funds are not received from customers after payment is remitted.</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Company regularly reviews credit exposure related to its customers and various industry sectors in which it has business relationships, default risk may arise from events or circumstances that are difficult to detect or foresee. Under such circumstances, the Company could experience losses related to funds remitted for payment to freight carriers, utility companies and other such companies, prior to receiving funds from its customers.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has lending concentrations, including, but not limited to, faith-based ministries located in selected cities and privately-held businesses located in or near St. Louis, Missouri, that could suffer a significant decline which could adversely affect the Company.</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Cass’ customer base consists, in part, of lending concentrations in several segments and geographical areas. If any of these segments or areas is significantly affected by weak economic conditions, the Company could experience increased credit losses, and its business could be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interest rates could affect Cass’ net interest income and balance sheet.</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operations of financial institutions such as the Company are dependent to a large degree on net interest income, which is the difference between interest income from loans and investments and interest expense on deposits and borrowings. Prevailing economic conditions, the fiscal and monetary policies of the federal government and the policies of various regulatory agencies all affect market rates of interest, which in turn significantly affect financial institutions’ net interest income. Fluctuations in interest rates affect Cass’ financial statements, as they do for all financial institutions. Volatility in interest rates can also result in disintermediation, which is the flow of funds away from financial institutions into direct investments, such as federal government and corporate securities and other investment vehicles, which, because of the absence of federal insurance premiums and reserve requirements, generally pay higher rates of return than financial institutions. As discussed in greater detail in Item 7A, “Quantitative and Qualitative Disclosures about Market Risk,” a low level of interest rates will continue to have a negative impact on the Company’s net interest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adversely impacted by the uncertainty regarding LIBOR as a reference rate.</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United Kingdom’s Financial Conduct Authority announced in 2017 that after 2021 it would no longer persuade or require banks to submit the rates required to calculate the London Interbank Offered Rate (“LIBOR”). This announcement indicates that the continuation of LIBOR on the current basis could not be guaranteed after 2021 and resulted in uncertainty about the future of LIBOR and what may become accepted alternatives to LIBOR. Subsequently, the administrator of LIBOR announced it will consult on its intention to cease the publication of the one week and two month LIBOR settings immediately following the LIBOR publication on December 31, 2021, and the remaining U.S. Dollar LIBOR settings immediately following the LIBOR publication on June 30, 2023.</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Regulators, industry groups and certain committees (e.g., the Alternative Reference Rates Committee) have, among other things, published recommended fall-back language for LIBOR-linked financial instruments, identified recommended alternatives for certain LIBOR rates (e.g., the Secured Overnight Financing Rate as the recommended alternative to U.S. Dollar LIBOR), and proposed implementations of the recommended alternatives in floating rate instruments. At this time, it is not possible to predict whether these specific recommendations and proposals will be broadly accepted, whether they will continue to evolve, and what the effect of their implementation may be on the markets for floating-rate financial instruments.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Cass’ loans and other financial instruments include attributes that are either directly or indirectly dependent on LIBOR. The transition from LIBOR could create additional costs and risk. Since proposed alternative rates are calculated differently, payments under contracts referencing new rates will differ from those referencing LIBOR. The transition will change Cass’ market risk profiles, requiring changes to risk and pricing models, valuation tools, product design and hedging strategies. Failure to adequately manage this transition process with our customers could adversely impact the Company’s reputation.</w:t>
      </w:r>
    </w:p>
    <w:p>
      <w:pPr>
        <w:spacing w:after="0" w:line="1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Operations of the Company’s customer base are impacted by macro-economic factors such as a strong dollar and/or volatility in commodity prices. A reduction in its customers’ operations could have a material adverse effect on Cass’ results of operations.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decline in the cost of oil worldwide can have a negative effect on both the number of freight transactions processed and the dollar amount of invoices processed. For example, lower oil prices can cause a significant drop in drilling supplies being transported to fracking operations by domestic railroads and trucks. Lower oil prices can also result in lower gas and fuel prices, negatively affecting the dollar amounts of the invoices that Cass processes for its freight and shipping customers. A decline in oil prices could have an adverse effect on the Company’s revenues and could significantly impact its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Operations and Strategic Risk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difficulties or cyber-security problems could damage Cass’ reputation and business.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depends on the reliable operation of its computer operations and network connections from its clients to its systems. Any failure, interruption, or breach in security of these systems would cause Cass to be unable to process transactions for its clients, resulting in decreased revenues. The Company also relies on electronic communications and information systems to store sensitive customer data. Any failure, interruption, breach in security or loss of data, whatever the cause, could reduce client satisfaction with the Company’s products and services and harm Cass’ financial results. These types of threats may derive from human error, fraud or malice on the part of external or internal parties, or may result from accidental technological failure. Further, to access the Company’s products and services, Cass’ customers may use computers and mobile devices that are beyond the Company’s security control systems. The Company’s technologies, systems, networks and software, and those of other financial institutions have been, and are likely to continue to be, the target of cybersecurity threats and attacks, which may range from uncoordinated individual attempts to sophisticated and targeted measures directed at Cass. The risk of a security breach or disruption, particularly through cyber-attack or cyber intrusion, has increased as the number, intensity and sophistication of attempted attacks and intrusions from around the world have increased. A material security problem affecting Cass could damage its reputation, deter prospects from purchasing its products and services, deter customers from using its products and services or result in liability to Cass.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Cloud technologies are also critical to the operation of our systems, and our reliance on cloud technologies is growing. Service disruptions in cloud technologies may lead to delays in accessing, or the loss of, data that is important to our businesses and may hinder our customers’ access to our products and services.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the Company makes significant efforts to maintain the security and integrity of Cass’ information systems and have implemented various measures to manage the risk of a security breach or disruption, there can be no assurance that Cass’ security efforts and measures will be effective or that attempted security breaches or disruptions would not be successful or damaging. Even the most well protected information, networks, systems and facilities remain potentially vulnerable because attempted security breaches, particularly cyber-attacks and intrusions, or disruptions will occur in the future, and because the techniques used in such attempts are constantly evolving and generally are not recognized until launched against a target, and in some cases are designed not to be detected and, in fact, may not be detected. Accordingly, the Company may be unable to anticipate these techniques or to implement adequate security barriers or other preventative measures, and thus it is virtually impossible to entirely mitigate this risk. While specific “cyber” insurance coverage is maintained, which would apply in the event of various breach scenarios, the amount of coverage may not be adequate in any particular case. Furthermore, because cyber threat scenarios are inherently difficult to predict and can take many forms, some breaches may not be covered under Cass’ cyber insurance coverage. A security breach or other significant disruption of Cass’ information systems or those related to customers, merchants and third party vendors, including as a result of cyber-attacks, could 1) disrupt the proper functioning of Cass’ networks and systems and therefore operations and/or those of certain customers; 2) result in the unauthorized access to, and destruction, loss, theft, misappropriation or release of confidential, sensitive or otherwise valuable information of the Company or its customers; 3) result in a violation of applicable privacy, data breach and other laws, subjecting the Company to additional regulatory scrutiny and expose Cass to civil litigation, governmental fines and possible financial liability; 4) require significant management attention and resources to remedy the damages that result; or 5) harm Cass’ reputation or cause a decrease in the number of customers that choose to do business with the Company. The occurrence of any of the foregoing could have a material adverse effect on Cass’ business,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Cass must respond to rapid technological changes and these changes may be more difficult or expensive than anticipated.</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competitors introduce new products and services embodying new technologies, or if new industry standards and practices emerge, the Company’s existing product and service offerings, technology and systems may become obsolete. Further, if Cass fails to adopt or develop new technologies or to adapt its products and services to emerging industry standards, Cass may lose current and future customers. Finally, Cass’ ability to adopt these technologies can also be inhibited by intellectual property rights of third parties. Any of these could have a material adverse effect on its business, financial condition and results of operations. The payment processing and financial services industries are changing rapidly and in order to remain competitive, Cass must continue to enhance and improve the functionality and features of its products, services and technologies. These changes may be more difficult or expensive than the Company anticipates.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Methods of reducing risk exposures might not be effective.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Instruments, systems and strategies used to hedge or otherwise manage exposure to various types of credit, interest rate, market and liquidity, operational, regulatory/compliance, business risks and enterprise-wide risks could be less effective than anticipated. As a result, the Company may not be able to effectively mitigate its risk exposures in particular market environments or against particular types of risk.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borrowing, repayment, investment, deposit, and payable processing practices may be different than anticipated.</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a variety of financial tools, models and other methods to anticipate customer behavior as part of its strategic and financial planning and to meet certain regulatory requirements. Individual, economic, political and industry-specific conditions and other factors outside of Cass’ control could alter predicted customer borrowing, repayment, investment, deposit, and payable processing practices. Such a change in these practices could adversely affect Cass’ ability to anticipate business needs, including cash flow and its impact on liquidity, and to meet regulatory requirements.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allowance for credit losses (“ACL”) is subject to continuing evaluation and may be insufficient.</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an ACL, which is a reserve established through a provision for credit losses charged to expense. The ACL is a valuation account that is deducted from the amortized cost basis to present the net amount expected to be collected on loans. Management uses a systematic, documented approach in determining the appropriate level of ACL, which represents management’s estimate of losses in loans and off-balance sheet exposures as of the balance sheet date. Management estimated the allowance balance using relevant available information from internal and external factors, relating to past events, current conditions and reasonable and supportable forecasts based on economic sources, such as Gross Domestic Product (“GDP”). Historical credit loss experience, of both the Company and similar peer banks, provides the basis for the estimation of expected credit losses. Adjustments to historical loss information are made for lending management experience, asset quality trends, borrower’s ability to pay, collateral, and other environmental factors. The ACL is measured on a collective pool basis when similar risk characteristics exist. The determination of the appropriate level of the allowance for credit losses inherently involves a high degree of subjectivity and requires management to make estimates based on risks and trends that are subject to material change.</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determination and application of the ACL accounting policy involves judgments, estimates, and uncertainties that are subject to change. Changes in these assumptions, estimates or the conditions surrounding them may have a material impact on the Company’s financial condition, liquidity or results of operations. Various regulatory agencies, as an integral part of the examination process, periodically review the ACL. Such agencies may require the Company to recognize additions to the ACL or reserve increases to adversely graded classified loans based on information available to them at the time of their examinations.</w:t>
      </w:r>
    </w:p>
    <w:p>
      <w:pPr>
        <w:spacing w:after="0" w:line="1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application of the model used to determine the ACL could result in volatility in earnings. Additionally, if charge-offs in future periods exceed the ACL, the Company will need additional provisions to increase the ACL. Any increases in the ACL will result in a decrease in net income and, possibly, capital, and may have a material adverse effect on the Company’s business, financial condition and results of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Operations—Provision and Allowance for Credit Losses and Unfunded Commitments” and Item 8, “Financial Statements and Supplementary Data—Note 1” for additional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product and pricing pressure within Cass’ markets may change.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a very competitive environment, which is characterized by competition from a number of other vendors and financial institutions in each market in which it operates. The Company competes with large payment processors and national and regional financial institutions and also smaller auditing companies and banks in terms of products and pricing. If the Company is unable to compete effectively in products and pricing in its markets, business could decline.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ability to maintain and expand customer relationships may differ from expectations.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industries in which the Company operates are very competitive. The Company not only competes for business opportunities with new customers, but also competes to maintain and expand the relationships it has with its existing customers. The Company continues to experience pressures to maintain these relationships as its competitors attempt to capture its customers.</w:t>
      </w:r>
    </w:p>
    <w:p>
      <w:pPr>
        <w:spacing w:after="0" w:line="14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introduction, withdrawal, success and timing of business initiatives and strategies, including, but not limited to, the expansion of payment and processing activities to new markets, the expansion of products and services to existing markets and opening of new bank branches, may be less successful or may be different than anticipated. Such a result could adversely affect Cass’ business.</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makes certain projections as a basis for developing plans and strategies for its payment processing and banking products. If the Company does not accurately determine demand for its products and services, it could result in the Company incurring significant expenses without the anticipated increases in revenue, which could result in an adverse effect on its earnings.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there are risks and uncertainties associated with the introduction of new products and services, including substantial investments of time and resources. The introduction and development of new products and services may not be achieved along expected timelines, or at all, and may not be successful as a result of factors beyond the Company’s control, including regulatory, competition and external market factors. Failure to successfully manage these risks in the development and implementation of new products or services, and failure to integrate such new products and services into our existing system of internal controls,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and the Bank are subject to liquidity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requires liquidity to meet deposit and accounts and drafts payable obligations as they come due. Access to funding sources in amounts adequate to finance the Company’s commitments and business activities or on terms that are acceptable or favorable to the Company could be impaired by risks and uncertainties that are beyond the Company’s control, including those described in this Item 1A, “Risk Factors” section.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access to deposits and accounts and drafts payable for liquidity purposes may also be adversely affected by the needs of the Company’s depositors and customers. A failure to maintain adequate liquidity could have a material adverse effect on the Company’s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ability to retain key officers and employees may change.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Cass’ future operating results depend substantially upon the continued service of Cass’ executive officers and key personnel. Cass’ future operating results also depend in significant part upon Cass’ ability to attract and retain qualified management, financial, technical, marketing, sales, and support personnel. Competition for qualified personnel is intense, and the Company cannot ensure success in attracting or retaining qualified personnel. There may be only a limited number of persons with the requisite skills to serve in these positions, and it may be increasingly difficult for the Company to hire personnel over time. Cass’ business, financial condition and results of operations could be materially adversely affected by the loss of any of its key employees, by the failure of any key employee to perform in his or her current position, or by Cass’ inability to attract and retain skilled employees.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Legal and Accounting Risk</w:t>
      </w:r>
    </w:p>
    <w:p>
      <w:pPr>
        <w:spacing w:after="0" w:line="2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and the Bank are subject to extensive government regulation and supervision and possible enforcement or other legal actions that could detrimentally affect Cass’ business.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the Bank are subject to extensive federal and state regulation and supervision, the primary focus of which is to protect customers, depositors, the deposit insurance fund and the safety and soundness of the banking system as a whole, and not shareholders. In addition, since the global financial crisis, financial institutions generally have been subject to increased scrutiny from regulatory authorities, with an increased focus on risk management and consumer compliance. This regulatory structure and heightened focus gives the regulatory authorities extensive discretion in connection with their supervisory and enforcement activities and examination policies, including policies with respect to capital levels, the timing and amount of dividend payments, the classification of assets and the establishment of adequate loan loss reserves for regulatory purposes. Failure to comply with applicable laws, regulations, policies or guidance could result in enforcement and other legal actions by federal and state authorities, including criminal and civil penalties, the loss of FDIC insurance, revocation of a banking charter, and other regulatory sanctions, as well as reputational damage, any of which could have a material adverse effect on the Company’s business, financial condition and results of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Congress and federal regulatory agencies continually review banking laws, regulations and policies for possible changes. The substance and impact of pending or future legislation or regulation, or the application thereof, cannot be predicted, although any change could impact the regulatory structure under which the Company or its competitors operate and may significantly increase costs, impede the efficiency of internal business processes, require an increase in regulatory capital, require modifications to the Company’s business strategy, and/or limit its ability to pursue business opportunities in an efficient manner. A change in statutes, regulations or regulatory policies applicable to the Company or any of its subsidiaries could have a material, adverse effect on the Company’s business, financial condition and results of operations.</w:t>
      </w:r>
    </w:p>
    <w:p>
      <w:pPr>
        <w:spacing w:after="0" w:line="1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Item 1, “Business—Supervision and Regulation,” and Item 8, Note 2 to the consolidated financial statements included elsewhere in this report for additional information.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need to raise additional capital or sell assets if it fails to meet regulatory capital requirements or meet commitments and liquidity needs. Such capital may not be available on favorable terms, or at all.</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Fully phased in, the Basel III Capital rules implemented stricter capital requirements and leverage limits and methods for calculating risk-weighted assets, meaning the Company is required to hold more capital against such assets. Complying with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more stringent capital requirements could result in management modifying its business strategy and could limit the Company’s ability to make distributions, including paying dividends, or buying back shares.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also need to raise additional capital in the future to provide it with sufficient capital resources and liquidity to meet commitments and business needs. The ability to raise additional capital, if needed, will depend on, among other things, conditions in the capital markets at that time and the Company’s financial condition, as well as the need for other financial institutions to raise capital at the same time. Economic conditions and the loss of confidence in financial institutions may increase the cost of funding and limit access to certain customary sources of capital, including inter-bank borrowings, repurchase agreements and borrowings from the discount window of the Federal Reserve.</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inability to raise additional capital on acceptable terms when needed could have a materially adverse effect on the Company’s business, financial condition and results of operations.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and regulatory proceedings and related matters with respect to the financial services industry, including those directly involving the Company and its subsidiaries, could adversely affect Cass or the financial services industry in general.</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legal and regulatory proceedings. It is inherently difficult to assess the outcome of these matters, and there can be no assurance that the Company will prevail in any proceeding or litigation. Any such matter could result in substantial cost and diversion of Cass’ efforts, which by itself could have a material adverse effect on Cass’ financial condition and operating results. Further, adverse determinations in such matters could result in actions by Cass’ regulators that could materially adversely affect Cass’ business, financial condition or results of operations. Please refer to Item 3, “Legal Proceedings.”</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Company’s accounting policies and methods are the basis of how Cass reports its financial condition and results of operations, and they require management to make estimates about matters that are inherently uncertain. In addition, changes in accounting policies and practices, as may be adopted by the regulatory agencies, the Financial Accounting Standards Board, or other authoritative bodies, could materially impact Cass’ financial statements.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accounting policies and methods are fundamental to how Cass records and reports its financial condition and results of operations. Management must exercise judgment in selecting and applying many of these accounting policies and methods in order to ensure that they comply with generally accepted accounting principles and reflect management’s judgment as to the most appropriate manner in which to record and report Cass’ financial condition and results of operations. In some cases, management must select the accounting policy or method to apply from two or more alternatives, any of which might be reasonable under the circumstances yet might result in the Company reporting materially different amounts than would have been reported under a different alternative.</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Cass has identified one accounting policy as being “critical” to the presentation of its financial condition and results of operations because they require management to make particularly subjective and/or complex judgments about matters that are inherently uncertain and because of the likelihood that materially different amounts would be reported under different conditions or using different assumptions. More information on Cass’ critical accounting policies is contained in Item 7, “Management’s Discussion and Analysis of Financial Condition and Results of Operations.”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regulatory agencies, the Financial Accounting Standards Board (“FASB”), and other authoritative bodies change the financial accounting and reporting standards that govern the preparation of the Company’s financial statements. These changes can be hard to predict and can materially impact how management records and reports the Company’s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Cass is subject to examinations and challenges by tax authorities, which, if not resolved in the Company’s favor, could adversely affect the Company’s financial condition and results of operations.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Cass and its affiliates are routinely subject to examinations and challenges from federal and state tax authorities regarding the amount of taxes due in connection with investments it has made and the businesses in which it is engaged. Recently, federal and state taxing authorities have become increasingly aggressive in challenging tax positions taken by financial institutions. These tax positions may relate to tax compliance, sales and use, franchise, gross receipts, payroll, property and income tax issues, including tax base, apportionment and tax credit planning. The challenges made by tax authorities may result in adjustments to the timing or amount of taxable income or deductions or the allocation of income among tax jurisdictions. If any such challenges are made and are not resolved in the Company’s favor, they could have an adverse effect on Cass’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Cass’ stock price can become volatile and fluctuate widely in response to a variety of factors.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stock price can fluctuate based on factors that can include actual or anticipated variations in Cass’ quarterly results; new technology or services by competitors; unanticipated losses or gains due to unexpected events, including losses or gains on securities held for investment purposes; significant acquisitions or business combinations, strategic partnerships, joint ventures or capital commitments by or involving the Company or its competitors; changes in accounting policies or practices; failure to integrate acquisitions or realize anticipated benefits from acquisitions; or changes in government regulations.</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market fluctuations, industry factors and general economic and political conditions, such as economic slowdowns or recessions, governmental intervention, interest rate changes, credit loss trends, low trading volume or currency fluctuations also could cause Cass’ stock price to decrease regardless of the Company’s operating results.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events beyond the Company’s control, such as severe weather, natural disasters, terrorist activities or other hostilities, may adversely affect the general economy, financial and capital markets, specific industries, and the Company.</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Severe weather, natural disasters, acts of terrorism or other hostilities, and other adverse external events beyond the Company’s control, could have a significant impact on the Company’s ability to conduct business. Such events could disrupt Cass’ operations or those of its customers, affect the stability of the Bank’s deposit base, impair the ability of borrowers to repay outstanding loans, impair the value of collateral securing loans, cause significant property damage, result in loss of revenue and/or cause the Company to incur additional expenses. The occurrence of any such event in the future could have a material adverse effect on the Company’s business, which, in turn, could have a material adverse effect on the Company’s financial condition and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u w:val="single" w:color="auto"/>
          <w:color w:val="auto"/>
        </w:rPr>
        <w:t>UNRESOLVED STAFF COMMENTS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PROPERTIES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2012, the Company entered into a 10-year lease for office space in St. Louis County, Missouri, to house the headquarters of the Company and the Bank. The Company’s headquarters occupy 13,991 square feet in an office center at 12444 Powerscourt Drive along with 3,563 square feet in the same center at 12412 Powerscourt Drive. The Bank’s headquarters occupy 10,564 square feet in the same center at 12412 Powerscourt Drive.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owns approximately 61,500 square feet of office space at 13001 Hollenberg Drive in Bridgeton, Missouri where the Company’s transportation processing activities are performed.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a production facility of approximately 45,500 square feet located at 2675 Corporate Exchange Drive, Columbus, Ohio. Additional facilities are located in Greenville, South Carolina, Wellington, Kansas, Jacksonville, Florida and Columbus, Ohio. The Company has offices in Breda, Netherlands, Basingstoke, United Kingdom, and Singapore to service its multinational customers.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Bank owns a banking facility near downtown St. Louis, Missouri, has an operating branch in the Bridgeton, Missouri location, and has additional leased facilities in Fenton, Missouri and Colorado Springs, Colorado.</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believes that these facilities are suitable and adequate for the Company’s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LEGAL PROCEEDINGS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not involved in any pending proceedings other than ordinary routine litigation incidental to their businesses. Management believes none of these proceedings, if determined adversely, would have a material effect on the business or financial conditions of the Company or its subsidiaries.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117" w:lineRule="exact"/>
        <w:rPr>
          <w:sz w:val="20"/>
          <w:szCs w:val="20"/>
          <w:color w:val="auto"/>
        </w:rPr>
      </w:pPr>
    </w:p>
    <w:p>
      <w:pPr>
        <w:jc w:val="both"/>
        <w:ind w:left="780" w:hanging="77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MARKET FOR REGISTRANT’S COMMON EQUITY, RELATED STOCKHOLDER MATTERS AND ISSUER PURCHASES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EQUITY SECURITIES</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common stock is quoted on The Nasdaq Global Select Market® under the symbol “CASS.” As of February 17, 2021, there were approximately 3,716 holders of record of the Company’s common stock.</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continuously paid regularly scheduled cash dividends since 1934 and expects to continue to pay quarterly cash dividends in the future. However, future dividend payments will depend on the Company’s earnings, capital requirements, financial condition, applicable banking regulatory requirements and other factors considered relevant by the Company’s Board of Directors.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a treasury stock buyback program pursuant to which the Board of Directors has authorized the repurchase of up to 500,000 shares of the Company’s common stock. As restored by the Board of Directors in October 2020, the program provides that the Company may repurchase up to an aggregate of 500,000 shares of common stock and has no expiration date. The Company repurchased a total of 162,901 shares at an aggregate cost of $6,825,000 during the year ended December 31, 2020 and 154,593 shares at an aggregate cost of $7,779,000 during the year ended December 31, 2019. A portion of the repurchased shares may be used for the Company’s employee benefit plans, and the balance will be available for other general corporate purposes. The pace of repurchase activity will depend on factors such as levels of cash generation from operations, cash requirements for investments, repayment of debt, current stock price, business and market conditions, and other factors. The Company may repurchase shares from time to time on the open market or in private transactions, including structured transactions. The stock repurchase program may be modified or discontinued at any time.</w:t>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2020, the Company repurchased a total of 34,122 shares of its common stock pursuant to its treasury stock buyback program,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Maximum Number of Shares</w:t>
            </w:r>
          </w:p>
        </w:tc>
      </w:tr>
      <w:tr>
        <w:trPr>
          <w:trHeight w:val="216"/>
        </w:trPr>
        <w:tc>
          <w:tcPr>
            <w:tcW w:w="19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that May Yet Be Purchased</w:t>
            </w:r>
          </w:p>
        </w:tc>
      </w:tr>
      <w:tr>
        <w:trPr>
          <w:trHeight w:val="216"/>
        </w:trPr>
        <w:tc>
          <w:tcPr>
            <w:tcW w:w="1980" w:type="dxa"/>
            <w:vAlign w:val="bottom"/>
          </w:tcPr>
          <w:p>
            <w:pPr>
              <w:spacing w:after="0"/>
              <w:rPr>
                <w:sz w:val="18"/>
                <w:szCs w:val="18"/>
                <w:color w:val="auto"/>
              </w:rPr>
            </w:pPr>
          </w:p>
        </w:tc>
        <w:tc>
          <w:tcPr>
            <w:tcW w:w="26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2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 Announced Plans 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the Plans or</w:t>
            </w:r>
          </w:p>
        </w:tc>
      </w:tr>
      <w:tr>
        <w:trPr>
          <w:trHeight w:val="270"/>
        </w:trPr>
        <w:tc>
          <w:tcPr>
            <w:tcW w:w="19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6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1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2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8"/>
              </w:rPr>
              <w:t>Programs</w:t>
            </w:r>
            <w:r>
              <w:rPr>
                <w:rFonts w:ascii="Times New Roman" w:cs="Times New Roman" w:eastAsia="Times New Roman" w:hAnsi="Times New Roman"/>
                <w:sz w:val="29"/>
                <w:szCs w:val="29"/>
                <w:b w:val="1"/>
                <w:bCs w:val="1"/>
                <w:color w:val="auto"/>
                <w:w w:val="98"/>
                <w:vertAlign w:val="superscript"/>
              </w:rPr>
              <w:t>1</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October 1, 2020 –</w:t>
            </w:r>
          </w:p>
        </w:tc>
        <w:tc>
          <w:tcPr>
            <w:tcW w:w="26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2020</w:t>
            </w:r>
          </w:p>
        </w:tc>
        <w:tc>
          <w:tcPr>
            <w:tcW w:w="2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2020 –</w:t>
            </w:r>
          </w:p>
        </w:tc>
        <w:tc>
          <w:tcPr>
            <w:tcW w:w="2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November 30, 2020</w:t>
            </w:r>
          </w:p>
        </w:tc>
        <w:tc>
          <w:tcPr>
            <w:tcW w:w="2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December 1, 2020 –</w:t>
            </w:r>
          </w:p>
        </w:tc>
        <w:tc>
          <w:tcPr>
            <w:tcW w:w="2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2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34,122</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34,122</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465,878</w:t>
            </w:r>
          </w:p>
        </w:tc>
      </w:tr>
      <w:tr>
        <w:trPr>
          <w:trHeight w:val="210"/>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34,122</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34,122</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465,878</w:t>
            </w: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jc w:val="both"/>
        <w:ind w:left="340" w:hanging="332"/>
        <w:spacing w:after="0" w:line="224" w:lineRule="auto"/>
        <w:tabs>
          <w:tab w:leader="none" w:pos="340" w:val="left"/>
        </w:tabs>
        <w:numPr>
          <w:ilvl w:val="0"/>
          <w:numId w:val="4"/>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All repurchases made during the quarter ended December 31, 2020 were made pursuant to the treasury stock buyback program, which was authorized by the Board of Directors on October 17, 2011 and announced by the Company on October 20, 2011. The program, as modified by the Board of Directors on October 20, 2014, provides that the Company may repurchase up to an aggregate of 500,000 shares of common stock and has no expiration date. The program is periodically modified by the Board of Directors and was most recently modified on October 20, 2020 to restore the aggregate number of shares available for repurchase to 500,000.</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Quoted on The Nasdaq Stock Market for the Last Five Fiscal Years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returns over the last five fiscal years of a hypothetical investment of $100 in shares of common stock of the Company with a hypothetical investment of $100 in The Nasdaq Stock Market (“Nasdaq”), the index of Nasdaq computer and data processing stocks, and the index of Nasdaq bank stocks. The graph assumes $100 was invested on December 31, 2015, with dividends reinvested. Returns are based on period end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185420</wp:posOffset>
            </wp:positionV>
            <wp:extent cx="4448810" cy="24085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4881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SELECTED FINANCIAL DATA</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for each of the five years ended December 31. The selected financial data should be read in conjunction with the Company’s consolidated financial statements and accompanying notes included in Item 8 of this report.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tc>
        <w:tc>
          <w:tcPr>
            <w:tcW w:w="5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16"/>
        </w:trPr>
        <w:tc>
          <w:tcPr>
            <w:tcW w:w="41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54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100,441</w:t>
            </w:r>
          </w:p>
        </w:tc>
        <w:tc>
          <w:tcPr>
            <w:tcW w:w="30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110,069</w:t>
            </w:r>
          </w:p>
        </w:tc>
        <w:tc>
          <w:tcPr>
            <w:tcW w:w="30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104,076</w:t>
            </w:r>
          </w:p>
        </w:tc>
        <w:tc>
          <w:tcPr>
            <w:tcW w:w="30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95,512</w:t>
            </w:r>
          </w:p>
        </w:tc>
        <w:tc>
          <w:tcPr>
            <w:tcW w:w="540" w:type="dxa"/>
            <w:vAlign w:val="bottom"/>
            <w:shd w:val="clear" w:color="auto" w:fill="B2B2B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86,136</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5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37,665</w:t>
            </w:r>
          </w:p>
        </w:tc>
        <w:tc>
          <w:tcPr>
            <w:tcW w:w="30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36,461</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32,477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28,641</w:t>
            </w:r>
          </w:p>
        </w:tc>
        <w:tc>
          <w:tcPr>
            <w:tcW w:w="5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29,063</w:t>
            </w:r>
          </w:p>
        </w:tc>
      </w:tr>
      <w:tr>
        <w:trPr>
          <w:trHeight w:val="216"/>
        </w:trPr>
        <w:tc>
          <w:tcPr>
            <w:tcW w:w="41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 income on debt and equity securities</w:t>
            </w:r>
          </w:p>
        </w:tc>
        <w:tc>
          <w:tcPr>
            <w:tcW w:w="54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8,796</w:t>
            </w: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10,336</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11,167</w:t>
            </w: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54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9,801</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5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1,226</w:t>
            </w:r>
          </w:p>
        </w:tc>
        <w:tc>
          <w:tcPr>
            <w:tcW w:w="30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5,812</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4,282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5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1,066</w:t>
            </w:r>
          </w:p>
        </w:tc>
      </w:tr>
      <w:tr>
        <w:trPr>
          <w:trHeight w:val="216"/>
        </w:trPr>
        <w:tc>
          <w:tcPr>
            <w:tcW w:w="41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Total interest income</w:t>
            </w:r>
          </w:p>
        </w:tc>
        <w:tc>
          <w:tcPr>
            <w:tcW w:w="54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47,687</w:t>
            </w: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52,609</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47,926</w:t>
            </w: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41,977</w:t>
            </w:r>
          </w:p>
        </w:tc>
        <w:tc>
          <w:tcPr>
            <w:tcW w:w="54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39,930</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deposits</w:t>
            </w:r>
          </w:p>
        </w:tc>
        <w:tc>
          <w:tcPr>
            <w:tcW w:w="5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2,360</w:t>
            </w:r>
          </w:p>
        </w:tc>
        <w:tc>
          <w:tcPr>
            <w:tcW w:w="30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5,191</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3,736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5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2,029</w:t>
            </w:r>
          </w:p>
        </w:tc>
      </w:tr>
      <w:tr>
        <w:trPr>
          <w:trHeight w:val="216"/>
        </w:trPr>
        <w:tc>
          <w:tcPr>
            <w:tcW w:w="41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 on short-term borrowings</w:t>
            </w:r>
          </w:p>
        </w:tc>
        <w:tc>
          <w:tcPr>
            <w:tcW w:w="54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credit/loan losses</w:t>
            </w:r>
          </w:p>
        </w:tc>
        <w:tc>
          <w:tcPr>
            <w:tcW w:w="5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810</w:t>
            </w:r>
          </w:p>
        </w:tc>
        <w:tc>
          <w:tcPr>
            <w:tcW w:w="30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41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Net interest income after provision</w:t>
            </w:r>
          </w:p>
        </w:tc>
        <w:tc>
          <w:tcPr>
            <w:tcW w:w="54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44,515</w:t>
            </w: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47,166</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44,190</w:t>
            </w: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39,790</w:t>
            </w:r>
          </w:p>
        </w:tc>
        <w:tc>
          <w:tcPr>
            <w:tcW w:w="54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39,401</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5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114,615</w:t>
            </w:r>
          </w:p>
        </w:tc>
        <w:tc>
          <w:tcPr>
            <w:tcW w:w="30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119,769</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111,919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100,403</w:t>
            </w:r>
          </w:p>
        </w:tc>
        <w:tc>
          <w:tcPr>
            <w:tcW w:w="5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93,473</w:t>
            </w:r>
          </w:p>
        </w:tc>
      </w:tr>
      <w:tr>
        <w:trPr>
          <w:trHeight w:val="216"/>
        </w:trPr>
        <w:tc>
          <w:tcPr>
            <w:tcW w:w="41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54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30,341</w:t>
            </w: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37,466</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36,347</w:t>
            </w: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34,899</w:t>
            </w:r>
          </w:p>
        </w:tc>
        <w:tc>
          <w:tcPr>
            <w:tcW w:w="54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32,064</w:t>
            </w:r>
          </w:p>
        </w:tc>
      </w:tr>
      <w:tr>
        <w:trPr>
          <w:trHeight w:val="216"/>
        </w:trPr>
        <w:tc>
          <w:tcPr>
            <w:tcW w:w="4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5,165</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7,062</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6,079</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5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5"/>
                <w:szCs w:val="15"/>
                <w:b w:val="1"/>
                <w:bCs w:val="1"/>
                <w:color w:val="auto"/>
              </w:rPr>
              <w:t>(1)</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7,716</w:t>
            </w:r>
          </w:p>
        </w:tc>
      </w:tr>
      <w:tr>
        <w:trPr>
          <w:trHeight w:val="210"/>
        </w:trPr>
        <w:tc>
          <w:tcPr>
            <w:tcW w:w="410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25,176</w:t>
            </w:r>
          </w:p>
        </w:tc>
        <w:tc>
          <w:tcPr>
            <w:tcW w:w="30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30,404</w:t>
            </w:r>
          </w:p>
        </w:tc>
        <w:tc>
          <w:tcPr>
            <w:tcW w:w="30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30,268</w:t>
            </w:r>
          </w:p>
        </w:tc>
        <w:tc>
          <w:tcPr>
            <w:tcW w:w="30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25,014</w:t>
            </w:r>
          </w:p>
        </w:tc>
        <w:tc>
          <w:tcPr>
            <w:tcW w:w="540" w:type="dxa"/>
            <w:vAlign w:val="bottom"/>
            <w:tcBorders>
              <w:bottom w:val="single" w:sz="8" w:color="auto"/>
            </w:tcBorders>
            <w:shd w:val="clear" w:color="auto" w:fill="B2B2B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24,348</w:t>
            </w:r>
          </w:p>
        </w:tc>
      </w:tr>
      <w:tr>
        <w:trPr>
          <w:trHeight w:val="20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2.07</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41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Dividends per share</w:t>
            </w:r>
          </w:p>
        </w:tc>
        <w:tc>
          <w:tcPr>
            <w:tcW w:w="54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4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Dividend payout ratio</w:t>
            </w: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333"/>
              <w:spacing w:after="0"/>
              <w:rPr>
                <w:sz w:val="20"/>
                <w:szCs w:val="20"/>
                <w:color w:val="auto"/>
              </w:rPr>
            </w:pPr>
            <w:r>
              <w:rPr>
                <w:rFonts w:ascii="Times New Roman" w:cs="Times New Roman" w:eastAsia="Times New Roman" w:hAnsi="Times New Roman"/>
                <w:sz w:val="18"/>
                <w:szCs w:val="18"/>
                <w:color w:val="auto"/>
              </w:rPr>
              <w:t>42.68%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w:t>
            </w:r>
          </w:p>
        </w:tc>
      </w:tr>
      <w:tr>
        <w:trPr>
          <w:trHeight w:val="210"/>
        </w:trPr>
        <w:tc>
          <w:tcPr>
            <w:tcW w:w="41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Average total assets</w:t>
            </w:r>
          </w:p>
        </w:tc>
        <w:tc>
          <w:tcPr>
            <w:tcW w:w="54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1,952,110</w:t>
            </w:r>
          </w:p>
        </w:tc>
        <w:tc>
          <w:tcPr>
            <w:tcW w:w="30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1,749,574</w:t>
            </w:r>
          </w:p>
        </w:tc>
        <w:tc>
          <w:tcPr>
            <w:tcW w:w="30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1,637,876</w:t>
            </w:r>
          </w:p>
        </w:tc>
        <w:tc>
          <w:tcPr>
            <w:tcW w:w="30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1,568,112</w:t>
            </w:r>
          </w:p>
        </w:tc>
        <w:tc>
          <w:tcPr>
            <w:tcW w:w="540" w:type="dxa"/>
            <w:vAlign w:val="bottom"/>
            <w:shd w:val="clear" w:color="auto" w:fill="B2B2B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1,504,474</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Average net loans</w:t>
            </w:r>
          </w:p>
        </w:tc>
        <w:tc>
          <w:tcPr>
            <w:tcW w:w="5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895,345</w:t>
            </w:r>
          </w:p>
        </w:tc>
        <w:tc>
          <w:tcPr>
            <w:tcW w:w="30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749,710</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700,631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653,459</w:t>
            </w:r>
          </w:p>
        </w:tc>
        <w:tc>
          <w:tcPr>
            <w:tcW w:w="5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667,158</w:t>
            </w:r>
          </w:p>
        </w:tc>
      </w:tr>
      <w:tr>
        <w:trPr>
          <w:trHeight w:val="216"/>
        </w:trPr>
        <w:tc>
          <w:tcPr>
            <w:tcW w:w="41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Average investment securities</w:t>
            </w:r>
          </w:p>
        </w:tc>
        <w:tc>
          <w:tcPr>
            <w:tcW w:w="54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365,254</w:t>
            </w: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423,384</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448,890</w:t>
            </w: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426,657</w:t>
            </w:r>
          </w:p>
        </w:tc>
        <w:tc>
          <w:tcPr>
            <w:tcW w:w="54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352,129</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Average total deposits</w:t>
            </w:r>
          </w:p>
        </w:tc>
        <w:tc>
          <w:tcPr>
            <w:tcW w:w="5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836,843</w:t>
            </w:r>
          </w:p>
        </w:tc>
        <w:tc>
          <w:tcPr>
            <w:tcW w:w="30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671,144</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624,877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602,490</w:t>
            </w:r>
          </w:p>
        </w:tc>
        <w:tc>
          <w:tcPr>
            <w:tcW w:w="5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614,975</w:t>
            </w:r>
          </w:p>
        </w:tc>
      </w:tr>
      <w:tr>
        <w:trPr>
          <w:trHeight w:val="216"/>
        </w:trPr>
        <w:tc>
          <w:tcPr>
            <w:tcW w:w="410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Average total shareholders’ equity</w:t>
            </w:r>
          </w:p>
        </w:tc>
        <w:tc>
          <w:tcPr>
            <w:tcW w:w="54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246,088</w:t>
            </w:r>
          </w:p>
        </w:tc>
        <w:tc>
          <w:tcPr>
            <w:tcW w:w="30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236,467</w:t>
            </w:r>
          </w:p>
        </w:tc>
        <w:tc>
          <w:tcPr>
            <w:tcW w:w="3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223,372</w:t>
            </w:r>
          </w:p>
        </w:tc>
        <w:tc>
          <w:tcPr>
            <w:tcW w:w="30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216,548</w:t>
            </w:r>
          </w:p>
        </w:tc>
        <w:tc>
          <w:tcPr>
            <w:tcW w:w="54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207,060</w:t>
            </w:r>
          </w:p>
        </w:tc>
      </w:tr>
      <w:tr>
        <w:trPr>
          <w:trHeight w:val="20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Return on average total assets</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00" w:type="dxa"/>
            <w:vAlign w:val="bottom"/>
          </w:tcPr>
          <w:p>
            <w:pPr>
              <w:spacing w:after="0"/>
              <w:rPr>
                <w:sz w:val="18"/>
                <w:szCs w:val="18"/>
                <w:color w:val="auto"/>
              </w:rPr>
            </w:pPr>
          </w:p>
        </w:tc>
        <w:tc>
          <w:tcPr>
            <w:tcW w:w="1440" w:type="dxa"/>
            <w:vAlign w:val="bottom"/>
            <w:gridSpan w:val="2"/>
          </w:tcPr>
          <w:p>
            <w:pPr>
              <w:jc w:val="right"/>
              <w:ind w:right="333"/>
              <w:spacing w:after="0"/>
              <w:rPr>
                <w:sz w:val="20"/>
                <w:szCs w:val="20"/>
                <w:color w:val="auto"/>
              </w:rPr>
            </w:pPr>
            <w:r>
              <w:rPr>
                <w:rFonts w:ascii="Times New Roman" w:cs="Times New Roman" w:eastAsia="Times New Roman" w:hAnsi="Times New Roman"/>
                <w:sz w:val="18"/>
                <w:szCs w:val="18"/>
                <w:color w:val="auto"/>
              </w:rPr>
              <w:t>1.60%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41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Return on average equity</w:t>
            </w:r>
          </w:p>
        </w:tc>
        <w:tc>
          <w:tcPr>
            <w:tcW w:w="54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10.23</w:t>
            </w: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12.86</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13.55</w:t>
            </w: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54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11.76</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Average equity to assets ratio</w:t>
            </w:r>
          </w:p>
        </w:tc>
        <w:tc>
          <w:tcPr>
            <w:tcW w:w="5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12.61</w:t>
            </w:r>
          </w:p>
        </w:tc>
        <w:tc>
          <w:tcPr>
            <w:tcW w:w="30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13.52</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13.64</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5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13.76</w:t>
            </w:r>
          </w:p>
        </w:tc>
      </w:tr>
      <w:tr>
        <w:trPr>
          <w:trHeight w:val="216"/>
        </w:trPr>
        <w:tc>
          <w:tcPr>
            <w:tcW w:w="41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Equity to assets ratio at year-end</w:t>
            </w:r>
          </w:p>
        </w:tc>
        <w:tc>
          <w:tcPr>
            <w:tcW w:w="54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11.85</w:t>
            </w: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13.84</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13.56</w:t>
            </w: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54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13.82</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Tangible common equity to tangible assets</w:t>
            </w:r>
          </w:p>
        </w:tc>
        <w:tc>
          <w:tcPr>
            <w:tcW w:w="5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11.14</w:t>
            </w:r>
          </w:p>
        </w:tc>
        <w:tc>
          <w:tcPr>
            <w:tcW w:w="30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12.93</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12.83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5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13.04</w:t>
            </w:r>
          </w:p>
        </w:tc>
      </w:tr>
      <w:tr>
        <w:trPr>
          <w:trHeight w:val="216"/>
        </w:trPr>
        <w:tc>
          <w:tcPr>
            <w:tcW w:w="41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Tangible common equity to risk-weighted assets</w:t>
            </w:r>
          </w:p>
        </w:tc>
        <w:tc>
          <w:tcPr>
            <w:tcW w:w="54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20.38</w:t>
            </w: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17.78</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18.85</w:t>
            </w: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20.13</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5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2.82</w:t>
            </w:r>
          </w:p>
        </w:tc>
        <w:tc>
          <w:tcPr>
            <w:tcW w:w="30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3.36</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5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41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Allowance for credit/loan losses to loans at year-end</w:t>
            </w:r>
          </w:p>
        </w:tc>
        <w:tc>
          <w:tcPr>
            <w:tcW w:w="54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54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assets to loans and foreclosed assets</w:t>
            </w:r>
          </w:p>
        </w:tc>
        <w:tc>
          <w:tcPr>
            <w:tcW w:w="5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r>
      <w:tr>
        <w:trPr>
          <w:trHeight w:val="198"/>
        </w:trPr>
        <w:tc>
          <w:tcPr>
            <w:tcW w:w="4100" w:type="dxa"/>
            <w:vAlign w:val="bottom"/>
            <w:shd w:val="clear" w:color="auto" w:fill="B2B2B2"/>
          </w:tcPr>
          <w:p>
            <w:pPr>
              <w:spacing w:after="0" w:line="198" w:lineRule="exact"/>
              <w:rPr>
                <w:sz w:val="20"/>
                <w:szCs w:val="20"/>
                <w:color w:val="auto"/>
              </w:rPr>
            </w:pPr>
            <w:r>
              <w:rPr>
                <w:rFonts w:ascii="Times New Roman" w:cs="Times New Roman" w:eastAsia="Times New Roman" w:hAnsi="Times New Roman"/>
                <w:sz w:val="18"/>
                <w:szCs w:val="18"/>
                <w:color w:val="auto"/>
              </w:rPr>
              <w:t>Net loan (recoveries) charge-offs to average loans</w:t>
            </w:r>
          </w:p>
        </w:tc>
        <w:tc>
          <w:tcPr>
            <w:tcW w:w="540" w:type="dxa"/>
            <w:vAlign w:val="bottom"/>
            <w:shd w:val="clear" w:color="auto" w:fill="B2B2B2"/>
          </w:tcPr>
          <w:p>
            <w:pPr>
              <w:spacing w:after="0"/>
              <w:rPr>
                <w:sz w:val="17"/>
                <w:szCs w:val="17"/>
                <w:color w:val="auto"/>
              </w:rPr>
            </w:pPr>
          </w:p>
        </w:tc>
        <w:tc>
          <w:tcPr>
            <w:tcW w:w="1080" w:type="dxa"/>
            <w:vAlign w:val="bottom"/>
            <w:shd w:val="clear" w:color="auto" w:fill="B2B2B2"/>
          </w:tcPr>
          <w:p>
            <w:pPr>
              <w:spacing w:after="0"/>
              <w:rPr>
                <w:sz w:val="17"/>
                <w:szCs w:val="17"/>
                <w:color w:val="auto"/>
              </w:rPr>
            </w:pPr>
          </w:p>
        </w:tc>
        <w:tc>
          <w:tcPr>
            <w:tcW w:w="300" w:type="dxa"/>
            <w:vAlign w:val="bottom"/>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300" w:type="dxa"/>
            <w:vAlign w:val="bottom"/>
            <w:shd w:val="clear" w:color="auto" w:fill="B2B2B2"/>
          </w:tcPr>
          <w:p>
            <w:pPr>
              <w:spacing w:after="0"/>
              <w:rPr>
                <w:sz w:val="17"/>
                <w:szCs w:val="17"/>
                <w:color w:val="auto"/>
              </w:rPr>
            </w:pPr>
          </w:p>
        </w:tc>
        <w:tc>
          <w:tcPr>
            <w:tcW w:w="1080" w:type="dxa"/>
            <w:vAlign w:val="bottom"/>
            <w:shd w:val="clear" w:color="auto" w:fill="B2B2B2"/>
          </w:tcPr>
          <w:p>
            <w:pPr>
              <w:spacing w:after="0"/>
              <w:rPr>
                <w:sz w:val="17"/>
                <w:szCs w:val="17"/>
                <w:color w:val="auto"/>
              </w:rPr>
            </w:pPr>
          </w:p>
        </w:tc>
        <w:tc>
          <w:tcPr>
            <w:tcW w:w="300" w:type="dxa"/>
            <w:vAlign w:val="bottom"/>
            <w:shd w:val="clear" w:color="auto" w:fill="B2B2B2"/>
          </w:tcPr>
          <w:p>
            <w:pPr>
              <w:spacing w:after="0"/>
              <w:rPr>
                <w:sz w:val="17"/>
                <w:szCs w:val="17"/>
                <w:color w:val="auto"/>
              </w:rPr>
            </w:pPr>
          </w:p>
        </w:tc>
        <w:tc>
          <w:tcPr>
            <w:tcW w:w="900" w:type="dxa"/>
            <w:vAlign w:val="bottom"/>
            <w:shd w:val="clear" w:color="auto" w:fill="B2B2B2"/>
          </w:tcPr>
          <w:p>
            <w:pPr>
              <w:spacing w:after="0"/>
              <w:rPr>
                <w:sz w:val="17"/>
                <w:szCs w:val="17"/>
                <w:color w:val="auto"/>
              </w:rPr>
            </w:pPr>
          </w:p>
        </w:tc>
        <w:tc>
          <w:tcPr>
            <w:tcW w:w="540" w:type="dxa"/>
            <w:vAlign w:val="bottom"/>
            <w:shd w:val="clear" w:color="auto" w:fill="B2B2B2"/>
          </w:tcPr>
          <w:p>
            <w:pPr>
              <w:spacing w:after="0"/>
              <w:rPr>
                <w:sz w:val="17"/>
                <w:szCs w:val="17"/>
                <w:color w:val="auto"/>
              </w:rPr>
            </w:pPr>
          </w:p>
        </w:tc>
        <w:tc>
          <w:tcPr>
            <w:tcW w:w="1040" w:type="dxa"/>
            <w:vAlign w:val="bottom"/>
            <w:shd w:val="clear" w:color="auto" w:fill="B2B2B2"/>
          </w:tcPr>
          <w:p>
            <w:pPr>
              <w:spacing w:after="0"/>
              <w:rPr>
                <w:sz w:val="17"/>
                <w:szCs w:val="17"/>
                <w:color w:val="auto"/>
              </w:rPr>
            </w:pPr>
          </w:p>
        </w:tc>
      </w:tr>
      <w:tr>
        <w:trPr>
          <w:trHeight w:val="241"/>
        </w:trPr>
        <w:tc>
          <w:tcPr>
            <w:tcW w:w="4100" w:type="dxa"/>
            <w:vAlign w:val="bottom"/>
            <w:tcBorders>
              <w:bottom w:val="single" w:sz="8" w:color="auto"/>
            </w:tcBorders>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outstanding</w:t>
            </w:r>
          </w:p>
        </w:tc>
        <w:tc>
          <w:tcPr>
            <w:tcW w:w="540" w:type="dxa"/>
            <w:vAlign w:val="bottom"/>
            <w:tcBorders>
              <w:bottom w:val="single" w:sz="8" w:color="auto"/>
            </w:tcBorders>
            <w:shd w:val="clear" w:color="auto" w:fill="B2B2B2"/>
          </w:tcPr>
          <w:p>
            <w:pPr>
              <w:spacing w:after="0"/>
              <w:rPr>
                <w:sz w:val="20"/>
                <w:szCs w:val="20"/>
                <w:color w:val="auto"/>
              </w:rPr>
            </w:pPr>
          </w:p>
        </w:tc>
        <w:tc>
          <w:tcPr>
            <w:tcW w:w="108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B2B2B2"/>
          </w:tcPr>
          <w:p>
            <w:pPr>
              <w:spacing w:after="0"/>
              <w:rPr>
                <w:sz w:val="20"/>
                <w:szCs w:val="20"/>
                <w:color w:val="auto"/>
              </w:rPr>
            </w:pPr>
          </w:p>
        </w:tc>
        <w:tc>
          <w:tcPr>
            <w:tcW w:w="106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Borders>
              <w:bottom w:val="single" w:sz="8" w:color="auto"/>
            </w:tcBorders>
            <w:shd w:val="clear" w:color="auto" w:fill="B2B2B2"/>
          </w:tcPr>
          <w:p>
            <w:pPr>
              <w:spacing w:after="0"/>
              <w:rPr>
                <w:sz w:val="20"/>
                <w:szCs w:val="20"/>
                <w:color w:val="auto"/>
              </w:rPr>
            </w:pPr>
          </w:p>
        </w:tc>
        <w:tc>
          <w:tcPr>
            <w:tcW w:w="108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B2B2B2"/>
          </w:tcPr>
          <w:p>
            <w:pPr>
              <w:spacing w:after="0"/>
              <w:rPr>
                <w:sz w:val="20"/>
                <w:szCs w:val="20"/>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B2B2B2"/>
          </w:tcPr>
          <w:p>
            <w:pPr>
              <w:spacing w:after="0"/>
              <w:rPr>
                <w:sz w:val="20"/>
                <w:szCs w:val="20"/>
                <w:color w:val="auto"/>
              </w:rPr>
            </w:pPr>
          </w:p>
        </w:tc>
        <w:tc>
          <w:tcPr>
            <w:tcW w:w="104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bl>
    <w:p>
      <w:pPr>
        <w:ind w:left="340" w:hanging="332"/>
        <w:spacing w:after="0" w:line="197" w:lineRule="auto"/>
        <w:tabs>
          <w:tab w:leader="none" w:pos="340" w:val="left"/>
        </w:tabs>
        <w:numPr>
          <w:ilvl w:val="0"/>
          <w:numId w:val="5"/>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Includes one-time, non-cash Tax Cuts and Jobs Act (“TCJA”) charge of $1,824,000.</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provides information about the more significant factors that impacted the financial condition and results of operations of the Company for the years ended December 31, 2020, 2019 and 2018. This discussion and analysis should be read in conjunction with the Company’s consolidated financial statements and accompanying notes and other selected financial data presented elsewhere in this report. Refer to Item 7, “Management’s Discussion and Analysis of Financial Condition and Results of Operations” included in the Company’s Annual Report on Form 10-K/A filed with the SEC on March 6, 2020 and incorporated herein by reference for a discussion and analysis of the more significant factors that affected periods prior to 2019.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Cass provides payment and information processing services to large manufacturing, distribution and retail enterprises from its offices/locations in St. Louis, Missouri, Columbus, Ohio, Greenville, South Carolina, Wellington, Kansas, Jacksonville, Florida, Breda, Netherlands, Basingstoke, United Kingdom, and Singapore. The Company’s services include freight invoice rating, payment processing, auditing, and the generation of accounting and transportation information. Cass also processes and pays energy invoices, which include electricity and gas as well as waste and telecommunications expenses, and is a provider of telecom expense management solutions. Cass solutions include a B2B payment platform for clients that require an agile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fintech partner. Additionally, the Company offers an on-line platform to provide generosity services for faith-based and non-profit organizations. The Company’s bank subsidiary, the “Bank,” supports the Company’s payment operations. The Bank also provides banking services to its target markets, which include privately-owned businesses and faith-based ministries in the St. Louis metropolitan area as well as other selected cities in the United States.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advances to payees,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2020, total fee revenue and other income decreased $9,628,000, or 9%, net interest income after provision for credit losses decreased $2,651,000, or 6%, total operating expenses decreased $5,154,000, or 4%, and net income decreased $5,228,000, or 17%. This performance in 2020 was negatively impacted by the COVID-19 global pandemic. For payment processing services, business closures have led to a decrease in the number of transactions and dollars processed due to the decline in customers’ business activity, which resulted in a negative effect on total fee revenue and other income. Additionally, the Federal Reserve’s actions to lower the Federal Funds rate adversely impacted net interest income. Total operating expenses decreased as the lower number of transactions processed had a corresponding reduction in personnel expense and COVID-19 limited employee travel-related expenses. The asset quality of the Company’s loans and investments as of December 31, 2020 remained strong.</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and Not Yet Adopted Accounting Pronouncements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The standard is effective for fiscal periods beginning after December 15, 2019. The Coronavirus Aid, Relief, and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(“CARES”) Act was signed into law on March 27, 2020 and included provisions that temporarily delayed the required implementation date of ASU 2016-13 to the earlier of the end of the national pandemic or December 31, 2020. The Consolidated Appropriations Act (“CAA”) was signed into law on December 27, 2020 and extended the deferral of required implementation of ASU 2016-13 to the earlier of the first day of a company’s fiscal year that begins after the date the COVID-19 national emergency comes to an end or January 1, 2022. The Company elected to defer the adoption of ASU 2016-13 until December 31, 2020 with an effective date of January 1, 2020.</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ASU required measurement and recognition of expected credit losses for financial instruments held, as applicable, which include allowances for credit losses expected over the life of the portfolio, rather than incurred losses, which include allowances for current probable and estimable losses within the portfolio. Under this standard, the Company is required to hold an allowance equal to the expected life-of-loan losses on the loan portfolio. It also applies to off-balance sheet credit exposures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as loan commitments, standby letters of credit and other similar instruments. In addition, ASU 2016-13 made changes to the accounting for available-for-sale debt securities.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adopted ASU 2016-13 using a modified retrospective approach. Results for annual reporting periods beginning after January 1, 2020 are presented under ASU 2016-13 while prior period amounts continue to be reported in accordance with previously applicable GAAP. Results for quarterly reporting periods beginning after December 31, 2020 in the Company’s Form 10-Q will be presented under ASU 2016-13 while prior quarterly period amounts continue to be reported in accordance with previously applicable GAAP. The Company recognized increases of $723,000 in the allowance for credit losses and $402,000 in the reserve for unfunded commitments, with a corresponding reduction to retained earnings, net of tax, of $856,000. No credit loss allowance was required upon adoption for the investment securities portfolio.</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illustrates the impact of the adoption of ASU 2016-13: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83"/>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Impact of ASU</w:t>
            </w:r>
          </w:p>
        </w:tc>
        <w:tc>
          <w:tcPr>
            <w:tcW w:w="1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2016-13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 ASU</w:t>
            </w:r>
          </w:p>
        </w:tc>
      </w:t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Adoption</w:t>
            </w:r>
          </w:p>
        </w:tc>
        <w:tc>
          <w:tcPr>
            <w:tcW w:w="12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2016-13</w:t>
            </w:r>
          </w:p>
        </w:tc>
        <w:tc>
          <w:tcPr>
            <w:tcW w:w="120" w:type="dxa"/>
            <w:vAlign w:val="bottom"/>
          </w:tcPr>
          <w:p>
            <w:pPr>
              <w:spacing w:after="0"/>
              <w:rPr>
                <w:sz w:val="20"/>
                <w:szCs w:val="20"/>
                <w:color w:val="auto"/>
              </w:rPr>
            </w:pPr>
          </w:p>
        </w:tc>
      </w:tr>
      <w:tr>
        <w:trPr>
          <w:trHeight w:val="191"/>
        </w:trPr>
        <w:tc>
          <w:tcPr>
            <w:tcW w:w="6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Allowance for credit/loan losses on loans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11,279</w:t>
            </w:r>
          </w:p>
        </w:tc>
      </w:tr>
      <w:tr>
        <w:trPr>
          <w:trHeight w:val="216"/>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tax asset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2,567</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Reserve for unfunded commitments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90,341</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89,485</w:t>
            </w: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prepared the consolidated financial statements in this report in accordance with the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Committee of the Board of Directors and is described below.</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The Company performs periodic and systematic detailed reviews of its loan portfolio to determine management’s estimate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lifetime expected credit losses.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Credit Losses and Allowance for Unfunded Commitments” section of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8, “Financial Statements and Supplementary Data—Note 1” for additional information on the adoption of ASU 2016-13.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the Company’s Business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the effects of COVID-19 and related actions to attempt to control its spread significantly impacted the global economy and adversely affected the Company’s operating results in both the Information Services and Banking Services segments.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the spread of COVID-19 to the U.S. in the first quarter of 2020, many state and local governments recommended or mandated limitations on crowd size, closures of businesses and shelter-in-place orders in order to slow the transmission. The extent and nature of government actions varied during fiscal year 2020 and in early fiscal year 2021 based upon the then-current extent and severity of the COVID-19 pandemic within the respective localities. Severe business disruptions, resulting constrictions in the manufacturing sector for most of the year, decreased oil demand and prices and general economic uncertainty, significantly and adversely impacted the Company’s customers’ business operations and had a corresponding negative affect on the Company’s revenue generation in each sector of the Company’s Information Services segment.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Federal Reserve also took action to lower the Federal Funds rate in connection with COVID-19 relief, adversely affecting the Company’s net interest income and operating results for fiscal 2020 tied to Banking Services. The Federal Reserve has indicated that it will retain the current low level interest rates until the economy has stabilized.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Bank regulatory agencies and various governmental authorities are urging financial institutions to work prudently with borrowers who are or may be unable to meet their contractual payment obligations because of the effects of COVID-19. Accordingly, and in coordination with its primary regulators, the Company deferred borrower principal payments on loans during the second quarter of 2020, on an as needed basis, for periods of up to six months. There were no borrowers remaining on deferred terms at the end of the third quarter of 2020.</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response to COVID-19, the CARES Act was adopted on March 27, 2020. The CARES Act provides for an estimated $2.2 trillion to fight the COVID-19 pandemic and stimulate the economy by supporting individuals and businesses through loans, grants, tax changes, and other types of relief. Among other things, the CARES Act established the Paycheck Protection Program (“PPP”), which allows entities to apply for low-interest private loans to fund payroll and other costs which, subject to certain conditions and qualifications, are partially or fully forgivable. In support of the CARES Act, the Bank had processed nearly 350 applications for PPP loans of approximately $170,000,000 during the year ended December 31, 2020 to provide much-needed cash to small business and self-employed taxpayers during the COVID-19 crisis. The loans were primarily made to existing bank customers and are 100% guaranteed by the Small Business Administration and helped offset the near-zero interest rate environment.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Cass remains committed to creating a safe and healthy environment for employees while offering assurance that it remains a financially strong service provider possessing the resources necessary to weather this pandemic in support of its valued customers.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late fiscal 2020, vaccines effective in combatting COVID-19 were approved by health agencies and began to be administered. However, initial quantities of vaccines are limited and full administration of the COVID-19 vaccines is unlikely to occur in most jurisdictions until mid- to late-2021. The timeline and outlook of economic recovery from COVID-19 is unknown at this time, and prolonged, extensive business interruptions would continue to adversely affect the Company’s operations and financial results. Given these and other uncertainties discussed throughout this report, the Company remains subject to heightened risk, and the aggregate impact that COVID-19 could have on the Company’s financial condition and operating results is presently unknown.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on COVID-19 and its impact on the Company, refer to Item 8, “Financial Statements and Supplementary Data—Note 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of Results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5"/>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0" w:type="dxa"/>
            <w:vAlign w:val="bottom"/>
          </w:tcPr>
          <w:p>
            <w:pPr>
              <w:spacing w:after="0"/>
              <w:rPr>
                <w:sz w:val="24"/>
                <w:szCs w:val="24"/>
                <w:color w:val="auto"/>
              </w:rPr>
            </w:pPr>
          </w:p>
        </w:tc>
        <w:tc>
          <w:tcPr>
            <w:tcW w:w="3140" w:type="dxa"/>
            <w:vAlign w:val="bottom"/>
            <w:tcBorders>
              <w:bottom w:val="single" w:sz="8" w:color="auto"/>
            </w:tcBorders>
            <w:gridSpan w:val="2"/>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 v. 2019</w:t>
            </w: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 v. 2018</w:t>
            </w:r>
          </w:p>
        </w:tc>
        <w:tc>
          <w:tcPr>
            <w:tcW w:w="0" w:type="dxa"/>
            <w:vAlign w:val="bottom"/>
          </w:tcPr>
          <w:p>
            <w:pPr>
              <w:spacing w:after="0"/>
              <w:rPr>
                <w:sz w:val="1"/>
                <w:szCs w:val="1"/>
                <w:color w:val="auto"/>
              </w:rPr>
            </w:pPr>
          </w:p>
        </w:tc>
      </w:tr>
      <w:tr>
        <w:trPr>
          <w:trHeight w:val="209"/>
        </w:trPr>
        <w:tc>
          <w:tcPr>
            <w:tcW w:w="36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processing volume</w:t>
            </w:r>
          </w:p>
        </w:tc>
        <w:tc>
          <w:tcPr>
            <w:tcW w:w="24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60,476</w:t>
            </w:r>
          </w:p>
        </w:tc>
        <w:tc>
          <w:tcPr>
            <w:tcW w:w="30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63,567</w:t>
            </w:r>
          </w:p>
        </w:tc>
        <w:tc>
          <w:tcPr>
            <w:tcW w:w="32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66,255</w:t>
            </w:r>
          </w:p>
        </w:tc>
        <w:tc>
          <w:tcPr>
            <w:tcW w:w="1820" w:type="dxa"/>
            <w:vAlign w:val="bottom"/>
            <w:gridSpan w:val="2"/>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(4.9)%</w:t>
            </w:r>
          </w:p>
        </w:tc>
        <w:tc>
          <w:tcPr>
            <w:tcW w:w="1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invoice dollars processed and paid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39,975,033</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42,973,242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42,380,453</w:t>
            </w:r>
          </w:p>
        </w:tc>
        <w:tc>
          <w:tcPr>
            <w:tcW w:w="18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6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Payment and processing fees</w:t>
            </w:r>
          </w:p>
        </w:tc>
        <w:tc>
          <w:tcPr>
            <w:tcW w:w="240" w:type="dxa"/>
            <w:vAlign w:val="bottom"/>
            <w:shd w:val="clear" w:color="auto" w:fill="B2B2B2"/>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97,204</w:t>
            </w:r>
          </w:p>
        </w:tc>
        <w:tc>
          <w:tcPr>
            <w:tcW w:w="30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107,953</w:t>
            </w:r>
          </w:p>
        </w:tc>
        <w:tc>
          <w:tcPr>
            <w:tcW w:w="32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102,181</w:t>
            </w:r>
          </w:p>
        </w:tc>
        <w:tc>
          <w:tcPr>
            <w:tcW w:w="1820" w:type="dxa"/>
            <w:vAlign w:val="bottom"/>
            <w:gridSpan w:val="2"/>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interest income after provision for</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credit/loan losses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44,515</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47,166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44,190</w:t>
            </w:r>
          </w:p>
        </w:tc>
        <w:tc>
          <w:tcPr>
            <w:tcW w:w="18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(5.6)</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36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40" w:type="dxa"/>
            <w:vAlign w:val="bottom"/>
            <w:shd w:val="clear" w:color="auto" w:fill="B2B2B2"/>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144,956</w:t>
            </w:r>
          </w:p>
        </w:tc>
        <w:tc>
          <w:tcPr>
            <w:tcW w:w="30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157,235</w:t>
            </w:r>
          </w:p>
        </w:tc>
        <w:tc>
          <w:tcPr>
            <w:tcW w:w="32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148,266</w:t>
            </w:r>
          </w:p>
        </w:tc>
        <w:tc>
          <w:tcPr>
            <w:tcW w:w="1820" w:type="dxa"/>
            <w:vAlign w:val="bottom"/>
            <w:gridSpan w:val="2"/>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(7.8)</w:t>
            </w:r>
          </w:p>
        </w:tc>
        <w:tc>
          <w:tcPr>
            <w:tcW w:w="142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Average earning assets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1,674,297</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1,472,399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1,403,748</w:t>
            </w:r>
          </w:p>
        </w:tc>
        <w:tc>
          <w:tcPr>
            <w:tcW w:w="18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13.7</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56"/>
        </w:trPr>
        <w:tc>
          <w:tcPr>
            <w:tcW w:w="3660" w:type="dxa"/>
            <w:vAlign w:val="bottom"/>
            <w:shd w:val="clear" w:color="auto" w:fill="B2B2B2"/>
          </w:tcPr>
          <w:p>
            <w:pPr>
              <w:spacing w:after="0" w:line="256" w:lineRule="exact"/>
              <w:rPr>
                <w:sz w:val="20"/>
                <w:szCs w:val="20"/>
                <w:color w:val="auto"/>
              </w:rPr>
            </w:pPr>
            <w:r>
              <w:rPr>
                <w:rFonts w:ascii="Times New Roman" w:cs="Times New Roman" w:eastAsia="Times New Roman" w:hAnsi="Times New Roman"/>
                <w:sz w:val="18"/>
                <w:szCs w:val="18"/>
                <w:color w:val="auto"/>
              </w:rPr>
              <w:t>Net interest margin</w:t>
            </w:r>
            <w:r>
              <w:rPr>
                <w:rFonts w:ascii="Times New Roman" w:cs="Times New Roman" w:eastAsia="Times New Roman" w:hAnsi="Times New Roman"/>
                <w:sz w:val="29"/>
                <w:szCs w:val="29"/>
                <w:b w:val="1"/>
                <w:bCs w:val="1"/>
                <w:color w:val="auto"/>
                <w:vertAlign w:val="superscript"/>
              </w:rPr>
              <w:t>(1)</w:t>
            </w:r>
          </w:p>
        </w:tc>
        <w:tc>
          <w:tcPr>
            <w:tcW w:w="240" w:type="dxa"/>
            <w:vAlign w:val="bottom"/>
            <w:shd w:val="clear" w:color="auto" w:fill="B2B2B2"/>
          </w:tcPr>
          <w:p>
            <w:pPr>
              <w:spacing w:after="0"/>
              <w:rPr>
                <w:sz w:val="22"/>
                <w:szCs w:val="22"/>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00" w:type="dxa"/>
            <w:vAlign w:val="bottom"/>
            <w:shd w:val="clear" w:color="auto" w:fill="B2B2B2"/>
          </w:tcPr>
          <w:p>
            <w:pPr>
              <w:spacing w:after="0"/>
              <w:rPr>
                <w:sz w:val="22"/>
                <w:szCs w:val="22"/>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20" w:type="dxa"/>
            <w:vAlign w:val="bottom"/>
            <w:shd w:val="clear" w:color="auto" w:fill="B2B2B2"/>
          </w:tcPr>
          <w:p>
            <w:pPr>
              <w:spacing w:after="0"/>
              <w:rPr>
                <w:sz w:val="22"/>
                <w:szCs w:val="22"/>
                <w:color w:val="auto"/>
              </w:rPr>
            </w:pP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B2B2B2"/>
          </w:tcPr>
          <w:p>
            <w:pPr>
              <w:spacing w:after="0"/>
              <w:rPr>
                <w:sz w:val="22"/>
                <w:szCs w:val="22"/>
                <w:color w:val="auto"/>
              </w:rPr>
            </w:pPr>
          </w:p>
        </w:tc>
        <w:tc>
          <w:tcPr>
            <w:tcW w:w="172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25,176</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30,404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30,268</w:t>
            </w:r>
          </w:p>
        </w:tc>
        <w:tc>
          <w:tcPr>
            <w:tcW w:w="18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(17.2)</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36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shd w:val="clear" w:color="auto" w:fill="B2B2B2"/>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30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2.07</w:t>
            </w:r>
          </w:p>
        </w:tc>
        <w:tc>
          <w:tcPr>
            <w:tcW w:w="32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2.03</w:t>
            </w:r>
          </w:p>
        </w:tc>
        <w:tc>
          <w:tcPr>
            <w:tcW w:w="1820" w:type="dxa"/>
            <w:vAlign w:val="bottom"/>
            <w:gridSpan w:val="2"/>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(16.4)</w:t>
            </w:r>
          </w:p>
        </w:tc>
        <w:tc>
          <w:tcPr>
            <w:tcW w:w="142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Return on average assets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17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auto"/>
            </w:tcBorders>
            <w:shd w:val="clear" w:color="auto" w:fill="B2B2B2"/>
          </w:tcPr>
          <w:p>
            <w:pPr>
              <w:spacing w:after="0" w:line="202" w:lineRule="exact"/>
              <w:rPr>
                <w:sz w:val="20"/>
                <w:szCs w:val="20"/>
                <w:color w:val="auto"/>
              </w:rPr>
            </w:pPr>
            <w:r>
              <w:rPr>
                <w:rFonts w:ascii="Times New Roman" w:cs="Times New Roman" w:eastAsia="Times New Roman" w:hAnsi="Times New Roman"/>
                <w:sz w:val="18"/>
                <w:szCs w:val="18"/>
                <w:color w:val="auto"/>
              </w:rPr>
              <w:t>Return on average equity</w:t>
            </w:r>
          </w:p>
        </w:tc>
        <w:tc>
          <w:tcPr>
            <w:tcW w:w="240" w:type="dxa"/>
            <w:vAlign w:val="bottom"/>
            <w:tcBorders>
              <w:bottom w:val="single" w:sz="8" w:color="auto"/>
            </w:tcBorders>
            <w:shd w:val="clear" w:color="auto" w:fill="B2B2B2"/>
          </w:tcPr>
          <w:p>
            <w:pPr>
              <w:spacing w:after="0"/>
              <w:rPr>
                <w:sz w:val="19"/>
                <w:szCs w:val="19"/>
                <w:color w:val="auto"/>
              </w:rPr>
            </w:pPr>
          </w:p>
        </w:tc>
        <w:tc>
          <w:tcPr>
            <w:tcW w:w="118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10.23%</w:t>
            </w:r>
          </w:p>
        </w:tc>
        <w:tc>
          <w:tcPr>
            <w:tcW w:w="300" w:type="dxa"/>
            <w:vAlign w:val="bottom"/>
            <w:tcBorders>
              <w:bottom w:val="single" w:sz="8" w:color="auto"/>
            </w:tcBorders>
            <w:shd w:val="clear" w:color="auto" w:fill="B2B2B2"/>
          </w:tcPr>
          <w:p>
            <w:pPr>
              <w:spacing w:after="0"/>
              <w:rPr>
                <w:sz w:val="19"/>
                <w:szCs w:val="19"/>
                <w:color w:val="auto"/>
              </w:rPr>
            </w:pPr>
          </w:p>
        </w:tc>
        <w:tc>
          <w:tcPr>
            <w:tcW w:w="118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12.86%</w:t>
            </w:r>
          </w:p>
        </w:tc>
        <w:tc>
          <w:tcPr>
            <w:tcW w:w="320" w:type="dxa"/>
            <w:vAlign w:val="bottom"/>
            <w:tcBorders>
              <w:bottom w:val="single" w:sz="8" w:color="auto"/>
            </w:tcBorders>
            <w:shd w:val="clear" w:color="auto" w:fill="B2B2B2"/>
          </w:tcPr>
          <w:p>
            <w:pPr>
              <w:spacing w:after="0"/>
              <w:rPr>
                <w:sz w:val="19"/>
                <w:szCs w:val="19"/>
                <w:color w:val="auto"/>
              </w:rPr>
            </w:pPr>
          </w:p>
        </w:tc>
        <w:tc>
          <w:tcPr>
            <w:tcW w:w="112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13.55%</w:t>
            </w:r>
          </w:p>
        </w:tc>
        <w:tc>
          <w:tcPr>
            <w:tcW w:w="100" w:type="dxa"/>
            <w:vAlign w:val="bottom"/>
            <w:tcBorders>
              <w:bottom w:val="single" w:sz="8" w:color="auto"/>
            </w:tcBorders>
            <w:shd w:val="clear" w:color="auto" w:fill="B2B2B2"/>
          </w:tcPr>
          <w:p>
            <w:pPr>
              <w:spacing w:after="0"/>
              <w:rPr>
                <w:sz w:val="19"/>
                <w:szCs w:val="19"/>
                <w:color w:val="auto"/>
              </w:rPr>
            </w:pPr>
          </w:p>
        </w:tc>
        <w:tc>
          <w:tcPr>
            <w:tcW w:w="1720" w:type="dxa"/>
            <w:vAlign w:val="bottom"/>
            <w:tcBorders>
              <w:bottom w:val="single" w:sz="8" w:color="auto"/>
            </w:tcBorders>
            <w:shd w:val="clear" w:color="auto" w:fill="B2B2B2"/>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B2B2B2"/>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340" w:hanging="332"/>
        <w:spacing w:after="0" w:line="206" w:lineRule="auto"/>
        <w:tabs>
          <w:tab w:leader="none" w:pos="340" w:val="left"/>
        </w:tabs>
        <w:numPr>
          <w:ilvl w:val="0"/>
          <w:numId w:val="6"/>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Presented on a tax-equivalent basis.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2020 compared to 2019 include the following significant items:</w:t>
      </w:r>
    </w:p>
    <w:p>
      <w:pPr>
        <w:spacing w:after="0" w:line="212" w:lineRule="exact"/>
        <w:rPr>
          <w:sz w:val="20"/>
          <w:szCs w:val="20"/>
          <w:color w:val="auto"/>
        </w:rPr>
      </w:pPr>
    </w:p>
    <w:p>
      <w:pPr>
        <w:jc w:val="both"/>
        <w:ind w:left="280"/>
        <w:spacing w:after="0" w:line="261" w:lineRule="auto"/>
        <w:rPr>
          <w:sz w:val="20"/>
          <w:szCs w:val="20"/>
          <w:color w:val="auto"/>
        </w:rPr>
      </w:pPr>
      <w:r>
        <w:rPr>
          <w:rFonts w:ascii="Times New Roman" w:cs="Times New Roman" w:eastAsia="Times New Roman" w:hAnsi="Times New Roman"/>
          <w:sz w:val="18"/>
          <w:szCs w:val="18"/>
          <w:color w:val="auto"/>
        </w:rPr>
        <w:t>Overall, the Company’s revenue and profitability declined, primarily as a result of the COVID-19 global pandemic. For payment processing services, business closures have led to a decrease in the number of transactions and dollars processed due to the decline in customers’ business activity. COVID-19, along with a constriction in manufacturing activity for a portion of the year, had a negative effect on payment processing fees, processing volume, and invoice dollars processed and paid which decreased 10%, 5%, and 7%, respectively.</w:t>
      </w:r>
    </w:p>
    <w:p>
      <w:pPr>
        <w:spacing w:after="0" w:line="166" w:lineRule="exact"/>
        <w:rPr>
          <w:sz w:val="20"/>
          <w:szCs w:val="20"/>
          <w:color w:val="auto"/>
        </w:rPr>
      </w:pPr>
    </w:p>
    <w:p>
      <w:pPr>
        <w:jc w:val="both"/>
        <w:ind w:left="280"/>
        <w:spacing w:after="0" w:line="282" w:lineRule="auto"/>
        <w:rPr>
          <w:sz w:val="20"/>
          <w:szCs w:val="20"/>
          <w:color w:val="auto"/>
        </w:rPr>
      </w:pPr>
      <w:r>
        <w:rPr>
          <w:rFonts w:ascii="Times New Roman" w:cs="Times New Roman" w:eastAsia="Times New Roman" w:hAnsi="Times New Roman"/>
          <w:sz w:val="18"/>
          <w:szCs w:val="18"/>
          <w:color w:val="auto"/>
        </w:rPr>
        <w:t>Average earning assets increased 14% and net interest income after provision for credit losses decreased 6% year over year. The Federal Reserve’s actions to lower the Federal Funds rate adversely impacted net interest income after provision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ind w:left="280"/>
        <w:spacing w:after="0" w:line="266" w:lineRule="auto"/>
        <w:rPr>
          <w:sz w:val="20"/>
          <w:szCs w:val="20"/>
          <w:color w:val="auto"/>
        </w:rPr>
      </w:pPr>
      <w:r>
        <w:rPr>
          <w:rFonts w:ascii="Times New Roman" w:cs="Times New Roman" w:eastAsia="Times New Roman" w:hAnsi="Times New Roman"/>
          <w:sz w:val="18"/>
          <w:szCs w:val="18"/>
          <w:color w:val="auto"/>
        </w:rPr>
        <w:t>for credit losses and the net interest rate margin. The increase in average earning assets, driven by government stimulus programs, partially offset the impact of the near-zero interest rate environment on the Company’s net interest margin. There was a provision for credit losses recorded of $810,000 in 2020 compared to $250,000 in 2019.</w:t>
      </w:r>
    </w:p>
    <w:p>
      <w:pPr>
        <w:spacing w:after="0" w:line="162" w:lineRule="exact"/>
        <w:rPr>
          <w:sz w:val="20"/>
          <w:szCs w:val="20"/>
          <w:color w:val="auto"/>
        </w:rPr>
      </w:pPr>
    </w:p>
    <w:p>
      <w:pPr>
        <w:jc w:val="both"/>
        <w:ind w:left="280" w:right="20"/>
        <w:spacing w:after="0" w:line="266" w:lineRule="auto"/>
        <w:rPr>
          <w:sz w:val="20"/>
          <w:szCs w:val="20"/>
          <w:color w:val="auto"/>
        </w:rPr>
      </w:pPr>
      <w:r>
        <w:rPr>
          <w:rFonts w:ascii="Times New Roman" w:cs="Times New Roman" w:eastAsia="Times New Roman" w:hAnsi="Times New Roman"/>
          <w:sz w:val="18"/>
          <w:szCs w:val="18"/>
          <w:color w:val="auto"/>
        </w:rPr>
        <w:t>There were gains from the sale of securities of $1,075,000 and $19,000 in 2020 and 2019, respectively. Operating expenses decreased $5,154,000 or 4%, as the decrease in the number of transactions processed had a corresponding decrease in personnel expense. In addition, COVID-19 limited employee travel-related expenses.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p>
      <w:pPr>
        <w:spacing w:after="0" w:line="21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Company’s fee revenue is derived mainly from transportation and facility payment and processing fees. As the Company provides its processing and payment services, it is compensated by service fees which are typically calculated on a per-item basis, discounts received for services provided to carriers and by the accounts and drafts payable balances generated in the payment process which can be used to generate interest income. Processing volumes, fee revenue and other income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Borders>
              <w:bottom w:val="single" w:sz="8" w:color="auto"/>
            </w:tcBorders>
            <w:gridSpan w:val="2"/>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5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 v. 2019</w:t>
            </w: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 v. 2018</w:t>
            </w:r>
          </w:p>
        </w:tc>
        <w:tc>
          <w:tcPr>
            <w:tcW w:w="0" w:type="dxa"/>
            <w:vAlign w:val="bottom"/>
          </w:tcPr>
          <w:p>
            <w:pPr>
              <w:spacing w:after="0"/>
              <w:rPr>
                <w:sz w:val="1"/>
                <w:szCs w:val="1"/>
                <w:color w:val="auto"/>
              </w:rPr>
            </w:pPr>
          </w:p>
        </w:tc>
      </w:tr>
      <w:tr>
        <w:trPr>
          <w:trHeight w:val="210"/>
        </w:trPr>
        <w:tc>
          <w:tcPr>
            <w:tcW w:w="45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Transportation invoice transaction volume</w:t>
            </w:r>
          </w:p>
        </w:tc>
        <w:tc>
          <w:tcPr>
            <w:tcW w:w="200" w:type="dxa"/>
            <w:vAlign w:val="bottom"/>
            <w:shd w:val="clear" w:color="auto" w:fill="B2B2B2"/>
          </w:tcPr>
          <w:p>
            <w:pPr>
              <w:spacing w:after="0"/>
              <w:rPr>
                <w:sz w:val="18"/>
                <w:szCs w:val="18"/>
                <w:color w:val="auto"/>
              </w:rPr>
            </w:pPr>
          </w:p>
        </w:tc>
        <w:tc>
          <w:tcPr>
            <w:tcW w:w="10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33,184</w:t>
            </w:r>
          </w:p>
        </w:tc>
        <w:tc>
          <w:tcPr>
            <w:tcW w:w="32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36,042</w:t>
            </w:r>
          </w:p>
        </w:tc>
        <w:tc>
          <w:tcPr>
            <w:tcW w:w="260" w:type="dxa"/>
            <w:vAlign w:val="bottom"/>
            <w:shd w:val="clear" w:color="auto" w:fill="B2B2B2"/>
          </w:tcPr>
          <w:p>
            <w:pPr>
              <w:spacing w:after="0"/>
              <w:rPr>
                <w:sz w:val="18"/>
                <w:szCs w:val="18"/>
                <w:color w:val="auto"/>
              </w:rPr>
            </w:pPr>
          </w:p>
        </w:tc>
        <w:tc>
          <w:tcPr>
            <w:tcW w:w="102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37,542</w:t>
            </w:r>
          </w:p>
        </w:tc>
        <w:tc>
          <w:tcPr>
            <w:tcW w:w="158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(7.9)%</w:t>
            </w:r>
          </w:p>
        </w:tc>
        <w:tc>
          <w:tcPr>
            <w:tcW w:w="13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invoice dollar volume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26,516,803</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28,090,514</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28,549,225</w:t>
            </w: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(5.6)</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7"/>
        </w:trPr>
        <w:tc>
          <w:tcPr>
            <w:tcW w:w="4540" w:type="dxa"/>
            <w:vAlign w:val="bottom"/>
            <w:shd w:val="clear" w:color="auto" w:fill="B2B2B2"/>
          </w:tcPr>
          <w:p>
            <w:pPr>
              <w:spacing w:after="0" w:line="256" w:lineRule="exact"/>
              <w:rPr>
                <w:sz w:val="20"/>
                <w:szCs w:val="20"/>
                <w:color w:val="auto"/>
              </w:rPr>
            </w:pPr>
            <w:r>
              <w:rPr>
                <w:rFonts w:ascii="Times New Roman" w:cs="Times New Roman" w:eastAsia="Times New Roman" w:hAnsi="Times New Roman"/>
                <w:sz w:val="18"/>
                <w:szCs w:val="18"/>
                <w:color w:val="auto"/>
              </w:rPr>
              <w:t>Expense management transaction volume</w:t>
            </w:r>
            <w:r>
              <w:rPr>
                <w:rFonts w:ascii="Times New Roman" w:cs="Times New Roman" w:eastAsia="Times New Roman" w:hAnsi="Times New Roman"/>
                <w:sz w:val="29"/>
                <w:szCs w:val="29"/>
                <w:b w:val="1"/>
                <w:bCs w:val="1"/>
                <w:color w:val="auto"/>
                <w:vertAlign w:val="superscript"/>
              </w:rPr>
              <w:t>(1)</w:t>
            </w:r>
          </w:p>
        </w:tc>
        <w:tc>
          <w:tcPr>
            <w:tcW w:w="200" w:type="dxa"/>
            <w:vAlign w:val="bottom"/>
            <w:shd w:val="clear" w:color="auto" w:fill="B2B2B2"/>
          </w:tcPr>
          <w:p>
            <w:pPr>
              <w:spacing w:after="0"/>
              <w:rPr>
                <w:sz w:val="22"/>
                <w:szCs w:val="22"/>
                <w:color w:val="auto"/>
              </w:rPr>
            </w:pPr>
          </w:p>
        </w:tc>
        <w:tc>
          <w:tcPr>
            <w:tcW w:w="10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27,292</w:t>
            </w:r>
          </w:p>
        </w:tc>
        <w:tc>
          <w:tcPr>
            <w:tcW w:w="320" w:type="dxa"/>
            <w:vAlign w:val="bottom"/>
            <w:shd w:val="clear" w:color="auto" w:fill="B2B2B2"/>
          </w:tcPr>
          <w:p>
            <w:pPr>
              <w:spacing w:after="0"/>
              <w:rPr>
                <w:sz w:val="22"/>
                <w:szCs w:val="22"/>
                <w:color w:val="auto"/>
              </w:rPr>
            </w:pP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27,525</w:t>
            </w:r>
          </w:p>
        </w:tc>
        <w:tc>
          <w:tcPr>
            <w:tcW w:w="260" w:type="dxa"/>
            <w:vAlign w:val="bottom"/>
            <w:shd w:val="clear" w:color="auto" w:fill="B2B2B2"/>
          </w:tcPr>
          <w:p>
            <w:pPr>
              <w:spacing w:after="0"/>
              <w:rPr>
                <w:sz w:val="22"/>
                <w:szCs w:val="22"/>
                <w:color w:val="auto"/>
              </w:rPr>
            </w:pPr>
          </w:p>
        </w:tc>
        <w:tc>
          <w:tcPr>
            <w:tcW w:w="102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28,713</w:t>
            </w:r>
          </w:p>
        </w:tc>
        <w:tc>
          <w:tcPr>
            <w:tcW w:w="1580" w:type="dxa"/>
            <w:vAlign w:val="bottom"/>
            <w:shd w:val="clear" w:color="auto" w:fill="B2B2B2"/>
          </w:tcPr>
          <w:p>
            <w:pPr>
              <w:jc w:val="right"/>
              <w:ind w:right="230"/>
              <w:spacing w:after="0"/>
              <w:rPr>
                <w:sz w:val="20"/>
                <w:szCs w:val="20"/>
                <w:color w:val="auto"/>
              </w:rPr>
            </w:pPr>
            <w:r>
              <w:rPr>
                <w:rFonts w:ascii="Times New Roman" w:cs="Times New Roman" w:eastAsia="Times New Roman" w:hAnsi="Times New Roman"/>
                <w:sz w:val="18"/>
                <w:szCs w:val="18"/>
                <w:color w:val="auto"/>
              </w:rPr>
              <w:t>(0.8)</w:t>
            </w:r>
          </w:p>
        </w:tc>
        <w:tc>
          <w:tcPr>
            <w:tcW w:w="136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57"/>
        </w:trPr>
        <w:tc>
          <w:tcPr>
            <w:tcW w:w="45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Expense management dollar volume</w:t>
            </w:r>
            <w:r>
              <w:rPr>
                <w:rFonts w:ascii="Times New Roman" w:cs="Times New Roman" w:eastAsia="Times New Roman" w:hAnsi="Times New Roman"/>
                <w:sz w:val="29"/>
                <w:szCs w:val="29"/>
                <w:b w:val="1"/>
                <w:bCs w:val="1"/>
                <w:color w:val="auto"/>
                <w:vertAlign w:val="superscript"/>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13,458,230</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14,882,728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13,831,228</w:t>
            </w: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(9.6)</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45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Payment and processing revenue</w:t>
            </w:r>
          </w:p>
        </w:tc>
        <w:tc>
          <w:tcPr>
            <w:tcW w:w="2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97,204</w:t>
            </w:r>
          </w:p>
        </w:tc>
        <w:tc>
          <w:tcPr>
            <w:tcW w:w="32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107,953</w:t>
            </w:r>
          </w:p>
        </w:tc>
        <w:tc>
          <w:tcPr>
            <w:tcW w:w="2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102,181</w:t>
            </w:r>
          </w:p>
        </w:tc>
        <w:tc>
          <w:tcPr>
            <w:tcW w:w="1580" w:type="dxa"/>
            <w:vAlign w:val="bottom"/>
            <w:shd w:val="clear" w:color="auto" w:fill="B2B2B2"/>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Bank service fees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1,335</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22.9</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45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Gains (losses) on sales of investment securities</w:t>
            </w:r>
          </w:p>
        </w:tc>
        <w:tc>
          <w:tcPr>
            <w:tcW w:w="2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32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1580" w:type="dxa"/>
            <w:vAlign w:val="bottom"/>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5,557.9</w:t>
            </w:r>
          </w:p>
        </w:tc>
        <w:tc>
          <w:tcPr>
            <w:tcW w:w="136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458</w:t>
            </w:r>
          </w:p>
        </w:tc>
        <w:tc>
          <w:tcPr>
            <w:tcW w:w="32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711</w:t>
            </w:r>
          </w:p>
        </w:tc>
        <w:tc>
          <w:tcPr>
            <w:tcW w:w="26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602</w:t>
            </w:r>
          </w:p>
        </w:tc>
        <w:tc>
          <w:tcPr>
            <w:tcW w:w="1580" w:type="dxa"/>
            <w:vAlign w:val="bottom"/>
            <w:tcBorders>
              <w:bottom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(35.6)</w:t>
            </w:r>
          </w:p>
        </w:tc>
        <w:tc>
          <w:tcPr>
            <w:tcW w:w="136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bl>
    <w:p>
      <w:pPr>
        <w:ind w:left="340" w:hanging="332"/>
        <w:spacing w:after="0" w:line="206" w:lineRule="auto"/>
        <w:tabs>
          <w:tab w:leader="none" w:pos="340" w:val="left"/>
        </w:tabs>
        <w:numPr>
          <w:ilvl w:val="0"/>
          <w:numId w:val="7"/>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Includes energy, telecom and environmental</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 revenue and other income in 2020 compared to 2019 include the following significant pre-tax components:</w:t>
      </w:r>
    </w:p>
    <w:p>
      <w:pPr>
        <w:spacing w:after="0" w:line="212" w:lineRule="exact"/>
        <w:rPr>
          <w:sz w:val="20"/>
          <w:szCs w:val="20"/>
          <w:color w:val="auto"/>
        </w:rPr>
      </w:pPr>
    </w:p>
    <w:p>
      <w:pPr>
        <w:jc w:val="both"/>
        <w:ind w:left="280"/>
        <w:spacing w:after="0" w:line="256" w:lineRule="auto"/>
        <w:rPr>
          <w:sz w:val="20"/>
          <w:szCs w:val="20"/>
          <w:color w:val="auto"/>
        </w:rPr>
      </w:pPr>
      <w:r>
        <w:rPr>
          <w:rFonts w:ascii="Times New Roman" w:cs="Times New Roman" w:eastAsia="Times New Roman" w:hAnsi="Times New Roman"/>
          <w:sz w:val="18"/>
          <w:szCs w:val="18"/>
          <w:color w:val="auto"/>
        </w:rPr>
        <w:t>In the transportation sector, invoice transaction and dollar volume decreased 8% and 6%, respectively, as the global pandemic reduced customers’ business activities. The manufacturing industry, which represents an important component of the transportation customer base, was constricted for a portion of the year before slowly opening back up towards the latter half of 2020. Expense management transaction volume decreased 1% and dollar volume decreased 10% as governmental restrictions in the restaurant, retail, and hospitality sectors curtailed business hours and consumers continued to be cautious about travel and entertainment, both creating lower utility usage. There were gains from the sale of securities in 2020 and 2019 of $1,075,000 and $19,000,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tcBorders>
              <w:bottom w:val="single" w:sz="8" w:color="auto"/>
            </w:tcBorders>
            <w:gridSpan w:val="2"/>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 v. 2019</w:t>
            </w: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 v. 2018</w:t>
            </w:r>
          </w:p>
        </w:tc>
        <w:tc>
          <w:tcPr>
            <w:tcW w:w="0" w:type="dxa"/>
            <w:vAlign w:val="bottom"/>
          </w:tcPr>
          <w:p>
            <w:pPr>
              <w:spacing w:after="0"/>
              <w:rPr>
                <w:sz w:val="1"/>
                <w:szCs w:val="1"/>
                <w:color w:val="auto"/>
              </w:rPr>
            </w:pPr>
          </w:p>
        </w:tc>
      </w:tr>
      <w:tr>
        <w:trPr>
          <w:trHeight w:val="210"/>
        </w:trPr>
        <w:tc>
          <w:tcPr>
            <w:tcW w:w="36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Average earning assets</w:t>
            </w:r>
          </w:p>
        </w:tc>
        <w:tc>
          <w:tcPr>
            <w:tcW w:w="30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1,674,297</w:t>
            </w:r>
          </w:p>
        </w:tc>
        <w:tc>
          <w:tcPr>
            <w:tcW w:w="2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1,472,399</w:t>
            </w:r>
          </w:p>
        </w:tc>
        <w:tc>
          <w:tcPr>
            <w:tcW w:w="42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1,403,748</w:t>
            </w:r>
          </w:p>
        </w:tc>
        <w:tc>
          <w:tcPr>
            <w:tcW w:w="1820" w:type="dxa"/>
            <w:vAlign w:val="bottom"/>
            <w:gridSpan w:val="2"/>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13.7%</w:t>
            </w:r>
          </w:p>
        </w:tc>
        <w:tc>
          <w:tcPr>
            <w:tcW w:w="14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56"/>
        </w:trPr>
        <w:tc>
          <w:tcPr>
            <w:tcW w:w="3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Net interest income </w:t>
            </w:r>
            <w:r>
              <w:rPr>
                <w:rFonts w:ascii="Times New Roman" w:cs="Times New Roman" w:eastAsia="Times New Roman" w:hAnsi="Times New Roman"/>
                <w:sz w:val="29"/>
                <w:szCs w:val="29"/>
                <w:b w:val="1"/>
                <w:bCs w:val="1"/>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47,214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49,501</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46,612</w:t>
            </w:r>
          </w:p>
        </w:tc>
        <w:tc>
          <w:tcPr>
            <w:tcW w:w="1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shd w:val="clear" w:color="auto" w:fill="B2B2B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Net interest margin </w:t>
            </w:r>
            <w:r>
              <w:rPr>
                <w:rFonts w:ascii="Times New Roman" w:cs="Times New Roman" w:eastAsia="Times New Roman" w:hAnsi="Times New Roman"/>
                <w:sz w:val="29"/>
                <w:szCs w:val="29"/>
                <w:b w:val="1"/>
                <w:bCs w:val="1"/>
                <w:color w:val="auto"/>
                <w:vertAlign w:val="superscript"/>
              </w:rPr>
              <w:t>(1)</w:t>
            </w:r>
          </w:p>
        </w:tc>
        <w:tc>
          <w:tcPr>
            <w:tcW w:w="2080" w:type="dxa"/>
            <w:vAlign w:val="bottom"/>
            <w:shd w:val="clear" w:color="auto" w:fill="B2B2B2"/>
          </w:tcPr>
          <w:p>
            <w:pPr>
              <w:jc w:val="right"/>
              <w:ind w:right="430"/>
              <w:spacing w:after="0"/>
              <w:rPr>
                <w:sz w:val="20"/>
                <w:szCs w:val="20"/>
                <w:color w:val="auto"/>
              </w:rPr>
            </w:pPr>
            <w:r>
              <w:rPr>
                <w:rFonts w:ascii="Times New Roman" w:cs="Times New Roman" w:eastAsia="Times New Roman" w:hAnsi="Times New Roman"/>
                <w:sz w:val="18"/>
                <w:szCs w:val="18"/>
                <w:color w:val="auto"/>
              </w:rPr>
              <w:t>2.82%</w:t>
            </w:r>
          </w:p>
        </w:tc>
        <w:tc>
          <w:tcPr>
            <w:tcW w:w="1480" w:type="dxa"/>
            <w:vAlign w:val="bottom"/>
            <w:shd w:val="clear" w:color="auto" w:fill="B2B2B2"/>
          </w:tcPr>
          <w:p>
            <w:pPr>
              <w:jc w:val="right"/>
              <w:ind w:right="410"/>
              <w:spacing w:after="0"/>
              <w:rPr>
                <w:sz w:val="20"/>
                <w:szCs w:val="20"/>
                <w:color w:val="auto"/>
              </w:rPr>
            </w:pPr>
            <w:r>
              <w:rPr>
                <w:rFonts w:ascii="Times New Roman" w:cs="Times New Roman" w:eastAsia="Times New Roman" w:hAnsi="Times New Roman"/>
                <w:sz w:val="18"/>
                <w:szCs w:val="18"/>
                <w:color w:val="auto"/>
              </w:rPr>
              <w:t>3.36%</w:t>
            </w:r>
          </w:p>
        </w:tc>
        <w:tc>
          <w:tcPr>
            <w:tcW w:w="4200" w:type="dxa"/>
            <w:vAlign w:val="bottom"/>
            <w:shd w:val="clear" w:color="auto" w:fill="B2B2B2"/>
          </w:tcPr>
          <w:p>
            <w:pPr>
              <w:jc w:val="right"/>
              <w:ind w:right="3130"/>
              <w:spacing w:after="0"/>
              <w:rPr>
                <w:sz w:val="20"/>
                <w:szCs w:val="20"/>
                <w:color w:val="auto"/>
              </w:rPr>
            </w:pPr>
            <w:r>
              <w:rPr>
                <w:rFonts w:ascii="Times New Roman" w:cs="Times New Roman" w:eastAsia="Times New Roman" w:hAnsi="Times New Roman"/>
                <w:sz w:val="18"/>
                <w:szCs w:val="18"/>
                <w:color w:val="auto"/>
              </w:rPr>
              <w:t>3.32%</w:t>
            </w:r>
          </w:p>
        </w:tc>
      </w:tr>
      <w:tr>
        <w:trPr>
          <w:trHeight w:val="256"/>
        </w:trPr>
        <w:tc>
          <w:tcPr>
            <w:tcW w:w="34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Yield on earning assets </w:t>
            </w:r>
            <w:r>
              <w:rPr>
                <w:rFonts w:ascii="Times New Roman" w:cs="Times New Roman" w:eastAsia="Times New Roman" w:hAnsi="Times New Roman"/>
                <w:sz w:val="29"/>
                <w:szCs w:val="29"/>
                <w:b w:val="1"/>
                <w:bCs w:val="1"/>
                <w:color w:val="auto"/>
                <w:vertAlign w:val="superscript"/>
              </w:rPr>
              <w:t>(1)</w:t>
            </w:r>
          </w:p>
        </w:tc>
        <w:tc>
          <w:tcPr>
            <w:tcW w:w="2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2.96%</w:t>
            </w: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3.71%</w:t>
            </w:r>
          </w:p>
        </w:tc>
        <w:tc>
          <w:tcPr>
            <w:tcW w:w="4200" w:type="dxa"/>
            <w:vAlign w:val="bottom"/>
          </w:tcPr>
          <w:p>
            <w:pPr>
              <w:jc w:val="right"/>
              <w:ind w:right="3130"/>
              <w:spacing w:after="0"/>
              <w:rPr>
                <w:sz w:val="20"/>
                <w:szCs w:val="20"/>
                <w:color w:val="auto"/>
              </w:rPr>
            </w:pPr>
            <w:r>
              <w:rPr>
                <w:rFonts w:ascii="Times New Roman" w:cs="Times New Roman" w:eastAsia="Times New Roman" w:hAnsi="Times New Roman"/>
                <w:sz w:val="18"/>
                <w:szCs w:val="18"/>
                <w:color w:val="auto"/>
              </w:rPr>
              <w:t>3.59%</w:t>
            </w:r>
          </w:p>
        </w:tc>
      </w:tr>
      <w:tr>
        <w:trPr>
          <w:trHeight w:val="223"/>
        </w:trPr>
        <w:tc>
          <w:tcPr>
            <w:tcW w:w="3480" w:type="dxa"/>
            <w:vAlign w:val="bottom"/>
            <w:tcBorders>
              <w:bottom w:val="single" w:sz="8" w:color="auto"/>
            </w:tcBorders>
            <w:shd w:val="clear" w:color="auto" w:fill="B2B2B2"/>
          </w:tcPr>
          <w:p>
            <w:pPr>
              <w:spacing w:after="0" w:line="202" w:lineRule="exact"/>
              <w:rPr>
                <w:sz w:val="20"/>
                <w:szCs w:val="20"/>
                <w:color w:val="auto"/>
              </w:rPr>
            </w:pPr>
            <w:r>
              <w:rPr>
                <w:rFonts w:ascii="Times New Roman" w:cs="Times New Roman" w:eastAsia="Times New Roman" w:hAnsi="Times New Roman"/>
                <w:sz w:val="18"/>
                <w:szCs w:val="18"/>
                <w:color w:val="auto"/>
              </w:rPr>
              <w:t>Rate on interest bearing liabilities</w:t>
            </w:r>
          </w:p>
        </w:tc>
        <w:tc>
          <w:tcPr>
            <w:tcW w:w="2080" w:type="dxa"/>
            <w:vAlign w:val="bottom"/>
            <w:tcBorders>
              <w:bottom w:val="single" w:sz="8" w:color="auto"/>
            </w:tcBorders>
            <w:shd w:val="clear" w:color="auto" w:fill="B2B2B2"/>
          </w:tcPr>
          <w:p>
            <w:pPr>
              <w:jc w:val="right"/>
              <w:ind w:right="430"/>
              <w:spacing w:after="0" w:line="202" w:lineRule="exact"/>
              <w:rPr>
                <w:sz w:val="20"/>
                <w:szCs w:val="20"/>
                <w:color w:val="auto"/>
              </w:rPr>
            </w:pPr>
            <w:r>
              <w:rPr>
                <w:rFonts w:ascii="Times New Roman" w:cs="Times New Roman" w:eastAsia="Times New Roman" w:hAnsi="Times New Roman"/>
                <w:sz w:val="18"/>
                <w:szCs w:val="18"/>
                <w:color w:val="auto"/>
              </w:rPr>
              <w:t>.0.49%</w:t>
            </w:r>
          </w:p>
        </w:tc>
        <w:tc>
          <w:tcPr>
            <w:tcW w:w="1480" w:type="dxa"/>
            <w:vAlign w:val="bottom"/>
            <w:tcBorders>
              <w:bottom w:val="single" w:sz="8" w:color="auto"/>
            </w:tcBorders>
            <w:shd w:val="clear" w:color="auto" w:fill="B2B2B2"/>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rPr>
              <w:t>1.32%</w:t>
            </w:r>
          </w:p>
        </w:tc>
        <w:tc>
          <w:tcPr>
            <w:tcW w:w="4200" w:type="dxa"/>
            <w:vAlign w:val="bottom"/>
            <w:tcBorders>
              <w:bottom w:val="single" w:sz="8" w:color="auto"/>
            </w:tcBorders>
            <w:shd w:val="clear" w:color="auto" w:fill="B2B2B2"/>
          </w:tcPr>
          <w:p>
            <w:pPr>
              <w:jc w:val="right"/>
              <w:ind w:right="3130"/>
              <w:spacing w:after="0" w:line="202" w:lineRule="exact"/>
              <w:rPr>
                <w:sz w:val="20"/>
                <w:szCs w:val="20"/>
                <w:color w:val="auto"/>
              </w:rPr>
            </w:pPr>
            <w:r>
              <w:rPr>
                <w:rFonts w:ascii="Times New Roman" w:cs="Times New Roman" w:eastAsia="Times New Roman" w:hAnsi="Times New Roman"/>
                <w:sz w:val="18"/>
                <w:szCs w:val="18"/>
                <w:color w:val="auto"/>
              </w:rPr>
              <w:t>1.00%</w:t>
            </w:r>
          </w:p>
        </w:tc>
      </w:tr>
    </w:tbl>
    <w:p>
      <w:pPr>
        <w:ind w:left="340" w:hanging="332"/>
        <w:spacing w:after="0" w:line="197" w:lineRule="auto"/>
        <w:tabs>
          <w:tab w:leader="none" w:pos="340" w:val="left"/>
        </w:tabs>
        <w:numPr>
          <w:ilvl w:val="0"/>
          <w:numId w:val="8"/>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Presented on a tax-equivalent basis using a tax rate of 21% in 2020, 2019 and 2018.</w:t>
      </w:r>
    </w:p>
    <w:p>
      <w:pPr>
        <w:spacing w:after="0" w:line="3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net interest income in 2020 compared to 2019 is primarily due to the Federal Reserve’s actions to lower the Federal Funds rate to near-zero levels, which adversely impacted net interest income and the net interest rate margin. The yield on interest-earning assets declined 75 basis points from 3.71% in 2019 to 2.96% in 2020 while the cost of interest-bearing liabilities declined 83 basis points from 1.32% in 2019 to 0.49% in 2020. However, the Company also had average balances of demand deposits and accounts and drafts payable of $356,400,000 and $803,600,000 in 2020, respectively that do not pay any interest. As such, when interest rates decline, interest income on assets funded by these balances decline but the cost paid on these balances remains at zero.</w:t>
      </w:r>
    </w:p>
    <w:p>
      <w:pPr>
        <w:sectPr>
          <w:pgSz w:w="11900" w:h="16838" w:orient="portrait"/>
          <w:cols w:equalWidth="0" w:num="1">
            <w:col w:w="11240"/>
          </w:cols>
          <w:pgMar w:left="320" w:top="293"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Total average loans increased $146,208,000, or 19%, to $906,361,000 largely due to the funding of PPP loans in addition to organic loan growth. Loans have a positive effect on interest income and the net interest margin due to the fact that loans are one of the Company’s highest yielding earning assets for any given maturity.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average investment in securities and certificates of deposit decreased $59,448,000, or 14%. The investment portfolio will expand and contract over time as the Company manages its liquidity and interest rate position.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interest bearing deposits in other financial institutions increased $94,532,000, or 82%. Average federal funds sold and other short-term investments increased $20,606,000, or 12%. These balances increased considerably in 2020 as governmental stimulus activity boosted deposit balances which contributed to the rise in federal funds sold and other short-term investments.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average interest-bearing deposits increased $85,567,000, or 22%, largely due to the impact of government stimulus and resulting cash deposits.</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non-interest bearing demand deposits increased $80,132,000, or 29%, also largely due to the impact of government stimulus and resulting cash deposits.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Assets, Liabilities and Shareholders' Equity; Interest Rate and Interest Differential</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contains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05"/>
        </w:trPr>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2018</w:t>
            </w:r>
          </w:p>
        </w:tc>
        <w:tc>
          <w:tcPr>
            <w:tcW w:w="700" w:type="dxa"/>
            <w:vAlign w:val="bottom"/>
            <w:tcBorders>
              <w:bottom w:val="single" w:sz="8" w:color="auto"/>
            </w:tcBorders>
          </w:tcPr>
          <w:p>
            <w:pPr>
              <w:spacing w:after="0"/>
              <w:rPr>
                <w:sz w:val="24"/>
                <w:szCs w:val="24"/>
                <w:color w:val="auto"/>
              </w:rPr>
            </w:pPr>
          </w:p>
        </w:tc>
      </w:tr>
      <w:tr>
        <w:trPr>
          <w:trHeight w:val="187"/>
        </w:trPr>
        <w:tc>
          <w:tcPr>
            <w:tcW w:w="2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700" w:type="dxa"/>
            <w:vAlign w:val="bottom"/>
          </w:tcPr>
          <w:p>
            <w:pPr>
              <w:spacing w:after="0"/>
              <w:rPr>
                <w:sz w:val="16"/>
                <w:szCs w:val="16"/>
                <w:color w:val="auto"/>
              </w:rPr>
            </w:pPr>
          </w:p>
        </w:tc>
      </w:tr>
      <w:tr>
        <w:trPr>
          <w:trHeight w:val="216"/>
        </w:trPr>
        <w:tc>
          <w:tcPr>
            <w:tcW w:w="2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1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Yield/</w:t>
            </w:r>
          </w:p>
        </w:tc>
      </w:tr>
      <w:tr>
        <w:trPr>
          <w:trHeight w:val="238"/>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10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50"/>
        </w:trPr>
        <w:tc>
          <w:tcPr>
            <w:tcW w:w="2740" w:type="dxa"/>
            <w:vAlign w:val="bottom"/>
            <w:shd w:val="clear" w:color="auto" w:fill="B2B2B2"/>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Assets </w:t>
            </w:r>
            <w:r>
              <w:rPr>
                <w:rFonts w:ascii="Times New Roman" w:cs="Times New Roman" w:eastAsia="Times New Roman" w:hAnsi="Times New Roman"/>
                <w:sz w:val="28"/>
                <w:szCs w:val="28"/>
                <w:b w:val="1"/>
                <w:bCs w:val="1"/>
                <w:color w:val="auto"/>
                <w:vertAlign w:val="superscript"/>
              </w:rPr>
              <w:t>(1)</w:t>
            </w:r>
          </w:p>
        </w:tc>
        <w:tc>
          <w:tcPr>
            <w:tcW w:w="60" w:type="dxa"/>
            <w:vAlign w:val="bottom"/>
            <w:shd w:val="clear" w:color="auto" w:fill="B2B2B2"/>
          </w:tcPr>
          <w:p>
            <w:pPr>
              <w:spacing w:after="0"/>
              <w:rPr>
                <w:sz w:val="21"/>
                <w:szCs w:val="21"/>
                <w:color w:val="auto"/>
              </w:rPr>
            </w:pPr>
          </w:p>
        </w:tc>
        <w:tc>
          <w:tcPr>
            <w:tcW w:w="100" w:type="dxa"/>
            <w:vAlign w:val="bottom"/>
            <w:shd w:val="clear" w:color="auto" w:fill="B2B2B2"/>
          </w:tcPr>
          <w:p>
            <w:pPr>
              <w:spacing w:after="0"/>
              <w:rPr>
                <w:sz w:val="21"/>
                <w:szCs w:val="21"/>
                <w:color w:val="auto"/>
              </w:rPr>
            </w:pPr>
          </w:p>
        </w:tc>
        <w:tc>
          <w:tcPr>
            <w:tcW w:w="880" w:type="dxa"/>
            <w:vAlign w:val="bottom"/>
            <w:shd w:val="clear" w:color="auto" w:fill="B2B2B2"/>
          </w:tcPr>
          <w:p>
            <w:pPr>
              <w:spacing w:after="0"/>
              <w:rPr>
                <w:sz w:val="21"/>
                <w:szCs w:val="21"/>
                <w:color w:val="auto"/>
              </w:rPr>
            </w:pPr>
          </w:p>
        </w:tc>
        <w:tc>
          <w:tcPr>
            <w:tcW w:w="180" w:type="dxa"/>
            <w:vAlign w:val="bottom"/>
            <w:shd w:val="clear" w:color="auto" w:fill="B2B2B2"/>
          </w:tcPr>
          <w:p>
            <w:pPr>
              <w:spacing w:after="0"/>
              <w:rPr>
                <w:sz w:val="21"/>
                <w:szCs w:val="21"/>
                <w:color w:val="auto"/>
              </w:rPr>
            </w:pPr>
          </w:p>
        </w:tc>
        <w:tc>
          <w:tcPr>
            <w:tcW w:w="820" w:type="dxa"/>
            <w:vAlign w:val="bottom"/>
            <w:shd w:val="clear" w:color="auto" w:fill="B2B2B2"/>
          </w:tcPr>
          <w:p>
            <w:pPr>
              <w:spacing w:after="0"/>
              <w:rPr>
                <w:sz w:val="21"/>
                <w:szCs w:val="21"/>
                <w:color w:val="auto"/>
              </w:rPr>
            </w:pPr>
          </w:p>
        </w:tc>
        <w:tc>
          <w:tcPr>
            <w:tcW w:w="760" w:type="dxa"/>
            <w:vAlign w:val="bottom"/>
            <w:shd w:val="clear" w:color="auto" w:fill="B2B2B2"/>
          </w:tcPr>
          <w:p>
            <w:pPr>
              <w:spacing w:after="0"/>
              <w:rPr>
                <w:sz w:val="21"/>
                <w:szCs w:val="21"/>
                <w:color w:val="auto"/>
              </w:rPr>
            </w:pPr>
          </w:p>
        </w:tc>
        <w:tc>
          <w:tcPr>
            <w:tcW w:w="120" w:type="dxa"/>
            <w:vAlign w:val="bottom"/>
            <w:shd w:val="clear" w:color="auto" w:fill="B2B2B2"/>
          </w:tcPr>
          <w:p>
            <w:pPr>
              <w:spacing w:after="0"/>
              <w:rPr>
                <w:sz w:val="21"/>
                <w:szCs w:val="21"/>
                <w:color w:val="auto"/>
              </w:rPr>
            </w:pPr>
          </w:p>
        </w:tc>
        <w:tc>
          <w:tcPr>
            <w:tcW w:w="100" w:type="dxa"/>
            <w:vAlign w:val="bottom"/>
            <w:shd w:val="clear" w:color="auto" w:fill="B2B2B2"/>
          </w:tcPr>
          <w:p>
            <w:pPr>
              <w:spacing w:after="0"/>
              <w:rPr>
                <w:sz w:val="21"/>
                <w:szCs w:val="21"/>
                <w:color w:val="auto"/>
              </w:rPr>
            </w:pPr>
          </w:p>
        </w:tc>
        <w:tc>
          <w:tcPr>
            <w:tcW w:w="860" w:type="dxa"/>
            <w:vAlign w:val="bottom"/>
            <w:shd w:val="clear" w:color="auto" w:fill="B2B2B2"/>
          </w:tcPr>
          <w:p>
            <w:pPr>
              <w:spacing w:after="0"/>
              <w:rPr>
                <w:sz w:val="21"/>
                <w:szCs w:val="21"/>
                <w:color w:val="auto"/>
              </w:rPr>
            </w:pPr>
          </w:p>
        </w:tc>
        <w:tc>
          <w:tcPr>
            <w:tcW w:w="200" w:type="dxa"/>
            <w:vAlign w:val="bottom"/>
            <w:shd w:val="clear" w:color="auto" w:fill="B2B2B2"/>
          </w:tcPr>
          <w:p>
            <w:pPr>
              <w:spacing w:after="0"/>
              <w:rPr>
                <w:sz w:val="21"/>
                <w:szCs w:val="21"/>
                <w:color w:val="auto"/>
              </w:rPr>
            </w:pPr>
          </w:p>
        </w:tc>
        <w:tc>
          <w:tcPr>
            <w:tcW w:w="800" w:type="dxa"/>
            <w:vAlign w:val="bottom"/>
            <w:shd w:val="clear" w:color="auto" w:fill="B2B2B2"/>
          </w:tcPr>
          <w:p>
            <w:pPr>
              <w:spacing w:after="0"/>
              <w:rPr>
                <w:sz w:val="21"/>
                <w:szCs w:val="21"/>
                <w:color w:val="auto"/>
              </w:rPr>
            </w:pPr>
          </w:p>
        </w:tc>
        <w:tc>
          <w:tcPr>
            <w:tcW w:w="800" w:type="dxa"/>
            <w:vAlign w:val="bottom"/>
            <w:shd w:val="clear" w:color="auto" w:fill="B2B2B2"/>
          </w:tcPr>
          <w:p>
            <w:pPr>
              <w:spacing w:after="0"/>
              <w:rPr>
                <w:sz w:val="21"/>
                <w:szCs w:val="21"/>
                <w:color w:val="auto"/>
              </w:rPr>
            </w:pPr>
          </w:p>
        </w:tc>
        <w:tc>
          <w:tcPr>
            <w:tcW w:w="180" w:type="dxa"/>
            <w:vAlign w:val="bottom"/>
            <w:shd w:val="clear" w:color="auto" w:fill="B2B2B2"/>
          </w:tcPr>
          <w:p>
            <w:pPr>
              <w:spacing w:after="0"/>
              <w:rPr>
                <w:sz w:val="21"/>
                <w:szCs w:val="21"/>
                <w:color w:val="auto"/>
              </w:rPr>
            </w:pPr>
          </w:p>
        </w:tc>
        <w:tc>
          <w:tcPr>
            <w:tcW w:w="120" w:type="dxa"/>
            <w:vAlign w:val="bottom"/>
            <w:shd w:val="clear" w:color="auto" w:fill="B2B2B2"/>
          </w:tcPr>
          <w:p>
            <w:pPr>
              <w:spacing w:after="0"/>
              <w:rPr>
                <w:sz w:val="21"/>
                <w:szCs w:val="21"/>
                <w:color w:val="auto"/>
              </w:rPr>
            </w:pPr>
          </w:p>
        </w:tc>
        <w:tc>
          <w:tcPr>
            <w:tcW w:w="860" w:type="dxa"/>
            <w:vAlign w:val="bottom"/>
            <w:shd w:val="clear" w:color="auto" w:fill="B2B2B2"/>
          </w:tcPr>
          <w:p>
            <w:pPr>
              <w:spacing w:after="0"/>
              <w:rPr>
                <w:sz w:val="21"/>
                <w:szCs w:val="21"/>
                <w:color w:val="auto"/>
              </w:rPr>
            </w:pPr>
          </w:p>
        </w:tc>
        <w:tc>
          <w:tcPr>
            <w:tcW w:w="260" w:type="dxa"/>
            <w:vAlign w:val="bottom"/>
            <w:shd w:val="clear" w:color="auto" w:fill="B2B2B2"/>
          </w:tcPr>
          <w:p>
            <w:pPr>
              <w:spacing w:after="0"/>
              <w:rPr>
                <w:sz w:val="21"/>
                <w:szCs w:val="21"/>
                <w:color w:val="auto"/>
              </w:rPr>
            </w:pPr>
          </w:p>
        </w:tc>
        <w:tc>
          <w:tcPr>
            <w:tcW w:w="700" w:type="dxa"/>
            <w:vAlign w:val="bottom"/>
            <w:shd w:val="clear" w:color="auto" w:fill="B2B2B2"/>
          </w:tcPr>
          <w:p>
            <w:pPr>
              <w:spacing w:after="0"/>
              <w:rPr>
                <w:sz w:val="21"/>
                <w:szCs w:val="21"/>
                <w:color w:val="auto"/>
              </w:rPr>
            </w:pPr>
          </w:p>
        </w:tc>
        <w:tc>
          <w:tcPr>
            <w:tcW w:w="700" w:type="dxa"/>
            <w:vAlign w:val="bottom"/>
            <w:shd w:val="clear" w:color="auto" w:fill="B2B2B2"/>
          </w:tcPr>
          <w:p>
            <w:pPr>
              <w:spacing w:after="0"/>
              <w:rPr>
                <w:sz w:val="21"/>
                <w:szCs w:val="2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Earning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6"/>
        </w:trPr>
        <w:tc>
          <w:tcPr>
            <w:tcW w:w="2740" w:type="dxa"/>
            <w:vAlign w:val="bottom"/>
            <w:shd w:val="clear" w:color="auto" w:fill="B2B2B2"/>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Loans</w:t>
            </w:r>
            <w:r>
              <w:rPr>
                <w:rFonts w:ascii="Times New Roman" w:cs="Times New Roman" w:eastAsia="Times New Roman" w:hAnsi="Times New Roman"/>
                <w:sz w:val="13"/>
                <w:szCs w:val="13"/>
                <w:b w:val="1"/>
                <w:bCs w:val="1"/>
                <w:color w:val="auto"/>
              </w:rPr>
              <w:t xml:space="preserve"> (2), (3)</w:t>
            </w:r>
            <w:r>
              <w:rPr>
                <w:rFonts w:ascii="Times New Roman" w:cs="Times New Roman" w:eastAsia="Times New Roman" w:hAnsi="Times New Roman"/>
                <w:sz w:val="29"/>
                <w:szCs w:val="29"/>
                <w:color w:val="auto"/>
                <w:vertAlign w:val="subscript"/>
              </w:rPr>
              <w:t>:</w:t>
            </w:r>
          </w:p>
        </w:tc>
        <w:tc>
          <w:tcPr>
            <w:tcW w:w="6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880" w:type="dxa"/>
            <w:vAlign w:val="bottom"/>
            <w:shd w:val="clear" w:color="auto" w:fill="B2B2B2"/>
          </w:tcPr>
          <w:p>
            <w:pPr>
              <w:spacing w:after="0"/>
              <w:rPr>
                <w:sz w:val="22"/>
                <w:szCs w:val="22"/>
                <w:color w:val="auto"/>
              </w:rPr>
            </w:pPr>
          </w:p>
        </w:tc>
        <w:tc>
          <w:tcPr>
            <w:tcW w:w="180" w:type="dxa"/>
            <w:vAlign w:val="bottom"/>
            <w:shd w:val="clear" w:color="auto" w:fill="B2B2B2"/>
          </w:tcPr>
          <w:p>
            <w:pPr>
              <w:spacing w:after="0"/>
              <w:rPr>
                <w:sz w:val="22"/>
                <w:szCs w:val="22"/>
                <w:color w:val="auto"/>
              </w:rPr>
            </w:pPr>
          </w:p>
        </w:tc>
        <w:tc>
          <w:tcPr>
            <w:tcW w:w="820" w:type="dxa"/>
            <w:vAlign w:val="bottom"/>
            <w:shd w:val="clear" w:color="auto" w:fill="B2B2B2"/>
          </w:tcPr>
          <w:p>
            <w:pPr>
              <w:spacing w:after="0"/>
              <w:rPr>
                <w:sz w:val="22"/>
                <w:szCs w:val="22"/>
                <w:color w:val="auto"/>
              </w:rPr>
            </w:pPr>
          </w:p>
        </w:tc>
        <w:tc>
          <w:tcPr>
            <w:tcW w:w="760" w:type="dxa"/>
            <w:vAlign w:val="bottom"/>
            <w:shd w:val="clear" w:color="auto" w:fill="B2B2B2"/>
          </w:tcPr>
          <w:p>
            <w:pPr>
              <w:spacing w:after="0"/>
              <w:rPr>
                <w:sz w:val="22"/>
                <w:szCs w:val="22"/>
                <w:color w:val="auto"/>
              </w:rPr>
            </w:pPr>
          </w:p>
        </w:tc>
        <w:tc>
          <w:tcPr>
            <w:tcW w:w="12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86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800" w:type="dxa"/>
            <w:vAlign w:val="bottom"/>
            <w:shd w:val="clear" w:color="auto" w:fill="B2B2B2"/>
          </w:tcPr>
          <w:p>
            <w:pPr>
              <w:spacing w:after="0"/>
              <w:rPr>
                <w:sz w:val="22"/>
                <w:szCs w:val="22"/>
                <w:color w:val="auto"/>
              </w:rPr>
            </w:pPr>
          </w:p>
        </w:tc>
        <w:tc>
          <w:tcPr>
            <w:tcW w:w="800" w:type="dxa"/>
            <w:vAlign w:val="bottom"/>
            <w:shd w:val="clear" w:color="auto" w:fill="B2B2B2"/>
          </w:tcPr>
          <w:p>
            <w:pPr>
              <w:spacing w:after="0"/>
              <w:rPr>
                <w:sz w:val="22"/>
                <w:szCs w:val="22"/>
                <w:color w:val="auto"/>
              </w:rPr>
            </w:pPr>
          </w:p>
        </w:tc>
        <w:tc>
          <w:tcPr>
            <w:tcW w:w="180" w:type="dxa"/>
            <w:vAlign w:val="bottom"/>
            <w:shd w:val="clear" w:color="auto" w:fill="B2B2B2"/>
          </w:tcPr>
          <w:p>
            <w:pPr>
              <w:spacing w:after="0"/>
              <w:rPr>
                <w:sz w:val="22"/>
                <w:szCs w:val="22"/>
                <w:color w:val="auto"/>
              </w:rPr>
            </w:pPr>
          </w:p>
        </w:tc>
        <w:tc>
          <w:tcPr>
            <w:tcW w:w="120" w:type="dxa"/>
            <w:vAlign w:val="bottom"/>
            <w:shd w:val="clear" w:color="auto" w:fill="B2B2B2"/>
          </w:tcPr>
          <w:p>
            <w:pPr>
              <w:spacing w:after="0"/>
              <w:rPr>
                <w:sz w:val="22"/>
                <w:szCs w:val="22"/>
                <w:color w:val="auto"/>
              </w:rPr>
            </w:pPr>
          </w:p>
        </w:tc>
        <w:tc>
          <w:tcPr>
            <w:tcW w:w="860" w:type="dxa"/>
            <w:vAlign w:val="bottom"/>
            <w:shd w:val="clear" w:color="auto" w:fill="B2B2B2"/>
          </w:tcPr>
          <w:p>
            <w:pPr>
              <w:spacing w:after="0"/>
              <w:rPr>
                <w:sz w:val="22"/>
                <w:szCs w:val="22"/>
                <w:color w:val="auto"/>
              </w:rPr>
            </w:pPr>
          </w:p>
        </w:tc>
        <w:tc>
          <w:tcPr>
            <w:tcW w:w="260" w:type="dxa"/>
            <w:vAlign w:val="bottom"/>
            <w:shd w:val="clear" w:color="auto" w:fill="B2B2B2"/>
          </w:tcPr>
          <w:p>
            <w:pPr>
              <w:spacing w:after="0"/>
              <w:rPr>
                <w:sz w:val="22"/>
                <w:szCs w:val="22"/>
                <w:color w:val="auto"/>
              </w:rPr>
            </w:pPr>
          </w:p>
        </w:tc>
        <w:tc>
          <w:tcPr>
            <w:tcW w:w="700" w:type="dxa"/>
            <w:vAlign w:val="bottom"/>
            <w:shd w:val="clear" w:color="auto" w:fill="B2B2B2"/>
          </w:tcPr>
          <w:p>
            <w:pPr>
              <w:spacing w:after="0"/>
              <w:rPr>
                <w:sz w:val="22"/>
                <w:szCs w:val="22"/>
                <w:color w:val="auto"/>
              </w:rPr>
            </w:pPr>
          </w:p>
        </w:tc>
        <w:tc>
          <w:tcPr>
            <w:tcW w:w="700" w:type="dxa"/>
            <w:vAlign w:val="bottom"/>
            <w:shd w:val="clear" w:color="auto" w:fill="B2B2B2"/>
          </w:tcPr>
          <w:p>
            <w:pPr>
              <w:spacing w:after="0"/>
              <w:rPr>
                <w:sz w:val="22"/>
                <w:szCs w:val="22"/>
                <w:color w:val="auto"/>
              </w:rPr>
            </w:pPr>
          </w:p>
        </w:tc>
      </w:tr>
      <w:tr>
        <w:trPr>
          <w:trHeight w:val="216"/>
        </w:trPr>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Taxable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906,361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37,665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760,153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36,461</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4.80% $</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709,280</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32,429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57"/>
        </w:trPr>
        <w:tc>
          <w:tcPr>
            <w:tcW w:w="2740" w:type="dxa"/>
            <w:vAlign w:val="bottom"/>
            <w:shd w:val="clear" w:color="auto" w:fill="B2B2B2"/>
          </w:tcPr>
          <w:p>
            <w:pPr>
              <w:ind w:left="280"/>
              <w:spacing w:after="0" w:line="256" w:lineRule="exact"/>
              <w:rPr>
                <w:sz w:val="20"/>
                <w:szCs w:val="20"/>
                <w:color w:val="auto"/>
              </w:rPr>
            </w:pPr>
            <w:r>
              <w:rPr>
                <w:rFonts w:ascii="Times New Roman" w:cs="Times New Roman" w:eastAsia="Times New Roman" w:hAnsi="Times New Roman"/>
                <w:sz w:val="18"/>
                <w:szCs w:val="18"/>
                <w:color w:val="auto"/>
              </w:rPr>
              <w:t xml:space="preserve">Tax-exempt </w:t>
            </w:r>
            <w:r>
              <w:rPr>
                <w:rFonts w:ascii="Times New Roman" w:cs="Times New Roman" w:eastAsia="Times New Roman" w:hAnsi="Times New Roman"/>
                <w:sz w:val="29"/>
                <w:szCs w:val="29"/>
                <w:b w:val="1"/>
                <w:bCs w:val="1"/>
                <w:color w:val="auto"/>
                <w:vertAlign w:val="superscript"/>
              </w:rPr>
              <w:t>(4)</w:t>
            </w:r>
          </w:p>
        </w:tc>
        <w:tc>
          <w:tcPr>
            <w:tcW w:w="6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88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spacing w:after="0"/>
              <w:rPr>
                <w:sz w:val="22"/>
                <w:szCs w:val="22"/>
                <w:color w:val="auto"/>
              </w:rPr>
            </w:pPr>
          </w:p>
        </w:tc>
        <w:tc>
          <w:tcPr>
            <w:tcW w:w="8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B2B2B2"/>
          </w:tcPr>
          <w:p>
            <w:pPr>
              <w:spacing w:after="0"/>
              <w:rPr>
                <w:sz w:val="22"/>
                <w:szCs w:val="22"/>
                <w:color w:val="auto"/>
              </w:rPr>
            </w:pPr>
          </w:p>
        </w:tc>
        <w:tc>
          <w:tcPr>
            <w:tcW w:w="80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B2B2B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1,566</w:t>
            </w:r>
          </w:p>
        </w:tc>
        <w:tc>
          <w:tcPr>
            <w:tcW w:w="260" w:type="dxa"/>
            <w:vAlign w:val="bottom"/>
            <w:shd w:val="clear" w:color="auto" w:fill="B2B2B2"/>
          </w:tcPr>
          <w:p>
            <w:pPr>
              <w:spacing w:after="0"/>
              <w:rPr>
                <w:sz w:val="22"/>
                <w:szCs w:val="22"/>
                <w:color w:val="auto"/>
              </w:rPr>
            </w:pPr>
          </w:p>
        </w:tc>
        <w:tc>
          <w:tcPr>
            <w:tcW w:w="7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70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3.83</w:t>
            </w:r>
          </w:p>
        </w:tc>
      </w:tr>
      <w:tr>
        <w:trPr>
          <w:trHeight w:val="257"/>
        </w:trPr>
        <w:tc>
          <w:tcPr>
            <w:tcW w:w="2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Securities </w:t>
            </w:r>
            <w:r>
              <w:rPr>
                <w:rFonts w:ascii="Times New Roman" w:cs="Times New Roman" w:eastAsia="Times New Roman" w:hAnsi="Times New Roman"/>
                <w:sz w:val="29"/>
                <w:szCs w:val="29"/>
                <w:b w:val="1"/>
                <w:bCs w:val="1"/>
                <w:color w:val="auto"/>
                <w:vertAlign w:val="superscript"/>
              </w:rPr>
              <w:t>(5)</w:t>
            </w: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16"/>
        </w:trPr>
        <w:tc>
          <w:tcPr>
            <w:tcW w:w="274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Taxable</w:t>
            </w:r>
          </w:p>
        </w:tc>
        <w:tc>
          <w:tcPr>
            <w:tcW w:w="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75,938</w:t>
            </w: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1,686</w:t>
            </w:r>
          </w:p>
        </w:tc>
        <w:tc>
          <w:tcPr>
            <w:tcW w:w="7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103,473</w:t>
            </w: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2,465</w:t>
            </w:r>
          </w:p>
        </w:tc>
        <w:tc>
          <w:tcPr>
            <w:tcW w:w="98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86,164</w:t>
            </w: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2,007</w:t>
            </w:r>
          </w:p>
        </w:tc>
        <w:tc>
          <w:tcPr>
            <w:tcW w:w="70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2.33</w:t>
            </w:r>
          </w:p>
        </w:tc>
      </w:tr>
      <w:tr>
        <w:trPr>
          <w:trHeight w:val="257"/>
        </w:trPr>
        <w:tc>
          <w:tcPr>
            <w:tcW w:w="2740" w:type="dxa"/>
            <w:vAlign w:val="bottom"/>
          </w:tcPr>
          <w:p>
            <w:pPr>
              <w:ind w:left="280"/>
              <w:spacing w:after="0" w:line="256" w:lineRule="exact"/>
              <w:rPr>
                <w:sz w:val="20"/>
                <w:szCs w:val="20"/>
                <w:color w:val="auto"/>
              </w:rPr>
            </w:pPr>
            <w:r>
              <w:rPr>
                <w:rFonts w:ascii="Times New Roman" w:cs="Times New Roman" w:eastAsia="Times New Roman" w:hAnsi="Times New Roman"/>
                <w:sz w:val="18"/>
                <w:szCs w:val="18"/>
                <w:color w:val="auto"/>
              </w:rPr>
              <w:t xml:space="preserve">Tax-exempt </w:t>
            </w:r>
            <w:r>
              <w:rPr>
                <w:rFonts w:ascii="Times New Roman" w:cs="Times New Roman" w:eastAsia="Times New Roman" w:hAnsi="Times New Roman"/>
                <w:sz w:val="29"/>
                <w:szCs w:val="29"/>
                <w:b w:val="1"/>
                <w:bCs w:val="1"/>
                <w:color w:val="auto"/>
                <w:vertAlign w:val="superscript"/>
              </w:rPr>
              <w:t>(4)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289,316</w:t>
            </w:r>
          </w:p>
        </w:tc>
        <w:tc>
          <w:tcPr>
            <w:tcW w:w="180" w:type="dxa"/>
            <w:vAlign w:val="bottom"/>
          </w:tcPr>
          <w:p>
            <w:pPr>
              <w:spacing w:after="0"/>
              <w:rPr>
                <w:sz w:val="22"/>
                <w:szCs w:val="22"/>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8,993</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319,911</w:t>
            </w:r>
          </w:p>
        </w:tc>
        <w:tc>
          <w:tcPr>
            <w:tcW w:w="200" w:type="dxa"/>
            <w:vAlign w:val="bottom"/>
          </w:tcPr>
          <w:p>
            <w:pPr>
              <w:spacing w:after="0"/>
              <w:rPr>
                <w:sz w:val="22"/>
                <w:szCs w:val="22"/>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9,924</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362,726</w:t>
            </w:r>
          </w:p>
        </w:tc>
        <w:tc>
          <w:tcPr>
            <w:tcW w:w="26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11,473</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27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1,573</w:t>
            </w: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32</w:t>
            </w:r>
          </w:p>
        </w:tc>
        <w:tc>
          <w:tcPr>
            <w:tcW w:w="98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6,236</w:t>
            </w: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70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1.56</w:t>
            </w:r>
          </w:p>
        </w:tc>
      </w:tr>
      <w:tr>
        <w:trPr>
          <w:trHeight w:val="198"/>
        </w:trPr>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Interest-bearing deposits in 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financial institutions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210,441</w:t>
            </w:r>
          </w:p>
        </w:tc>
        <w:tc>
          <w:tcPr>
            <w:tcW w:w="18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554</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115,909</w:t>
            </w:r>
          </w:p>
        </w:tc>
        <w:tc>
          <w:tcPr>
            <w:tcW w:w="20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2,286</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124,101</w:t>
            </w:r>
          </w:p>
        </w:tc>
        <w:tc>
          <w:tcPr>
            <w:tcW w:w="2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2,338</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1.88</w:t>
            </w:r>
          </w:p>
        </w:tc>
      </w:tr>
      <w:tr>
        <w:trPr>
          <w:trHeight w:val="198"/>
        </w:trPr>
        <w:tc>
          <w:tcPr>
            <w:tcW w:w="2740" w:type="dxa"/>
            <w:vAlign w:val="bottom"/>
            <w:shd w:val="clear" w:color="auto" w:fill="B2B2B2"/>
          </w:tcPr>
          <w:p>
            <w:pPr>
              <w:spacing w:after="0" w:line="198" w:lineRule="exact"/>
              <w:rPr>
                <w:sz w:val="20"/>
                <w:szCs w:val="20"/>
                <w:color w:val="auto"/>
              </w:rPr>
            </w:pPr>
            <w:r>
              <w:rPr>
                <w:rFonts w:ascii="Times New Roman" w:cs="Times New Roman" w:eastAsia="Times New Roman" w:hAnsi="Times New Roman"/>
                <w:sz w:val="18"/>
                <w:szCs w:val="18"/>
                <w:color w:val="auto"/>
              </w:rPr>
              <w:t>Federal funds sold and other short-</w:t>
            </w:r>
          </w:p>
        </w:tc>
        <w:tc>
          <w:tcPr>
            <w:tcW w:w="6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880" w:type="dxa"/>
            <w:vAlign w:val="bottom"/>
            <w:shd w:val="clear" w:color="auto" w:fill="B2B2B2"/>
          </w:tcPr>
          <w:p>
            <w:pPr>
              <w:spacing w:after="0"/>
              <w:rPr>
                <w:sz w:val="17"/>
                <w:szCs w:val="17"/>
                <w:color w:val="auto"/>
              </w:rPr>
            </w:pPr>
          </w:p>
        </w:tc>
        <w:tc>
          <w:tcPr>
            <w:tcW w:w="18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76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86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800" w:type="dxa"/>
            <w:vAlign w:val="bottom"/>
            <w:shd w:val="clear" w:color="auto" w:fill="B2B2B2"/>
          </w:tcPr>
          <w:p>
            <w:pPr>
              <w:spacing w:after="0"/>
              <w:rPr>
                <w:sz w:val="17"/>
                <w:szCs w:val="17"/>
                <w:color w:val="auto"/>
              </w:rPr>
            </w:pPr>
          </w:p>
        </w:tc>
        <w:tc>
          <w:tcPr>
            <w:tcW w:w="800" w:type="dxa"/>
            <w:vAlign w:val="bottom"/>
            <w:shd w:val="clear" w:color="auto" w:fill="B2B2B2"/>
          </w:tcPr>
          <w:p>
            <w:pPr>
              <w:spacing w:after="0"/>
              <w:rPr>
                <w:sz w:val="17"/>
                <w:szCs w:val="17"/>
                <w:color w:val="auto"/>
              </w:rPr>
            </w:pPr>
          </w:p>
        </w:tc>
        <w:tc>
          <w:tcPr>
            <w:tcW w:w="18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860" w:type="dxa"/>
            <w:vAlign w:val="bottom"/>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700" w:type="dxa"/>
            <w:vAlign w:val="bottom"/>
            <w:shd w:val="clear" w:color="auto" w:fill="B2B2B2"/>
          </w:tcPr>
          <w:p>
            <w:pPr>
              <w:spacing w:after="0"/>
              <w:rPr>
                <w:sz w:val="17"/>
                <w:szCs w:val="17"/>
                <w:color w:val="auto"/>
              </w:rPr>
            </w:pPr>
          </w:p>
        </w:tc>
        <w:tc>
          <w:tcPr>
            <w:tcW w:w="700" w:type="dxa"/>
            <w:vAlign w:val="bottom"/>
            <w:shd w:val="clear" w:color="auto" w:fill="B2B2B2"/>
          </w:tcPr>
          <w:p>
            <w:pPr>
              <w:spacing w:after="0"/>
              <w:rPr>
                <w:sz w:val="17"/>
                <w:szCs w:val="17"/>
                <w:color w:val="auto"/>
              </w:rPr>
            </w:pPr>
          </w:p>
        </w:tc>
      </w:tr>
      <w:tr>
        <w:trPr>
          <w:trHeight w:val="234"/>
        </w:trPr>
        <w:tc>
          <w:tcPr>
            <w:tcW w:w="2740" w:type="dxa"/>
            <w:vAlign w:val="bottom"/>
            <w:tcBorders>
              <w:bottom w:val="single" w:sz="8" w:color="auto"/>
            </w:tcBorders>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term investments</w:t>
            </w:r>
          </w:p>
        </w:tc>
        <w:tc>
          <w:tcPr>
            <w:tcW w:w="60" w:type="dxa"/>
            <w:vAlign w:val="bottom"/>
            <w:tcBorders>
              <w:bottom w:val="single" w:sz="8" w:color="auto"/>
            </w:tcBorders>
            <w:shd w:val="clear" w:color="auto" w:fill="B2B2B2"/>
          </w:tcPr>
          <w:p>
            <w:pPr>
              <w:spacing w:after="0"/>
              <w:rPr>
                <w:sz w:val="20"/>
                <w:szCs w:val="20"/>
                <w:color w:val="auto"/>
              </w:rPr>
            </w:pPr>
          </w:p>
        </w:tc>
        <w:tc>
          <w:tcPr>
            <w:tcW w:w="100" w:type="dxa"/>
            <w:vAlign w:val="bottom"/>
            <w:tcBorders>
              <w:bottom w:val="single" w:sz="8" w:color="auto"/>
            </w:tcBorders>
            <w:shd w:val="clear" w:color="auto" w:fill="B2B2B2"/>
          </w:tcPr>
          <w:p>
            <w:pPr>
              <w:spacing w:after="0"/>
              <w:rPr>
                <w:sz w:val="20"/>
                <w:szCs w:val="20"/>
                <w:color w:val="auto"/>
              </w:rPr>
            </w:pPr>
          </w:p>
        </w:tc>
        <w:tc>
          <w:tcPr>
            <w:tcW w:w="88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191,986</w:t>
            </w:r>
          </w:p>
        </w:tc>
        <w:tc>
          <w:tcPr>
            <w:tcW w:w="180" w:type="dxa"/>
            <w:vAlign w:val="bottom"/>
            <w:tcBorders>
              <w:bottom w:val="single" w:sz="8" w:color="auto"/>
            </w:tcBorders>
            <w:shd w:val="clear" w:color="auto" w:fill="B2B2B2"/>
          </w:tcPr>
          <w:p>
            <w:pPr>
              <w:spacing w:after="0"/>
              <w:rPr>
                <w:sz w:val="20"/>
                <w:szCs w:val="20"/>
                <w:color w:val="auto"/>
              </w:rPr>
            </w:pPr>
          </w:p>
        </w:tc>
        <w:tc>
          <w:tcPr>
            <w:tcW w:w="820" w:type="dxa"/>
            <w:vAlign w:val="bottom"/>
            <w:tcBorders>
              <w:bottom w:val="single" w:sz="8" w:color="auto"/>
            </w:tcBorders>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672</w:t>
            </w:r>
          </w:p>
        </w:tc>
        <w:tc>
          <w:tcPr>
            <w:tcW w:w="76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Borders>
              <w:bottom w:val="single" w:sz="8" w:color="auto"/>
            </w:tcBorders>
            <w:shd w:val="clear" w:color="auto" w:fill="B2B2B2"/>
          </w:tcPr>
          <w:p>
            <w:pPr>
              <w:spacing w:after="0"/>
              <w:rPr>
                <w:sz w:val="20"/>
                <w:szCs w:val="20"/>
                <w:color w:val="auto"/>
              </w:rPr>
            </w:pPr>
          </w:p>
        </w:tc>
        <w:tc>
          <w:tcPr>
            <w:tcW w:w="100" w:type="dxa"/>
            <w:vAlign w:val="bottom"/>
            <w:tcBorders>
              <w:bottom w:val="single" w:sz="8" w:color="auto"/>
            </w:tcBorders>
            <w:shd w:val="clear" w:color="auto" w:fill="B2B2B2"/>
          </w:tcPr>
          <w:p>
            <w:pPr>
              <w:spacing w:after="0"/>
              <w:rPr>
                <w:sz w:val="20"/>
                <w:szCs w:val="20"/>
                <w:color w:val="auto"/>
              </w:rPr>
            </w:pPr>
          </w:p>
        </w:tc>
        <w:tc>
          <w:tcPr>
            <w:tcW w:w="86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171,380</w:t>
            </w:r>
          </w:p>
        </w:tc>
        <w:tc>
          <w:tcPr>
            <w:tcW w:w="200" w:type="dxa"/>
            <w:vAlign w:val="bottom"/>
            <w:tcBorders>
              <w:bottom w:val="single" w:sz="8" w:color="auto"/>
            </w:tcBorders>
            <w:shd w:val="clear" w:color="auto" w:fill="B2B2B2"/>
          </w:tcPr>
          <w:p>
            <w:pPr>
              <w:spacing w:after="0"/>
              <w:rPr>
                <w:sz w:val="20"/>
                <w:szCs w:val="20"/>
                <w:color w:val="auto"/>
              </w:rPr>
            </w:pPr>
          </w:p>
        </w:tc>
        <w:tc>
          <w:tcPr>
            <w:tcW w:w="800" w:type="dxa"/>
            <w:vAlign w:val="bottom"/>
            <w:tcBorders>
              <w:bottom w:val="single" w:sz="8" w:color="auto"/>
            </w:tcBorders>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3,526</w:t>
            </w:r>
          </w:p>
        </w:tc>
        <w:tc>
          <w:tcPr>
            <w:tcW w:w="980" w:type="dxa"/>
            <w:vAlign w:val="bottom"/>
            <w:tcBorders>
              <w:bottom w:val="single" w:sz="8" w:color="auto"/>
            </w:tcBorders>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auto"/>
            </w:tcBorders>
            <w:shd w:val="clear" w:color="auto" w:fill="B2B2B2"/>
          </w:tcPr>
          <w:p>
            <w:pPr>
              <w:spacing w:after="0"/>
              <w:rPr>
                <w:sz w:val="20"/>
                <w:szCs w:val="20"/>
                <w:color w:val="auto"/>
              </w:rPr>
            </w:pPr>
          </w:p>
        </w:tc>
        <w:tc>
          <w:tcPr>
            <w:tcW w:w="86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113,675</w:t>
            </w:r>
          </w:p>
        </w:tc>
        <w:tc>
          <w:tcPr>
            <w:tcW w:w="260" w:type="dxa"/>
            <w:vAlign w:val="bottom"/>
            <w:tcBorders>
              <w:bottom w:val="single" w:sz="8" w:color="auto"/>
            </w:tcBorders>
            <w:shd w:val="clear" w:color="auto" w:fill="B2B2B2"/>
          </w:tcPr>
          <w:p>
            <w:pPr>
              <w:spacing w:after="0"/>
              <w:rPr>
                <w:sz w:val="20"/>
                <w:szCs w:val="20"/>
                <w:color w:val="auto"/>
              </w:rPr>
            </w:pPr>
          </w:p>
        </w:tc>
        <w:tc>
          <w:tcPr>
            <w:tcW w:w="70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1,944</w:t>
            </w:r>
          </w:p>
        </w:tc>
        <w:tc>
          <w:tcPr>
            <w:tcW w:w="700" w:type="dxa"/>
            <w:vAlign w:val="bottom"/>
            <w:tcBorders>
              <w:bottom w:val="single" w:sz="8" w:color="auto"/>
            </w:tcBorders>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1.71</w:t>
            </w:r>
          </w:p>
        </w:tc>
      </w:tr>
      <w:tr>
        <w:trPr>
          <w:trHeight w:val="20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Total earning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1,674,297</w:t>
            </w:r>
          </w:p>
        </w:tc>
        <w:tc>
          <w:tcPr>
            <w:tcW w:w="18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49,576</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1,472,399</w:t>
            </w:r>
          </w:p>
        </w:tc>
        <w:tc>
          <w:tcPr>
            <w:tcW w:w="20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54,694</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1,403,748</w:t>
            </w:r>
          </w:p>
        </w:tc>
        <w:tc>
          <w:tcPr>
            <w:tcW w:w="2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50,348</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27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Non-earning assets</w:t>
            </w:r>
          </w:p>
        </w:tc>
        <w:tc>
          <w:tcPr>
            <w:tcW w:w="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6"/>
        </w:trPr>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due from banks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16,979</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15,455</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13,336</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74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19,623</w:t>
            </w: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21,319</w:t>
            </w: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22,355</w:t>
            </w: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6"/>
        </w:trPr>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17,817</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17,489</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17,142</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74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18,132</w:t>
            </w: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15,433</w:t>
            </w: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14,354</w:t>
            </w: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6"/>
        </w:trPr>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216,278</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217,922</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177,156</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740" w:type="dxa"/>
            <w:vAlign w:val="bottom"/>
            <w:tcBorders>
              <w:bottom w:val="single" w:sz="8" w:color="auto"/>
            </w:tcBorders>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Allowance for credit/loan losses</w:t>
            </w:r>
          </w:p>
        </w:tc>
        <w:tc>
          <w:tcPr>
            <w:tcW w:w="6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(11,016)</w:t>
            </w:r>
          </w:p>
        </w:tc>
        <w:tc>
          <w:tcPr>
            <w:tcW w:w="18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spacing w:after="0"/>
              <w:rPr>
                <w:sz w:val="18"/>
                <w:szCs w:val="18"/>
                <w:color w:val="auto"/>
              </w:rPr>
            </w:pPr>
          </w:p>
        </w:tc>
        <w:tc>
          <w:tcPr>
            <w:tcW w:w="76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20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26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spacing w:after="0"/>
              <w:rPr>
                <w:sz w:val="18"/>
                <w:szCs w:val="18"/>
                <w:color w:val="auto"/>
              </w:rPr>
            </w:pPr>
          </w:p>
        </w:tc>
      </w:tr>
      <w:tr>
        <w:trPr>
          <w:trHeight w:val="209"/>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1,952,110</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7"/>
              </w:rPr>
              <w:t>1,749,574</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7"/>
              </w:rPr>
              <w:t>1,637,876</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191"/>
        </w:trPr>
        <w:tc>
          <w:tcPr>
            <w:tcW w:w="2740" w:type="dxa"/>
            <w:vAlign w:val="bottom"/>
            <w:shd w:val="clear" w:color="auto" w:fill="B2B2B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Liabilities and Shareholders’</w:t>
            </w:r>
          </w:p>
        </w:tc>
        <w:tc>
          <w:tcPr>
            <w:tcW w:w="6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880" w:type="dxa"/>
            <w:vAlign w:val="bottom"/>
            <w:shd w:val="clear" w:color="auto" w:fill="B2B2B2"/>
          </w:tcPr>
          <w:p>
            <w:pPr>
              <w:spacing w:after="0"/>
              <w:rPr>
                <w:sz w:val="16"/>
                <w:szCs w:val="16"/>
                <w:color w:val="auto"/>
              </w:rPr>
            </w:pPr>
          </w:p>
        </w:tc>
        <w:tc>
          <w:tcPr>
            <w:tcW w:w="180" w:type="dxa"/>
            <w:vAlign w:val="bottom"/>
            <w:shd w:val="clear" w:color="auto" w:fill="B2B2B2"/>
          </w:tcPr>
          <w:p>
            <w:pPr>
              <w:spacing w:after="0"/>
              <w:rPr>
                <w:sz w:val="16"/>
                <w:szCs w:val="16"/>
                <w:color w:val="auto"/>
              </w:rPr>
            </w:pPr>
          </w:p>
        </w:tc>
        <w:tc>
          <w:tcPr>
            <w:tcW w:w="820" w:type="dxa"/>
            <w:vAlign w:val="bottom"/>
            <w:shd w:val="clear" w:color="auto" w:fill="B2B2B2"/>
          </w:tcPr>
          <w:p>
            <w:pPr>
              <w:spacing w:after="0"/>
              <w:rPr>
                <w:sz w:val="16"/>
                <w:szCs w:val="16"/>
                <w:color w:val="auto"/>
              </w:rPr>
            </w:pPr>
          </w:p>
        </w:tc>
        <w:tc>
          <w:tcPr>
            <w:tcW w:w="76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860" w:type="dxa"/>
            <w:vAlign w:val="bottom"/>
            <w:shd w:val="clear" w:color="auto" w:fill="B2B2B2"/>
          </w:tcPr>
          <w:p>
            <w:pPr>
              <w:spacing w:after="0"/>
              <w:rPr>
                <w:sz w:val="16"/>
                <w:szCs w:val="16"/>
                <w:color w:val="auto"/>
              </w:rPr>
            </w:pPr>
          </w:p>
        </w:tc>
        <w:tc>
          <w:tcPr>
            <w:tcW w:w="200" w:type="dxa"/>
            <w:vAlign w:val="bottom"/>
            <w:shd w:val="clear" w:color="auto" w:fill="B2B2B2"/>
          </w:tcPr>
          <w:p>
            <w:pPr>
              <w:spacing w:after="0"/>
              <w:rPr>
                <w:sz w:val="16"/>
                <w:szCs w:val="16"/>
                <w:color w:val="auto"/>
              </w:rPr>
            </w:pPr>
          </w:p>
        </w:tc>
        <w:tc>
          <w:tcPr>
            <w:tcW w:w="800" w:type="dxa"/>
            <w:vAlign w:val="bottom"/>
            <w:shd w:val="clear" w:color="auto" w:fill="B2B2B2"/>
          </w:tcPr>
          <w:p>
            <w:pPr>
              <w:spacing w:after="0"/>
              <w:rPr>
                <w:sz w:val="16"/>
                <w:szCs w:val="16"/>
                <w:color w:val="auto"/>
              </w:rPr>
            </w:pPr>
          </w:p>
        </w:tc>
        <w:tc>
          <w:tcPr>
            <w:tcW w:w="800" w:type="dxa"/>
            <w:vAlign w:val="bottom"/>
            <w:shd w:val="clear" w:color="auto" w:fill="B2B2B2"/>
          </w:tcPr>
          <w:p>
            <w:pPr>
              <w:spacing w:after="0"/>
              <w:rPr>
                <w:sz w:val="16"/>
                <w:szCs w:val="16"/>
                <w:color w:val="auto"/>
              </w:rPr>
            </w:pPr>
          </w:p>
        </w:tc>
        <w:tc>
          <w:tcPr>
            <w:tcW w:w="18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860" w:type="dxa"/>
            <w:vAlign w:val="bottom"/>
            <w:shd w:val="clear" w:color="auto" w:fill="B2B2B2"/>
          </w:tcPr>
          <w:p>
            <w:pPr>
              <w:spacing w:after="0"/>
              <w:rPr>
                <w:sz w:val="16"/>
                <w:szCs w:val="16"/>
                <w:color w:val="auto"/>
              </w:rPr>
            </w:pPr>
          </w:p>
        </w:tc>
        <w:tc>
          <w:tcPr>
            <w:tcW w:w="260" w:type="dxa"/>
            <w:vAlign w:val="bottom"/>
            <w:shd w:val="clear" w:color="auto" w:fill="B2B2B2"/>
          </w:tcPr>
          <w:p>
            <w:pPr>
              <w:spacing w:after="0"/>
              <w:rPr>
                <w:sz w:val="16"/>
                <w:szCs w:val="16"/>
                <w:color w:val="auto"/>
              </w:rPr>
            </w:pPr>
          </w:p>
        </w:tc>
        <w:tc>
          <w:tcPr>
            <w:tcW w:w="700" w:type="dxa"/>
            <w:vAlign w:val="bottom"/>
            <w:shd w:val="clear" w:color="auto" w:fill="B2B2B2"/>
          </w:tcPr>
          <w:p>
            <w:pPr>
              <w:spacing w:after="0"/>
              <w:rPr>
                <w:sz w:val="16"/>
                <w:szCs w:val="16"/>
                <w:color w:val="auto"/>
              </w:rPr>
            </w:pPr>
          </w:p>
        </w:tc>
        <w:tc>
          <w:tcPr>
            <w:tcW w:w="700" w:type="dxa"/>
            <w:vAlign w:val="bottom"/>
            <w:shd w:val="clear" w:color="auto" w:fill="B2B2B2"/>
          </w:tcPr>
          <w:p>
            <w:pPr>
              <w:spacing w:after="0"/>
              <w:rPr>
                <w:sz w:val="16"/>
                <w:szCs w:val="16"/>
                <w:color w:val="auto"/>
              </w:rPr>
            </w:pPr>
          </w:p>
        </w:tc>
      </w:tr>
      <w:tr>
        <w:trPr>
          <w:trHeight w:val="275"/>
        </w:trPr>
        <w:tc>
          <w:tcPr>
            <w:tcW w:w="2740" w:type="dxa"/>
            <w:vAlign w:val="bottom"/>
            <w:shd w:val="clear" w:color="auto" w:fill="B2B2B2"/>
          </w:tcPr>
          <w:p>
            <w:pPr>
              <w:ind w:left="280"/>
              <w:spacing w:after="0" w:line="276" w:lineRule="exact"/>
              <w:rPr>
                <w:sz w:val="20"/>
                <w:szCs w:val="20"/>
                <w:color w:val="auto"/>
              </w:rPr>
            </w:pPr>
            <w:r>
              <w:rPr>
                <w:rFonts w:ascii="Times New Roman" w:cs="Times New Roman" w:eastAsia="Times New Roman" w:hAnsi="Times New Roman"/>
                <w:sz w:val="18"/>
                <w:szCs w:val="18"/>
                <w:b w:val="1"/>
                <w:bCs w:val="1"/>
                <w:color w:val="auto"/>
              </w:rPr>
              <w:t xml:space="preserve">Equity </w:t>
            </w:r>
            <w:r>
              <w:rPr>
                <w:rFonts w:ascii="Times New Roman" w:cs="Times New Roman" w:eastAsia="Times New Roman" w:hAnsi="Times New Roman"/>
                <w:sz w:val="29"/>
                <w:szCs w:val="29"/>
                <w:b w:val="1"/>
                <w:bCs w:val="1"/>
                <w:color w:val="auto"/>
                <w:vertAlign w:val="superscript"/>
              </w:rPr>
              <w:t>(1)</w:t>
            </w:r>
          </w:p>
        </w:tc>
        <w:tc>
          <w:tcPr>
            <w:tcW w:w="60" w:type="dxa"/>
            <w:vAlign w:val="bottom"/>
            <w:shd w:val="clear" w:color="auto" w:fill="B2B2B2"/>
          </w:tcPr>
          <w:p>
            <w:pPr>
              <w:spacing w:after="0"/>
              <w:rPr>
                <w:sz w:val="23"/>
                <w:szCs w:val="23"/>
                <w:color w:val="auto"/>
              </w:rPr>
            </w:pPr>
          </w:p>
        </w:tc>
        <w:tc>
          <w:tcPr>
            <w:tcW w:w="100" w:type="dxa"/>
            <w:vAlign w:val="bottom"/>
            <w:shd w:val="clear" w:color="auto" w:fill="B2B2B2"/>
          </w:tcPr>
          <w:p>
            <w:pPr>
              <w:spacing w:after="0"/>
              <w:rPr>
                <w:sz w:val="23"/>
                <w:szCs w:val="23"/>
                <w:color w:val="auto"/>
              </w:rPr>
            </w:pPr>
          </w:p>
        </w:tc>
        <w:tc>
          <w:tcPr>
            <w:tcW w:w="880" w:type="dxa"/>
            <w:vAlign w:val="bottom"/>
            <w:shd w:val="clear" w:color="auto" w:fill="B2B2B2"/>
          </w:tcPr>
          <w:p>
            <w:pPr>
              <w:spacing w:after="0"/>
              <w:rPr>
                <w:sz w:val="23"/>
                <w:szCs w:val="23"/>
                <w:color w:val="auto"/>
              </w:rPr>
            </w:pPr>
          </w:p>
        </w:tc>
        <w:tc>
          <w:tcPr>
            <w:tcW w:w="180" w:type="dxa"/>
            <w:vAlign w:val="bottom"/>
            <w:shd w:val="clear" w:color="auto" w:fill="B2B2B2"/>
          </w:tcPr>
          <w:p>
            <w:pPr>
              <w:spacing w:after="0"/>
              <w:rPr>
                <w:sz w:val="23"/>
                <w:szCs w:val="23"/>
                <w:color w:val="auto"/>
              </w:rPr>
            </w:pPr>
          </w:p>
        </w:tc>
        <w:tc>
          <w:tcPr>
            <w:tcW w:w="820" w:type="dxa"/>
            <w:vAlign w:val="bottom"/>
            <w:shd w:val="clear" w:color="auto" w:fill="B2B2B2"/>
          </w:tcPr>
          <w:p>
            <w:pPr>
              <w:spacing w:after="0"/>
              <w:rPr>
                <w:sz w:val="23"/>
                <w:szCs w:val="23"/>
                <w:color w:val="auto"/>
              </w:rPr>
            </w:pPr>
          </w:p>
        </w:tc>
        <w:tc>
          <w:tcPr>
            <w:tcW w:w="760" w:type="dxa"/>
            <w:vAlign w:val="bottom"/>
            <w:shd w:val="clear" w:color="auto" w:fill="B2B2B2"/>
          </w:tcPr>
          <w:p>
            <w:pPr>
              <w:spacing w:after="0"/>
              <w:rPr>
                <w:sz w:val="23"/>
                <w:szCs w:val="23"/>
                <w:color w:val="auto"/>
              </w:rPr>
            </w:pPr>
          </w:p>
        </w:tc>
        <w:tc>
          <w:tcPr>
            <w:tcW w:w="120" w:type="dxa"/>
            <w:vAlign w:val="bottom"/>
            <w:shd w:val="clear" w:color="auto" w:fill="B2B2B2"/>
          </w:tcPr>
          <w:p>
            <w:pPr>
              <w:spacing w:after="0"/>
              <w:rPr>
                <w:sz w:val="23"/>
                <w:szCs w:val="23"/>
                <w:color w:val="auto"/>
              </w:rPr>
            </w:pPr>
          </w:p>
        </w:tc>
        <w:tc>
          <w:tcPr>
            <w:tcW w:w="100" w:type="dxa"/>
            <w:vAlign w:val="bottom"/>
            <w:shd w:val="clear" w:color="auto" w:fill="B2B2B2"/>
          </w:tcPr>
          <w:p>
            <w:pPr>
              <w:spacing w:after="0"/>
              <w:rPr>
                <w:sz w:val="23"/>
                <w:szCs w:val="23"/>
                <w:color w:val="auto"/>
              </w:rPr>
            </w:pPr>
          </w:p>
        </w:tc>
        <w:tc>
          <w:tcPr>
            <w:tcW w:w="860" w:type="dxa"/>
            <w:vAlign w:val="bottom"/>
            <w:shd w:val="clear" w:color="auto" w:fill="B2B2B2"/>
          </w:tcPr>
          <w:p>
            <w:pPr>
              <w:spacing w:after="0"/>
              <w:rPr>
                <w:sz w:val="23"/>
                <w:szCs w:val="23"/>
                <w:color w:val="auto"/>
              </w:rPr>
            </w:pPr>
          </w:p>
        </w:tc>
        <w:tc>
          <w:tcPr>
            <w:tcW w:w="200" w:type="dxa"/>
            <w:vAlign w:val="bottom"/>
            <w:shd w:val="clear" w:color="auto" w:fill="B2B2B2"/>
          </w:tcPr>
          <w:p>
            <w:pPr>
              <w:spacing w:after="0"/>
              <w:rPr>
                <w:sz w:val="23"/>
                <w:szCs w:val="23"/>
                <w:color w:val="auto"/>
              </w:rPr>
            </w:pPr>
          </w:p>
        </w:tc>
        <w:tc>
          <w:tcPr>
            <w:tcW w:w="800" w:type="dxa"/>
            <w:vAlign w:val="bottom"/>
            <w:shd w:val="clear" w:color="auto" w:fill="B2B2B2"/>
          </w:tcPr>
          <w:p>
            <w:pPr>
              <w:spacing w:after="0"/>
              <w:rPr>
                <w:sz w:val="23"/>
                <w:szCs w:val="23"/>
                <w:color w:val="auto"/>
              </w:rPr>
            </w:pPr>
          </w:p>
        </w:tc>
        <w:tc>
          <w:tcPr>
            <w:tcW w:w="800" w:type="dxa"/>
            <w:vAlign w:val="bottom"/>
            <w:shd w:val="clear" w:color="auto" w:fill="B2B2B2"/>
          </w:tcPr>
          <w:p>
            <w:pPr>
              <w:spacing w:after="0"/>
              <w:rPr>
                <w:sz w:val="23"/>
                <w:szCs w:val="23"/>
                <w:color w:val="auto"/>
              </w:rPr>
            </w:pPr>
          </w:p>
        </w:tc>
        <w:tc>
          <w:tcPr>
            <w:tcW w:w="180" w:type="dxa"/>
            <w:vAlign w:val="bottom"/>
            <w:shd w:val="clear" w:color="auto" w:fill="B2B2B2"/>
          </w:tcPr>
          <w:p>
            <w:pPr>
              <w:spacing w:after="0"/>
              <w:rPr>
                <w:sz w:val="23"/>
                <w:szCs w:val="23"/>
                <w:color w:val="auto"/>
              </w:rPr>
            </w:pPr>
          </w:p>
        </w:tc>
        <w:tc>
          <w:tcPr>
            <w:tcW w:w="120" w:type="dxa"/>
            <w:vAlign w:val="bottom"/>
            <w:shd w:val="clear" w:color="auto" w:fill="B2B2B2"/>
          </w:tcPr>
          <w:p>
            <w:pPr>
              <w:spacing w:after="0"/>
              <w:rPr>
                <w:sz w:val="23"/>
                <w:szCs w:val="23"/>
                <w:color w:val="auto"/>
              </w:rPr>
            </w:pPr>
          </w:p>
        </w:tc>
        <w:tc>
          <w:tcPr>
            <w:tcW w:w="860" w:type="dxa"/>
            <w:vAlign w:val="bottom"/>
            <w:shd w:val="clear" w:color="auto" w:fill="B2B2B2"/>
          </w:tcPr>
          <w:p>
            <w:pPr>
              <w:spacing w:after="0"/>
              <w:rPr>
                <w:sz w:val="23"/>
                <w:szCs w:val="23"/>
                <w:color w:val="auto"/>
              </w:rPr>
            </w:pPr>
          </w:p>
        </w:tc>
        <w:tc>
          <w:tcPr>
            <w:tcW w:w="260" w:type="dxa"/>
            <w:vAlign w:val="bottom"/>
            <w:shd w:val="clear" w:color="auto" w:fill="B2B2B2"/>
          </w:tcPr>
          <w:p>
            <w:pPr>
              <w:spacing w:after="0"/>
              <w:rPr>
                <w:sz w:val="23"/>
                <w:szCs w:val="23"/>
                <w:color w:val="auto"/>
              </w:rPr>
            </w:pPr>
          </w:p>
        </w:tc>
        <w:tc>
          <w:tcPr>
            <w:tcW w:w="700" w:type="dxa"/>
            <w:vAlign w:val="bottom"/>
            <w:shd w:val="clear" w:color="auto" w:fill="B2B2B2"/>
          </w:tcPr>
          <w:p>
            <w:pPr>
              <w:spacing w:after="0"/>
              <w:rPr>
                <w:sz w:val="23"/>
                <w:szCs w:val="23"/>
                <w:color w:val="auto"/>
              </w:rPr>
            </w:pPr>
          </w:p>
        </w:tc>
        <w:tc>
          <w:tcPr>
            <w:tcW w:w="700" w:type="dxa"/>
            <w:vAlign w:val="bottom"/>
            <w:shd w:val="clear" w:color="auto" w:fill="B2B2B2"/>
          </w:tcPr>
          <w:p>
            <w:pPr>
              <w:spacing w:after="0"/>
              <w:rPr>
                <w:sz w:val="23"/>
                <w:szCs w:val="23"/>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74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16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398,585</w:t>
            </w:r>
          </w:p>
        </w:tc>
        <w:tc>
          <w:tcPr>
            <w:tcW w:w="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1,313</w:t>
            </w:r>
          </w:p>
        </w:tc>
        <w:tc>
          <w:tcPr>
            <w:tcW w:w="7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20" w:type="dxa"/>
            <w:vAlign w:val="bottom"/>
            <w:gridSpan w:val="2"/>
            <w:shd w:val="clear" w:color="auto" w:fill="B2B2B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311,434</w:t>
            </w:r>
          </w:p>
        </w:tc>
        <w:tc>
          <w:tcPr>
            <w:tcW w:w="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3,686</w:t>
            </w:r>
          </w:p>
        </w:tc>
        <w:tc>
          <w:tcPr>
            <w:tcW w:w="1100" w:type="dxa"/>
            <w:vAlign w:val="bottom"/>
            <w:gridSpan w:val="3"/>
            <w:shd w:val="clear" w:color="auto" w:fill="B2B2B2"/>
          </w:tcPr>
          <w:p>
            <w:pPr>
              <w:jc w:val="right"/>
              <w:ind w:right="20"/>
              <w:spacing w:after="0"/>
              <w:rPr>
                <w:sz w:val="20"/>
                <w:szCs w:val="20"/>
                <w:color w:val="auto"/>
              </w:rPr>
            </w:pPr>
            <w:r>
              <w:rPr>
                <w:rFonts w:ascii="Times New Roman" w:cs="Times New Roman" w:eastAsia="Times New Roman" w:hAnsi="Times New Roman"/>
                <w:sz w:val="18"/>
                <w:szCs w:val="18"/>
                <w:color w:val="auto"/>
              </w:rPr>
              <w:t>1.18% $</w:t>
            </w: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302,816</w:t>
            </w:r>
          </w:p>
        </w:tc>
        <w:tc>
          <w:tcPr>
            <w:tcW w:w="260" w:type="dxa"/>
            <w:vAlign w:val="bottom"/>
            <w:shd w:val="clear" w:color="auto" w:fill="B2B2B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2,832</w:t>
            </w:r>
          </w:p>
        </w:tc>
        <w:tc>
          <w:tcPr>
            <w:tcW w:w="7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Savings deposits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13,819</w:t>
            </w:r>
          </w:p>
        </w:tc>
        <w:tc>
          <w:tcPr>
            <w:tcW w:w="18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10,285</w:t>
            </w:r>
          </w:p>
        </w:tc>
        <w:tc>
          <w:tcPr>
            <w:tcW w:w="20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103</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11,451</w:t>
            </w:r>
          </w:p>
        </w:tc>
        <w:tc>
          <w:tcPr>
            <w:tcW w:w="2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274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Time deposits &gt;=$250</w:t>
            </w:r>
          </w:p>
        </w:tc>
        <w:tc>
          <w:tcPr>
            <w:tcW w:w="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20,036</w:t>
            </w: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267</w:t>
            </w:r>
          </w:p>
        </w:tc>
        <w:tc>
          <w:tcPr>
            <w:tcW w:w="7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17,634</w:t>
            </w: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281</w:t>
            </w:r>
          </w:p>
        </w:tc>
        <w:tc>
          <w:tcPr>
            <w:tcW w:w="98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16,639</w:t>
            </w: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70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27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Other time deposits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47,970</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756</w:t>
            </w: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55,490</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1,121</w:t>
            </w:r>
          </w:p>
        </w:tc>
        <w:tc>
          <w:tcPr>
            <w:tcW w:w="9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41,045</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585</w:t>
            </w: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1.43</w:t>
            </w:r>
          </w:p>
        </w:tc>
      </w:tr>
      <w:tr>
        <w:trPr>
          <w:trHeight w:val="210"/>
        </w:trPr>
        <w:tc>
          <w:tcPr>
            <w:tcW w:w="27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480,410</w:t>
            </w: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2,360</w:t>
            </w:r>
          </w:p>
        </w:tc>
        <w:tc>
          <w:tcPr>
            <w:tcW w:w="7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394,843</w:t>
            </w: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5,191</w:t>
            </w:r>
          </w:p>
        </w:tc>
        <w:tc>
          <w:tcPr>
            <w:tcW w:w="98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371,951</w:t>
            </w: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3,736</w:t>
            </w:r>
          </w:p>
        </w:tc>
        <w:tc>
          <w:tcPr>
            <w:tcW w:w="70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7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480,471</w:t>
            </w: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2,362</w:t>
            </w:r>
          </w:p>
        </w:tc>
        <w:tc>
          <w:tcPr>
            <w:tcW w:w="7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394,904</w:t>
            </w: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5,193</w:t>
            </w:r>
          </w:p>
        </w:tc>
        <w:tc>
          <w:tcPr>
            <w:tcW w:w="980" w:type="dxa"/>
            <w:vAlign w:val="bottom"/>
            <w:gridSpan w:val="2"/>
            <w:shd w:val="clear" w:color="auto" w:fill="B2B2B2"/>
          </w:tcPr>
          <w:p>
            <w:pPr>
              <w:jc w:val="right"/>
              <w:ind w:right="18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371,961</w:t>
            </w: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3,736</w:t>
            </w:r>
          </w:p>
        </w:tc>
        <w:tc>
          <w:tcPr>
            <w:tcW w:w="70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74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Demand deposits</w:t>
            </w:r>
          </w:p>
        </w:tc>
        <w:tc>
          <w:tcPr>
            <w:tcW w:w="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356,433</w:t>
            </w: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276,301</w:t>
            </w: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252,926</w:t>
            </w: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216"/>
        </w:trPr>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803,605</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785,202</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745,713</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740" w:type="dxa"/>
            <w:vAlign w:val="bottom"/>
            <w:tcBorders>
              <w:bottom w:val="single" w:sz="8" w:color="auto"/>
            </w:tcBorders>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Other liabilities</w:t>
            </w:r>
          </w:p>
        </w:tc>
        <w:tc>
          <w:tcPr>
            <w:tcW w:w="6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65,513</w:t>
            </w:r>
          </w:p>
        </w:tc>
        <w:tc>
          <w:tcPr>
            <w:tcW w:w="18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spacing w:after="0"/>
              <w:rPr>
                <w:sz w:val="18"/>
                <w:szCs w:val="18"/>
                <w:color w:val="auto"/>
              </w:rPr>
            </w:pPr>
          </w:p>
        </w:tc>
        <w:tc>
          <w:tcPr>
            <w:tcW w:w="76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56,700</w:t>
            </w:r>
          </w:p>
        </w:tc>
        <w:tc>
          <w:tcPr>
            <w:tcW w:w="20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43,904</w:t>
            </w:r>
          </w:p>
        </w:tc>
        <w:tc>
          <w:tcPr>
            <w:tcW w:w="26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spacing w:after="0"/>
              <w:rPr>
                <w:sz w:val="18"/>
                <w:szCs w:val="18"/>
                <w:color w:val="auto"/>
              </w:rPr>
            </w:pPr>
          </w:p>
        </w:tc>
      </w:tr>
      <w:tr>
        <w:trPr>
          <w:trHeight w:val="21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1,706,022</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1,513,107</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1,414,504</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7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246,088</w:t>
            </w: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236,467</w:t>
            </w: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223,372</w:t>
            </w: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r>
      <w:tr>
        <w:trPr>
          <w:trHeight w:val="198"/>
        </w:trPr>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liabilities and share-holders’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27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1,952,110</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7"/>
              </w:rPr>
              <w:t>1,749,574</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7"/>
              </w:rPr>
              <w:t>1,637,876</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50"/>
        </w:trPr>
        <w:tc>
          <w:tcPr>
            <w:tcW w:w="2740" w:type="dxa"/>
            <w:vAlign w:val="bottom"/>
            <w:shd w:val="clear" w:color="auto" w:fill="B2B2B2"/>
          </w:tcPr>
          <w:p>
            <w:pPr>
              <w:spacing w:after="0" w:line="250" w:lineRule="exact"/>
              <w:rPr>
                <w:sz w:val="20"/>
                <w:szCs w:val="20"/>
                <w:color w:val="auto"/>
              </w:rPr>
            </w:pPr>
            <w:r>
              <w:rPr>
                <w:rFonts w:ascii="Times New Roman" w:cs="Times New Roman" w:eastAsia="Times New Roman" w:hAnsi="Times New Roman"/>
                <w:sz w:val="17"/>
                <w:szCs w:val="17"/>
                <w:color w:val="auto"/>
              </w:rPr>
              <w:t xml:space="preserve">Net interest income </w:t>
            </w:r>
            <w:r>
              <w:rPr>
                <w:rFonts w:ascii="Times New Roman" w:cs="Times New Roman" w:eastAsia="Times New Roman" w:hAnsi="Times New Roman"/>
                <w:sz w:val="28"/>
                <w:szCs w:val="28"/>
                <w:b w:val="1"/>
                <w:bCs w:val="1"/>
                <w:color w:val="auto"/>
                <w:vertAlign w:val="superscript"/>
              </w:rPr>
              <w:t>(4)</w:t>
            </w:r>
          </w:p>
        </w:tc>
        <w:tc>
          <w:tcPr>
            <w:tcW w:w="60" w:type="dxa"/>
            <w:vAlign w:val="bottom"/>
            <w:shd w:val="clear" w:color="auto" w:fill="B2B2B2"/>
          </w:tcPr>
          <w:p>
            <w:pPr>
              <w:spacing w:after="0"/>
              <w:rPr>
                <w:sz w:val="21"/>
                <w:szCs w:val="21"/>
                <w:color w:val="auto"/>
              </w:rPr>
            </w:pPr>
          </w:p>
        </w:tc>
        <w:tc>
          <w:tcPr>
            <w:tcW w:w="100" w:type="dxa"/>
            <w:vAlign w:val="bottom"/>
            <w:shd w:val="clear" w:color="auto" w:fill="B2B2B2"/>
          </w:tcPr>
          <w:p>
            <w:pPr>
              <w:spacing w:after="0"/>
              <w:rPr>
                <w:sz w:val="21"/>
                <w:szCs w:val="21"/>
                <w:color w:val="auto"/>
              </w:rPr>
            </w:pPr>
          </w:p>
        </w:tc>
        <w:tc>
          <w:tcPr>
            <w:tcW w:w="880" w:type="dxa"/>
            <w:vAlign w:val="bottom"/>
            <w:shd w:val="clear" w:color="auto" w:fill="B2B2B2"/>
          </w:tcPr>
          <w:p>
            <w:pPr>
              <w:spacing w:after="0"/>
              <w:rPr>
                <w:sz w:val="21"/>
                <w:szCs w:val="21"/>
                <w:color w:val="auto"/>
              </w:rPr>
            </w:pPr>
          </w:p>
        </w:tc>
        <w:tc>
          <w:tcPr>
            <w:tcW w:w="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47,214</w:t>
            </w:r>
          </w:p>
        </w:tc>
        <w:tc>
          <w:tcPr>
            <w:tcW w:w="760" w:type="dxa"/>
            <w:vAlign w:val="bottom"/>
            <w:shd w:val="clear" w:color="auto" w:fill="B2B2B2"/>
          </w:tcPr>
          <w:p>
            <w:pPr>
              <w:spacing w:after="0"/>
              <w:rPr>
                <w:sz w:val="21"/>
                <w:szCs w:val="21"/>
                <w:color w:val="auto"/>
              </w:rPr>
            </w:pPr>
          </w:p>
        </w:tc>
        <w:tc>
          <w:tcPr>
            <w:tcW w:w="120" w:type="dxa"/>
            <w:vAlign w:val="bottom"/>
            <w:shd w:val="clear" w:color="auto" w:fill="B2B2B2"/>
          </w:tcPr>
          <w:p>
            <w:pPr>
              <w:spacing w:after="0"/>
              <w:rPr>
                <w:sz w:val="21"/>
                <w:szCs w:val="21"/>
                <w:color w:val="auto"/>
              </w:rPr>
            </w:pPr>
          </w:p>
        </w:tc>
        <w:tc>
          <w:tcPr>
            <w:tcW w:w="100" w:type="dxa"/>
            <w:vAlign w:val="bottom"/>
            <w:shd w:val="clear" w:color="auto" w:fill="B2B2B2"/>
          </w:tcPr>
          <w:p>
            <w:pPr>
              <w:spacing w:after="0"/>
              <w:rPr>
                <w:sz w:val="21"/>
                <w:szCs w:val="21"/>
                <w:color w:val="auto"/>
              </w:rPr>
            </w:pPr>
          </w:p>
        </w:tc>
        <w:tc>
          <w:tcPr>
            <w:tcW w:w="860" w:type="dxa"/>
            <w:vAlign w:val="bottom"/>
            <w:shd w:val="clear" w:color="auto" w:fill="B2B2B2"/>
          </w:tcPr>
          <w:p>
            <w:pPr>
              <w:spacing w:after="0"/>
              <w:rPr>
                <w:sz w:val="21"/>
                <w:szCs w:val="21"/>
                <w:color w:val="auto"/>
              </w:rPr>
            </w:pPr>
          </w:p>
        </w:tc>
        <w:tc>
          <w:tcPr>
            <w:tcW w:w="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49,501</w:t>
            </w:r>
          </w:p>
        </w:tc>
        <w:tc>
          <w:tcPr>
            <w:tcW w:w="800" w:type="dxa"/>
            <w:vAlign w:val="bottom"/>
            <w:shd w:val="clear" w:color="auto" w:fill="B2B2B2"/>
          </w:tcPr>
          <w:p>
            <w:pPr>
              <w:spacing w:after="0"/>
              <w:rPr>
                <w:sz w:val="21"/>
                <w:szCs w:val="21"/>
                <w:color w:val="auto"/>
              </w:rPr>
            </w:pPr>
          </w:p>
        </w:tc>
        <w:tc>
          <w:tcPr>
            <w:tcW w:w="180" w:type="dxa"/>
            <w:vAlign w:val="bottom"/>
            <w:shd w:val="clear" w:color="auto" w:fill="B2B2B2"/>
          </w:tcPr>
          <w:p>
            <w:pPr>
              <w:spacing w:after="0"/>
              <w:rPr>
                <w:sz w:val="21"/>
                <w:szCs w:val="21"/>
                <w:color w:val="auto"/>
              </w:rPr>
            </w:pPr>
          </w:p>
        </w:tc>
        <w:tc>
          <w:tcPr>
            <w:tcW w:w="120" w:type="dxa"/>
            <w:vAlign w:val="bottom"/>
            <w:shd w:val="clear" w:color="auto" w:fill="B2B2B2"/>
          </w:tcPr>
          <w:p>
            <w:pPr>
              <w:spacing w:after="0"/>
              <w:rPr>
                <w:sz w:val="21"/>
                <w:szCs w:val="21"/>
                <w:color w:val="auto"/>
              </w:rPr>
            </w:pPr>
          </w:p>
        </w:tc>
        <w:tc>
          <w:tcPr>
            <w:tcW w:w="860" w:type="dxa"/>
            <w:vAlign w:val="bottom"/>
            <w:shd w:val="clear" w:color="auto" w:fill="B2B2B2"/>
          </w:tcPr>
          <w:p>
            <w:pPr>
              <w:spacing w:after="0"/>
              <w:rPr>
                <w:sz w:val="21"/>
                <w:szCs w:val="21"/>
                <w:color w:val="auto"/>
              </w:rPr>
            </w:pPr>
          </w:p>
        </w:tc>
        <w:tc>
          <w:tcPr>
            <w:tcW w:w="260" w:type="dxa"/>
            <w:vAlign w:val="bottom"/>
            <w:shd w:val="clear" w:color="auto" w:fill="B2B2B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46,612</w:t>
            </w:r>
          </w:p>
        </w:tc>
        <w:tc>
          <w:tcPr>
            <w:tcW w:w="700" w:type="dxa"/>
            <w:vAlign w:val="bottom"/>
            <w:shd w:val="clear" w:color="auto" w:fill="B2B2B2"/>
          </w:tcPr>
          <w:p>
            <w:pPr>
              <w:spacing w:after="0"/>
              <w:rPr>
                <w:sz w:val="21"/>
                <w:szCs w:val="21"/>
                <w:color w:val="auto"/>
              </w:rPr>
            </w:pPr>
          </w:p>
        </w:tc>
      </w:tr>
      <w:tr>
        <w:trPr>
          <w:trHeight w:val="257"/>
        </w:trPr>
        <w:tc>
          <w:tcPr>
            <w:tcW w:w="2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Net interest margin </w:t>
            </w:r>
            <w:r>
              <w:rPr>
                <w:rFonts w:ascii="Times New Roman" w:cs="Times New Roman" w:eastAsia="Times New Roman" w:hAnsi="Times New Roman"/>
                <w:sz w:val="29"/>
                <w:szCs w:val="29"/>
                <w:b w:val="1"/>
                <w:bCs w:val="1"/>
                <w:color w:val="auto"/>
                <w:vertAlign w:val="superscript"/>
              </w:rPr>
              <w:t>(4)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r>
              <w:rPr>
                <w:rFonts w:ascii="Times New Roman" w:cs="Times New Roman" w:eastAsia="Times New Roman" w:hAnsi="Times New Roman"/>
                <w:sz w:val="18"/>
                <w:szCs w:val="18"/>
                <w:b w:val="1"/>
                <w:bCs w:val="1"/>
                <w:color w:val="auto"/>
              </w:rPr>
              <w:t>%</w:t>
            </w:r>
          </w:p>
        </w:tc>
      </w:tr>
      <w:tr>
        <w:trPr>
          <w:trHeight w:val="223"/>
        </w:trPr>
        <w:tc>
          <w:tcPr>
            <w:tcW w:w="2740" w:type="dxa"/>
            <w:vAlign w:val="bottom"/>
            <w:tcBorders>
              <w:bottom w:val="single" w:sz="8" w:color="auto"/>
            </w:tcBorders>
            <w:shd w:val="clear" w:color="auto" w:fill="B2B2B2"/>
          </w:tcPr>
          <w:p>
            <w:pPr>
              <w:spacing w:after="0" w:line="202" w:lineRule="exact"/>
              <w:rPr>
                <w:sz w:val="20"/>
                <w:szCs w:val="20"/>
                <w:color w:val="auto"/>
              </w:rPr>
            </w:pPr>
            <w:r>
              <w:rPr>
                <w:rFonts w:ascii="Times New Roman" w:cs="Times New Roman" w:eastAsia="Times New Roman" w:hAnsi="Times New Roman"/>
                <w:sz w:val="18"/>
                <w:szCs w:val="18"/>
                <w:color w:val="auto"/>
              </w:rPr>
              <w:t>Interest spread</w:t>
            </w:r>
          </w:p>
        </w:tc>
        <w:tc>
          <w:tcPr>
            <w:tcW w:w="60" w:type="dxa"/>
            <w:vAlign w:val="bottom"/>
            <w:tcBorders>
              <w:bottom w:val="single" w:sz="8" w:color="auto"/>
            </w:tcBorders>
            <w:shd w:val="clear" w:color="auto" w:fill="B2B2B2"/>
          </w:tcPr>
          <w:p>
            <w:pPr>
              <w:spacing w:after="0"/>
              <w:rPr>
                <w:sz w:val="19"/>
                <w:szCs w:val="19"/>
                <w:color w:val="auto"/>
              </w:rPr>
            </w:pPr>
          </w:p>
        </w:tc>
        <w:tc>
          <w:tcPr>
            <w:tcW w:w="100" w:type="dxa"/>
            <w:vAlign w:val="bottom"/>
            <w:tcBorders>
              <w:bottom w:val="single" w:sz="8" w:color="auto"/>
            </w:tcBorders>
            <w:shd w:val="clear" w:color="auto" w:fill="B2B2B2"/>
          </w:tcPr>
          <w:p>
            <w:pPr>
              <w:spacing w:after="0"/>
              <w:rPr>
                <w:sz w:val="19"/>
                <w:szCs w:val="19"/>
                <w:color w:val="auto"/>
              </w:rPr>
            </w:pPr>
          </w:p>
        </w:tc>
        <w:tc>
          <w:tcPr>
            <w:tcW w:w="880" w:type="dxa"/>
            <w:vAlign w:val="bottom"/>
            <w:tcBorders>
              <w:bottom w:val="single" w:sz="8" w:color="auto"/>
            </w:tcBorders>
            <w:shd w:val="clear" w:color="auto" w:fill="B2B2B2"/>
          </w:tcPr>
          <w:p>
            <w:pPr>
              <w:spacing w:after="0"/>
              <w:rPr>
                <w:sz w:val="19"/>
                <w:szCs w:val="19"/>
                <w:color w:val="auto"/>
              </w:rPr>
            </w:pPr>
          </w:p>
        </w:tc>
        <w:tc>
          <w:tcPr>
            <w:tcW w:w="180" w:type="dxa"/>
            <w:vAlign w:val="bottom"/>
            <w:tcBorders>
              <w:bottom w:val="single" w:sz="8" w:color="auto"/>
            </w:tcBorders>
            <w:shd w:val="clear" w:color="auto" w:fill="B2B2B2"/>
          </w:tcPr>
          <w:p>
            <w:pPr>
              <w:spacing w:after="0"/>
              <w:rPr>
                <w:sz w:val="19"/>
                <w:szCs w:val="19"/>
                <w:color w:val="auto"/>
              </w:rPr>
            </w:pPr>
          </w:p>
        </w:tc>
        <w:tc>
          <w:tcPr>
            <w:tcW w:w="820" w:type="dxa"/>
            <w:vAlign w:val="bottom"/>
            <w:tcBorders>
              <w:bottom w:val="single" w:sz="8" w:color="auto"/>
            </w:tcBorders>
            <w:shd w:val="clear" w:color="auto" w:fill="B2B2B2"/>
          </w:tcPr>
          <w:p>
            <w:pPr>
              <w:spacing w:after="0"/>
              <w:rPr>
                <w:sz w:val="19"/>
                <w:szCs w:val="19"/>
                <w:color w:val="auto"/>
              </w:rPr>
            </w:pPr>
          </w:p>
        </w:tc>
        <w:tc>
          <w:tcPr>
            <w:tcW w:w="76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bottom w:val="single" w:sz="8" w:color="auto"/>
            </w:tcBorders>
            <w:shd w:val="clear" w:color="auto" w:fill="B2B2B2"/>
          </w:tcPr>
          <w:p>
            <w:pPr>
              <w:spacing w:after="0"/>
              <w:rPr>
                <w:sz w:val="19"/>
                <w:szCs w:val="19"/>
                <w:color w:val="auto"/>
              </w:rPr>
            </w:pPr>
          </w:p>
        </w:tc>
        <w:tc>
          <w:tcPr>
            <w:tcW w:w="100" w:type="dxa"/>
            <w:vAlign w:val="bottom"/>
            <w:tcBorders>
              <w:bottom w:val="single" w:sz="8" w:color="auto"/>
            </w:tcBorders>
            <w:shd w:val="clear" w:color="auto" w:fill="B2B2B2"/>
          </w:tcPr>
          <w:p>
            <w:pPr>
              <w:spacing w:after="0"/>
              <w:rPr>
                <w:sz w:val="19"/>
                <w:szCs w:val="19"/>
                <w:color w:val="auto"/>
              </w:rPr>
            </w:pPr>
          </w:p>
        </w:tc>
        <w:tc>
          <w:tcPr>
            <w:tcW w:w="860" w:type="dxa"/>
            <w:vAlign w:val="bottom"/>
            <w:tcBorders>
              <w:bottom w:val="single" w:sz="8" w:color="auto"/>
            </w:tcBorders>
            <w:shd w:val="clear" w:color="auto" w:fill="B2B2B2"/>
          </w:tcPr>
          <w:p>
            <w:pPr>
              <w:spacing w:after="0"/>
              <w:rPr>
                <w:sz w:val="19"/>
                <w:szCs w:val="19"/>
                <w:color w:val="auto"/>
              </w:rPr>
            </w:pPr>
          </w:p>
        </w:tc>
        <w:tc>
          <w:tcPr>
            <w:tcW w:w="200" w:type="dxa"/>
            <w:vAlign w:val="bottom"/>
            <w:tcBorders>
              <w:bottom w:val="single" w:sz="8" w:color="auto"/>
            </w:tcBorders>
            <w:shd w:val="clear" w:color="auto" w:fill="B2B2B2"/>
          </w:tcPr>
          <w:p>
            <w:pPr>
              <w:spacing w:after="0"/>
              <w:rPr>
                <w:sz w:val="19"/>
                <w:szCs w:val="19"/>
                <w:color w:val="auto"/>
              </w:rPr>
            </w:pPr>
          </w:p>
        </w:tc>
        <w:tc>
          <w:tcPr>
            <w:tcW w:w="800" w:type="dxa"/>
            <w:vAlign w:val="bottom"/>
            <w:tcBorders>
              <w:bottom w:val="single" w:sz="8" w:color="auto"/>
            </w:tcBorders>
            <w:shd w:val="clear" w:color="auto" w:fill="B2B2B2"/>
          </w:tcPr>
          <w:p>
            <w:pPr>
              <w:spacing w:after="0"/>
              <w:rPr>
                <w:sz w:val="19"/>
                <w:szCs w:val="19"/>
                <w:color w:val="auto"/>
              </w:rPr>
            </w:pPr>
          </w:p>
        </w:tc>
        <w:tc>
          <w:tcPr>
            <w:tcW w:w="980" w:type="dxa"/>
            <w:vAlign w:val="bottom"/>
            <w:tcBorders>
              <w:bottom w:val="single" w:sz="8" w:color="auto"/>
            </w:tcBorders>
            <w:gridSpan w:val="2"/>
            <w:shd w:val="clear" w:color="auto" w:fill="B2B2B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auto"/>
            </w:tcBorders>
            <w:shd w:val="clear" w:color="auto" w:fill="B2B2B2"/>
          </w:tcPr>
          <w:p>
            <w:pPr>
              <w:spacing w:after="0"/>
              <w:rPr>
                <w:sz w:val="19"/>
                <w:szCs w:val="19"/>
                <w:color w:val="auto"/>
              </w:rPr>
            </w:pPr>
          </w:p>
        </w:tc>
        <w:tc>
          <w:tcPr>
            <w:tcW w:w="860" w:type="dxa"/>
            <w:vAlign w:val="bottom"/>
            <w:tcBorders>
              <w:bottom w:val="single" w:sz="8" w:color="auto"/>
            </w:tcBorders>
            <w:shd w:val="clear" w:color="auto" w:fill="B2B2B2"/>
          </w:tcPr>
          <w:p>
            <w:pPr>
              <w:spacing w:after="0"/>
              <w:rPr>
                <w:sz w:val="19"/>
                <w:szCs w:val="19"/>
                <w:color w:val="auto"/>
              </w:rPr>
            </w:pPr>
          </w:p>
        </w:tc>
        <w:tc>
          <w:tcPr>
            <w:tcW w:w="260" w:type="dxa"/>
            <w:vAlign w:val="bottom"/>
            <w:tcBorders>
              <w:bottom w:val="single" w:sz="8" w:color="auto"/>
            </w:tcBorders>
            <w:shd w:val="clear" w:color="auto" w:fill="B2B2B2"/>
          </w:tcPr>
          <w:p>
            <w:pPr>
              <w:spacing w:after="0"/>
              <w:rPr>
                <w:sz w:val="19"/>
                <w:szCs w:val="19"/>
                <w:color w:val="auto"/>
              </w:rPr>
            </w:pPr>
          </w:p>
        </w:tc>
        <w:tc>
          <w:tcPr>
            <w:tcW w:w="700" w:type="dxa"/>
            <w:vAlign w:val="bottom"/>
            <w:tcBorders>
              <w:bottom w:val="single" w:sz="8" w:color="auto"/>
            </w:tcBorders>
            <w:shd w:val="clear" w:color="auto" w:fill="B2B2B2"/>
          </w:tcPr>
          <w:p>
            <w:pPr>
              <w:spacing w:after="0"/>
              <w:rPr>
                <w:sz w:val="19"/>
                <w:szCs w:val="19"/>
                <w:color w:val="auto"/>
              </w:rPr>
            </w:pPr>
          </w:p>
        </w:tc>
        <w:tc>
          <w:tcPr>
            <w:tcW w:w="70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2.59%</w:t>
            </w:r>
          </w:p>
        </w:tc>
      </w:tr>
    </w:tbl>
    <w:p>
      <w:pPr>
        <w:ind w:left="340" w:hanging="332"/>
        <w:spacing w:after="0" w:line="197" w:lineRule="auto"/>
        <w:tabs>
          <w:tab w:leader="none" w:pos="340" w:val="left"/>
        </w:tabs>
        <w:numPr>
          <w:ilvl w:val="0"/>
          <w:numId w:val="9"/>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Balances shown are daily averages.</w:t>
      </w:r>
    </w:p>
    <w:p>
      <w:pPr>
        <w:spacing w:after="0" w:line="1" w:lineRule="exact"/>
        <w:rPr>
          <w:rFonts w:ascii="Times New Roman" w:cs="Times New Roman" w:eastAsia="Times New Roman" w:hAnsi="Times New Roman"/>
          <w:sz w:val="30"/>
          <w:szCs w:val="30"/>
          <w:b w:val="1"/>
          <w:bCs w:val="1"/>
          <w:color w:val="auto"/>
          <w:vertAlign w:val="superscript"/>
        </w:rPr>
      </w:pPr>
    </w:p>
    <w:p>
      <w:pPr>
        <w:ind w:left="340" w:right="20" w:hanging="332"/>
        <w:spacing w:after="0" w:line="187" w:lineRule="auto"/>
        <w:tabs>
          <w:tab w:leader="none" w:pos="340" w:val="left"/>
        </w:tabs>
        <w:numPr>
          <w:ilvl w:val="0"/>
          <w:numId w:val="9"/>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For purposes of these computations, nonaccrual loans are included in the average loan amounts outstanding. Interest on nonaccrual loans is recorded when received as discussed further in Item 8, Note 1 of this report.</w:t>
      </w:r>
    </w:p>
    <w:p>
      <w:pPr>
        <w:ind w:left="340" w:hanging="332"/>
        <w:spacing w:after="0" w:line="187" w:lineRule="auto"/>
        <w:tabs>
          <w:tab w:leader="none" w:pos="340" w:val="left"/>
        </w:tabs>
        <w:numPr>
          <w:ilvl w:val="0"/>
          <w:numId w:val="9"/>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Interest income on loans includes net loan fees of $3,608,000, $650,000, and $393,000 for 2020, 2019 and 2018, respectively. 2020 loan fees include $3,057,000 of PPP loan fees.</w:t>
      </w:r>
    </w:p>
    <w:p>
      <w:pPr>
        <w:spacing w:after="0" w:line="1" w:lineRule="exact"/>
        <w:rPr>
          <w:rFonts w:ascii="Times New Roman" w:cs="Times New Roman" w:eastAsia="Times New Roman" w:hAnsi="Times New Roman"/>
          <w:sz w:val="30"/>
          <w:szCs w:val="30"/>
          <w:b w:val="1"/>
          <w:bCs w:val="1"/>
          <w:color w:val="auto"/>
          <w:vertAlign w:val="superscript"/>
        </w:rPr>
      </w:pPr>
    </w:p>
    <w:p>
      <w:pPr>
        <w:ind w:left="340" w:right="20" w:hanging="332"/>
        <w:spacing w:after="0" w:line="187" w:lineRule="auto"/>
        <w:tabs>
          <w:tab w:leader="none" w:pos="340" w:val="left"/>
        </w:tabs>
        <w:numPr>
          <w:ilvl w:val="0"/>
          <w:numId w:val="9"/>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Interest income is presented on a tax-equivalent basis assuming a tax rate of 21% in 2020, 2019 and 2018. The tax-equivalent adjustment was approximately $1,889,000, $2,085,000, and $2,422,000 for 2020, 2019, and 2018, respectively.</w:t>
      </w:r>
    </w:p>
    <w:p>
      <w:pPr>
        <w:spacing w:after="0" w:line="1" w:lineRule="exact"/>
        <w:rPr>
          <w:rFonts w:ascii="Times New Roman" w:cs="Times New Roman" w:eastAsia="Times New Roman" w:hAnsi="Times New Roman"/>
          <w:sz w:val="30"/>
          <w:szCs w:val="30"/>
          <w:b w:val="1"/>
          <w:bCs w:val="1"/>
          <w:color w:val="auto"/>
          <w:vertAlign w:val="superscript"/>
        </w:rPr>
      </w:pPr>
    </w:p>
    <w:p>
      <w:pPr>
        <w:ind w:left="340" w:right="20" w:hanging="332"/>
        <w:spacing w:after="0" w:line="187" w:lineRule="auto"/>
        <w:tabs>
          <w:tab w:leader="none" w:pos="340" w:val="left"/>
        </w:tabs>
        <w:numPr>
          <w:ilvl w:val="0"/>
          <w:numId w:val="9"/>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For purposes of these computations, yields on investment securities are computed as interest income divided by the average amortized cost of the investments.</w:t>
      </w:r>
    </w:p>
    <w:p>
      <w:pPr>
        <w:sectPr>
          <w:pgSz w:w="11900" w:h="16838" w:orient="portrait"/>
          <w:cols w:equalWidth="0" w:num="1">
            <w:col w:w="11240"/>
          </w:cols>
          <w:pgMar w:left="320" w:top="293" w:right="339" w:bottom="144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Net Interest Income Changes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interest income and expense between years due to changes in volume and interest rates.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2020 Over 2019</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2019 Over 2018</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57"/>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0"/>
              <w:spacing w:after="0" w:line="250" w:lineRule="exact"/>
              <w:rPr>
                <w:sz w:val="20"/>
                <w:szCs w:val="20"/>
                <w:color w:val="auto"/>
              </w:rPr>
            </w:pPr>
            <w:r>
              <w:rPr>
                <w:rFonts w:ascii="Times New Roman" w:cs="Times New Roman" w:eastAsia="Times New Roman" w:hAnsi="Times New Roman"/>
                <w:sz w:val="17"/>
                <w:szCs w:val="17"/>
                <w:b w:val="1"/>
                <w:bCs w:val="1"/>
                <w:color w:val="auto"/>
                <w:w w:val="99"/>
              </w:rPr>
              <w:t xml:space="preserve">Volume </w:t>
            </w:r>
            <w:r>
              <w:rPr>
                <w:rFonts w:ascii="Times New Roman" w:cs="Times New Roman" w:eastAsia="Times New Roman" w:hAnsi="Times New Roman"/>
                <w:sz w:val="28"/>
                <w:szCs w:val="28"/>
                <w:b w:val="1"/>
                <w:bCs w:val="1"/>
                <w:color w:val="auto"/>
                <w:w w:val="99"/>
                <w:vertAlign w:val="superscript"/>
              </w:rPr>
              <w:t>(1)</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50"/>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Rate </w:t>
            </w:r>
            <w:r>
              <w:rPr>
                <w:rFonts w:ascii="Times New Roman" w:cs="Times New Roman" w:eastAsia="Times New Roman" w:hAnsi="Times New Roman"/>
                <w:sz w:val="28"/>
                <w:szCs w:val="28"/>
                <w:b w:val="1"/>
                <w:bCs w:val="1"/>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line="250" w:lineRule="exact"/>
              <w:rPr>
                <w:sz w:val="20"/>
                <w:szCs w:val="20"/>
                <w:color w:val="auto"/>
              </w:rPr>
            </w:pPr>
            <w:r>
              <w:rPr>
                <w:rFonts w:ascii="Times New Roman" w:cs="Times New Roman" w:eastAsia="Times New Roman" w:hAnsi="Times New Roman"/>
                <w:sz w:val="17"/>
                <w:szCs w:val="17"/>
                <w:b w:val="1"/>
                <w:bCs w:val="1"/>
                <w:color w:val="auto"/>
                <w:w w:val="99"/>
              </w:rPr>
              <w:t>Volume</w:t>
            </w:r>
            <w:r>
              <w:rPr>
                <w:rFonts w:ascii="Times New Roman" w:cs="Times New Roman" w:eastAsia="Times New Roman" w:hAnsi="Times New Roman"/>
                <w:sz w:val="28"/>
                <w:szCs w:val="28"/>
                <w:b w:val="1"/>
                <w:bCs w:val="1"/>
                <w:color w:val="auto"/>
                <w:w w:val="99"/>
                <w:vertAlign w:val="superscript"/>
              </w:rPr>
              <w:t>(1)</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0"/>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Rate </w:t>
            </w:r>
            <w:r>
              <w:rPr>
                <w:rFonts w:ascii="Times New Roman" w:cs="Times New Roman" w:eastAsia="Times New Roman" w:hAnsi="Times New Roman"/>
                <w:sz w:val="28"/>
                <w:szCs w:val="28"/>
                <w:b w:val="1"/>
                <w:bCs w:val="1"/>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0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1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r>
      <w:tr>
        <w:trPr>
          <w:trHeight w:val="257"/>
        </w:trPr>
        <w:tc>
          <w:tcPr>
            <w:tcW w:w="4040" w:type="dxa"/>
            <w:vAlign w:val="bottom"/>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Loans</w:t>
            </w:r>
            <w:r>
              <w:rPr>
                <w:rFonts w:ascii="Times New Roman" w:cs="Times New Roman" w:eastAsia="Times New Roman" w:hAnsi="Times New Roman"/>
                <w:sz w:val="13"/>
                <w:szCs w:val="13"/>
                <w:b w:val="1"/>
                <w:bCs w:val="1"/>
                <w:color w:val="auto"/>
              </w:rPr>
              <w:t xml:space="preserve"> (2), (3)</w:t>
            </w:r>
            <w:r>
              <w:rPr>
                <w:rFonts w:ascii="Times New Roman" w:cs="Times New Roman" w:eastAsia="Times New Roman" w:hAnsi="Times New Roman"/>
                <w:sz w:val="29"/>
                <w:szCs w:val="29"/>
                <w:color w:val="auto"/>
                <w:vertAlign w:val="subscript"/>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16"/>
        </w:trPr>
        <w:tc>
          <w:tcPr>
            <w:tcW w:w="404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Taxable</w:t>
            </w:r>
          </w:p>
        </w:tc>
        <w:tc>
          <w:tcPr>
            <w:tcW w:w="26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6,476</w:t>
            </w:r>
          </w:p>
        </w:tc>
        <w:tc>
          <w:tcPr>
            <w:tcW w:w="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(5,272)</w:t>
            </w:r>
          </w:p>
        </w:tc>
        <w:tc>
          <w:tcPr>
            <w:tcW w:w="2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1,204</w:t>
            </w:r>
          </w:p>
        </w:tc>
        <w:tc>
          <w:tcPr>
            <w:tcW w:w="24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1,638</w:t>
            </w:r>
          </w:p>
        </w:tc>
        <w:tc>
          <w:tcPr>
            <w:tcW w:w="2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4,032</w:t>
            </w:r>
          </w:p>
        </w:tc>
      </w:tr>
      <w:tr>
        <w:trPr>
          <w:trHeight w:val="257"/>
        </w:trPr>
        <w:tc>
          <w:tcPr>
            <w:tcW w:w="4040" w:type="dxa"/>
            <w:vAlign w:val="bottom"/>
          </w:tcPr>
          <w:p>
            <w:pPr>
              <w:ind w:left="280"/>
              <w:spacing w:after="0" w:line="256" w:lineRule="exact"/>
              <w:rPr>
                <w:sz w:val="20"/>
                <w:szCs w:val="20"/>
                <w:color w:val="auto"/>
              </w:rPr>
            </w:pPr>
            <w:r>
              <w:rPr>
                <w:rFonts w:ascii="Times New Roman" w:cs="Times New Roman" w:eastAsia="Times New Roman" w:hAnsi="Times New Roman"/>
                <w:sz w:val="18"/>
                <w:szCs w:val="18"/>
                <w:color w:val="auto"/>
              </w:rPr>
              <w:t xml:space="preserve">Tax-exempt </w:t>
            </w:r>
            <w:r>
              <w:rPr>
                <w:rFonts w:ascii="Times New Roman" w:cs="Times New Roman" w:eastAsia="Times New Roman" w:hAnsi="Times New Roman"/>
                <w:sz w:val="29"/>
                <w:szCs w:val="29"/>
                <w:b w:val="1"/>
                <w:bCs w:val="1"/>
                <w:color w:val="auto"/>
                <w:vertAlign w:val="superscript"/>
              </w:rPr>
              <w:t>(4)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0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r>
      <w:tr>
        <w:trPr>
          <w:trHeight w:val="216"/>
        </w:trPr>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Taxable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57"/>
        </w:trPr>
        <w:tc>
          <w:tcPr>
            <w:tcW w:w="4040" w:type="dxa"/>
            <w:vAlign w:val="bottom"/>
            <w:shd w:val="clear" w:color="auto" w:fill="B2B2B2"/>
          </w:tcPr>
          <w:p>
            <w:pPr>
              <w:ind w:left="280"/>
              <w:spacing w:after="0" w:line="256" w:lineRule="exact"/>
              <w:rPr>
                <w:sz w:val="20"/>
                <w:szCs w:val="20"/>
                <w:color w:val="auto"/>
              </w:rPr>
            </w:pPr>
            <w:r>
              <w:rPr>
                <w:rFonts w:ascii="Times New Roman" w:cs="Times New Roman" w:eastAsia="Times New Roman" w:hAnsi="Times New Roman"/>
                <w:sz w:val="18"/>
                <w:szCs w:val="18"/>
                <w:color w:val="auto"/>
              </w:rPr>
              <w:t xml:space="preserve">Tax-exempt </w:t>
            </w:r>
            <w:r>
              <w:rPr>
                <w:rFonts w:ascii="Times New Roman" w:cs="Times New Roman" w:eastAsia="Times New Roman" w:hAnsi="Times New Roman"/>
                <w:sz w:val="29"/>
                <w:szCs w:val="29"/>
                <w:b w:val="1"/>
                <w:bCs w:val="1"/>
                <w:color w:val="auto"/>
                <w:vertAlign w:val="superscript"/>
              </w:rPr>
              <w:t>(4)</w:t>
            </w:r>
          </w:p>
        </w:tc>
        <w:tc>
          <w:tcPr>
            <w:tcW w:w="140" w:type="dxa"/>
            <w:vAlign w:val="bottom"/>
            <w:shd w:val="clear" w:color="auto" w:fill="B2B2B2"/>
          </w:tcPr>
          <w:p>
            <w:pPr>
              <w:spacing w:after="0"/>
              <w:rPr>
                <w:sz w:val="22"/>
                <w:szCs w:val="22"/>
                <w:color w:val="auto"/>
              </w:rPr>
            </w:pPr>
          </w:p>
        </w:tc>
        <w:tc>
          <w:tcPr>
            <w:tcW w:w="120" w:type="dxa"/>
            <w:vAlign w:val="bottom"/>
            <w:shd w:val="clear" w:color="auto" w:fill="B2B2B2"/>
          </w:tcPr>
          <w:p>
            <w:pPr>
              <w:spacing w:after="0"/>
              <w:rPr>
                <w:sz w:val="22"/>
                <w:szCs w:val="22"/>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80" w:type="dxa"/>
            <w:vAlign w:val="bottom"/>
            <w:shd w:val="clear" w:color="auto" w:fill="B2B2B2"/>
          </w:tcPr>
          <w:p>
            <w:pPr>
              <w:spacing w:after="0"/>
              <w:rPr>
                <w:sz w:val="22"/>
                <w:szCs w:val="22"/>
                <w:color w:val="auto"/>
              </w:rPr>
            </w:pPr>
          </w:p>
        </w:tc>
        <w:tc>
          <w:tcPr>
            <w:tcW w:w="100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B2B2B2"/>
          </w:tcPr>
          <w:p>
            <w:pPr>
              <w:spacing w:after="0"/>
              <w:rPr>
                <w:sz w:val="22"/>
                <w:szCs w:val="22"/>
                <w:color w:val="auto"/>
              </w:rPr>
            </w:pPr>
          </w:p>
        </w:tc>
        <w:tc>
          <w:tcPr>
            <w:tcW w:w="8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shd w:val="clear" w:color="auto" w:fill="B2B2B2"/>
          </w:tcPr>
          <w:p>
            <w:pPr>
              <w:spacing w:after="0"/>
              <w:rPr>
                <w:sz w:val="22"/>
                <w:szCs w:val="22"/>
                <w:color w:val="auto"/>
              </w:rPr>
            </w:pPr>
          </w:p>
        </w:tc>
        <w:tc>
          <w:tcPr>
            <w:tcW w:w="120" w:type="dxa"/>
            <w:vAlign w:val="bottom"/>
            <w:shd w:val="clear" w:color="auto" w:fill="B2B2B2"/>
          </w:tcPr>
          <w:p>
            <w:pPr>
              <w:spacing w:after="0"/>
              <w:rPr>
                <w:sz w:val="22"/>
                <w:szCs w:val="22"/>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320" w:type="dxa"/>
            <w:vAlign w:val="bottom"/>
            <w:shd w:val="clear" w:color="auto" w:fill="B2B2B2"/>
          </w:tcPr>
          <w:p>
            <w:pPr>
              <w:spacing w:after="0"/>
              <w:rPr>
                <w:sz w:val="22"/>
                <w:szCs w:val="22"/>
                <w:color w:val="auto"/>
              </w:rPr>
            </w:pPr>
          </w:p>
        </w:tc>
        <w:tc>
          <w:tcPr>
            <w:tcW w:w="98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shd w:val="clear" w:color="auto" w:fill="B2B2B2"/>
          </w:tcPr>
          <w:p>
            <w:pPr>
              <w:spacing w:after="0"/>
              <w:rPr>
                <w:sz w:val="22"/>
                <w:szCs w:val="22"/>
                <w:color w:val="auto"/>
              </w:rPr>
            </w:pP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(1,549)</w:t>
            </w:r>
          </w:p>
        </w:tc>
      </w:tr>
      <w:tr>
        <w:trPr>
          <w:trHeight w:val="216"/>
        </w:trPr>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0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Interest-bearing deposits in other financial institutions</w:t>
            </w:r>
          </w:p>
        </w:tc>
        <w:tc>
          <w:tcPr>
            <w:tcW w:w="1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1,086</w:t>
            </w: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(2,818)</w:t>
            </w:r>
          </w:p>
        </w:tc>
        <w:tc>
          <w:tcPr>
            <w:tcW w:w="26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Federal funds sold and other short-term investments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(3,235)</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452</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09"/>
        </w:trPr>
        <w:tc>
          <w:tcPr>
            <w:tcW w:w="40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interest income</w:t>
            </w:r>
          </w:p>
        </w:tc>
        <w:tc>
          <w:tcPr>
            <w:tcW w:w="26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6,342</w:t>
            </w:r>
          </w:p>
        </w:tc>
        <w:tc>
          <w:tcPr>
            <w:tcW w:w="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(11,460)</w:t>
            </w:r>
          </w:p>
        </w:tc>
        <w:tc>
          <w:tcPr>
            <w:tcW w:w="2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24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2,050</w:t>
            </w:r>
          </w:p>
        </w:tc>
        <w:tc>
          <w:tcPr>
            <w:tcW w:w="2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4,346</w:t>
            </w:r>
          </w:p>
        </w:tc>
      </w:tr>
      <w:tr>
        <w:trPr>
          <w:trHeight w:val="210"/>
        </w:trPr>
        <w:tc>
          <w:tcPr>
            <w:tcW w:w="4040" w:type="dxa"/>
            <w:vAlign w:val="bottom"/>
            <w:tcBorders>
              <w:top w:val="single" w:sz="8" w:color="B2B2B2"/>
            </w:tcBorders>
          </w:tcPr>
          <w:p>
            <w:pPr>
              <w:spacing w:after="0"/>
              <w:rPr>
                <w:sz w:val="20"/>
                <w:szCs w:val="20"/>
                <w:color w:val="auto"/>
              </w:rPr>
            </w:pPr>
            <w:r>
              <w:rPr>
                <w:rFonts w:ascii="Times New Roman" w:cs="Times New Roman" w:eastAsia="Times New Roman" w:hAnsi="Times New Roman"/>
                <w:sz w:val="18"/>
                <w:szCs w:val="18"/>
                <w:color w:val="auto"/>
              </w:rPr>
              <w:t>Interest expense on:</w:t>
            </w:r>
          </w:p>
        </w:tc>
        <w:tc>
          <w:tcPr>
            <w:tcW w:w="140" w:type="dxa"/>
            <w:vAlign w:val="bottom"/>
            <w:tcBorders>
              <w:top w:val="single" w:sz="8" w:color="B2B2B2"/>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r>
      <w:tr>
        <w:trPr>
          <w:trHeight w:val="216"/>
        </w:trPr>
        <w:tc>
          <w:tcPr>
            <w:tcW w:w="404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26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828</w:t>
            </w:r>
          </w:p>
        </w:tc>
        <w:tc>
          <w:tcPr>
            <w:tcW w:w="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(3,201)</w:t>
            </w:r>
          </w:p>
        </w:tc>
        <w:tc>
          <w:tcPr>
            <w:tcW w:w="2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4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771</w:t>
            </w:r>
          </w:p>
        </w:tc>
        <w:tc>
          <w:tcPr>
            <w:tcW w:w="2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16"/>
        </w:trPr>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Savings deposits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04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Time deposits &gt;=$250</w:t>
            </w:r>
          </w:p>
        </w:tc>
        <w:tc>
          <w:tcPr>
            <w:tcW w:w="1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time deposits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4040" w:type="dxa"/>
            <w:vAlign w:val="bottom"/>
            <w:tcBorders>
              <w:bottom w:val="single" w:sz="8" w:color="B2B2B2"/>
            </w:tcBorders>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Short-term borrowings</w:t>
            </w:r>
          </w:p>
        </w:tc>
        <w:tc>
          <w:tcPr>
            <w:tcW w:w="14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auto"/>
            </w:tcBorders>
            <w:shd w:val="clear" w:color="auto" w:fill="B2B2B2"/>
          </w:tcPr>
          <w:p>
            <w:pPr>
              <w:spacing w:after="0"/>
              <w:rPr>
                <w:sz w:val="18"/>
                <w:szCs w:val="18"/>
                <w:color w:val="auto"/>
              </w:rPr>
            </w:pPr>
          </w:p>
        </w:tc>
        <w:tc>
          <w:tcPr>
            <w:tcW w:w="7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752</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(3,583)</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1,127</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17"/>
        </w:trPr>
        <w:tc>
          <w:tcPr>
            <w:tcW w:w="4040" w:type="dxa"/>
            <w:vAlign w:val="bottom"/>
            <w:tcBorders>
              <w:bottom w:val="single" w:sz="8" w:color="auto"/>
            </w:tcBorders>
            <w:shd w:val="clear" w:color="auto" w:fill="B2B2B2"/>
          </w:tcPr>
          <w:p>
            <w:pPr>
              <w:spacing w:after="0" w:line="202" w:lineRule="exact"/>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tcBorders>
              <w:bottom w:val="single" w:sz="8" w:color="auto"/>
            </w:tcBorders>
            <w:gridSpan w:val="2"/>
            <w:shd w:val="clear" w:color="auto" w:fill="B2B2B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2B2B2"/>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5,590</w:t>
            </w:r>
          </w:p>
        </w:tc>
        <w:tc>
          <w:tcPr>
            <w:tcW w:w="28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B2B2B2"/>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(7,877)</w:t>
            </w:r>
          </w:p>
        </w:tc>
        <w:tc>
          <w:tcPr>
            <w:tcW w:w="260" w:type="dxa"/>
            <w:vAlign w:val="bottom"/>
            <w:tcBorders>
              <w:bottom w:val="single" w:sz="8" w:color="auto"/>
            </w:tcBorders>
            <w:shd w:val="clear" w:color="auto" w:fill="B2B2B2"/>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(2,287)</w:t>
            </w:r>
          </w:p>
        </w:tc>
        <w:tc>
          <w:tcPr>
            <w:tcW w:w="240" w:type="dxa"/>
            <w:vAlign w:val="bottom"/>
            <w:tcBorders>
              <w:bottom w:val="single" w:sz="8" w:color="auto"/>
            </w:tcBorders>
            <w:gridSpan w:val="2"/>
            <w:shd w:val="clear" w:color="auto" w:fill="B2B2B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1,966</w:t>
            </w:r>
          </w:p>
        </w:tc>
        <w:tc>
          <w:tcPr>
            <w:tcW w:w="32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2B2B2"/>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923</w:t>
            </w:r>
          </w:p>
        </w:tc>
        <w:tc>
          <w:tcPr>
            <w:tcW w:w="24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2,889</w:t>
            </w:r>
          </w:p>
        </w:tc>
      </w:tr>
    </w:tbl>
    <w:p>
      <w:pPr>
        <w:ind w:left="340" w:hanging="332"/>
        <w:spacing w:after="0" w:line="197" w:lineRule="auto"/>
        <w:tabs>
          <w:tab w:leader="none" w:pos="340" w:val="left"/>
        </w:tabs>
        <w:numPr>
          <w:ilvl w:val="0"/>
          <w:numId w:val="10"/>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The change in interest due to the combined rate/volume variance has been allocated in proportion to the absolute dollar amounts of the change in each.</w:t>
      </w:r>
    </w:p>
    <w:p>
      <w:pPr>
        <w:spacing w:after="0" w:line="1" w:lineRule="exact"/>
        <w:rPr>
          <w:rFonts w:ascii="Times New Roman" w:cs="Times New Roman" w:eastAsia="Times New Roman" w:hAnsi="Times New Roman"/>
          <w:sz w:val="30"/>
          <w:szCs w:val="30"/>
          <w:b w:val="1"/>
          <w:bCs w:val="1"/>
          <w:color w:val="auto"/>
          <w:vertAlign w:val="superscript"/>
        </w:rPr>
      </w:pPr>
    </w:p>
    <w:p>
      <w:pPr>
        <w:ind w:left="340" w:hanging="332"/>
        <w:spacing w:after="0" w:line="194" w:lineRule="auto"/>
        <w:tabs>
          <w:tab w:leader="none" w:pos="340" w:val="left"/>
        </w:tabs>
        <w:numPr>
          <w:ilvl w:val="0"/>
          <w:numId w:val="10"/>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5"/>
          <w:szCs w:val="15"/>
          <w:color w:val="auto"/>
        </w:rPr>
        <w:t>Average balances include nonaccrual loans.</w:t>
      </w:r>
    </w:p>
    <w:p>
      <w:pPr>
        <w:spacing w:after="0" w:line="2" w:lineRule="exact"/>
        <w:rPr>
          <w:rFonts w:ascii="Times New Roman" w:cs="Times New Roman" w:eastAsia="Times New Roman" w:hAnsi="Times New Roman"/>
          <w:sz w:val="23"/>
          <w:szCs w:val="23"/>
          <w:b w:val="1"/>
          <w:bCs w:val="1"/>
          <w:color w:val="auto"/>
          <w:vertAlign w:val="superscript"/>
        </w:rPr>
      </w:pPr>
    </w:p>
    <w:p>
      <w:pPr>
        <w:ind w:left="340" w:hanging="332"/>
        <w:spacing w:after="0" w:line="194" w:lineRule="auto"/>
        <w:tabs>
          <w:tab w:leader="none" w:pos="340" w:val="left"/>
        </w:tabs>
        <w:numPr>
          <w:ilvl w:val="0"/>
          <w:numId w:val="10"/>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5"/>
          <w:szCs w:val="15"/>
          <w:color w:val="auto"/>
        </w:rPr>
        <w:t>Interest income includes net loan fees.</w:t>
      </w:r>
    </w:p>
    <w:p>
      <w:pPr>
        <w:spacing w:after="0" w:line="2" w:lineRule="exact"/>
        <w:rPr>
          <w:rFonts w:ascii="Times New Roman" w:cs="Times New Roman" w:eastAsia="Times New Roman" w:hAnsi="Times New Roman"/>
          <w:sz w:val="23"/>
          <w:szCs w:val="23"/>
          <w:b w:val="1"/>
          <w:bCs w:val="1"/>
          <w:color w:val="auto"/>
          <w:vertAlign w:val="superscript"/>
        </w:rPr>
      </w:pPr>
    </w:p>
    <w:p>
      <w:pPr>
        <w:ind w:left="340" w:hanging="332"/>
        <w:spacing w:after="0" w:line="194" w:lineRule="auto"/>
        <w:tabs>
          <w:tab w:leader="none" w:pos="340" w:val="left"/>
        </w:tabs>
        <w:numPr>
          <w:ilvl w:val="0"/>
          <w:numId w:val="10"/>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5"/>
          <w:szCs w:val="15"/>
          <w:color w:val="auto"/>
        </w:rPr>
        <w:t>Interest income is presented on a tax-equivalent basis assuming a tax rate of 21% in 2020, 2019 and 2018.</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Portfolio</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earned on the loan portfolio is a primary source of income for the Company. The loan portfolio was $891,676,000 representing 40% of the Company's total assets as of December 31, 2020 and generated $37,665,000 in revenue during the year then ended. The following tables show the composition of the loan portfolio at the end of the periods indicated and remaining maturities for loans as of December 31,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 by Type</w:t>
            </w:r>
          </w:p>
        </w:tc>
        <w:tc>
          <w:tcPr>
            <w:tcW w:w="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940" w:type="dxa"/>
            <w:vAlign w:val="bottom"/>
            <w:gridSpan w:val="2"/>
            <w:shd w:val="clear" w:color="auto" w:fill="B2B2B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298,984</w:t>
            </w:r>
          </w:p>
        </w:tc>
        <w:tc>
          <w:tcPr>
            <w:tcW w:w="5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323,857</w:t>
            </w:r>
          </w:p>
        </w:tc>
        <w:tc>
          <w:tcPr>
            <w:tcW w:w="44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277,091</w:t>
            </w:r>
          </w:p>
        </w:tc>
        <w:tc>
          <w:tcPr>
            <w:tcW w:w="40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236,394</w:t>
            </w:r>
          </w:p>
        </w:tc>
        <w:tc>
          <w:tcPr>
            <w:tcW w:w="3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214,767</w:t>
            </w:r>
          </w:p>
        </w:tc>
        <w:tc>
          <w:tcPr>
            <w:tcW w:w="2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Real estate (commercial and faith-based):</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Mortgage</w:t>
            </w:r>
          </w:p>
        </w:tc>
        <w:tc>
          <w:tcPr>
            <w:tcW w:w="7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434,080</w:t>
            </w:r>
          </w:p>
        </w:tc>
        <w:tc>
          <w:tcPr>
            <w:tcW w:w="56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407,480</w:t>
            </w:r>
          </w:p>
        </w:tc>
        <w:tc>
          <w:tcPr>
            <w:tcW w:w="44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411,752</w:t>
            </w:r>
          </w:p>
        </w:tc>
        <w:tc>
          <w:tcPr>
            <w:tcW w:w="4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410,748</w:t>
            </w:r>
          </w:p>
        </w:tc>
        <w:tc>
          <w:tcPr>
            <w:tcW w:w="360" w:type="dxa"/>
            <w:vAlign w:val="bottom"/>
            <w:shd w:val="clear" w:color="auto" w:fill="B2B2B2"/>
          </w:tcPr>
          <w:p>
            <w:pPr>
              <w:spacing w:after="0"/>
              <w:rPr>
                <w:sz w:val="18"/>
                <w:szCs w:val="18"/>
                <w:color w:val="auto"/>
              </w:rPr>
            </w:pPr>
          </w:p>
        </w:tc>
        <w:tc>
          <w:tcPr>
            <w:tcW w:w="80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425,947</w:t>
            </w:r>
          </w:p>
        </w:tc>
        <w:tc>
          <w:tcPr>
            <w:tcW w:w="20" w:type="dxa"/>
            <w:vAlign w:val="bottom"/>
          </w:tcPr>
          <w:p>
            <w:pPr>
              <w:spacing w:after="0"/>
              <w:rPr>
                <w:sz w:val="18"/>
                <w:szCs w:val="18"/>
                <w:color w:val="auto"/>
              </w:rPr>
            </w:pPr>
          </w:p>
        </w:tc>
      </w:tr>
      <w:tr>
        <w:trPr>
          <w:trHeight w:val="216"/>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Construction</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48,908</w:t>
            </w:r>
          </w:p>
        </w:tc>
        <w:tc>
          <w:tcPr>
            <w:tcW w:w="5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41,244</w:t>
            </w:r>
          </w:p>
        </w:tc>
        <w:tc>
          <w:tcPr>
            <w:tcW w:w="44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32,434</w:t>
            </w:r>
          </w:p>
        </w:tc>
        <w:tc>
          <w:tcPr>
            <w:tcW w:w="4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35,307</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17,477</w:t>
            </w:r>
          </w:p>
        </w:tc>
        <w:tc>
          <w:tcPr>
            <w:tcW w:w="20" w:type="dxa"/>
            <w:vAlign w:val="bottom"/>
          </w:tcPr>
          <w:p>
            <w:pPr>
              <w:spacing w:after="0"/>
              <w:rPr>
                <w:sz w:val="18"/>
                <w:szCs w:val="18"/>
                <w:color w:val="auto"/>
              </w:rPr>
            </w:pPr>
          </w:p>
        </w:tc>
      </w:tr>
      <w:tr>
        <w:trPr>
          <w:trHeight w:val="216"/>
        </w:trPr>
        <w:tc>
          <w:tcPr>
            <w:tcW w:w="37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PPP</w:t>
            </w:r>
          </w:p>
        </w:tc>
        <w:tc>
          <w:tcPr>
            <w:tcW w:w="7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109,704</w:t>
            </w:r>
          </w:p>
        </w:tc>
        <w:tc>
          <w:tcPr>
            <w:tcW w:w="56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2B2B2"/>
          </w:tcPr>
          <w:p>
            <w:pPr>
              <w:spacing w:after="0"/>
              <w:rPr>
                <w:sz w:val="18"/>
                <w:szCs w:val="18"/>
                <w:color w:val="auto"/>
              </w:rPr>
            </w:pPr>
          </w:p>
        </w:tc>
        <w:tc>
          <w:tcPr>
            <w:tcW w:w="80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Industrial Revenue Bond</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3,374</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20" w:type="dxa"/>
            <w:vAlign w:val="bottom"/>
          </w:tcPr>
          <w:p>
            <w:pPr>
              <w:spacing w:after="0"/>
              <w:rPr>
                <w:sz w:val="18"/>
                <w:szCs w:val="18"/>
                <w:color w:val="auto"/>
              </w:rPr>
            </w:pPr>
          </w:p>
        </w:tc>
      </w:tr>
      <w:tr>
        <w:trPr>
          <w:trHeight w:val="216"/>
        </w:trPr>
        <w:tc>
          <w:tcPr>
            <w:tcW w:w="370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auto"/>
            </w:tcBorders>
            <w:shd w:val="clear" w:color="auto" w:fill="B2B2B2"/>
          </w:tcPr>
          <w:p>
            <w:pPr>
              <w:spacing w:after="0"/>
              <w:rPr>
                <w:sz w:val="18"/>
                <w:szCs w:val="18"/>
                <w:color w:val="auto"/>
              </w:rPr>
            </w:pPr>
          </w:p>
        </w:tc>
        <w:tc>
          <w:tcPr>
            <w:tcW w:w="24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c>
          <w:tcPr>
            <w:tcW w:w="44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310</w:t>
            </w:r>
          </w:p>
        </w:tc>
        <w:tc>
          <w:tcPr>
            <w:tcW w:w="40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408</w:t>
            </w:r>
          </w:p>
        </w:tc>
        <w:tc>
          <w:tcPr>
            <w:tcW w:w="36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r>
      <w:tr>
        <w:trPr>
          <w:trHeight w:val="216"/>
        </w:trPr>
        <w:tc>
          <w:tcPr>
            <w:tcW w:w="37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Total loans</w:t>
            </w:r>
          </w:p>
        </w:tc>
        <w:tc>
          <w:tcPr>
            <w:tcW w:w="940" w:type="dxa"/>
            <w:vAlign w:val="bottom"/>
            <w:tcBorders>
              <w:bottom w:val="single" w:sz="8" w:color="auto"/>
            </w:tcBorders>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891,676</w:t>
            </w:r>
          </w:p>
        </w:tc>
        <w:tc>
          <w:tcPr>
            <w:tcW w:w="5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772,638</w:t>
            </w:r>
          </w:p>
        </w:tc>
        <w:tc>
          <w:tcPr>
            <w:tcW w:w="44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721,587</w:t>
            </w:r>
          </w:p>
        </w:tc>
        <w:tc>
          <w:tcPr>
            <w:tcW w:w="40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686,231</w:t>
            </w:r>
          </w:p>
        </w:tc>
        <w:tc>
          <w:tcPr>
            <w:tcW w:w="3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664,866</w:t>
            </w:r>
          </w:p>
        </w:tc>
        <w:tc>
          <w:tcPr>
            <w:tcW w:w="20" w:type="dxa"/>
            <w:vAlign w:val="bottom"/>
          </w:tcPr>
          <w:p>
            <w:pPr>
              <w:spacing w:after="0"/>
              <w:rPr>
                <w:sz w:val="18"/>
                <w:szCs w:val="18"/>
                <w:color w:val="auto"/>
              </w:rPr>
            </w:pPr>
          </w:p>
        </w:tc>
      </w:tr>
      <w:tr>
        <w:trPr>
          <w:trHeight w:val="432"/>
        </w:trPr>
        <w:tc>
          <w:tcPr>
            <w:tcW w:w="3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25</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700" w:type="dxa"/>
            <w:vAlign w:val="bottom"/>
            <w:tcBorders>
              <w:bottom w:val="single" w:sz="8" w:color="EEEEEE"/>
            </w:tcBorders>
          </w:tcPr>
          <w:p>
            <w:pPr>
              <w:spacing w:after="0"/>
              <w:rPr>
                <w:sz w:val="18"/>
                <w:szCs w:val="18"/>
                <w:color w:val="auto"/>
              </w:rPr>
            </w:pPr>
          </w:p>
        </w:tc>
        <w:tc>
          <w:tcPr>
            <w:tcW w:w="70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900" w:type="dxa"/>
            <w:vAlign w:val="bottom"/>
            <w:tcBorders>
              <w:bottom w:val="single" w:sz="8" w:color="EEEEEE"/>
            </w:tcBorders>
          </w:tcPr>
          <w:p>
            <w:pPr>
              <w:spacing w:after="0"/>
              <w:rPr>
                <w:sz w:val="18"/>
                <w:szCs w:val="18"/>
                <w:color w:val="auto"/>
              </w:rPr>
            </w:pPr>
          </w:p>
        </w:tc>
        <w:tc>
          <w:tcPr>
            <w:tcW w:w="560" w:type="dxa"/>
            <w:vAlign w:val="bottom"/>
            <w:tcBorders>
              <w:bottom w:val="single" w:sz="8" w:color="EEEEEE"/>
            </w:tcBorders>
          </w:tcPr>
          <w:p>
            <w:pPr>
              <w:spacing w:after="0"/>
              <w:rPr>
                <w:sz w:val="18"/>
                <w:szCs w:val="18"/>
                <w:color w:val="auto"/>
              </w:rPr>
            </w:pPr>
          </w:p>
        </w:tc>
        <w:tc>
          <w:tcPr>
            <w:tcW w:w="1040" w:type="dxa"/>
            <w:vAlign w:val="bottom"/>
            <w:tcBorders>
              <w:bottom w:val="single" w:sz="8" w:color="EEEEEE"/>
            </w:tcBorders>
          </w:tcPr>
          <w:p>
            <w:pPr>
              <w:spacing w:after="0"/>
              <w:rPr>
                <w:sz w:val="18"/>
                <w:szCs w:val="18"/>
                <w:color w:val="auto"/>
              </w:rPr>
            </w:pPr>
          </w:p>
        </w:tc>
        <w:tc>
          <w:tcPr>
            <w:tcW w:w="440" w:type="dxa"/>
            <w:vAlign w:val="bottom"/>
            <w:tcBorders>
              <w:bottom w:val="single" w:sz="8" w:color="EEEEEE"/>
            </w:tcBorders>
          </w:tcPr>
          <w:p>
            <w:pPr>
              <w:spacing w:after="0"/>
              <w:rPr>
                <w:sz w:val="18"/>
                <w:szCs w:val="18"/>
                <w:color w:val="auto"/>
              </w:rPr>
            </w:pPr>
          </w:p>
        </w:tc>
        <w:tc>
          <w:tcPr>
            <w:tcW w:w="1060" w:type="dxa"/>
            <w:vAlign w:val="bottom"/>
            <w:tcBorders>
              <w:bottom w:val="single" w:sz="8" w:color="EEEEEE"/>
            </w:tcBorders>
          </w:tcPr>
          <w:p>
            <w:pPr>
              <w:spacing w:after="0"/>
              <w:rPr>
                <w:sz w:val="18"/>
                <w:szCs w:val="18"/>
                <w:color w:val="auto"/>
              </w:rPr>
            </w:pPr>
          </w:p>
        </w:tc>
        <w:tc>
          <w:tcPr>
            <w:tcW w:w="400" w:type="dxa"/>
            <w:vAlign w:val="bottom"/>
            <w:tcBorders>
              <w:bottom w:val="single" w:sz="8" w:color="EEEEEE"/>
            </w:tcBorders>
          </w:tcPr>
          <w:p>
            <w:pPr>
              <w:spacing w:after="0"/>
              <w:rPr>
                <w:sz w:val="18"/>
                <w:szCs w:val="18"/>
                <w:color w:val="auto"/>
              </w:rPr>
            </w:pPr>
          </w:p>
        </w:tc>
        <w:tc>
          <w:tcPr>
            <w:tcW w:w="1040" w:type="dxa"/>
            <w:vAlign w:val="bottom"/>
            <w:tcBorders>
              <w:bottom w:val="single" w:sz="8" w:color="EEEEEE"/>
            </w:tcBorders>
          </w:tcPr>
          <w:p>
            <w:pPr>
              <w:spacing w:after="0"/>
              <w:rPr>
                <w:sz w:val="18"/>
                <w:szCs w:val="18"/>
                <w:color w:val="auto"/>
              </w:rPr>
            </w:pPr>
          </w:p>
        </w:tc>
        <w:tc>
          <w:tcPr>
            <w:tcW w:w="360" w:type="dxa"/>
            <w:vAlign w:val="bottom"/>
            <w:tcBorders>
              <w:bottom w:val="single" w:sz="8" w:color="EEEEEE"/>
            </w:tcBorders>
          </w:tcPr>
          <w:p>
            <w:pPr>
              <w:spacing w:after="0"/>
              <w:rPr>
                <w:sz w:val="18"/>
                <w:szCs w:val="18"/>
                <w:color w:val="auto"/>
              </w:rPr>
            </w:pPr>
          </w:p>
        </w:tc>
        <w:tc>
          <w:tcPr>
            <w:tcW w:w="7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 by Maturity as of December 31, 2020</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9"/>
        </w:trPr>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20" w:type="dxa"/>
            <w:vAlign w:val="bottom"/>
          </w:tcPr>
          <w:p>
            <w:pPr>
              <w:spacing w:after="0"/>
              <w:rPr>
                <w:sz w:val="24"/>
                <w:szCs w:val="24"/>
                <w:color w:val="auto"/>
              </w:rPr>
            </w:pPr>
          </w:p>
        </w:tc>
        <w:tc>
          <w:tcPr>
            <w:tcW w:w="19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Over 1 Year</w:t>
            </w:r>
          </w:p>
        </w:tc>
        <w:tc>
          <w:tcPr>
            <w:tcW w:w="220" w:type="dxa"/>
            <w:vAlign w:val="bottom"/>
          </w:tcPr>
          <w:p>
            <w:pPr>
              <w:spacing w:after="0"/>
              <w:rPr>
                <w:sz w:val="24"/>
                <w:szCs w:val="24"/>
                <w:color w:val="auto"/>
              </w:rPr>
            </w:pPr>
          </w:p>
        </w:tc>
        <w:tc>
          <w:tcPr>
            <w:tcW w:w="18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Over</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8"/>
        </w:trPr>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220" w:type="dxa"/>
            <w:vAlign w:val="bottom"/>
          </w:tcPr>
          <w:p>
            <w:pPr>
              <w:spacing w:after="0"/>
              <w:rPr>
                <w:sz w:val="20"/>
                <w:szCs w:val="20"/>
                <w:color w:val="auto"/>
              </w:rPr>
            </w:pPr>
          </w:p>
        </w:tc>
        <w:tc>
          <w:tcPr>
            <w:tcW w:w="19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Through 5 Years</w:t>
            </w:r>
          </w:p>
        </w:tc>
        <w:tc>
          <w:tcPr>
            <w:tcW w:w="220" w:type="dxa"/>
            <w:vAlign w:val="bottom"/>
          </w:tcPr>
          <w:p>
            <w:pPr>
              <w:spacing w:after="0"/>
              <w:rPr>
                <w:sz w:val="20"/>
                <w:szCs w:val="20"/>
                <w:color w:val="auto"/>
              </w:rPr>
            </w:pPr>
          </w:p>
        </w:tc>
        <w:tc>
          <w:tcPr>
            <w:tcW w:w="18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5 Years</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96"/>
        </w:trPr>
        <w:tc>
          <w:tcPr>
            <w:tcW w:w="37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b w:val="1"/>
                <w:bCs w:val="1"/>
                <w:color w:val="auto"/>
              </w:rPr>
              <w:t>Fixed</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b w:val="1"/>
                <w:bCs w:val="1"/>
                <w:color w:val="auto"/>
              </w:rPr>
              <w:t>Floating</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b w:val="1"/>
                <w:bCs w:val="1"/>
                <w:color w:val="auto"/>
              </w:rPr>
              <w:t>Fixed</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b w:val="1"/>
                <w:bCs w:val="1"/>
                <w:color w:val="auto"/>
              </w:rPr>
              <w:t>Floating</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b w:val="1"/>
                <w:bCs w:val="1"/>
                <w:color w:val="auto"/>
              </w:rPr>
              <w:t>Fixed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99"/>
              </w:rPr>
              <w:t>Floating</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7"/>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Rate </w:t>
            </w:r>
            <w:r>
              <w:rPr>
                <w:rFonts w:ascii="Times New Roman" w:cs="Times New Roman" w:eastAsia="Times New Roman" w:hAnsi="Times New Roman"/>
                <w:sz w:val="29"/>
                <w:szCs w:val="29"/>
                <w:b w:val="1"/>
                <w:bCs w:val="1"/>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7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Rate </w:t>
            </w:r>
            <w:r>
              <w:rPr>
                <w:rFonts w:ascii="Times New Roman" w:cs="Times New Roman" w:eastAsia="Times New Roman" w:hAnsi="Times New Roman"/>
                <w:sz w:val="29"/>
                <w:szCs w:val="29"/>
                <w:b w:val="1"/>
                <w:bCs w:val="1"/>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right="180"/>
              <w:spacing w:after="0" w:line="270" w:lineRule="exact"/>
              <w:rPr>
                <w:sz w:val="20"/>
                <w:szCs w:val="20"/>
                <w:color w:val="auto"/>
              </w:rPr>
            </w:pPr>
            <w:r>
              <w:rPr>
                <w:rFonts w:ascii="Times New Roman" w:cs="Times New Roman" w:eastAsia="Times New Roman" w:hAnsi="Times New Roman"/>
                <w:sz w:val="18"/>
                <w:szCs w:val="18"/>
                <w:b w:val="1"/>
                <w:bCs w:val="1"/>
                <w:color w:val="auto"/>
                <w:w w:val="91"/>
              </w:rPr>
              <w:t xml:space="preserve">Rate </w:t>
            </w:r>
            <w:r>
              <w:rPr>
                <w:rFonts w:ascii="Times New Roman" w:cs="Times New Roman" w:eastAsia="Times New Roman" w:hAnsi="Times New Roman"/>
                <w:sz w:val="29"/>
                <w:szCs w:val="29"/>
                <w:b w:val="1"/>
                <w:bCs w:val="1"/>
                <w:color w:val="auto"/>
                <w:w w:val="91"/>
                <w:vertAlign w:val="superscript"/>
              </w:rPr>
              <w:t>(1)</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7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33,534</w:t>
            </w:r>
          </w:p>
        </w:tc>
        <w:tc>
          <w:tcPr>
            <w:tcW w:w="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80,035</w:t>
            </w:r>
          </w:p>
        </w:tc>
        <w:tc>
          <w:tcPr>
            <w:tcW w:w="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93,495</w:t>
            </w:r>
          </w:p>
        </w:tc>
        <w:tc>
          <w:tcPr>
            <w:tcW w:w="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66,226</w:t>
            </w:r>
          </w:p>
        </w:tc>
        <w:tc>
          <w:tcPr>
            <w:tcW w:w="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17,772</w:t>
            </w:r>
          </w:p>
        </w:tc>
        <w:tc>
          <w:tcPr>
            <w:tcW w:w="2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298,984</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72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Mortgage</w:t>
            </w:r>
          </w:p>
        </w:tc>
        <w:tc>
          <w:tcPr>
            <w:tcW w:w="2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2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22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320,700</w:t>
            </w:r>
          </w:p>
        </w:tc>
        <w:tc>
          <w:tcPr>
            <w:tcW w:w="18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12,103</w:t>
            </w:r>
          </w:p>
        </w:tc>
        <w:tc>
          <w:tcPr>
            <w:tcW w:w="22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51,475</w:t>
            </w:r>
          </w:p>
        </w:tc>
        <w:tc>
          <w:tcPr>
            <w:tcW w:w="180" w:type="dxa"/>
            <w:vAlign w:val="bottom"/>
            <w:shd w:val="clear" w:color="auto" w:fill="B2B2B2"/>
          </w:tcPr>
          <w:p>
            <w:pPr>
              <w:spacing w:after="0"/>
              <w:rPr>
                <w:sz w:val="18"/>
                <w:szCs w:val="18"/>
                <w:color w:val="auto"/>
              </w:rPr>
            </w:pPr>
          </w:p>
        </w:tc>
        <w:tc>
          <w:tcPr>
            <w:tcW w:w="92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13,485</w:t>
            </w:r>
          </w:p>
        </w:tc>
        <w:tc>
          <w:tcPr>
            <w:tcW w:w="26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434,080</w:t>
            </w:r>
          </w:p>
        </w:tc>
      </w:tr>
      <w:tr>
        <w:trPr>
          <w:trHeight w:val="216"/>
        </w:trPr>
        <w:tc>
          <w:tcPr>
            <w:tcW w:w="3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Construction</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48,908</w:t>
            </w:r>
          </w:p>
        </w:tc>
      </w:tr>
      <w:tr>
        <w:trPr>
          <w:trHeight w:val="216"/>
        </w:trPr>
        <w:tc>
          <w:tcPr>
            <w:tcW w:w="372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PPP</w:t>
            </w:r>
          </w:p>
        </w:tc>
        <w:tc>
          <w:tcPr>
            <w:tcW w:w="28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109,694</w:t>
            </w:r>
          </w:p>
        </w:tc>
        <w:tc>
          <w:tcPr>
            <w:tcW w:w="18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B2B2B2"/>
          </w:tcPr>
          <w:p>
            <w:pPr>
              <w:spacing w:after="0"/>
              <w:rPr>
                <w:sz w:val="18"/>
                <w:szCs w:val="18"/>
                <w:color w:val="auto"/>
              </w:rPr>
            </w:pPr>
          </w:p>
        </w:tc>
        <w:tc>
          <w:tcPr>
            <w:tcW w:w="7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109,704</w:t>
            </w:r>
          </w:p>
        </w:tc>
      </w:tr>
      <w:tr>
        <w:trPr>
          <w:trHeight w:val="217"/>
        </w:trPr>
        <w:tc>
          <w:tcPr>
            <w:tcW w:w="37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Total loans</w:t>
            </w:r>
          </w:p>
        </w:tc>
        <w:tc>
          <w:tcPr>
            <w:tcW w:w="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85,294</w:t>
            </w: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100,499</w:t>
            </w:r>
          </w:p>
        </w:tc>
        <w:tc>
          <w:tcPr>
            <w:tcW w:w="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524,878</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31,410</w:t>
            </w:r>
          </w:p>
        </w:tc>
        <w:tc>
          <w:tcPr>
            <w:tcW w:w="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117,701</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31,894</w:t>
            </w:r>
          </w:p>
        </w:tc>
        <w:tc>
          <w:tcPr>
            <w:tcW w:w="2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891,676</w:t>
            </w:r>
          </w:p>
        </w:tc>
      </w:tr>
    </w:tbl>
    <w:p>
      <w:pPr>
        <w:ind w:left="340" w:hanging="332"/>
        <w:spacing w:after="0" w:line="206" w:lineRule="auto"/>
        <w:tabs>
          <w:tab w:leader="none" w:pos="340" w:val="left"/>
        </w:tabs>
        <w:numPr>
          <w:ilvl w:val="0"/>
          <w:numId w:val="11"/>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Loans have been classified as having "floating" interest rates if the rate specified in the loan varies with the prime commercial rate of interest.</w:t>
      </w:r>
    </w:p>
    <w:p>
      <w:pPr>
        <w:spacing w:after="0" w:line="3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 concentrations of loans exceeding 10% of total loans, which are not otherwise disclosed in the loan portfolio composition table and as are discussed in Item 8, Note 4, of this report. As can be seen in the loan composition table above and as discussed in Item 8, Note 4, the Company's primary market niche for banking services is privately held businesses, franchises, and faith-based ministries.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to commercial entities are generally secured by the business assets of the borrower, including accounts receivable, inventory, machinery and equipment, and the real estate from which the borrower operates. Operating lines of credit to these companies generally are secured by accounts receivable and inventory, with specific percentages of each determined on a customer-by-customer basis based on various factors including the type of business. Intermediate term credit for machinery and equipment is generally provided at some percentage of the value of the equipment purchased, depending on the type of machinery or equipment purchased by the entity. Loans secured exclusively by real estate to businesses and faith-based ministries are generally made with a maximum 80% loan to value ratio, depending upon the Company's estimate of the resale value and ability of the property to generate cash. The Company's loan policy requires an independent appraisal for all loans over $500,000 secured by real estate. Company management monitors the local economy in an attempt to determine whether it has had a significant deteriorating effect on such real estate loans. When problems are identified, appraised values are updated on a continual basis, either internally or through an updated external appraisal.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increased $119,038,000, or 15%, to $891,676,000 during the year-ended December 31, 2020 compared to December 31, 2019, largely due to the funding of PPP loans in addition to organic loan growth. Additional details regarding the types and maturities of loans in the loan portfolio are contained in the tables above and in Item 8, Note 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and Allowance for Credit Losses on Loans and Allowance for Unfunded Commitments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recorded a provision for credit/loan losses and off-balance sheet credit exposures of $810,000 in 2020 and $250,000 in 2019. There was no provision for loan losses in 2018. The amount of the provisions for credit losses was derived from the Company’s quarterly Current Expected Credit Loss (“CECL”) model. The amount of the provision will fluctuate as determined by these quarterly analyses. The Company had net loan recoveries of $20,000 and $81,000 in 2020 and 2019, respectively. The ACL was $11,944,000 at December 31, 2020 compared to an allowance for loan losses (“ALLL”) of $10,556,000 at December 31, 2019. The ACL represented 1.34% of outstanding loans at year-end 2020 and the ALLL represented 1.37% of outstanding loans at year-end 2019. Excluding PPP loans, the ACL represented 1.53% of total loans at December 31, 2020. The allowance for unfunded commitments was $567,000 at December 31, 2020 and there was no allowance for unfunded commitments at December 31, 2019. There were no nonperforming loans outstanding at December 31, 2020, 2019 or 2018.</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ACL has been established and is maintained to estimate the lifetime credit losses inherent in the loan portfolio. An ongoing assessment is performed to determine if the balance is adequate. Charges or credits are made to expense based on changes in the economic forecast, qualitative risk factors, loan volume, and individual loans. For loans that are individually evaluated, the Company uses two impairment measurement methods: 1) the present value of expected future cash flows and 2) collateral value.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utilizes ratio analysis to evaluate the overall reasonableness of the ACL compared to its peers and required levels of regulatory capital. 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schedule summarizes activity in the ACL and the allocation of the allowance to the Company’s loan categories.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of Credit Loss Experience</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16"/>
        </w:trPr>
        <w:tc>
          <w:tcPr>
            <w:tcW w:w="3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Allowance at beginning of year</w:t>
            </w:r>
          </w:p>
        </w:tc>
        <w:tc>
          <w:tcPr>
            <w:tcW w:w="2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11,279</w:t>
            </w:r>
          </w:p>
        </w:tc>
        <w:tc>
          <w:tcPr>
            <w:tcW w:w="4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10,225</w:t>
            </w:r>
          </w:p>
        </w:tc>
        <w:tc>
          <w:tcPr>
            <w:tcW w:w="46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10,205</w:t>
            </w:r>
          </w:p>
        </w:tc>
        <w:tc>
          <w:tcPr>
            <w:tcW w:w="4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10,175</w:t>
            </w:r>
          </w:p>
        </w:tc>
        <w:tc>
          <w:tcPr>
            <w:tcW w:w="50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11,635</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Loans charged-off:</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 estate (commercial and faith-based):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Construction</w:t>
            </w:r>
          </w:p>
        </w:tc>
        <w:tc>
          <w:tcPr>
            <w:tcW w:w="20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Borders>
              <w:bottom w:val="single" w:sz="8" w:color="auto"/>
            </w:tcBorders>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loans charged-off</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Recoveries of loans previously charged-off:</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81</w:t>
            </w:r>
          </w:p>
        </w:tc>
        <w:tc>
          <w:tcPr>
            <w:tcW w:w="46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76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Real estate (commercial and faith-based):</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760" w:type="dxa"/>
            <w:vAlign w:val="bottom"/>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Construction</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recoveries of loans previously charged-off</w:t>
            </w:r>
          </w:p>
        </w:tc>
        <w:tc>
          <w:tcPr>
            <w:tcW w:w="20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81</w:t>
            </w:r>
          </w:p>
        </w:tc>
        <w:tc>
          <w:tcPr>
            <w:tcW w:w="46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loans recovered</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(81)</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Provision charged (credited) to expense</w:t>
            </w:r>
          </w:p>
        </w:tc>
        <w:tc>
          <w:tcPr>
            <w:tcW w:w="20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645</w:t>
            </w:r>
          </w:p>
        </w:tc>
        <w:tc>
          <w:tcPr>
            <w:tcW w:w="40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250</w:t>
            </w:r>
          </w:p>
        </w:tc>
        <w:tc>
          <w:tcPr>
            <w:tcW w:w="46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Allowance at end of year</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11,944</w:t>
            </w: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10,556</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10,225</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10,205</w:t>
            </w:r>
          </w:p>
        </w:tc>
        <w:tc>
          <w:tcPr>
            <w:tcW w:w="5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10,175</w:t>
            </w:r>
          </w:p>
        </w:tc>
        <w:tc>
          <w:tcPr>
            <w:tcW w:w="0" w:type="dxa"/>
            <w:vAlign w:val="bottom"/>
          </w:tcPr>
          <w:p>
            <w:pPr>
              <w:spacing w:after="0"/>
              <w:rPr>
                <w:sz w:val="1"/>
                <w:szCs w:val="1"/>
                <w:color w:val="auto"/>
              </w:rPr>
            </w:pPr>
          </w:p>
        </w:tc>
      </w:tr>
      <w:tr>
        <w:trPr>
          <w:trHeight w:val="191"/>
        </w:trPr>
        <w:tc>
          <w:tcPr>
            <w:tcW w:w="3760" w:type="dxa"/>
            <w:vAlign w:val="bottom"/>
            <w:shd w:val="clear" w:color="auto" w:fill="B2B2B2"/>
          </w:tcPr>
          <w:p>
            <w:pPr>
              <w:spacing w:after="0" w:line="191" w:lineRule="exact"/>
              <w:rPr>
                <w:sz w:val="20"/>
                <w:szCs w:val="20"/>
                <w:color w:val="auto"/>
              </w:rPr>
            </w:pPr>
            <w:r>
              <w:rPr>
                <w:rFonts w:ascii="Times New Roman" w:cs="Times New Roman" w:eastAsia="Times New Roman" w:hAnsi="Times New Roman"/>
                <w:sz w:val="18"/>
                <w:szCs w:val="18"/>
                <w:color w:val="auto"/>
              </w:rPr>
              <w:t>Cumulative effect of accounting change (ASU</w:t>
            </w:r>
          </w:p>
        </w:tc>
        <w:tc>
          <w:tcPr>
            <w:tcW w:w="200" w:type="dxa"/>
            <w:vAlign w:val="bottom"/>
            <w:shd w:val="clear" w:color="auto" w:fill="B2B2B2"/>
          </w:tcPr>
          <w:p>
            <w:pPr>
              <w:spacing w:after="0"/>
              <w:rPr>
                <w:sz w:val="16"/>
                <w:szCs w:val="16"/>
                <w:color w:val="auto"/>
              </w:rPr>
            </w:pPr>
          </w:p>
        </w:tc>
        <w:tc>
          <w:tcPr>
            <w:tcW w:w="1120" w:type="dxa"/>
            <w:vAlign w:val="bottom"/>
            <w:shd w:val="clear" w:color="auto" w:fill="B2B2B2"/>
          </w:tcPr>
          <w:p>
            <w:pPr>
              <w:spacing w:after="0"/>
              <w:rPr>
                <w:sz w:val="16"/>
                <w:szCs w:val="16"/>
                <w:color w:val="auto"/>
              </w:rPr>
            </w:pPr>
          </w:p>
        </w:tc>
        <w:tc>
          <w:tcPr>
            <w:tcW w:w="400" w:type="dxa"/>
            <w:vAlign w:val="bottom"/>
            <w:shd w:val="clear" w:color="auto" w:fill="B2B2B2"/>
          </w:tcPr>
          <w:p>
            <w:pPr>
              <w:spacing w:after="0"/>
              <w:rPr>
                <w:sz w:val="16"/>
                <w:szCs w:val="16"/>
                <w:color w:val="auto"/>
              </w:rPr>
            </w:pPr>
          </w:p>
        </w:tc>
        <w:tc>
          <w:tcPr>
            <w:tcW w:w="1140" w:type="dxa"/>
            <w:vAlign w:val="bottom"/>
            <w:shd w:val="clear" w:color="auto" w:fill="B2B2B2"/>
          </w:tcPr>
          <w:p>
            <w:pPr>
              <w:spacing w:after="0"/>
              <w:rPr>
                <w:sz w:val="16"/>
                <w:szCs w:val="16"/>
                <w:color w:val="auto"/>
              </w:rPr>
            </w:pPr>
          </w:p>
        </w:tc>
        <w:tc>
          <w:tcPr>
            <w:tcW w:w="460" w:type="dxa"/>
            <w:vAlign w:val="bottom"/>
            <w:shd w:val="clear" w:color="auto" w:fill="B2B2B2"/>
          </w:tcPr>
          <w:p>
            <w:pPr>
              <w:spacing w:after="0"/>
              <w:rPr>
                <w:sz w:val="16"/>
                <w:szCs w:val="16"/>
                <w:color w:val="auto"/>
              </w:rPr>
            </w:pPr>
          </w:p>
        </w:tc>
        <w:tc>
          <w:tcPr>
            <w:tcW w:w="1100" w:type="dxa"/>
            <w:vAlign w:val="bottom"/>
            <w:shd w:val="clear" w:color="auto" w:fill="B2B2B2"/>
          </w:tcPr>
          <w:p>
            <w:pPr>
              <w:spacing w:after="0"/>
              <w:rPr>
                <w:sz w:val="16"/>
                <w:szCs w:val="16"/>
                <w:color w:val="auto"/>
              </w:rPr>
            </w:pPr>
          </w:p>
        </w:tc>
        <w:tc>
          <w:tcPr>
            <w:tcW w:w="420" w:type="dxa"/>
            <w:vAlign w:val="bottom"/>
            <w:shd w:val="clear" w:color="auto" w:fill="B2B2B2"/>
          </w:tcPr>
          <w:p>
            <w:pPr>
              <w:spacing w:after="0"/>
              <w:rPr>
                <w:sz w:val="16"/>
                <w:szCs w:val="16"/>
                <w:color w:val="auto"/>
              </w:rPr>
            </w:pPr>
          </w:p>
        </w:tc>
        <w:tc>
          <w:tcPr>
            <w:tcW w:w="106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80" w:type="dxa"/>
            <w:vAlign w:val="bottom"/>
            <w:shd w:val="clear" w:color="auto" w:fill="B2B2B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60" w:type="dxa"/>
            <w:vAlign w:val="bottom"/>
            <w:tcBorders>
              <w:bottom w:val="single" w:sz="8" w:color="auto"/>
            </w:tcBorders>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2016-13)</w:t>
            </w:r>
          </w:p>
        </w:tc>
        <w:tc>
          <w:tcPr>
            <w:tcW w:w="200" w:type="dxa"/>
            <w:vAlign w:val="bottom"/>
            <w:tcBorders>
              <w:bottom w:val="single" w:sz="8" w:color="auto"/>
            </w:tcBorders>
            <w:shd w:val="clear" w:color="auto" w:fill="B2B2B2"/>
          </w:tcPr>
          <w:p>
            <w:pPr>
              <w:spacing w:after="0"/>
              <w:rPr>
                <w:sz w:val="20"/>
                <w:szCs w:val="20"/>
                <w:color w:val="auto"/>
              </w:rPr>
            </w:pPr>
          </w:p>
        </w:tc>
        <w:tc>
          <w:tcPr>
            <w:tcW w:w="1120" w:type="dxa"/>
            <w:vAlign w:val="bottom"/>
            <w:tcBorders>
              <w:bottom w:val="single" w:sz="8" w:color="auto"/>
            </w:tcBorders>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B2B2B2"/>
          </w:tcPr>
          <w:p>
            <w:pPr>
              <w:spacing w:after="0"/>
              <w:rPr>
                <w:sz w:val="20"/>
                <w:szCs w:val="20"/>
                <w:color w:val="auto"/>
              </w:rPr>
            </w:pPr>
          </w:p>
        </w:tc>
        <w:tc>
          <w:tcPr>
            <w:tcW w:w="1140" w:type="dxa"/>
            <w:vAlign w:val="bottom"/>
            <w:tcBorders>
              <w:bottom w:val="single" w:sz="8" w:color="auto"/>
            </w:tcBorders>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723</w:t>
            </w:r>
          </w:p>
        </w:tc>
        <w:tc>
          <w:tcPr>
            <w:tcW w:w="460" w:type="dxa"/>
            <w:vAlign w:val="bottom"/>
            <w:tcBorders>
              <w:bottom w:val="single" w:sz="8" w:color="auto"/>
            </w:tcBorders>
            <w:shd w:val="clear" w:color="auto" w:fill="B2B2B2"/>
          </w:tcPr>
          <w:p>
            <w:pPr>
              <w:spacing w:after="0"/>
              <w:rPr>
                <w:sz w:val="20"/>
                <w:szCs w:val="20"/>
                <w:color w:val="auto"/>
              </w:rPr>
            </w:pPr>
          </w:p>
        </w:tc>
        <w:tc>
          <w:tcPr>
            <w:tcW w:w="1100" w:type="dxa"/>
            <w:vAlign w:val="bottom"/>
            <w:tcBorders>
              <w:bottom w:val="single" w:sz="8" w:color="auto"/>
            </w:tcBorders>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B2B2B2"/>
          </w:tcPr>
          <w:p>
            <w:pPr>
              <w:spacing w:after="0"/>
              <w:rPr>
                <w:sz w:val="20"/>
                <w:szCs w:val="20"/>
                <w:color w:val="auto"/>
              </w:rPr>
            </w:pPr>
          </w:p>
        </w:tc>
        <w:tc>
          <w:tcPr>
            <w:tcW w:w="1060" w:type="dxa"/>
            <w:vAlign w:val="bottom"/>
            <w:tcBorders>
              <w:bottom w:val="single" w:sz="8" w:color="auto"/>
            </w:tcBorders>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B2B2B2"/>
          </w:tcPr>
          <w:p>
            <w:pPr>
              <w:spacing w:after="0"/>
              <w:rPr>
                <w:sz w:val="20"/>
                <w:szCs w:val="20"/>
                <w:color w:val="auto"/>
              </w:rPr>
            </w:pPr>
          </w:p>
        </w:tc>
        <w:tc>
          <w:tcPr>
            <w:tcW w:w="1080" w:type="dxa"/>
            <w:vAlign w:val="bottom"/>
            <w:tcBorders>
              <w:bottom w:val="single" w:sz="8" w:color="auto"/>
            </w:tcBorders>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Allowance at beginning of next year</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11,944</w:t>
            </w: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11,279</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10,225</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10,205</w:t>
            </w:r>
          </w:p>
        </w:tc>
        <w:tc>
          <w:tcPr>
            <w:tcW w:w="5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10,175</w:t>
            </w:r>
          </w:p>
        </w:tc>
        <w:tc>
          <w:tcPr>
            <w:tcW w:w="0" w:type="dxa"/>
            <w:vAlign w:val="bottom"/>
          </w:tcPr>
          <w:p>
            <w:pPr>
              <w:spacing w:after="0"/>
              <w:rPr>
                <w:sz w:val="1"/>
                <w:szCs w:val="1"/>
                <w:color w:val="auto"/>
              </w:rPr>
            </w:pPr>
          </w:p>
        </w:tc>
      </w:tr>
      <w:tr>
        <w:trPr>
          <w:trHeight w:val="198"/>
        </w:trPr>
        <w:tc>
          <w:tcPr>
            <w:tcW w:w="3760" w:type="dxa"/>
            <w:vAlign w:val="bottom"/>
            <w:shd w:val="clear" w:color="auto" w:fill="B2B2B2"/>
          </w:tcPr>
          <w:p>
            <w:pPr>
              <w:spacing w:after="0" w:line="198" w:lineRule="exact"/>
              <w:rPr>
                <w:sz w:val="20"/>
                <w:szCs w:val="20"/>
                <w:color w:val="auto"/>
              </w:rPr>
            </w:pPr>
            <w:r>
              <w:rPr>
                <w:rFonts w:ascii="Times New Roman" w:cs="Times New Roman" w:eastAsia="Times New Roman" w:hAnsi="Times New Roman"/>
                <w:sz w:val="18"/>
                <w:szCs w:val="18"/>
                <w:color w:val="auto"/>
              </w:rPr>
              <w:t>Allowance for unfunded commitments at</w:t>
            </w:r>
          </w:p>
        </w:tc>
        <w:tc>
          <w:tcPr>
            <w:tcW w:w="200" w:type="dxa"/>
            <w:vAlign w:val="bottom"/>
            <w:shd w:val="clear" w:color="auto" w:fill="B2B2B2"/>
          </w:tcPr>
          <w:p>
            <w:pPr>
              <w:spacing w:after="0"/>
              <w:rPr>
                <w:sz w:val="17"/>
                <w:szCs w:val="17"/>
                <w:color w:val="auto"/>
              </w:rPr>
            </w:pPr>
          </w:p>
        </w:tc>
        <w:tc>
          <w:tcPr>
            <w:tcW w:w="1120" w:type="dxa"/>
            <w:vAlign w:val="bottom"/>
            <w:shd w:val="clear" w:color="auto" w:fill="B2B2B2"/>
          </w:tcPr>
          <w:p>
            <w:pPr>
              <w:spacing w:after="0"/>
              <w:rPr>
                <w:sz w:val="17"/>
                <w:szCs w:val="17"/>
                <w:color w:val="auto"/>
              </w:rPr>
            </w:pPr>
          </w:p>
        </w:tc>
        <w:tc>
          <w:tcPr>
            <w:tcW w:w="400" w:type="dxa"/>
            <w:vAlign w:val="bottom"/>
            <w:shd w:val="clear" w:color="auto" w:fill="B2B2B2"/>
          </w:tcPr>
          <w:p>
            <w:pPr>
              <w:spacing w:after="0"/>
              <w:rPr>
                <w:sz w:val="17"/>
                <w:szCs w:val="17"/>
                <w:color w:val="auto"/>
              </w:rPr>
            </w:pPr>
          </w:p>
        </w:tc>
        <w:tc>
          <w:tcPr>
            <w:tcW w:w="1140" w:type="dxa"/>
            <w:vAlign w:val="bottom"/>
            <w:shd w:val="clear" w:color="auto" w:fill="B2B2B2"/>
          </w:tcPr>
          <w:p>
            <w:pPr>
              <w:spacing w:after="0"/>
              <w:rPr>
                <w:sz w:val="17"/>
                <w:szCs w:val="17"/>
                <w:color w:val="auto"/>
              </w:rPr>
            </w:pPr>
          </w:p>
        </w:tc>
        <w:tc>
          <w:tcPr>
            <w:tcW w:w="460" w:type="dxa"/>
            <w:vAlign w:val="bottom"/>
            <w:shd w:val="clear" w:color="auto" w:fill="B2B2B2"/>
          </w:tcPr>
          <w:p>
            <w:pPr>
              <w:spacing w:after="0"/>
              <w:rPr>
                <w:sz w:val="17"/>
                <w:szCs w:val="17"/>
                <w:color w:val="auto"/>
              </w:rPr>
            </w:pPr>
          </w:p>
        </w:tc>
        <w:tc>
          <w:tcPr>
            <w:tcW w:w="1100" w:type="dxa"/>
            <w:vAlign w:val="bottom"/>
            <w:shd w:val="clear" w:color="auto" w:fill="B2B2B2"/>
          </w:tcPr>
          <w:p>
            <w:pPr>
              <w:spacing w:after="0"/>
              <w:rPr>
                <w:sz w:val="17"/>
                <w:szCs w:val="17"/>
                <w:color w:val="auto"/>
              </w:rPr>
            </w:pPr>
          </w:p>
        </w:tc>
        <w:tc>
          <w:tcPr>
            <w:tcW w:w="420" w:type="dxa"/>
            <w:vAlign w:val="bottom"/>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500" w:type="dxa"/>
            <w:vAlign w:val="bottom"/>
            <w:shd w:val="clear" w:color="auto" w:fill="B2B2B2"/>
          </w:tcPr>
          <w:p>
            <w:pPr>
              <w:spacing w:after="0"/>
              <w:rPr>
                <w:sz w:val="17"/>
                <w:szCs w:val="17"/>
                <w:color w:val="auto"/>
              </w:rPr>
            </w:pPr>
          </w:p>
        </w:tc>
        <w:tc>
          <w:tcPr>
            <w:tcW w:w="1080" w:type="dxa"/>
            <w:vAlign w:val="bottom"/>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beginning of year</w:t>
            </w:r>
          </w:p>
        </w:tc>
        <w:tc>
          <w:tcPr>
            <w:tcW w:w="2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402</w:t>
            </w:r>
          </w:p>
        </w:tc>
        <w:tc>
          <w:tcPr>
            <w:tcW w:w="4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charged to expense</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165</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3760" w:type="dxa"/>
            <w:vAlign w:val="bottom"/>
            <w:shd w:val="clear" w:color="auto" w:fill="B2B2B2"/>
          </w:tcPr>
          <w:p>
            <w:pPr>
              <w:spacing w:after="0" w:line="191" w:lineRule="exact"/>
              <w:rPr>
                <w:sz w:val="20"/>
                <w:szCs w:val="20"/>
                <w:color w:val="auto"/>
              </w:rPr>
            </w:pPr>
            <w:r>
              <w:rPr>
                <w:rFonts w:ascii="Times New Roman" w:cs="Times New Roman" w:eastAsia="Times New Roman" w:hAnsi="Times New Roman"/>
                <w:sz w:val="18"/>
                <w:szCs w:val="18"/>
                <w:color w:val="auto"/>
              </w:rPr>
              <w:t>Allowance for unfunded commitments at end of</w:t>
            </w:r>
          </w:p>
        </w:tc>
        <w:tc>
          <w:tcPr>
            <w:tcW w:w="200" w:type="dxa"/>
            <w:vAlign w:val="bottom"/>
            <w:shd w:val="clear" w:color="auto" w:fill="B2B2B2"/>
          </w:tcPr>
          <w:p>
            <w:pPr>
              <w:spacing w:after="0"/>
              <w:rPr>
                <w:sz w:val="16"/>
                <w:szCs w:val="16"/>
                <w:color w:val="auto"/>
              </w:rPr>
            </w:pPr>
          </w:p>
        </w:tc>
        <w:tc>
          <w:tcPr>
            <w:tcW w:w="1120" w:type="dxa"/>
            <w:vAlign w:val="bottom"/>
            <w:shd w:val="clear" w:color="auto" w:fill="B2B2B2"/>
          </w:tcPr>
          <w:p>
            <w:pPr>
              <w:spacing w:after="0"/>
              <w:rPr>
                <w:sz w:val="16"/>
                <w:szCs w:val="16"/>
                <w:color w:val="auto"/>
              </w:rPr>
            </w:pPr>
          </w:p>
        </w:tc>
        <w:tc>
          <w:tcPr>
            <w:tcW w:w="400" w:type="dxa"/>
            <w:vAlign w:val="bottom"/>
            <w:shd w:val="clear" w:color="auto" w:fill="B2B2B2"/>
          </w:tcPr>
          <w:p>
            <w:pPr>
              <w:spacing w:after="0"/>
              <w:rPr>
                <w:sz w:val="16"/>
                <w:szCs w:val="16"/>
                <w:color w:val="auto"/>
              </w:rPr>
            </w:pPr>
          </w:p>
        </w:tc>
        <w:tc>
          <w:tcPr>
            <w:tcW w:w="1140" w:type="dxa"/>
            <w:vAlign w:val="bottom"/>
            <w:shd w:val="clear" w:color="auto" w:fill="B2B2B2"/>
          </w:tcPr>
          <w:p>
            <w:pPr>
              <w:spacing w:after="0"/>
              <w:rPr>
                <w:sz w:val="16"/>
                <w:szCs w:val="16"/>
                <w:color w:val="auto"/>
              </w:rPr>
            </w:pPr>
          </w:p>
        </w:tc>
        <w:tc>
          <w:tcPr>
            <w:tcW w:w="460" w:type="dxa"/>
            <w:vAlign w:val="bottom"/>
            <w:shd w:val="clear" w:color="auto" w:fill="B2B2B2"/>
          </w:tcPr>
          <w:p>
            <w:pPr>
              <w:spacing w:after="0"/>
              <w:rPr>
                <w:sz w:val="16"/>
                <w:szCs w:val="16"/>
                <w:color w:val="auto"/>
              </w:rPr>
            </w:pPr>
          </w:p>
        </w:tc>
        <w:tc>
          <w:tcPr>
            <w:tcW w:w="1100" w:type="dxa"/>
            <w:vAlign w:val="bottom"/>
            <w:shd w:val="clear" w:color="auto" w:fill="B2B2B2"/>
          </w:tcPr>
          <w:p>
            <w:pPr>
              <w:spacing w:after="0"/>
              <w:rPr>
                <w:sz w:val="16"/>
                <w:szCs w:val="16"/>
                <w:color w:val="auto"/>
              </w:rPr>
            </w:pPr>
          </w:p>
        </w:tc>
        <w:tc>
          <w:tcPr>
            <w:tcW w:w="420" w:type="dxa"/>
            <w:vAlign w:val="bottom"/>
            <w:shd w:val="clear" w:color="auto" w:fill="B2B2B2"/>
          </w:tcPr>
          <w:p>
            <w:pPr>
              <w:spacing w:after="0"/>
              <w:rPr>
                <w:sz w:val="16"/>
                <w:szCs w:val="16"/>
                <w:color w:val="auto"/>
              </w:rPr>
            </w:pPr>
          </w:p>
        </w:tc>
        <w:tc>
          <w:tcPr>
            <w:tcW w:w="106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80" w:type="dxa"/>
            <w:vAlign w:val="bottom"/>
            <w:shd w:val="clear" w:color="auto" w:fill="B2B2B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year</w:t>
            </w:r>
          </w:p>
        </w:tc>
        <w:tc>
          <w:tcPr>
            <w:tcW w:w="200" w:type="dxa"/>
            <w:vAlign w:val="bottom"/>
            <w:shd w:val="clear" w:color="auto" w:fill="B2B2B2"/>
          </w:tcPr>
          <w:p>
            <w:pPr>
              <w:spacing w:after="0"/>
              <w:rPr>
                <w:sz w:val="20"/>
                <w:szCs w:val="20"/>
                <w:color w:val="auto"/>
              </w:rPr>
            </w:pPr>
          </w:p>
        </w:tc>
        <w:tc>
          <w:tcPr>
            <w:tcW w:w="1120" w:type="dxa"/>
            <w:vAlign w:val="bottom"/>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567</w:t>
            </w:r>
          </w:p>
        </w:tc>
        <w:tc>
          <w:tcPr>
            <w:tcW w:w="400" w:type="dxa"/>
            <w:vAlign w:val="bottom"/>
            <w:shd w:val="clear" w:color="auto" w:fill="B2B2B2"/>
          </w:tcPr>
          <w:p>
            <w:pPr>
              <w:spacing w:after="0"/>
              <w:rPr>
                <w:sz w:val="20"/>
                <w:szCs w:val="20"/>
                <w:color w:val="auto"/>
              </w:rPr>
            </w:pPr>
          </w:p>
        </w:tc>
        <w:tc>
          <w:tcPr>
            <w:tcW w:w="1140" w:type="dxa"/>
            <w:vAlign w:val="bottom"/>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B2B2B2"/>
          </w:tcPr>
          <w:p>
            <w:pPr>
              <w:spacing w:after="0"/>
              <w:rPr>
                <w:sz w:val="20"/>
                <w:szCs w:val="20"/>
                <w:color w:val="auto"/>
              </w:rPr>
            </w:pPr>
          </w:p>
        </w:tc>
        <w:tc>
          <w:tcPr>
            <w:tcW w:w="110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B2B2B2"/>
          </w:tcPr>
          <w:p>
            <w:pPr>
              <w:spacing w:after="0"/>
              <w:rPr>
                <w:sz w:val="20"/>
                <w:szCs w:val="20"/>
                <w:color w:val="auto"/>
              </w:rPr>
            </w:pPr>
          </w:p>
        </w:tc>
        <w:tc>
          <w:tcPr>
            <w:tcW w:w="106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B2B2B2"/>
          </w:tcPr>
          <w:p>
            <w:pPr>
              <w:spacing w:after="0"/>
              <w:rPr>
                <w:sz w:val="20"/>
                <w:szCs w:val="20"/>
                <w:color w:val="auto"/>
              </w:rPr>
            </w:pPr>
          </w:p>
        </w:tc>
        <w:tc>
          <w:tcPr>
            <w:tcW w:w="108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of accounting change (ASU</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2016-13)</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402</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3760" w:type="dxa"/>
            <w:vAlign w:val="bottom"/>
            <w:shd w:val="clear" w:color="auto" w:fill="B2B2B2"/>
          </w:tcPr>
          <w:p>
            <w:pPr>
              <w:spacing w:after="0" w:line="191" w:lineRule="exact"/>
              <w:rPr>
                <w:sz w:val="20"/>
                <w:szCs w:val="20"/>
                <w:color w:val="auto"/>
              </w:rPr>
            </w:pPr>
            <w:r>
              <w:rPr>
                <w:rFonts w:ascii="Times New Roman" w:cs="Times New Roman" w:eastAsia="Times New Roman" w:hAnsi="Times New Roman"/>
                <w:sz w:val="18"/>
                <w:szCs w:val="18"/>
                <w:color w:val="auto"/>
              </w:rPr>
              <w:t>Allowance for unfunded commitments at</w:t>
            </w:r>
          </w:p>
        </w:tc>
        <w:tc>
          <w:tcPr>
            <w:tcW w:w="200" w:type="dxa"/>
            <w:vAlign w:val="bottom"/>
            <w:shd w:val="clear" w:color="auto" w:fill="B2B2B2"/>
          </w:tcPr>
          <w:p>
            <w:pPr>
              <w:spacing w:after="0"/>
              <w:rPr>
                <w:sz w:val="16"/>
                <w:szCs w:val="16"/>
                <w:color w:val="auto"/>
              </w:rPr>
            </w:pPr>
          </w:p>
        </w:tc>
        <w:tc>
          <w:tcPr>
            <w:tcW w:w="1120" w:type="dxa"/>
            <w:vAlign w:val="bottom"/>
            <w:shd w:val="clear" w:color="auto" w:fill="B2B2B2"/>
          </w:tcPr>
          <w:p>
            <w:pPr>
              <w:spacing w:after="0"/>
              <w:rPr>
                <w:sz w:val="16"/>
                <w:szCs w:val="16"/>
                <w:color w:val="auto"/>
              </w:rPr>
            </w:pPr>
          </w:p>
        </w:tc>
        <w:tc>
          <w:tcPr>
            <w:tcW w:w="400" w:type="dxa"/>
            <w:vAlign w:val="bottom"/>
            <w:shd w:val="clear" w:color="auto" w:fill="B2B2B2"/>
          </w:tcPr>
          <w:p>
            <w:pPr>
              <w:spacing w:after="0"/>
              <w:rPr>
                <w:sz w:val="16"/>
                <w:szCs w:val="16"/>
                <w:color w:val="auto"/>
              </w:rPr>
            </w:pPr>
          </w:p>
        </w:tc>
        <w:tc>
          <w:tcPr>
            <w:tcW w:w="1140" w:type="dxa"/>
            <w:vAlign w:val="bottom"/>
            <w:shd w:val="clear" w:color="auto" w:fill="B2B2B2"/>
          </w:tcPr>
          <w:p>
            <w:pPr>
              <w:spacing w:after="0"/>
              <w:rPr>
                <w:sz w:val="16"/>
                <w:szCs w:val="16"/>
                <w:color w:val="auto"/>
              </w:rPr>
            </w:pPr>
          </w:p>
        </w:tc>
        <w:tc>
          <w:tcPr>
            <w:tcW w:w="460" w:type="dxa"/>
            <w:vAlign w:val="bottom"/>
            <w:shd w:val="clear" w:color="auto" w:fill="B2B2B2"/>
          </w:tcPr>
          <w:p>
            <w:pPr>
              <w:spacing w:after="0"/>
              <w:rPr>
                <w:sz w:val="16"/>
                <w:szCs w:val="16"/>
                <w:color w:val="auto"/>
              </w:rPr>
            </w:pPr>
          </w:p>
        </w:tc>
        <w:tc>
          <w:tcPr>
            <w:tcW w:w="1100" w:type="dxa"/>
            <w:vAlign w:val="bottom"/>
            <w:shd w:val="clear" w:color="auto" w:fill="B2B2B2"/>
          </w:tcPr>
          <w:p>
            <w:pPr>
              <w:spacing w:after="0"/>
              <w:rPr>
                <w:sz w:val="16"/>
                <w:szCs w:val="16"/>
                <w:color w:val="auto"/>
              </w:rPr>
            </w:pPr>
          </w:p>
        </w:tc>
        <w:tc>
          <w:tcPr>
            <w:tcW w:w="420" w:type="dxa"/>
            <w:vAlign w:val="bottom"/>
            <w:shd w:val="clear" w:color="auto" w:fill="B2B2B2"/>
          </w:tcPr>
          <w:p>
            <w:pPr>
              <w:spacing w:after="0"/>
              <w:rPr>
                <w:sz w:val="16"/>
                <w:szCs w:val="16"/>
                <w:color w:val="auto"/>
              </w:rPr>
            </w:pPr>
          </w:p>
        </w:tc>
        <w:tc>
          <w:tcPr>
            <w:tcW w:w="106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80" w:type="dxa"/>
            <w:vAlign w:val="bottom"/>
            <w:shd w:val="clear" w:color="auto" w:fill="B2B2B2"/>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760" w:type="dxa"/>
            <w:vAlign w:val="bottom"/>
            <w:tcBorders>
              <w:bottom w:val="single" w:sz="8" w:color="auto"/>
            </w:tcBorders>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beginning of next year</w:t>
            </w:r>
          </w:p>
        </w:tc>
        <w:tc>
          <w:tcPr>
            <w:tcW w:w="20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567</w:t>
            </w:r>
          </w:p>
        </w:tc>
        <w:tc>
          <w:tcPr>
            <w:tcW w:w="40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402</w:t>
            </w:r>
          </w:p>
        </w:tc>
        <w:tc>
          <w:tcPr>
            <w:tcW w:w="4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Loans outstanding:</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Average</w:t>
            </w:r>
          </w:p>
        </w:tc>
        <w:tc>
          <w:tcPr>
            <w:tcW w:w="2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906,631</w:t>
            </w:r>
          </w:p>
        </w:tc>
        <w:tc>
          <w:tcPr>
            <w:tcW w:w="4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760,153</w:t>
            </w:r>
          </w:p>
        </w:tc>
        <w:tc>
          <w:tcPr>
            <w:tcW w:w="46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710,846</w:t>
            </w:r>
          </w:p>
        </w:tc>
        <w:tc>
          <w:tcPr>
            <w:tcW w:w="4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663,653</w:t>
            </w:r>
          </w:p>
        </w:tc>
        <w:tc>
          <w:tcPr>
            <w:tcW w:w="50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678,061</w:t>
            </w:r>
          </w:p>
        </w:tc>
        <w:tc>
          <w:tcPr>
            <w:tcW w:w="0" w:type="dxa"/>
            <w:vAlign w:val="bottom"/>
          </w:tcPr>
          <w:p>
            <w:pPr>
              <w:spacing w:after="0"/>
              <w:rPr>
                <w:sz w:val="1"/>
                <w:szCs w:val="1"/>
                <w:color w:val="auto"/>
              </w:rPr>
            </w:pPr>
          </w:p>
        </w:tc>
      </w:tr>
      <w:tr>
        <w:trPr>
          <w:trHeight w:val="216"/>
        </w:trPr>
        <w:tc>
          <w:tcPr>
            <w:tcW w:w="3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w:t>
            </w:r>
          </w:p>
        </w:tc>
        <w:tc>
          <w:tcPr>
            <w:tcW w:w="20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891,676</w:t>
            </w:r>
          </w:p>
        </w:tc>
        <w:tc>
          <w:tcPr>
            <w:tcW w:w="40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772,638</w:t>
            </w:r>
          </w:p>
        </w:tc>
        <w:tc>
          <w:tcPr>
            <w:tcW w:w="46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721,587</w:t>
            </w:r>
          </w:p>
        </w:tc>
        <w:tc>
          <w:tcPr>
            <w:tcW w:w="42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686,231</w:t>
            </w:r>
          </w:p>
        </w:tc>
        <w:tc>
          <w:tcPr>
            <w:tcW w:w="50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664,866</w:t>
            </w:r>
          </w:p>
        </w:tc>
        <w:tc>
          <w:tcPr>
            <w:tcW w:w="0" w:type="dxa"/>
            <w:vAlign w:val="bottom"/>
          </w:tcPr>
          <w:p>
            <w:pPr>
              <w:spacing w:after="0"/>
              <w:rPr>
                <w:sz w:val="1"/>
                <w:szCs w:val="1"/>
                <w:color w:val="auto"/>
              </w:rPr>
            </w:pPr>
          </w:p>
        </w:tc>
      </w:tr>
      <w:tr>
        <w:trPr>
          <w:trHeight w:val="198"/>
        </w:trPr>
        <w:tc>
          <w:tcPr>
            <w:tcW w:w="3760" w:type="dxa"/>
            <w:vAlign w:val="bottom"/>
            <w:shd w:val="clear" w:color="auto" w:fill="B2B2B2"/>
          </w:tcPr>
          <w:p>
            <w:pPr>
              <w:spacing w:after="0" w:line="198" w:lineRule="exact"/>
              <w:rPr>
                <w:sz w:val="20"/>
                <w:szCs w:val="20"/>
                <w:color w:val="auto"/>
              </w:rPr>
            </w:pPr>
            <w:r>
              <w:rPr>
                <w:rFonts w:ascii="Times New Roman" w:cs="Times New Roman" w:eastAsia="Times New Roman" w:hAnsi="Times New Roman"/>
                <w:sz w:val="18"/>
                <w:szCs w:val="18"/>
                <w:color w:val="auto"/>
              </w:rPr>
              <w:t>Ratio of allowance for credit/loan losses to loans</w:t>
            </w:r>
          </w:p>
        </w:tc>
        <w:tc>
          <w:tcPr>
            <w:tcW w:w="200" w:type="dxa"/>
            <w:vAlign w:val="bottom"/>
            <w:shd w:val="clear" w:color="auto" w:fill="B2B2B2"/>
          </w:tcPr>
          <w:p>
            <w:pPr>
              <w:spacing w:after="0"/>
              <w:rPr>
                <w:sz w:val="17"/>
                <w:szCs w:val="17"/>
                <w:color w:val="auto"/>
              </w:rPr>
            </w:pPr>
          </w:p>
        </w:tc>
        <w:tc>
          <w:tcPr>
            <w:tcW w:w="1120" w:type="dxa"/>
            <w:vAlign w:val="bottom"/>
            <w:shd w:val="clear" w:color="auto" w:fill="B2B2B2"/>
          </w:tcPr>
          <w:p>
            <w:pPr>
              <w:spacing w:after="0"/>
              <w:rPr>
                <w:sz w:val="17"/>
                <w:szCs w:val="17"/>
                <w:color w:val="auto"/>
              </w:rPr>
            </w:pPr>
          </w:p>
        </w:tc>
        <w:tc>
          <w:tcPr>
            <w:tcW w:w="400" w:type="dxa"/>
            <w:vAlign w:val="bottom"/>
            <w:shd w:val="clear" w:color="auto" w:fill="B2B2B2"/>
          </w:tcPr>
          <w:p>
            <w:pPr>
              <w:spacing w:after="0"/>
              <w:rPr>
                <w:sz w:val="17"/>
                <w:szCs w:val="17"/>
                <w:color w:val="auto"/>
              </w:rPr>
            </w:pPr>
          </w:p>
        </w:tc>
        <w:tc>
          <w:tcPr>
            <w:tcW w:w="1140" w:type="dxa"/>
            <w:vAlign w:val="bottom"/>
            <w:shd w:val="clear" w:color="auto" w:fill="B2B2B2"/>
          </w:tcPr>
          <w:p>
            <w:pPr>
              <w:spacing w:after="0"/>
              <w:rPr>
                <w:sz w:val="17"/>
                <w:szCs w:val="17"/>
                <w:color w:val="auto"/>
              </w:rPr>
            </w:pPr>
          </w:p>
        </w:tc>
        <w:tc>
          <w:tcPr>
            <w:tcW w:w="460" w:type="dxa"/>
            <w:vAlign w:val="bottom"/>
            <w:shd w:val="clear" w:color="auto" w:fill="B2B2B2"/>
          </w:tcPr>
          <w:p>
            <w:pPr>
              <w:spacing w:after="0"/>
              <w:rPr>
                <w:sz w:val="17"/>
                <w:szCs w:val="17"/>
                <w:color w:val="auto"/>
              </w:rPr>
            </w:pPr>
          </w:p>
        </w:tc>
        <w:tc>
          <w:tcPr>
            <w:tcW w:w="1100" w:type="dxa"/>
            <w:vAlign w:val="bottom"/>
            <w:shd w:val="clear" w:color="auto" w:fill="B2B2B2"/>
          </w:tcPr>
          <w:p>
            <w:pPr>
              <w:spacing w:after="0"/>
              <w:rPr>
                <w:sz w:val="17"/>
                <w:szCs w:val="17"/>
                <w:color w:val="auto"/>
              </w:rPr>
            </w:pPr>
          </w:p>
        </w:tc>
        <w:tc>
          <w:tcPr>
            <w:tcW w:w="420" w:type="dxa"/>
            <w:vAlign w:val="bottom"/>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500" w:type="dxa"/>
            <w:vAlign w:val="bottom"/>
            <w:shd w:val="clear" w:color="auto" w:fill="B2B2B2"/>
          </w:tcPr>
          <w:p>
            <w:pPr>
              <w:spacing w:after="0"/>
              <w:rPr>
                <w:sz w:val="17"/>
                <w:szCs w:val="17"/>
                <w:color w:val="auto"/>
              </w:rPr>
            </w:pPr>
          </w:p>
        </w:tc>
        <w:tc>
          <w:tcPr>
            <w:tcW w:w="1080" w:type="dxa"/>
            <w:vAlign w:val="bottom"/>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shd w:val="clear" w:color="auto" w:fill="B2B2B2"/>
          </w:tcPr>
          <w:p>
            <w:pPr>
              <w:spacing w:after="0"/>
              <w:rPr>
                <w:sz w:val="20"/>
                <w:szCs w:val="20"/>
                <w:color w:val="auto"/>
              </w:rPr>
            </w:pPr>
          </w:p>
        </w:tc>
        <w:tc>
          <w:tcPr>
            <w:tcW w:w="1120" w:type="dxa"/>
            <w:vAlign w:val="bottom"/>
            <w:shd w:val="clear" w:color="auto" w:fill="B2B2B2"/>
          </w:tcPr>
          <w:p>
            <w:pPr>
              <w:spacing w:after="0"/>
              <w:rPr>
                <w:sz w:val="20"/>
                <w:szCs w:val="20"/>
                <w:color w:val="auto"/>
              </w:rPr>
            </w:pPr>
          </w:p>
        </w:tc>
        <w:tc>
          <w:tcPr>
            <w:tcW w:w="400" w:type="dxa"/>
            <w:vAlign w:val="bottom"/>
            <w:shd w:val="clear" w:color="auto" w:fill="B2B2B2"/>
          </w:tcPr>
          <w:p>
            <w:pPr>
              <w:spacing w:after="0"/>
              <w:rPr>
                <w:sz w:val="20"/>
                <w:szCs w:val="20"/>
                <w:color w:val="auto"/>
              </w:rPr>
            </w:pPr>
          </w:p>
        </w:tc>
        <w:tc>
          <w:tcPr>
            <w:tcW w:w="1140" w:type="dxa"/>
            <w:vAlign w:val="bottom"/>
            <w:shd w:val="clear" w:color="auto" w:fill="B2B2B2"/>
          </w:tcPr>
          <w:p>
            <w:pPr>
              <w:spacing w:after="0"/>
              <w:rPr>
                <w:sz w:val="20"/>
                <w:szCs w:val="20"/>
                <w:color w:val="auto"/>
              </w:rPr>
            </w:pPr>
          </w:p>
        </w:tc>
        <w:tc>
          <w:tcPr>
            <w:tcW w:w="460" w:type="dxa"/>
            <w:vAlign w:val="bottom"/>
            <w:shd w:val="clear" w:color="auto" w:fill="B2B2B2"/>
          </w:tcPr>
          <w:p>
            <w:pPr>
              <w:spacing w:after="0"/>
              <w:rPr>
                <w:sz w:val="20"/>
                <w:szCs w:val="20"/>
                <w:color w:val="auto"/>
              </w:rPr>
            </w:pPr>
          </w:p>
        </w:tc>
        <w:tc>
          <w:tcPr>
            <w:tcW w:w="1100" w:type="dxa"/>
            <w:vAlign w:val="bottom"/>
            <w:shd w:val="clear" w:color="auto" w:fill="B2B2B2"/>
          </w:tcPr>
          <w:p>
            <w:pPr>
              <w:spacing w:after="0"/>
              <w:rPr>
                <w:sz w:val="20"/>
                <w:szCs w:val="20"/>
                <w:color w:val="auto"/>
              </w:rPr>
            </w:pPr>
          </w:p>
        </w:tc>
        <w:tc>
          <w:tcPr>
            <w:tcW w:w="420" w:type="dxa"/>
            <w:vAlign w:val="bottom"/>
            <w:shd w:val="clear" w:color="auto" w:fill="B2B2B2"/>
          </w:tcPr>
          <w:p>
            <w:pPr>
              <w:spacing w:after="0"/>
              <w:rPr>
                <w:sz w:val="20"/>
                <w:szCs w:val="20"/>
                <w:color w:val="auto"/>
              </w:rPr>
            </w:pPr>
          </w:p>
        </w:tc>
        <w:tc>
          <w:tcPr>
            <w:tcW w:w="1060" w:type="dxa"/>
            <w:vAlign w:val="bottom"/>
            <w:shd w:val="clear" w:color="auto" w:fill="B2B2B2"/>
          </w:tcPr>
          <w:p>
            <w:pPr>
              <w:spacing w:after="0"/>
              <w:rPr>
                <w:sz w:val="20"/>
                <w:szCs w:val="20"/>
                <w:color w:val="auto"/>
              </w:rPr>
            </w:pPr>
          </w:p>
        </w:tc>
        <w:tc>
          <w:tcPr>
            <w:tcW w:w="500" w:type="dxa"/>
            <w:vAlign w:val="bottom"/>
            <w:shd w:val="clear" w:color="auto" w:fill="B2B2B2"/>
          </w:tcPr>
          <w:p>
            <w:pPr>
              <w:spacing w:after="0"/>
              <w:rPr>
                <w:sz w:val="20"/>
                <w:szCs w:val="20"/>
                <w:color w:val="auto"/>
              </w:rPr>
            </w:pPr>
          </w:p>
        </w:tc>
        <w:tc>
          <w:tcPr>
            <w:tcW w:w="1080" w:type="dxa"/>
            <w:vAlign w:val="bottom"/>
            <w:shd w:val="clear" w:color="auto" w:fill="B2B2B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Average</w:t>
            </w:r>
          </w:p>
        </w:tc>
        <w:tc>
          <w:tcPr>
            <w:tcW w:w="20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1.32%</w:t>
            </w:r>
          </w:p>
        </w:tc>
        <w:tc>
          <w:tcPr>
            <w:tcW w:w="4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1.39%</w:t>
            </w:r>
          </w:p>
        </w:tc>
        <w:tc>
          <w:tcPr>
            <w:tcW w:w="46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1.44%</w:t>
            </w:r>
          </w:p>
        </w:tc>
        <w:tc>
          <w:tcPr>
            <w:tcW w:w="42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w:t>
            </w:r>
          </w:p>
        </w:tc>
        <w:tc>
          <w:tcPr>
            <w:tcW w:w="5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376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December 31</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c>
          <w:tcPr>
            <w:tcW w:w="40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1.37%</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1.42%</w:t>
            </w:r>
          </w:p>
        </w:tc>
        <w:tc>
          <w:tcPr>
            <w:tcW w:w="42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1.49%</w:t>
            </w:r>
          </w:p>
        </w:tc>
        <w:tc>
          <w:tcPr>
            <w:tcW w:w="5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98"/>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net recoveries to average loans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91"/>
        </w:trPr>
        <w:tc>
          <w:tcPr>
            <w:tcW w:w="3760" w:type="dxa"/>
            <w:vAlign w:val="bottom"/>
            <w:shd w:val="clear" w:color="auto" w:fill="B2B2B2"/>
          </w:tcPr>
          <w:p>
            <w:pPr>
              <w:spacing w:after="0" w:line="191" w:lineRule="exact"/>
              <w:rPr>
                <w:sz w:val="20"/>
                <w:szCs w:val="20"/>
                <w:color w:val="auto"/>
              </w:rPr>
            </w:pPr>
            <w:r>
              <w:rPr>
                <w:rFonts w:ascii="Times New Roman" w:cs="Times New Roman" w:eastAsia="Times New Roman" w:hAnsi="Times New Roman"/>
                <w:sz w:val="18"/>
                <w:szCs w:val="18"/>
                <w:color w:val="auto"/>
              </w:rPr>
              <w:t>Allocation of allowance for credit/loan losses</w:t>
            </w:r>
          </w:p>
        </w:tc>
        <w:tc>
          <w:tcPr>
            <w:tcW w:w="200" w:type="dxa"/>
            <w:vAlign w:val="bottom"/>
            <w:shd w:val="clear" w:color="auto" w:fill="B2B2B2"/>
          </w:tcPr>
          <w:p>
            <w:pPr>
              <w:spacing w:after="0"/>
              <w:rPr>
                <w:sz w:val="16"/>
                <w:szCs w:val="16"/>
                <w:color w:val="auto"/>
              </w:rPr>
            </w:pPr>
          </w:p>
        </w:tc>
        <w:tc>
          <w:tcPr>
            <w:tcW w:w="1120" w:type="dxa"/>
            <w:vAlign w:val="bottom"/>
            <w:shd w:val="clear" w:color="auto" w:fill="B2B2B2"/>
          </w:tcPr>
          <w:p>
            <w:pPr>
              <w:spacing w:after="0"/>
              <w:rPr>
                <w:sz w:val="16"/>
                <w:szCs w:val="16"/>
                <w:color w:val="auto"/>
              </w:rPr>
            </w:pPr>
          </w:p>
        </w:tc>
        <w:tc>
          <w:tcPr>
            <w:tcW w:w="400" w:type="dxa"/>
            <w:vAlign w:val="bottom"/>
            <w:shd w:val="clear" w:color="auto" w:fill="B2B2B2"/>
          </w:tcPr>
          <w:p>
            <w:pPr>
              <w:spacing w:after="0"/>
              <w:rPr>
                <w:sz w:val="16"/>
                <w:szCs w:val="16"/>
                <w:color w:val="auto"/>
              </w:rPr>
            </w:pPr>
          </w:p>
        </w:tc>
        <w:tc>
          <w:tcPr>
            <w:tcW w:w="1140" w:type="dxa"/>
            <w:vAlign w:val="bottom"/>
            <w:shd w:val="clear" w:color="auto" w:fill="B2B2B2"/>
          </w:tcPr>
          <w:p>
            <w:pPr>
              <w:spacing w:after="0"/>
              <w:rPr>
                <w:sz w:val="16"/>
                <w:szCs w:val="16"/>
                <w:color w:val="auto"/>
              </w:rPr>
            </w:pPr>
          </w:p>
        </w:tc>
        <w:tc>
          <w:tcPr>
            <w:tcW w:w="460" w:type="dxa"/>
            <w:vAlign w:val="bottom"/>
            <w:shd w:val="clear" w:color="auto" w:fill="B2B2B2"/>
          </w:tcPr>
          <w:p>
            <w:pPr>
              <w:spacing w:after="0"/>
              <w:rPr>
                <w:sz w:val="16"/>
                <w:szCs w:val="16"/>
                <w:color w:val="auto"/>
              </w:rPr>
            </w:pPr>
          </w:p>
        </w:tc>
        <w:tc>
          <w:tcPr>
            <w:tcW w:w="1100" w:type="dxa"/>
            <w:vAlign w:val="bottom"/>
            <w:shd w:val="clear" w:color="auto" w:fill="B2B2B2"/>
          </w:tcPr>
          <w:p>
            <w:pPr>
              <w:spacing w:after="0"/>
              <w:rPr>
                <w:sz w:val="16"/>
                <w:szCs w:val="16"/>
                <w:color w:val="auto"/>
              </w:rPr>
            </w:pPr>
          </w:p>
        </w:tc>
        <w:tc>
          <w:tcPr>
            <w:tcW w:w="420" w:type="dxa"/>
            <w:vAlign w:val="bottom"/>
            <w:shd w:val="clear" w:color="auto" w:fill="B2B2B2"/>
          </w:tcPr>
          <w:p>
            <w:pPr>
              <w:spacing w:after="0"/>
              <w:rPr>
                <w:sz w:val="16"/>
                <w:szCs w:val="16"/>
                <w:color w:val="auto"/>
              </w:rPr>
            </w:pPr>
          </w:p>
        </w:tc>
        <w:tc>
          <w:tcPr>
            <w:tcW w:w="106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80" w:type="dxa"/>
            <w:vAlign w:val="bottom"/>
            <w:shd w:val="clear" w:color="auto" w:fill="B2B2B2"/>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760" w:type="dxa"/>
            <w:vAlign w:val="bottom"/>
            <w:shd w:val="clear" w:color="auto" w:fill="B2B2B2"/>
          </w:tcPr>
          <w:p>
            <w:pPr>
              <w:ind w:left="280"/>
              <w:spacing w:after="0" w:line="275" w:lineRule="exact"/>
              <w:rPr>
                <w:sz w:val="20"/>
                <w:szCs w:val="20"/>
                <w:color w:val="auto"/>
              </w:rPr>
            </w:pP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31"/>
                <w:szCs w:val="31"/>
                <w:color w:val="auto"/>
                <w:vertAlign w:val="subscript"/>
              </w:rPr>
              <w:t>:</w:t>
            </w:r>
          </w:p>
        </w:tc>
        <w:tc>
          <w:tcPr>
            <w:tcW w:w="200" w:type="dxa"/>
            <w:vAlign w:val="bottom"/>
            <w:shd w:val="clear" w:color="auto" w:fill="B2B2B2"/>
          </w:tcPr>
          <w:p>
            <w:pPr>
              <w:spacing w:after="0"/>
              <w:rPr>
                <w:sz w:val="23"/>
                <w:szCs w:val="23"/>
                <w:color w:val="auto"/>
              </w:rPr>
            </w:pPr>
          </w:p>
        </w:tc>
        <w:tc>
          <w:tcPr>
            <w:tcW w:w="1120" w:type="dxa"/>
            <w:vAlign w:val="bottom"/>
            <w:shd w:val="clear" w:color="auto" w:fill="B2B2B2"/>
          </w:tcPr>
          <w:p>
            <w:pPr>
              <w:spacing w:after="0"/>
              <w:rPr>
                <w:sz w:val="23"/>
                <w:szCs w:val="23"/>
                <w:color w:val="auto"/>
              </w:rPr>
            </w:pPr>
          </w:p>
        </w:tc>
        <w:tc>
          <w:tcPr>
            <w:tcW w:w="400" w:type="dxa"/>
            <w:vAlign w:val="bottom"/>
            <w:shd w:val="clear" w:color="auto" w:fill="B2B2B2"/>
          </w:tcPr>
          <w:p>
            <w:pPr>
              <w:spacing w:after="0"/>
              <w:rPr>
                <w:sz w:val="23"/>
                <w:szCs w:val="23"/>
                <w:color w:val="auto"/>
              </w:rPr>
            </w:pPr>
          </w:p>
        </w:tc>
        <w:tc>
          <w:tcPr>
            <w:tcW w:w="1140" w:type="dxa"/>
            <w:vAlign w:val="bottom"/>
            <w:shd w:val="clear" w:color="auto" w:fill="B2B2B2"/>
          </w:tcPr>
          <w:p>
            <w:pPr>
              <w:spacing w:after="0"/>
              <w:rPr>
                <w:sz w:val="23"/>
                <w:szCs w:val="23"/>
                <w:color w:val="auto"/>
              </w:rPr>
            </w:pPr>
          </w:p>
        </w:tc>
        <w:tc>
          <w:tcPr>
            <w:tcW w:w="460" w:type="dxa"/>
            <w:vAlign w:val="bottom"/>
            <w:shd w:val="clear" w:color="auto" w:fill="B2B2B2"/>
          </w:tcPr>
          <w:p>
            <w:pPr>
              <w:spacing w:after="0"/>
              <w:rPr>
                <w:sz w:val="23"/>
                <w:szCs w:val="23"/>
                <w:color w:val="auto"/>
              </w:rPr>
            </w:pPr>
          </w:p>
        </w:tc>
        <w:tc>
          <w:tcPr>
            <w:tcW w:w="1100" w:type="dxa"/>
            <w:vAlign w:val="bottom"/>
            <w:shd w:val="clear" w:color="auto" w:fill="B2B2B2"/>
          </w:tcPr>
          <w:p>
            <w:pPr>
              <w:spacing w:after="0"/>
              <w:rPr>
                <w:sz w:val="23"/>
                <w:szCs w:val="23"/>
                <w:color w:val="auto"/>
              </w:rPr>
            </w:pPr>
          </w:p>
        </w:tc>
        <w:tc>
          <w:tcPr>
            <w:tcW w:w="420" w:type="dxa"/>
            <w:vAlign w:val="bottom"/>
            <w:shd w:val="clear" w:color="auto" w:fill="B2B2B2"/>
          </w:tcPr>
          <w:p>
            <w:pPr>
              <w:spacing w:after="0"/>
              <w:rPr>
                <w:sz w:val="23"/>
                <w:szCs w:val="23"/>
                <w:color w:val="auto"/>
              </w:rPr>
            </w:pPr>
          </w:p>
        </w:tc>
        <w:tc>
          <w:tcPr>
            <w:tcW w:w="1060" w:type="dxa"/>
            <w:vAlign w:val="bottom"/>
            <w:shd w:val="clear" w:color="auto" w:fill="B2B2B2"/>
          </w:tcPr>
          <w:p>
            <w:pPr>
              <w:spacing w:after="0"/>
              <w:rPr>
                <w:sz w:val="23"/>
                <w:szCs w:val="23"/>
                <w:color w:val="auto"/>
              </w:rPr>
            </w:pPr>
          </w:p>
        </w:tc>
        <w:tc>
          <w:tcPr>
            <w:tcW w:w="500" w:type="dxa"/>
            <w:vAlign w:val="bottom"/>
            <w:shd w:val="clear" w:color="auto" w:fill="B2B2B2"/>
          </w:tcPr>
          <w:p>
            <w:pPr>
              <w:spacing w:after="0"/>
              <w:rPr>
                <w:sz w:val="23"/>
                <w:szCs w:val="23"/>
                <w:color w:val="auto"/>
              </w:rPr>
            </w:pPr>
          </w:p>
        </w:tc>
        <w:tc>
          <w:tcPr>
            <w:tcW w:w="1080" w:type="dxa"/>
            <w:vAlign w:val="bottom"/>
            <w:shd w:val="clear" w:color="auto" w:fill="B2B2B2"/>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4,635</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4,874</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4,179</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3,652</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16"/>
        </w:trPr>
        <w:tc>
          <w:tcPr>
            <w:tcW w:w="376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Real estate (commercial and faith-based):</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6,892</w:t>
            </w:r>
          </w:p>
        </w:tc>
        <w:tc>
          <w:tcPr>
            <w:tcW w:w="40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5,370</w:t>
            </w:r>
          </w:p>
        </w:tc>
        <w:tc>
          <w:tcPr>
            <w:tcW w:w="46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5,378</w:t>
            </w:r>
          </w:p>
        </w:tc>
        <w:tc>
          <w:tcPr>
            <w:tcW w:w="42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5,356</w:t>
            </w:r>
          </w:p>
        </w:tc>
        <w:tc>
          <w:tcPr>
            <w:tcW w:w="50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5,689</w:t>
            </w:r>
          </w:p>
        </w:tc>
        <w:tc>
          <w:tcPr>
            <w:tcW w:w="0" w:type="dxa"/>
            <w:vAlign w:val="bottom"/>
          </w:tcPr>
          <w:p>
            <w:pPr>
              <w:spacing w:after="0"/>
              <w:rPr>
                <w:sz w:val="1"/>
                <w:szCs w:val="1"/>
                <w:color w:val="auto"/>
              </w:rPr>
            </w:pPr>
          </w:p>
        </w:tc>
      </w:tr>
      <w:tr>
        <w:trPr>
          <w:trHeight w:val="216"/>
        </w:trPr>
        <w:tc>
          <w:tcPr>
            <w:tcW w:w="3760" w:type="dxa"/>
            <w:vAlign w:val="bottom"/>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Construction</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417</w:t>
            </w:r>
          </w:p>
        </w:tc>
        <w:tc>
          <w:tcPr>
            <w:tcW w:w="40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312</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244</w:t>
            </w:r>
          </w:p>
        </w:tc>
        <w:tc>
          <w:tcPr>
            <w:tcW w:w="42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266</w:t>
            </w:r>
          </w:p>
        </w:tc>
        <w:tc>
          <w:tcPr>
            <w:tcW w:w="5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Industrial Revenue Bond</w:t>
            </w:r>
          </w:p>
        </w:tc>
        <w:tc>
          <w:tcPr>
            <w:tcW w:w="20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52</w:t>
            </w:r>
          </w:p>
        </w:tc>
        <w:tc>
          <w:tcPr>
            <w:tcW w:w="50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56"/>
        </w:trPr>
        <w:tc>
          <w:tcPr>
            <w:tcW w:w="3760" w:type="dxa"/>
            <w:vAlign w:val="bottom"/>
            <w:tcBorders>
              <w:bottom w:val="single" w:sz="8" w:color="auto"/>
            </w:tcBorders>
            <w:shd w:val="clear" w:color="auto" w:fill="B2B2B2"/>
          </w:tcPr>
          <w:p>
            <w:pPr>
              <w:ind w:left="280"/>
              <w:spacing w:after="0" w:line="25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9"/>
                <w:szCs w:val="29"/>
                <w:b w:val="1"/>
                <w:bCs w:val="1"/>
                <w:color w:val="auto"/>
                <w:vertAlign w:val="superscript"/>
              </w:rPr>
              <w:t>(2)</w:t>
            </w:r>
          </w:p>
        </w:tc>
        <w:tc>
          <w:tcPr>
            <w:tcW w:w="200" w:type="dxa"/>
            <w:vAlign w:val="bottom"/>
            <w:tcBorders>
              <w:bottom w:val="single" w:sz="8" w:color="auto"/>
            </w:tcBorders>
            <w:shd w:val="clear" w:color="auto" w:fill="B2B2B2"/>
          </w:tcPr>
          <w:p>
            <w:pPr>
              <w:spacing w:after="0"/>
              <w:rPr>
                <w:sz w:val="22"/>
                <w:szCs w:val="22"/>
                <w:color w:val="auto"/>
              </w:rPr>
            </w:pPr>
          </w:p>
        </w:tc>
        <w:tc>
          <w:tcPr>
            <w:tcW w:w="1120" w:type="dxa"/>
            <w:vAlign w:val="bottom"/>
            <w:tcBorders>
              <w:bottom w:val="single" w:sz="8" w:color="auto"/>
            </w:tcBorders>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B2B2B2"/>
          </w:tcPr>
          <w:p>
            <w:pPr>
              <w:spacing w:after="0"/>
              <w:rPr>
                <w:sz w:val="22"/>
                <w:szCs w:val="22"/>
                <w:color w:val="auto"/>
              </w:rPr>
            </w:pPr>
          </w:p>
        </w:tc>
        <w:tc>
          <w:tcPr>
            <w:tcW w:w="1140" w:type="dxa"/>
            <w:vAlign w:val="bottom"/>
            <w:tcBorders>
              <w:bottom w:val="single" w:sz="8" w:color="auto"/>
            </w:tcBorders>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B2B2B2"/>
          </w:tcPr>
          <w:p>
            <w:pPr>
              <w:spacing w:after="0"/>
              <w:rPr>
                <w:sz w:val="22"/>
                <w:szCs w:val="22"/>
                <w:color w:val="auto"/>
              </w:rPr>
            </w:pPr>
          </w:p>
        </w:tc>
        <w:tc>
          <w:tcPr>
            <w:tcW w:w="1100" w:type="dxa"/>
            <w:vAlign w:val="bottom"/>
            <w:tcBorders>
              <w:bottom w:val="single" w:sz="8" w:color="auto"/>
            </w:tcBorders>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424</w:t>
            </w:r>
          </w:p>
        </w:tc>
        <w:tc>
          <w:tcPr>
            <w:tcW w:w="420" w:type="dxa"/>
            <w:vAlign w:val="bottom"/>
            <w:tcBorders>
              <w:bottom w:val="single" w:sz="8" w:color="auto"/>
            </w:tcBorders>
            <w:shd w:val="clear" w:color="auto" w:fill="B2B2B2"/>
          </w:tcPr>
          <w:p>
            <w:pPr>
              <w:spacing w:after="0"/>
              <w:rPr>
                <w:sz w:val="22"/>
                <w:szCs w:val="22"/>
                <w:color w:val="auto"/>
              </w:rPr>
            </w:pPr>
          </w:p>
        </w:tc>
        <w:tc>
          <w:tcPr>
            <w:tcW w:w="1060" w:type="dxa"/>
            <w:vAlign w:val="bottom"/>
            <w:tcBorders>
              <w:bottom w:val="single" w:sz="8" w:color="auto"/>
            </w:tcBorders>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879</w:t>
            </w:r>
          </w:p>
        </w:tc>
        <w:tc>
          <w:tcPr>
            <w:tcW w:w="500" w:type="dxa"/>
            <w:vAlign w:val="bottom"/>
            <w:tcBorders>
              <w:bottom w:val="single" w:sz="8" w:color="auto"/>
            </w:tcBorders>
            <w:shd w:val="clear" w:color="auto" w:fill="B2B2B2"/>
          </w:tcPr>
          <w:p>
            <w:pPr>
              <w:spacing w:after="0"/>
              <w:rPr>
                <w:sz w:val="22"/>
                <w:szCs w:val="22"/>
                <w:color w:val="auto"/>
              </w:rPr>
            </w:pPr>
          </w:p>
        </w:tc>
        <w:tc>
          <w:tcPr>
            <w:tcW w:w="1080" w:type="dxa"/>
            <w:vAlign w:val="bottom"/>
            <w:tcBorders>
              <w:bottom w:val="single" w:sz="8" w:color="auto"/>
            </w:tcBorders>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11,944</w:t>
            </w: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10,556</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10,225</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10,205</w:t>
            </w:r>
          </w:p>
        </w:tc>
        <w:tc>
          <w:tcPr>
            <w:tcW w:w="5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10,175</w:t>
            </w:r>
          </w:p>
        </w:tc>
        <w:tc>
          <w:tcPr>
            <w:tcW w:w="0" w:type="dxa"/>
            <w:vAlign w:val="bottom"/>
          </w:tcPr>
          <w:p>
            <w:pPr>
              <w:spacing w:after="0"/>
              <w:rPr>
                <w:sz w:val="1"/>
                <w:szCs w:val="1"/>
                <w:color w:val="auto"/>
              </w:rPr>
            </w:pPr>
          </w:p>
        </w:tc>
      </w:tr>
      <w:tr>
        <w:trPr>
          <w:trHeight w:val="209"/>
        </w:trPr>
        <w:tc>
          <w:tcPr>
            <w:tcW w:w="37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categories to total loans: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33.5%</w:t>
            </w:r>
          </w:p>
        </w:tc>
        <w:tc>
          <w:tcPr>
            <w:tcW w:w="40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41.9%</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38.4%</w:t>
            </w:r>
          </w:p>
        </w:tc>
        <w:tc>
          <w:tcPr>
            <w:tcW w:w="42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34.4%</w:t>
            </w:r>
          </w:p>
        </w:tc>
        <w:tc>
          <w:tcPr>
            <w:tcW w:w="5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 estate (commercial and faith-based):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48.7%</w:t>
            </w:r>
          </w:p>
        </w:tc>
        <w:tc>
          <w:tcPr>
            <w:tcW w:w="40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52.8%</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57.1%</w:t>
            </w:r>
          </w:p>
        </w:tc>
        <w:tc>
          <w:tcPr>
            <w:tcW w:w="42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59.9%</w:t>
            </w:r>
          </w:p>
        </w:tc>
        <w:tc>
          <w:tcPr>
            <w:tcW w:w="5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6"/>
        </w:trPr>
        <w:tc>
          <w:tcPr>
            <w:tcW w:w="3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Construction</w:t>
            </w:r>
          </w:p>
        </w:tc>
        <w:tc>
          <w:tcPr>
            <w:tcW w:w="20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4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PPP</w:t>
            </w:r>
          </w:p>
        </w:tc>
        <w:tc>
          <w:tcPr>
            <w:tcW w:w="20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290"/>
              <w:spacing w:after="0"/>
              <w:rPr>
                <w:sz w:val="20"/>
                <w:szCs w:val="20"/>
                <w:color w:val="auto"/>
              </w:rPr>
            </w:pPr>
            <w:r>
              <w:rPr>
                <w:rFonts w:ascii="Times New Roman" w:cs="Times New Roman" w:eastAsia="Times New Roman" w:hAnsi="Times New Roman"/>
                <w:sz w:val="18"/>
                <w:szCs w:val="18"/>
                <w:color w:val="auto"/>
              </w:rPr>
              <w:t>12.3</w:t>
            </w:r>
          </w:p>
        </w:tc>
        <w:tc>
          <w:tcPr>
            <w:tcW w:w="40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Industrial Revenue Bond</w:t>
            </w:r>
          </w:p>
        </w:tc>
        <w:tc>
          <w:tcPr>
            <w:tcW w:w="20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5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760" w:type="dxa"/>
            <w:vAlign w:val="bottom"/>
            <w:tcBorders>
              <w:bottom w:val="single" w:sz="8" w:color="auto"/>
            </w:tcBorders>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7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100.0%</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100.0%</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100.0%</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ind w:left="340" w:hanging="332"/>
        <w:spacing w:after="0" w:line="206" w:lineRule="auto"/>
        <w:tabs>
          <w:tab w:leader="none" w:pos="340" w:val="left"/>
        </w:tabs>
        <w:numPr>
          <w:ilvl w:val="0"/>
          <w:numId w:val="12"/>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Although specific allocations exist, the entire allowance is available to absorb losses in any particular loan category.</w:t>
      </w:r>
    </w:p>
    <w:p>
      <w:pPr>
        <w:sectPr>
          <w:pgSz w:w="11900" w:h="16838" w:orient="portrait"/>
          <w:cols w:equalWidth="0" w:num="1">
            <w:col w:w="11240"/>
          </w:cols>
          <w:pgMar w:left="320" w:top="293" w:right="339" w:bottom="1109"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93" w:right="339" w:bottom="1109"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Nonperforming Assets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Nonperforming loans are defined as loans on non-accrual status and loans 90 days or more past due but still accruing. Nonperforming assets include nonperforming loans plus foreclosed real estate. Troubled debt restructurings are not included in nonperforming loans unless they are on non-accrual status or past due 90 days or more.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 policy of the Company to continually monitor its loan portfolio and to discontinue the accrual of interest on any loan for which collection is not probable. Subsequent payments received on such loans are applied to principal if collection of principal is not probable; otherwise, these receipts are recorded as interest income. There was no interest on nonaccrual loans for the years ended December 31, 2020 and 2019,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nonaccrual loans or foreclosed assets at December 31, 2020 or December 31, 2019.</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any foreign loans. The Company's loan portfolio does not include a significant amount of single family real estate mortgages, as the Company does not market its services to retail customers. Also, the Company had no sub-prime mortgage loans or residential development loans in its portfolio in any of the years presented.</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have any other interest-earning assets which would have been included in nonaccrual, past due or restructured loans if such assets were loans.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of Nonperforming Assets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62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Nonaccrual</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Contractually past due 90 days or more and still accruing</w:t>
            </w: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8"/>
                <w:szCs w:val="18"/>
                <w:color w:val="auto"/>
              </w:rPr>
            </w:pPr>
          </w:p>
        </w:tc>
        <w:tc>
          <w:tcPr>
            <w:tcW w:w="820" w:type="dxa"/>
            <w:vAlign w:val="bottom"/>
            <w:shd w:val="clear" w:color="auto" w:fill="B2B2B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2B2B2"/>
          </w:tcPr>
          <w:p>
            <w:pPr>
              <w:spacing w:after="0"/>
              <w:rPr>
                <w:sz w:val="18"/>
                <w:szCs w:val="18"/>
                <w:color w:val="auto"/>
              </w:rPr>
            </w:pPr>
          </w:p>
        </w:tc>
        <w:tc>
          <w:tcPr>
            <w:tcW w:w="860" w:type="dxa"/>
            <w:vAlign w:val="bottom"/>
            <w:shd w:val="clear" w:color="auto" w:fill="B2B2B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18"/>
                <w:szCs w:val="18"/>
                <w:color w:val="auto"/>
              </w:rPr>
            </w:pPr>
          </w:p>
        </w:tc>
        <w:tc>
          <w:tcPr>
            <w:tcW w:w="68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Real estate – mortgage: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760" w:type="dxa"/>
            <w:vAlign w:val="bottom"/>
            <w:shd w:val="clear" w:color="auto" w:fill="B2B2B2"/>
          </w:tcPr>
          <w:p>
            <w:pPr>
              <w:ind w:left="280"/>
              <w:spacing w:after="0" w:line="256" w:lineRule="exact"/>
              <w:rPr>
                <w:sz w:val="20"/>
                <w:szCs w:val="20"/>
                <w:color w:val="auto"/>
              </w:rPr>
            </w:pPr>
            <w:r>
              <w:rPr>
                <w:rFonts w:ascii="Times New Roman" w:cs="Times New Roman" w:eastAsia="Times New Roman" w:hAnsi="Times New Roman"/>
                <w:sz w:val="18"/>
                <w:szCs w:val="18"/>
                <w:color w:val="auto"/>
              </w:rPr>
              <w:t>Nonaccrual</w:t>
            </w:r>
            <w:r>
              <w:rPr>
                <w:rFonts w:ascii="Times New Roman" w:cs="Times New Roman" w:eastAsia="Times New Roman" w:hAnsi="Times New Roman"/>
                <w:sz w:val="29"/>
                <w:szCs w:val="29"/>
                <w:b w:val="1"/>
                <w:bCs w:val="1"/>
                <w:color w:val="auto"/>
                <w:vertAlign w:val="superscript"/>
              </w:rPr>
              <w:t>(1)</w:t>
            </w:r>
          </w:p>
        </w:tc>
        <w:tc>
          <w:tcPr>
            <w:tcW w:w="200" w:type="dxa"/>
            <w:vAlign w:val="bottom"/>
            <w:shd w:val="clear" w:color="auto" w:fill="B2B2B2"/>
          </w:tcPr>
          <w:p>
            <w:pPr>
              <w:spacing w:after="0"/>
              <w:rPr>
                <w:sz w:val="22"/>
                <w:szCs w:val="22"/>
                <w:color w:val="auto"/>
              </w:rPr>
            </w:pPr>
          </w:p>
        </w:tc>
        <w:tc>
          <w:tcPr>
            <w:tcW w:w="860" w:type="dxa"/>
            <w:vAlign w:val="bottom"/>
            <w:shd w:val="clear" w:color="auto" w:fill="B2B2B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22"/>
                <w:szCs w:val="22"/>
                <w:color w:val="auto"/>
              </w:rPr>
            </w:pPr>
          </w:p>
        </w:tc>
        <w:tc>
          <w:tcPr>
            <w:tcW w:w="820" w:type="dxa"/>
            <w:vAlign w:val="bottom"/>
            <w:shd w:val="clear" w:color="auto" w:fill="B2B2B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2B2B2"/>
          </w:tcPr>
          <w:p>
            <w:pPr>
              <w:spacing w:after="0"/>
              <w:rPr>
                <w:sz w:val="22"/>
                <w:szCs w:val="22"/>
                <w:color w:val="auto"/>
              </w:rPr>
            </w:pPr>
          </w:p>
        </w:tc>
        <w:tc>
          <w:tcPr>
            <w:tcW w:w="860" w:type="dxa"/>
            <w:vAlign w:val="bottom"/>
            <w:shd w:val="clear" w:color="auto" w:fill="B2B2B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22"/>
                <w:szCs w:val="22"/>
                <w:color w:val="auto"/>
              </w:rPr>
            </w:pPr>
          </w:p>
        </w:tc>
        <w:tc>
          <w:tcPr>
            <w:tcW w:w="900" w:type="dxa"/>
            <w:vAlign w:val="bottom"/>
            <w:shd w:val="clear" w:color="auto" w:fill="B2B2B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spacing w:after="0"/>
              <w:rPr>
                <w:sz w:val="22"/>
                <w:szCs w:val="22"/>
                <w:color w:val="auto"/>
              </w:rPr>
            </w:pPr>
          </w:p>
        </w:tc>
        <w:tc>
          <w:tcPr>
            <w:tcW w:w="68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Contractually past due 90 days or more and still accruing</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nonperforming loans</w:t>
            </w:r>
          </w:p>
        </w:tc>
        <w:tc>
          <w:tcPr>
            <w:tcW w:w="200" w:type="dxa"/>
            <w:vAlign w:val="bottom"/>
            <w:shd w:val="clear" w:color="auto" w:fill="B2B2B2"/>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B2B2B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B2B2B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2B2B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2B2B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foreclosed assets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5760" w:type="dxa"/>
            <w:vAlign w:val="bottom"/>
            <w:tcBorders>
              <w:bottom w:val="single" w:sz="8" w:color="auto"/>
            </w:tcBorders>
            <w:shd w:val="clear" w:color="auto" w:fill="B2B2B2"/>
          </w:tcPr>
          <w:p>
            <w:pPr>
              <w:spacing w:after="0" w:line="202" w:lineRule="exact"/>
              <w:rPr>
                <w:sz w:val="20"/>
                <w:szCs w:val="20"/>
                <w:color w:val="auto"/>
              </w:rPr>
            </w:pPr>
            <w:r>
              <w:rPr>
                <w:rFonts w:ascii="Times New Roman" w:cs="Times New Roman" w:eastAsia="Times New Roman" w:hAnsi="Times New Roman"/>
                <w:sz w:val="18"/>
                <w:szCs w:val="18"/>
                <w:color w:val="auto"/>
              </w:rPr>
              <w:t>Total nonperforming assets</w:t>
            </w:r>
          </w:p>
        </w:tc>
        <w:tc>
          <w:tcPr>
            <w:tcW w:w="200" w:type="dxa"/>
            <w:vAlign w:val="bottom"/>
            <w:tcBorders>
              <w:bottom w:val="single" w:sz="8" w:color="auto"/>
            </w:tcBorders>
            <w:shd w:val="clear" w:color="auto" w:fill="B2B2B2"/>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B2B2B2"/>
          </w:tcPr>
          <w:p>
            <w:pPr>
              <w:ind w:left="6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2B2B2"/>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B2B2B2"/>
          </w:tcPr>
          <w:p>
            <w:pPr>
              <w:ind w:left="6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B2B2B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B2B2B2"/>
          </w:tcPr>
          <w:p>
            <w:pPr>
              <w:ind w:left="6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2B2B2"/>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2B2B2"/>
          </w:tcPr>
          <w:p>
            <w:pPr>
              <w:ind w:left="6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2"/>
            <w:shd w:val="clear" w:color="auto" w:fill="B2B2B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line="195" w:lineRule="auto"/>
        <w:tabs>
          <w:tab w:leader="none" w:pos="340" w:val="left"/>
        </w:tabs>
        <w:numPr>
          <w:ilvl w:val="0"/>
          <w:numId w:val="13"/>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In October 2017, one nonaccrual loan with a balance of $215,000 was paid in full. In February 2016, one nonaccrual loan with a balance of $2,727,000 was paid in full.</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in 2020 compared to 2019 include the following significant pre-tax components:</w:t>
      </w:r>
    </w:p>
    <w:p>
      <w:pPr>
        <w:spacing w:after="0" w:line="212" w:lineRule="exact"/>
        <w:rPr>
          <w:sz w:val="20"/>
          <w:szCs w:val="20"/>
          <w:color w:val="auto"/>
        </w:rPr>
      </w:pPr>
    </w:p>
    <w:p>
      <w:pPr>
        <w:jc w:val="both"/>
        <w:ind w:left="280"/>
        <w:spacing w:after="0" w:line="266" w:lineRule="auto"/>
        <w:rPr>
          <w:sz w:val="20"/>
          <w:szCs w:val="20"/>
          <w:color w:val="auto"/>
        </w:rPr>
      </w:pPr>
      <w:r>
        <w:rPr>
          <w:rFonts w:ascii="Times New Roman" w:cs="Times New Roman" w:eastAsia="Times New Roman" w:hAnsi="Times New Roman"/>
          <w:sz w:val="18"/>
          <w:szCs w:val="18"/>
          <w:color w:val="auto"/>
        </w:rPr>
        <w:t>Personnel expense decreased $3,021,000, or 3%, to $88,062,000 as COVID-19 caused a decrease in invoice processing volumes and a corresponding decrease in personnel expense. Promotional expense decreased $1,654,000, or 43%, as employee travel-related expenses were limited throughout the year.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in 2020 totaled $5,165,000 compared to $7,062,000 in 2019. When measured as a percent of pre-tax income, the Company’s effective tax rate was 17% in 2020 and 19% in 2019. The decrease in the effective tax rate in 2020 compared to 2019 was primarily due to tax-exempt income from municipal bonds being a larger percentage of total pretax income, in addition to the eligibility of additional tax credits.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portfolio changes from December 31, 2019 to December 31, 2020:</w:t>
      </w:r>
    </w:p>
    <w:p>
      <w:pPr>
        <w:spacing w:after="0" w:line="212" w:lineRule="exact"/>
        <w:rPr>
          <w:sz w:val="20"/>
          <w:szCs w:val="20"/>
          <w:color w:val="auto"/>
        </w:rPr>
      </w:pPr>
    </w:p>
    <w:p>
      <w:pPr>
        <w:jc w:val="both"/>
        <w:ind w:left="280"/>
        <w:spacing w:after="0" w:line="261" w:lineRule="auto"/>
        <w:rPr>
          <w:sz w:val="20"/>
          <w:szCs w:val="20"/>
          <w:color w:val="auto"/>
        </w:rPr>
      </w:pPr>
      <w:r>
        <w:rPr>
          <w:rFonts w:ascii="Times New Roman" w:cs="Times New Roman" w:eastAsia="Times New Roman" w:hAnsi="Times New Roman"/>
          <w:sz w:val="18"/>
          <w:szCs w:val="18"/>
          <w:color w:val="auto"/>
        </w:rPr>
        <w:t>State and political subdivision securities decreased $18,473,000, or 6%, to $305,974,000. U.S. government agency securities decreased $45,966,000 to $51,752,000. The investment portfolio provides the Company with a significant source of earnings, secondary source of liquidity, and mechanisms to manage the effects of changes in loan demand and interest rates. Therefore, the size, asset allocation and maturity distribution of the investment portfolio will vary over time depending on management’s assessment of current and future interest rates, changes in loan demand, changes in the</w:t>
      </w:r>
    </w:p>
    <w:p>
      <w:pPr>
        <w:sectPr>
          <w:pgSz w:w="11900" w:h="16838" w:orient="portrait"/>
          <w:cols w:equalWidth="0" w:num="1">
            <w:col w:w="11240"/>
          </w:cols>
          <w:pgMar w:left="320" w:top="293"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Company’s sources of funds and the economic outlook. During this period, the Company purchased securities totaling $20,043,000.</w:t>
      </w: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was no single issuer of securities in the investment portfolio at December 31, 2020 for which the aggregate amortized cost exceeded 10% of total shareholders' equity.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Investments by Type</w:t>
            </w: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34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40" w:type="dxa"/>
            <w:vAlign w:val="bottom"/>
            <w:gridSpan w:val="2"/>
            <w:shd w:val="clear" w:color="auto" w:fill="B2B2B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305,974</w:t>
            </w:r>
          </w:p>
        </w:tc>
        <w:tc>
          <w:tcPr>
            <w:tcW w:w="40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324,447</w:t>
            </w:r>
          </w:p>
        </w:tc>
        <w:tc>
          <w:tcPr>
            <w:tcW w:w="30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334,717</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51,752</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97,718</w:t>
            </w: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104,822</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34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spacing w:after="0"/>
              <w:rPr>
                <w:sz w:val="18"/>
                <w:szCs w:val="18"/>
                <w:color w:val="auto"/>
              </w:rPr>
            </w:pPr>
          </w:p>
        </w:tc>
        <w:tc>
          <w:tcPr>
            <w:tcW w:w="26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tcPr>
          <w:p>
            <w:pPr>
              <w:ind w:left="280"/>
              <w:spacing w:after="0" w:line="196" w:lineRule="exact"/>
              <w:rPr>
                <w:sz w:val="20"/>
                <w:szCs w:val="20"/>
                <w:color w:val="auto"/>
              </w:rPr>
            </w:pPr>
            <w:r>
              <w:rPr>
                <w:rFonts w:ascii="Times New Roman" w:cs="Times New Roman" w:eastAsia="Times New Roman" w:hAnsi="Times New Roman"/>
                <w:sz w:val="18"/>
                <w:szCs w:val="18"/>
                <w:color w:val="auto"/>
              </w:rPr>
              <w:t>Total investments</w:t>
            </w:r>
          </w:p>
        </w:tc>
        <w:tc>
          <w:tcPr>
            <w:tcW w:w="1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357,726</w:t>
            </w: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422,665</w:t>
            </w: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441,534</w:t>
            </w:r>
          </w:p>
        </w:tc>
        <w:tc>
          <w:tcPr>
            <w:tcW w:w="0" w:type="dxa"/>
            <w:vAlign w:val="bottom"/>
          </w:tcPr>
          <w:p>
            <w:pPr>
              <w:spacing w:after="0"/>
              <w:rPr>
                <w:sz w:val="1"/>
                <w:szCs w:val="1"/>
                <w:color w:val="auto"/>
              </w:rPr>
            </w:pPr>
          </w:p>
        </w:tc>
      </w:tr>
      <w:tr>
        <w:trPr>
          <w:trHeight w:val="37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 Securities by Maturity</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2020)</w:t>
            </w:r>
          </w:p>
        </w:tc>
        <w:tc>
          <w:tcPr>
            <w:tcW w:w="1340" w:type="dxa"/>
            <w:vAlign w:val="bottom"/>
          </w:tcPr>
          <w:p>
            <w:pPr>
              <w:spacing w:after="0"/>
              <w:rPr>
                <w:sz w:val="20"/>
                <w:szCs w:val="20"/>
                <w:color w:val="auto"/>
              </w:rPr>
            </w:pP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Within 1</w:t>
            </w:r>
          </w:p>
        </w:tc>
        <w:tc>
          <w:tcPr>
            <w:tcW w:w="220" w:type="dxa"/>
            <w:vAlign w:val="bottom"/>
          </w:tcPr>
          <w:p>
            <w:pPr>
              <w:spacing w:after="0"/>
              <w:rPr>
                <w:sz w:val="20"/>
                <w:szCs w:val="20"/>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Over 1 to 5</w:t>
            </w:r>
          </w:p>
        </w:tc>
        <w:tc>
          <w:tcPr>
            <w:tcW w:w="20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Over 5 to</w:t>
            </w:r>
          </w:p>
        </w:tc>
        <w:tc>
          <w:tcPr>
            <w:tcW w:w="400" w:type="dxa"/>
            <w:vAlign w:val="bottom"/>
          </w:tcPr>
          <w:p>
            <w:pPr>
              <w:spacing w:after="0"/>
              <w:rPr>
                <w:sz w:val="20"/>
                <w:szCs w:val="20"/>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Over</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 Years</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 Years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0" w:type="dxa"/>
            <w:vAlign w:val="bottom"/>
          </w:tcPr>
          <w:p>
            <w:pPr>
              <w:spacing w:after="0"/>
              <w:rPr>
                <w:sz w:val="1"/>
                <w:szCs w:val="1"/>
                <w:color w:val="auto"/>
              </w:rPr>
            </w:pPr>
          </w:p>
        </w:tc>
      </w:tr>
      <w:tr>
        <w:trPr>
          <w:trHeight w:val="250"/>
        </w:trPr>
        <w:tc>
          <w:tcPr>
            <w:tcW w:w="38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3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26,244</w:t>
            </w:r>
          </w:p>
        </w:tc>
        <w:tc>
          <w:tcPr>
            <w:tcW w:w="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98,677</w:t>
            </w:r>
          </w:p>
        </w:tc>
        <w:tc>
          <w:tcPr>
            <w:tcW w:w="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166,157</w:t>
            </w:r>
          </w:p>
        </w:tc>
        <w:tc>
          <w:tcPr>
            <w:tcW w:w="4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14,896</w:t>
            </w:r>
          </w:p>
        </w:tc>
        <w:tc>
          <w:tcPr>
            <w:tcW w:w="300" w:type="dxa"/>
            <w:vAlign w:val="bottom"/>
            <w:shd w:val="clear" w:color="auto" w:fill="B2B2B2"/>
          </w:tcPr>
          <w:p>
            <w:pPr>
              <w:spacing w:after="0"/>
              <w:rPr>
                <w:sz w:val="21"/>
                <w:szCs w:val="21"/>
                <w:color w:val="auto"/>
              </w:rPr>
            </w:pPr>
          </w:p>
        </w:tc>
        <w:tc>
          <w:tcPr>
            <w:tcW w:w="1020" w:type="dxa"/>
            <w:vAlign w:val="bottom"/>
            <w:gridSpan w:val="2"/>
            <w:shd w:val="clear" w:color="auto" w:fill="B2B2B2"/>
          </w:tcPr>
          <w:p>
            <w:pPr>
              <w:ind w:left="360"/>
              <w:spacing w:after="0" w:line="250" w:lineRule="exact"/>
              <w:rPr>
                <w:sz w:val="20"/>
                <w:szCs w:val="20"/>
                <w:color w:val="auto"/>
              </w:rPr>
            </w:pPr>
            <w:r>
              <w:rPr>
                <w:rFonts w:ascii="Times New Roman" w:cs="Times New Roman" w:eastAsia="Times New Roman" w:hAnsi="Times New Roman"/>
                <w:sz w:val="17"/>
                <w:szCs w:val="17"/>
                <w:color w:val="auto"/>
                <w:w w:val="97"/>
              </w:rPr>
              <w:t>2.99%</w:t>
            </w:r>
            <w:r>
              <w:rPr>
                <w:rFonts w:ascii="Times New Roman" w:cs="Times New Roman" w:eastAsia="Times New Roman" w:hAnsi="Times New Roman"/>
                <w:sz w:val="28"/>
                <w:szCs w:val="28"/>
                <w:b w:val="1"/>
                <w:bCs w:val="1"/>
                <w:color w:val="auto"/>
                <w:w w:val="97"/>
                <w:vertAlign w:val="superscript"/>
              </w:rPr>
              <w:t>(1)</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34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25,018</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709</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10,415</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w:t>
            </w:r>
          </w:p>
        </w:tc>
        <w:tc>
          <w:tcPr>
            <w:tcW w:w="300" w:type="dxa"/>
            <w:vAlign w:val="bottom"/>
          </w:tcPr>
          <w:p>
            <w:pPr>
              <w:spacing w:after="0"/>
              <w:rPr>
                <w:sz w:val="18"/>
                <w:szCs w:val="18"/>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Total investments</w:t>
            </w:r>
          </w:p>
        </w:tc>
        <w:tc>
          <w:tcPr>
            <w:tcW w:w="13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51,262</w:t>
            </w:r>
          </w:p>
        </w:tc>
        <w:tc>
          <w:tcPr>
            <w:tcW w:w="2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99,386</w:t>
            </w:r>
          </w:p>
        </w:tc>
        <w:tc>
          <w:tcPr>
            <w:tcW w:w="2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176,572</w:t>
            </w:r>
          </w:p>
        </w:tc>
        <w:tc>
          <w:tcPr>
            <w:tcW w:w="4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30,506</w:t>
            </w:r>
          </w:p>
        </w:tc>
        <w:tc>
          <w:tcPr>
            <w:tcW w:w="300" w:type="dxa"/>
            <w:vAlign w:val="bottom"/>
            <w:tcBorders>
              <w:bottom w:val="single" w:sz="8" w:color="auto"/>
            </w:tcBorders>
            <w:shd w:val="clear" w:color="auto" w:fill="B2B2B2"/>
          </w:tcPr>
          <w:p>
            <w:pPr>
              <w:spacing w:after="0"/>
              <w:rPr>
                <w:sz w:val="19"/>
                <w:szCs w:val="19"/>
                <w:color w:val="auto"/>
              </w:rPr>
            </w:pPr>
          </w:p>
        </w:tc>
        <w:tc>
          <w:tcPr>
            <w:tcW w:w="960" w:type="dxa"/>
            <w:vAlign w:val="bottom"/>
            <w:tcBorders>
              <w:bottom w:val="single" w:sz="8" w:color="auto"/>
            </w:tcBorders>
            <w:shd w:val="clear" w:color="auto" w:fill="B2B2B2"/>
          </w:tcPr>
          <w:p>
            <w:pPr>
              <w:ind w:left="360"/>
              <w:spacing w:after="0"/>
              <w:rPr>
                <w:sz w:val="20"/>
                <w:szCs w:val="20"/>
                <w:color w:val="auto"/>
              </w:rPr>
            </w:pPr>
            <w:r>
              <w:rPr>
                <w:rFonts w:ascii="Times New Roman" w:cs="Times New Roman" w:eastAsia="Times New Roman" w:hAnsi="Times New Roman"/>
                <w:sz w:val="18"/>
                <w:szCs w:val="18"/>
                <w:color w:val="auto"/>
              </w:rPr>
              <w:t>2.79%</w:t>
            </w:r>
          </w:p>
        </w:tc>
        <w:tc>
          <w:tcPr>
            <w:tcW w:w="60" w:type="dxa"/>
            <w:vAlign w:val="bottom"/>
            <w:tcBorders>
              <w:bottom w:val="single" w:sz="8" w:color="auto"/>
            </w:tcBorders>
            <w:shd w:val="clear" w:color="auto" w:fill="B2B2B2"/>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82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17"/>
                <w:szCs w:val="17"/>
                <w:color w:val="auto"/>
              </w:rPr>
              <w:t xml:space="preserve">Weighted average yield </w:t>
            </w:r>
            <w:r>
              <w:rPr>
                <w:rFonts w:ascii="Times New Roman" w:cs="Times New Roman" w:eastAsia="Times New Roman" w:hAnsi="Times New Roman"/>
                <w:sz w:val="28"/>
                <w:szCs w:val="28"/>
                <w:b w:val="1"/>
                <w:bCs w:val="1"/>
                <w:color w:val="auto"/>
                <w:vertAlign w:val="superscript"/>
              </w:rPr>
              <w:t>(1)</w:t>
            </w:r>
          </w:p>
        </w:tc>
        <w:tc>
          <w:tcPr>
            <w:tcW w:w="1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2.90%</w:t>
            </w:r>
          </w:p>
        </w:tc>
        <w:tc>
          <w:tcPr>
            <w:tcW w:w="12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1.91%</w:t>
            </w:r>
          </w:p>
        </w:tc>
        <w:tc>
          <w:tcPr>
            <w:tcW w:w="9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2.79%</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ind w:left="340" w:hanging="332"/>
        <w:spacing w:after="0" w:line="206" w:lineRule="auto"/>
        <w:tabs>
          <w:tab w:leader="none" w:pos="340" w:val="left"/>
        </w:tabs>
        <w:numPr>
          <w:ilvl w:val="0"/>
          <w:numId w:val="14"/>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Yields are presented on a tax-equivalent basis assuming a tax rate of 21% for 2020, 2019 and 2018.</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 and Accounts and Drafts Payable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Noninterest-bearing demand deposits increased 41% from December 31, 2019 to $493,504,000 at December 31, 2020. The average balances of these deposits increased 29% in 2020 to $356,433,000. The increase in deposits during 2020 is primarily attributed to government related stimulus activity and the resulting increase in cash deposits. These balances are primarily maintained by commercial customers, faith-based ministries, and new payment and information processing relationships and can fluctuate on a daily basis.</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Interest-bearing deposits increased $151,307,000, or 37%, to $557,352,000 at December 31, 2020. The average balances of these deposits increased 22% to $480,410,000 in 2020 from $394,843,000 in 2019. The increase in deposits during 2020 is primarily attributed to government related stimulus activity and the resulting increase in cash deposits.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and drafts payable generated by the Company in its payment processing operations increased $151,091,000, or 22%, to $835,386,000 at December 31, 2020. The average balance of these funds increased $18,403,000, or 2%, to $803,605,000 in 2020. This increase was the result of continued growth in the customer base. Due to the Company’s payment processing cycle, average balances are much more indicative of the underlying activity than period-end balances since point-in-time comparisons can be misleading if the comparison dates fall on different days of the week.</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composition of average deposits and the average rates paid on those deposits is represented in the table entitled “Distribution of Assets, Liabilities and Shareholders' Equity; Interest Rate and Interest Differential” which is included earlier in this discussion. The Company does not have any significant deposits from foreign depositors.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Maturities of Certificates of Deposit as of December 31, 2020</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9"/>
        </w:trPr>
        <w:tc>
          <w:tcPr>
            <w:tcW w:w="5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$100 to Less</w:t>
            </w:r>
          </w:p>
        </w:tc>
        <w:tc>
          <w:tcPr>
            <w:tcW w:w="240" w:type="dxa"/>
            <w:vAlign w:val="bottom"/>
          </w:tcPr>
          <w:p>
            <w:pPr>
              <w:spacing w:after="0"/>
              <w:rPr>
                <w:sz w:val="24"/>
                <w:szCs w:val="24"/>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$250 or</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$100 or Less</w:t>
            </w: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Than $250</w:t>
            </w:r>
          </w:p>
        </w:tc>
        <w:tc>
          <w:tcPr>
            <w:tcW w:w="24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More</w:t>
            </w:r>
          </w:p>
        </w:tc>
        <w:tc>
          <w:tcPr>
            <w:tcW w:w="28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1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Three months or less</w:t>
            </w:r>
          </w:p>
        </w:tc>
        <w:tc>
          <w:tcPr>
            <w:tcW w:w="420" w:type="dxa"/>
            <w:vAlign w:val="bottom"/>
            <w:shd w:val="clear" w:color="auto" w:fill="B2B2B2"/>
          </w:tcPr>
          <w:p>
            <w:pPr>
              <w:spacing w:after="0"/>
              <w:rPr>
                <w:sz w:val="18"/>
                <w:szCs w:val="18"/>
                <w:color w:val="auto"/>
              </w:rPr>
            </w:pPr>
          </w:p>
        </w:tc>
        <w:tc>
          <w:tcPr>
            <w:tcW w:w="1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right w:val="single" w:sz="8" w:color="B2B2B2"/>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16,302</w:t>
            </w:r>
          </w:p>
        </w:tc>
        <w:tc>
          <w:tcPr>
            <w:tcW w:w="100" w:type="dxa"/>
            <w:vAlign w:val="bottom"/>
            <w:shd w:val="clear" w:color="auto" w:fill="B2B2B2"/>
          </w:tcPr>
          <w:p>
            <w:pPr>
              <w:spacing w:after="0"/>
              <w:rPr>
                <w:sz w:val="18"/>
                <w:szCs w:val="18"/>
                <w:color w:val="auto"/>
              </w:rPr>
            </w:pPr>
          </w:p>
        </w:tc>
        <w:tc>
          <w:tcPr>
            <w:tcW w:w="240" w:type="dxa"/>
            <w:vAlign w:val="bottom"/>
            <w:tcBorders>
              <w:top w:val="single" w:sz="8" w:color="auto"/>
            </w:tcBorders>
            <w:shd w:val="clear" w:color="auto" w:fill="B2B2B2"/>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right w:val="single" w:sz="8" w:color="B2B2B2"/>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1,187</w:t>
            </w:r>
          </w:p>
        </w:tc>
        <w:tc>
          <w:tcPr>
            <w:tcW w:w="280" w:type="dxa"/>
            <w:vAlign w:val="bottom"/>
            <w:tcBorders>
              <w:top w:val="single" w:sz="8" w:color="auto"/>
            </w:tcBorders>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18,502</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Three to six months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7,168</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20" w:type="dxa"/>
            <w:vAlign w:val="bottom"/>
          </w:tcPr>
          <w:p>
            <w:pPr>
              <w:spacing w:after="0"/>
              <w:rPr>
                <w:sz w:val="18"/>
                <w:szCs w:val="18"/>
                <w:color w:val="auto"/>
              </w:rPr>
            </w:pPr>
          </w:p>
        </w:tc>
      </w:tr>
      <w:tr>
        <w:trPr>
          <w:trHeight w:val="216"/>
        </w:trPr>
        <w:tc>
          <w:tcPr>
            <w:tcW w:w="51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Six to twelve months</w:t>
            </w:r>
          </w:p>
        </w:tc>
        <w:tc>
          <w:tcPr>
            <w:tcW w:w="4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340" w:type="dxa"/>
            <w:vAlign w:val="bottom"/>
            <w:tcBorders>
              <w:right w:val="single" w:sz="8" w:color="B2B2B2"/>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1,428</w:t>
            </w:r>
          </w:p>
        </w:tc>
        <w:tc>
          <w:tcPr>
            <w:tcW w:w="140" w:type="dxa"/>
            <w:vAlign w:val="bottom"/>
            <w:shd w:val="clear" w:color="auto" w:fill="B2B2B2"/>
          </w:tcPr>
          <w:p>
            <w:pPr>
              <w:spacing w:after="0"/>
              <w:rPr>
                <w:sz w:val="18"/>
                <w:szCs w:val="18"/>
                <w:color w:val="auto"/>
              </w:rPr>
            </w:pPr>
          </w:p>
        </w:tc>
        <w:tc>
          <w:tcPr>
            <w:tcW w:w="130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9,362</w:t>
            </w:r>
          </w:p>
        </w:tc>
        <w:tc>
          <w:tcPr>
            <w:tcW w:w="240" w:type="dxa"/>
            <w:vAlign w:val="bottom"/>
            <w:shd w:val="clear" w:color="auto" w:fill="B2B2B2"/>
          </w:tcPr>
          <w:p>
            <w:pPr>
              <w:spacing w:after="0"/>
              <w:rPr>
                <w:sz w:val="18"/>
                <w:szCs w:val="18"/>
                <w:color w:val="auto"/>
              </w:rPr>
            </w:pPr>
          </w:p>
        </w:tc>
        <w:tc>
          <w:tcPr>
            <w:tcW w:w="1200" w:type="dxa"/>
            <w:vAlign w:val="bottom"/>
            <w:tcBorders>
              <w:right w:val="single" w:sz="8" w:color="B2B2B2"/>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2,326</w:t>
            </w: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Over twelve months</w:t>
            </w: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1,295</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6,215</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16,410</w:t>
            </w:r>
          </w:p>
        </w:tc>
        <w:tc>
          <w:tcPr>
            <w:tcW w:w="20" w:type="dxa"/>
            <w:vAlign w:val="bottom"/>
          </w:tcPr>
          <w:p>
            <w:pPr>
              <w:spacing w:after="0"/>
              <w:rPr>
                <w:sz w:val="18"/>
                <w:szCs w:val="18"/>
                <w:color w:val="auto"/>
              </w:rPr>
            </w:pPr>
          </w:p>
        </w:tc>
      </w:tr>
      <w:tr>
        <w:trPr>
          <w:trHeight w:val="230"/>
        </w:trPr>
        <w:tc>
          <w:tcPr>
            <w:tcW w:w="51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B2B2B2"/>
          </w:tcPr>
          <w:p>
            <w:pPr>
              <w:spacing w:after="0"/>
              <w:rPr>
                <w:sz w:val="19"/>
                <w:szCs w:val="19"/>
                <w:color w:val="auto"/>
              </w:rPr>
            </w:pPr>
          </w:p>
        </w:tc>
        <w:tc>
          <w:tcPr>
            <w:tcW w:w="1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B2B2B2"/>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4,091</w:t>
            </w:r>
          </w:p>
        </w:tc>
        <w:tc>
          <w:tcPr>
            <w:tcW w:w="1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34,998</w:t>
            </w:r>
          </w:p>
        </w:tc>
        <w:tc>
          <w:tcPr>
            <w:tcW w:w="240" w:type="dxa"/>
            <w:vAlign w:val="bottom"/>
            <w:shd w:val="clear" w:color="auto" w:fill="B2B2B2"/>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B2B2B2"/>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16,896</w:t>
            </w:r>
          </w:p>
        </w:tc>
        <w:tc>
          <w:tcPr>
            <w:tcW w:w="28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55,985</w:t>
            </w:r>
          </w:p>
        </w:tc>
        <w:tc>
          <w:tcPr>
            <w:tcW w:w="20" w:type="dxa"/>
            <w:vAlign w:val="bottom"/>
          </w:tcPr>
          <w:p>
            <w:pPr>
              <w:spacing w:after="0"/>
              <w:rPr>
                <w:sz w:val="19"/>
                <w:szCs w:val="19"/>
                <w:color w:val="auto"/>
              </w:rPr>
            </w:pPr>
          </w:p>
        </w:tc>
      </w:tr>
      <w:tr>
        <w:trPr>
          <w:trHeight w:val="20"/>
        </w:trPr>
        <w:tc>
          <w:tcPr>
            <w:tcW w:w="5100" w:type="dxa"/>
            <w:vAlign w:val="bottom"/>
            <w:tcBorders>
              <w:top w:val="single" w:sz="8" w:color="B2B2B2"/>
            </w:tcBorders>
            <w:shd w:val="clear" w:color="auto" w:fill="B2B2B2"/>
          </w:tcPr>
          <w:p>
            <w:pPr>
              <w:spacing w:after="0" w:line="20" w:lineRule="exact"/>
              <w:rPr>
                <w:sz w:val="1"/>
                <w:szCs w:val="1"/>
                <w:color w:val="auto"/>
              </w:rPr>
            </w:pPr>
          </w:p>
        </w:tc>
        <w:tc>
          <w:tcPr>
            <w:tcW w:w="420" w:type="dxa"/>
            <w:vAlign w:val="bottom"/>
            <w:tcBorders>
              <w:top w:val="single" w:sz="8" w:color="B2B2B2"/>
            </w:tcBorders>
            <w:shd w:val="clear" w:color="auto" w:fill="B2B2B2"/>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right w:val="single" w:sz="8" w:color="B2B2B2"/>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2B2B2"/>
            </w:tcBorders>
            <w:shd w:val="clear" w:color="auto" w:fill="B2B2B2"/>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B2B2B2"/>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securities and the ability to obtain funds from external sources. The Company's Asset/Liability</w:t>
      </w:r>
    </w:p>
    <w:p>
      <w:pPr>
        <w:sectPr>
          <w:pgSz w:w="11900" w:h="16838" w:orient="portrait"/>
          <w:cols w:equalWidth="0" w:num="1">
            <w:col w:w="11240"/>
          </w:cols>
          <w:pgMar w:left="320" w:top="293"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Committee (“ALCO”) has direct oversight responsibility for the Company's liquidity position and profile. Management considers both on-balance sheet and off-balance sheet items in its evaluation of liquidity.</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balances of liquid assets consist of cash and cash equivalents, which include cash and due from banks, interest-bearing deposits in other financial institutions, federal funds sold, and money market funds, totaled $670,528,000 at December 31, 2020, an increase of $466,574,000, or 229%, from December 31, 2019. The increase during 2020 is primarily attributed to government related stimulus activity and the resulting increase in cash deposits. At December 31, 2020, these assets represented 30% of total assets. Cash and cash equivalents are the Company’s and its subsidiaries’ primary source of liquidity to meet future expected and unexpected loan demand, depositor withdrawals or reductions in accounts and drafts payable.</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Secondary sources of liquidity include the investment portfolio and borrowing lines. Total investment in debt securities available-for-sale at fair value was $357,726,000 at December 31, 2020, a decrease of $64,939,000, or 15%, from December 31, 2019. These assets represented 16% of total assets at December 31, 2020 and were primarily state and political subdivision and treasury securities. Of the total portfolio, 14% mature in one year or less, 28% mature after one year through five years and 58% mature after five years.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2020, the Bank had unsecured lines of credit at correspondent banks to purchase federal funds up to a maximum of $83,000,000 at the following banks: US Bank, $20,000,000; UMB Bank $20,000,000; Wells Fargo Bank, $15,000,000; PNC Bank, $12,000,000; Frost National Bank, $10,000,000; and JPM Chase Bank, $6,000,000. As of December 31, 2020, the Bank had secured lines of credit with the Federal Home Loan Bank (“FHLB”) of $191,992,000 collateralized by commercial mortgage loans. At December 31, 2020, the Company had lines of credit from UMB Bank of $75,000,000 and First Tennessee Bank of $75,000,000 collateralized by state and political subdivision securities. Under the lines of credit discussed above, there were no amounts outstanding at December 31, 2020 and $18,000,000 outstanding at December 31, 2019. The amount outstanding at the end of the 2019 was borrowed on December 31, 2019 and repaid on January 2, 2020.</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lines of credit discussed above, as of April 21, 2020 the Bank was approved for the Federal Reserve’s Paycheck Protection Program Lending Facility. The Bank can receive non-recourse loans with the previously mentioned PPP loans pledged as collateral. The Bank can borrow an amount up to 100% of the amount of the PPP loans, which was $109,704,000 as of December 31, 2020. There was no amount outstanding at December 31, 2020 for this line of credit.</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deposits of the Company's banking subsidiary have historically been stable, consisting of a sizable volume of core deposits related to customers that utilize many other commercial products of the Bank. The accounts and drafts payable generated by the Company have also historically been a stable source of funds.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flows provided by operating activities for the years 2020, 2019 and 2018 were $47,781,000, $42,126,000, and $48,335,000, respectively. Net income plus depreciation and amortization accounts for most of the operating cash provided. Net cash flows from investing and financing activities fluctuate greatly as the Company actively manages its investment and loan portfolios and customer activity influences changes in deposit and accounts and drafts payable balances. Further analysis of the changes in these account balances is discussed earlier in this report. Due to the daily fluctuations in these account balances, management believes that the analysis of changes in average balances, also discussed earlier in this report, can be more indicative of underlying activity than the period-end balances used in the statements of cash flows. Management anticipates that cash and cash equivalents, maturing investments, cash from operations, and borrowing lines will continue to be sufficient to fund the Company’s operations and capital expenditures in 2021. The Company anticipates the annual capital expenditures for 2021 should range from $5 million to $7 million. Capital expenditures in 2021 are expected to consist of equipment and software related to the payment and information processing services business.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overall level of economic activity can have a significant impact on the Company’s ability to generate revenues and income, as the volume and size of customer invoices processed may increase or decrease. Lower levels of economic activity decrease both fee income (as fewer invoices are processed) and balances of accounts and drafts payable generated (as fewer invoices are processed) from the Company’s transportation customers.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and reduce liquidity.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 During 2020, new business was added in both the transportation and facility expense management operations, driven by both successful marketing efforts and the solid market leadership position held by Cass.</w:t>
      </w:r>
    </w:p>
    <w:p>
      <w:pPr>
        <w:spacing w:after="0" w:line="1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fiscal 2020, the actions taken by state and local governments to reduce the spread of the COVID-19 pandemic impacted the Company’s financial condition. For a discussion of trends and impacts to liquidity relating to COVID-19, refer to Note 1 “Basis of Presentation.”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of management’s primary objectives is to maintain a strong capital base to warrant the confidence of customers, shareholders, and bank regulatory agencies. A strong capital base is needed to take advantage of profitable growth opportunities that arise and to provide assurance to depositors and creditors. The Company and its banking subsidiary continue to exceed all regulatory capital requirements, as evidenced by the capital ratios at December 31, 2020 as shown in Item 8, Note 2 of this report.</w:t>
      </w:r>
    </w:p>
    <w:p>
      <w:pPr>
        <w:spacing w:after="0" w:line="1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2020, cash dividends paid were $1.08 per share for a total of $15,599,000, an increase of $365,000, or 2%, compared to $1.05 per share for a total of $15,234,000 in 2019. The increase is attributable to the per-share amount paid.</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equity was $261,160,000, or 12% of total assets, at December 31, 2020, an increase of $16,970,000 over the balance at December 31, 2019. This increase resulted primarily from net income of $25,176,000 and a decrease in other comprehensive loss of $13,905,000. This increase was partially offset by cash dividends of $15,599,000 and the repurchase of treasury shares of $6,825,000.</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from the Bank are a source of funds for payment of dividends by the Company to its shareholders. The only restrictions on dividends are those dictated by regulatory capital requirements, state corporate laws and prudent and sound banking principles. As of December 31, 2020, unappropriated retained earnings of $48,680,000 were available at the Bank for the declaration of dividends to the Company without prior approval from regulatory authorities.</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a treasury stock buyback program pursuant to which the Board of Directors has authorized the repurchase of up to 500,000 shares of the Company’s common stock. The Company repurchased 162,901 shares at an aggregate cost of $6,825,000 during the year ended December 31, 2020 and 154,593 shares at an aggregate cost of $7,799,000 during the year ended December 31, 2019. As of December 31, 2020, 465,878 shares remained available for repurchase under the program. In October 2020, the Board restored the capacity of the buyback program to 500,000 shares. A portion of the repurchased shares may be used for the Company's employee benefit plans, and the balance will be available for other general corporate purposes. The stock repurchase authorization does not have an expiration date and the pace of repurchase activity will depend on factors such as levels of cash generation from operations, cash requirements for investments, repayment of debt, current stock price, business and market conditions, and other factors. The Company may repurchase shares from time to time on the open market or in private transactions, including structured transactions. The stock repurchase program may be modified or discontinued at any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Contractual Obligations and Off-Balance Sheet Arrangements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is party to activities that involve credit, market and operational risk that are not reflected in whole or in part in the Company’s consolidated financial statements. Such activities include traditional off-balance sheet credit-related financial instruments.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December 31, 2020, an allowance for unfunded commitments of $567,000 had been recorded. See Item 7, “Management’s Discussion and Analysis of Financial Condition and Results of Operations— Provision and Allowance for Credit Losses and Unfunded Commitments”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Commercial and standby letters of credit are conditional commitments issued by the Company or its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guarantee the performance of a customer to a third party. These off-balance sheet financial instruments generally have fixed expiration dates or other termination clauses and may require payment of a fee. At December 31, 2020, the balance of loan commitments, standby and commercial letters of credit were $192,916,000, $10,609,000 and $955,000,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its guarantees on these financial instruments. See Note 14 – Disclosures about Fair Value of Financial Instruments for more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contractual cash obligations of the Company related to time deposits at December 31,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Amount of Commitment Expiration per Period</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87"/>
        </w:trPr>
        <w:tc>
          <w:tcPr>
            <w:tcW w:w="3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280" w:type="dxa"/>
            <w:vAlign w:val="bottom"/>
          </w:tcPr>
          <w:p>
            <w:pPr>
              <w:spacing w:after="0"/>
              <w:rPr>
                <w:sz w:val="16"/>
                <w:szCs w:val="16"/>
                <w:color w:val="auto"/>
              </w:rPr>
            </w:pPr>
          </w:p>
        </w:tc>
        <w:tc>
          <w:tcPr>
            <w:tcW w:w="8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1-3</w:t>
            </w:r>
          </w:p>
        </w:tc>
        <w:tc>
          <w:tcPr>
            <w:tcW w:w="300" w:type="dxa"/>
            <w:vAlign w:val="bottom"/>
          </w:tcPr>
          <w:p>
            <w:pPr>
              <w:spacing w:after="0"/>
              <w:rPr>
                <w:sz w:val="16"/>
                <w:szCs w:val="16"/>
                <w:color w:val="auto"/>
              </w:rPr>
            </w:pPr>
          </w:p>
        </w:tc>
        <w:tc>
          <w:tcPr>
            <w:tcW w:w="940" w:type="dxa"/>
            <w:vAlign w:val="bottom"/>
          </w:tcPr>
          <w:p>
            <w:pPr>
              <w:jc w:val="right"/>
              <w:ind w:right="450"/>
              <w:spacing w:after="0" w:line="188" w:lineRule="exact"/>
              <w:rPr>
                <w:sz w:val="20"/>
                <w:szCs w:val="20"/>
                <w:color w:val="auto"/>
              </w:rPr>
            </w:pPr>
            <w:r>
              <w:rPr>
                <w:rFonts w:ascii="Times New Roman" w:cs="Times New Roman" w:eastAsia="Times New Roman" w:hAnsi="Times New Roman"/>
                <w:sz w:val="18"/>
                <w:szCs w:val="18"/>
                <w:b w:val="1"/>
                <w:bCs w:val="1"/>
                <w:color w:val="auto"/>
              </w:rPr>
              <w:t>3-5</w:t>
            </w:r>
          </w:p>
        </w:tc>
        <w:tc>
          <w:tcPr>
            <w:tcW w:w="240" w:type="dxa"/>
            <w:vAlign w:val="bottom"/>
          </w:tcPr>
          <w:p>
            <w:pPr>
              <w:spacing w:after="0"/>
              <w:rPr>
                <w:sz w:val="16"/>
                <w:szCs w:val="16"/>
                <w:color w:val="auto"/>
              </w:rPr>
            </w:pPr>
          </w:p>
        </w:tc>
        <w:tc>
          <w:tcPr>
            <w:tcW w:w="88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Over</w:t>
            </w:r>
          </w:p>
        </w:tc>
        <w:tc>
          <w:tcPr>
            <w:tcW w:w="20" w:type="dxa"/>
            <w:vAlign w:val="bottom"/>
          </w:tcPr>
          <w:p>
            <w:pPr>
              <w:spacing w:after="0"/>
              <w:rPr>
                <w:sz w:val="16"/>
                <w:szCs w:val="16"/>
                <w:color w:val="auto"/>
              </w:rPr>
            </w:pPr>
          </w:p>
        </w:tc>
      </w:tr>
      <w:tr>
        <w:trPr>
          <w:trHeight w:val="245"/>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1"/>
                <w:szCs w:val="21"/>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80" w:type="dxa"/>
            <w:vAlign w:val="bottom"/>
          </w:tcPr>
          <w:p>
            <w:pPr>
              <w:spacing w:after="0"/>
              <w:rPr>
                <w:sz w:val="21"/>
                <w:szCs w:val="21"/>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300" w:type="dxa"/>
            <w:vAlign w:val="bottom"/>
          </w:tcPr>
          <w:p>
            <w:pPr>
              <w:spacing w:after="0"/>
              <w:rPr>
                <w:sz w:val="21"/>
                <w:szCs w:val="21"/>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tcPr>
          <w:p>
            <w:pPr>
              <w:spacing w:after="0"/>
              <w:rPr>
                <w:sz w:val="21"/>
                <w:szCs w:val="21"/>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5 Years</w:t>
            </w:r>
          </w:p>
        </w:tc>
      </w:tr>
      <w:tr>
        <w:trPr>
          <w:trHeight w:val="216"/>
        </w:trPr>
        <w:tc>
          <w:tcPr>
            <w:tcW w:w="3160" w:type="dxa"/>
            <w:vAlign w:val="bottom"/>
            <w:tcBorders>
              <w:top w:val="single" w:sz="8" w:color="auto"/>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260" w:type="dxa"/>
            <w:vAlign w:val="bottom"/>
            <w:tcBorders>
              <w:top w:val="single" w:sz="8" w:color="auto"/>
              <w:bottom w:val="single" w:sz="8" w:color="auto"/>
            </w:tcBorders>
            <w:gridSpan w:val="2"/>
            <w:shd w:val="clear" w:color="auto" w:fill="B2B2B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55,985</w:t>
            </w:r>
          </w:p>
        </w:tc>
        <w:tc>
          <w:tcPr>
            <w:tcW w:w="2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39,575</w:t>
            </w:r>
          </w:p>
        </w:tc>
        <w:tc>
          <w:tcPr>
            <w:tcW w:w="2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B2B2B2"/>
          </w:tcPr>
          <w:p>
            <w:pPr>
              <w:ind w:left="160"/>
              <w:spacing w:after="0"/>
              <w:rPr>
                <w:sz w:val="20"/>
                <w:szCs w:val="20"/>
                <w:color w:val="auto"/>
              </w:rPr>
            </w:pPr>
            <w:r>
              <w:rPr>
                <w:rFonts w:ascii="Times New Roman" w:cs="Times New Roman" w:eastAsia="Times New Roman" w:hAnsi="Times New Roman"/>
                <w:sz w:val="18"/>
                <w:szCs w:val="18"/>
                <w:color w:val="auto"/>
              </w:rPr>
              <w:t>16,362</w:t>
            </w:r>
          </w:p>
        </w:tc>
        <w:tc>
          <w:tcPr>
            <w:tcW w:w="3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B2B2B2"/>
          </w:tcPr>
          <w:p>
            <w:pPr>
              <w:jc w:val="right"/>
              <w:ind w:right="19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160" w:type="dxa"/>
            <w:vAlign w:val="bottom"/>
            <w:tcBorders>
              <w:bottom w:val="single" w:sz="8" w:color="auto"/>
            </w:tcBorders>
          </w:tcPr>
          <w:p>
            <w:pPr>
              <w:ind w:left="28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auto"/>
            </w:tcBorders>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55,985</w:t>
            </w:r>
          </w:p>
        </w:tc>
        <w:tc>
          <w:tcPr>
            <w:tcW w:w="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39,575</w:t>
            </w:r>
          </w:p>
        </w:tc>
        <w:tc>
          <w:tcPr>
            <w:tcW w:w="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ind w:left="160"/>
              <w:spacing w:after="0" w:line="196" w:lineRule="exact"/>
              <w:rPr>
                <w:sz w:val="20"/>
                <w:szCs w:val="20"/>
                <w:color w:val="auto"/>
              </w:rPr>
            </w:pPr>
            <w:r>
              <w:rPr>
                <w:rFonts w:ascii="Times New Roman" w:cs="Times New Roman" w:eastAsia="Times New Roman" w:hAnsi="Times New Roman"/>
                <w:sz w:val="18"/>
                <w:szCs w:val="18"/>
                <w:color w:val="auto"/>
              </w:rPr>
              <w:t>16,362</w:t>
            </w:r>
          </w:p>
        </w:tc>
        <w:tc>
          <w:tcPr>
            <w:tcW w:w="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8"/>
                <w:szCs w:val="18"/>
                <w:color w:val="auto"/>
              </w:rPr>
            </w:pPr>
          </w:p>
        </w:tc>
      </w:tr>
    </w:tbl>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2020, the Company made no contribution to its noncontributory defined benefit pension plan. In determining pension expense, the Company makes several assumptions, including the discount rate and long-term rate of return on assets. These assumptions are determined at the beginning of the plan year based on interest rate levels and financial market performance.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For 2020, these assumptions were as follows:</w:t>
            </w:r>
          </w:p>
        </w:tc>
        <w:tc>
          <w:tcPr>
            <w:tcW w:w="2000" w:type="dxa"/>
            <w:vAlign w:val="bottom"/>
          </w:tcPr>
          <w:p>
            <w:pPr>
              <w:spacing w:after="0"/>
              <w:rPr>
                <w:sz w:val="20"/>
                <w:szCs w:val="20"/>
                <w:color w:val="auto"/>
              </w:rPr>
            </w:pPr>
          </w:p>
        </w:tc>
      </w:tr>
      <w:tr>
        <w:trPr>
          <w:trHeight w:val="398"/>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2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16"/>
        </w:trPr>
        <w:tc>
          <w:tcPr>
            <w:tcW w:w="47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2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r>
      <w:tr>
        <w:trPr>
          <w:trHeight w:val="223"/>
        </w:trPr>
        <w:tc>
          <w:tcPr>
            <w:tcW w:w="4740" w:type="dxa"/>
            <w:vAlign w:val="bottom"/>
            <w:tcBorders>
              <w:bottom w:val="single" w:sz="8" w:color="auto"/>
            </w:tcBorders>
            <w:shd w:val="clear" w:color="auto" w:fill="B2B2B2"/>
          </w:tcPr>
          <w:p>
            <w:pPr>
              <w:spacing w:after="0" w:line="202" w:lineRule="exact"/>
              <w:rPr>
                <w:sz w:val="20"/>
                <w:szCs w:val="20"/>
                <w:color w:val="auto"/>
              </w:rPr>
            </w:pPr>
            <w:r>
              <w:rPr>
                <w:rFonts w:ascii="Times New Roman" w:cs="Times New Roman" w:eastAsia="Times New Roman" w:hAnsi="Times New Roman"/>
                <w:sz w:val="18"/>
                <w:szCs w:val="18"/>
                <w:color w:val="auto"/>
              </w:rPr>
              <w:t>Expected long-term rate of return on assets</w:t>
            </w:r>
          </w:p>
        </w:tc>
        <w:tc>
          <w:tcPr>
            <w:tcW w:w="200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6.50%</w:t>
            </w: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6.00% graded down to 3.25% over the first seven years of service.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faces market risk to the extent that its net interest income and its fair market value of equity are affected by changes in market interest rates. The asset/liability management discipline as applied by the Company seeks to limit the volatility, to the extent possible, of both net interest income and the fair market value of equity that can result from changes in market interest rates. This is accomplished by limiting the concentration of maturities of fixed rate investments, loans, and deposits; matching fixed rate assets and liabilities to the extent possible; and optimizing the mix of fees and net interest income. However, as discussed below, the Company's asset/liability position often differs significantly from most other financial holding companies with significant positive cumulative "gaps" shown for each time horizon presented. This asset sensitive position is caused primarily by the operations of the Company, which generate large balances of accounts and drafts payable. These balances, which are noninterest bearing, contribute to the Company’s historical high net interest margin but cause the Company to become susceptible to changes in interest rates, with a decreasing net interest margin and fair market value of equity in periods of declining, like the Company is currently experiencing, interest rates and an increasing net interest margin and fair market value of equity in periods of rising interest rates.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ALCO measures the Company's interest rate risk sensitivity on a quarterly basis to monitor and manage the variability of earnings and fair market value of equity in various interest rate environments. The ALCO evaluates the Company's risk position to determine whether the level of exposure is significant enough to hedge a potential decline in earnings and value or whether the Company can safely increase risk to enhance returns. The ALCO uses gap reports, 12-month net interest income simulations, and fair market value of equity analyses as its main analytical tools to provide management with insight into the Company's exposure to changing interest rates.</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uses a gap report to review any significant mismatch between the re-pricing points of the Company’s rate sensitive assets and liabilities in certain time horizons. A negative gap indicates that more liabilities re-price in that particular time frame and, if rates rise, these liabilities will re-price faster than the assets. A positive gap would indicate the opposite. Gap reports can be misleading in that they capture only the re-pricing timing within the balance sheet, and fail to capture other significant risks such as basis risk and embedded options risk. Basis risk involves the potential for the spread relationship between rates to change under different rate environments and embedded options risk relates to the potential for the alteration of the level and/or timing of cash flows given changes in rates.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Another measurement tool used by management is net interest income simulation, which forecasts net interest income during the coming 12 months under different interest rate scenarios in order to quantify potential changes in short-term accounting income. Management has set policy limits specifying acceptable levels of interest rate risk given multiple simulated rate movements. These simulations are more informative than gap reports because they are able to capture more of the dynamics within the balance sheet, such as basis risk and embedded options risk. A table containing simulation results as of December 31, 2020, from an immediate and sustained parallel change in interest rates is shown below.</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net interest income simulations do an adequate job of capturing interest rate risk to short term earnings, they do not capture risk within the current balance sheet beyond 12 months. The Company uses fair market value of equity analyses to help identify longer-term risk that may reside on the current balance sheet. The fair market value of equity is represented by the present value of all future income streams generated by the current balance sheet. The Company measures the fair market value of equity as the net present value of all asset and liability cash flows discounted at forward rates suggested by the current U.S. Treasury curve plus appropriate credit spreads. This representation of the change in the fair market value of equity under different rate scenarios gives insight into the magnitude of risk to future earnings due to rate changes. Management has set policy limits relating to declines in the market value of equity. The economic impact of the COVID-19 pandemic has introduced significant uncertainty and market volatility. The table below contains the analysis, which illustrates the effects of an immediate and sustained parallel change in interest rates as of December 31,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 Interest Rates</w:t>
            </w:r>
          </w:p>
        </w:tc>
        <w:tc>
          <w:tcPr>
            <w:tcW w:w="37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 in Net Interest Income</w:t>
            </w:r>
          </w:p>
        </w:tc>
        <w:tc>
          <w:tcPr>
            <w:tcW w:w="42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 Change in Fair Market Value of Equity</w:t>
            </w:r>
          </w:p>
        </w:tc>
      </w:tr>
      <w:tr>
        <w:trPr>
          <w:trHeight w:val="216"/>
        </w:trPr>
        <w:tc>
          <w:tcPr>
            <w:tcW w:w="3200" w:type="dxa"/>
            <w:vAlign w:val="bottom"/>
            <w:shd w:val="clear" w:color="auto" w:fill="B2B2B2"/>
          </w:tcPr>
          <w:p>
            <w:pPr>
              <w:jc w:val="center"/>
              <w:spacing w:after="0"/>
              <w:rPr>
                <w:sz w:val="20"/>
                <w:szCs w:val="20"/>
                <w:color w:val="auto"/>
              </w:rPr>
            </w:pPr>
            <w:r>
              <w:rPr>
                <w:rFonts w:ascii="Times New Roman" w:cs="Times New Roman" w:eastAsia="Times New Roman" w:hAnsi="Times New Roman"/>
                <w:sz w:val="18"/>
                <w:szCs w:val="18"/>
                <w:color w:val="auto"/>
                <w:w w:val="99"/>
              </w:rPr>
              <w:t>+200 basis points</w:t>
            </w:r>
          </w:p>
        </w:tc>
        <w:tc>
          <w:tcPr>
            <w:tcW w:w="3760" w:type="dxa"/>
            <w:vAlign w:val="bottom"/>
            <w:shd w:val="clear" w:color="auto" w:fill="B2B2B2"/>
          </w:tcPr>
          <w:p>
            <w:pPr>
              <w:jc w:val="right"/>
              <w:ind w:right="1170"/>
              <w:spacing w:after="0"/>
              <w:rPr>
                <w:sz w:val="20"/>
                <w:szCs w:val="20"/>
                <w:color w:val="auto"/>
              </w:rPr>
            </w:pPr>
            <w:r>
              <w:rPr>
                <w:rFonts w:ascii="Times New Roman" w:cs="Times New Roman" w:eastAsia="Times New Roman" w:hAnsi="Times New Roman"/>
                <w:sz w:val="18"/>
                <w:szCs w:val="18"/>
                <w:color w:val="auto"/>
              </w:rPr>
              <w:t>33%</w:t>
            </w:r>
          </w:p>
        </w:tc>
        <w:tc>
          <w:tcPr>
            <w:tcW w:w="4260" w:type="dxa"/>
            <w:vAlign w:val="bottom"/>
            <w:shd w:val="clear" w:color="auto" w:fill="B2B2B2"/>
          </w:tcPr>
          <w:p>
            <w:pPr>
              <w:jc w:val="right"/>
              <w:ind w:right="167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B2B2B2"/>
          </w:tcPr>
          <w:p>
            <w:pPr>
              <w:spacing w:after="0"/>
              <w:rPr>
                <w:sz w:val="18"/>
                <w:szCs w:val="18"/>
                <w:color w:val="auto"/>
              </w:rPr>
            </w:pPr>
          </w:p>
        </w:tc>
      </w:tr>
      <w:tr>
        <w:trPr>
          <w:trHeight w:val="216"/>
        </w:trPr>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basis points</w:t>
            </w:r>
          </w:p>
        </w:tc>
        <w:tc>
          <w:tcPr>
            <w:tcW w:w="37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16%</w:t>
            </w:r>
          </w:p>
        </w:tc>
        <w:tc>
          <w:tcPr>
            <w:tcW w:w="426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r>
      <w:tr>
        <w:trPr>
          <w:trHeight w:val="216"/>
        </w:trPr>
        <w:tc>
          <w:tcPr>
            <w:tcW w:w="3200" w:type="dxa"/>
            <w:vAlign w:val="bottom"/>
            <w:shd w:val="clear" w:color="auto" w:fill="B2B2B2"/>
          </w:tcPr>
          <w:p>
            <w:pPr>
              <w:jc w:val="center"/>
              <w:spacing w:after="0"/>
              <w:rPr>
                <w:sz w:val="20"/>
                <w:szCs w:val="20"/>
                <w:color w:val="auto"/>
              </w:rPr>
            </w:pPr>
            <w:r>
              <w:rPr>
                <w:rFonts w:ascii="Times New Roman" w:cs="Times New Roman" w:eastAsia="Times New Roman" w:hAnsi="Times New Roman"/>
                <w:sz w:val="18"/>
                <w:szCs w:val="18"/>
                <w:color w:val="auto"/>
                <w:w w:val="98"/>
              </w:rPr>
              <w:t>Stable rates</w:t>
            </w:r>
          </w:p>
        </w:tc>
        <w:tc>
          <w:tcPr>
            <w:tcW w:w="3760" w:type="dxa"/>
            <w:vAlign w:val="bottom"/>
            <w:shd w:val="clear" w:color="auto" w:fill="B2B2B2"/>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4280" w:type="dxa"/>
            <w:vAlign w:val="bottom"/>
            <w:gridSpan w:val="2"/>
            <w:shd w:val="clear" w:color="auto" w:fill="B2B2B2"/>
          </w:tcPr>
          <w:p>
            <w:pPr>
              <w:jc w:val="right"/>
              <w:ind w:right="1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basis points</w:t>
            </w:r>
          </w:p>
        </w:tc>
        <w:tc>
          <w:tcPr>
            <w:tcW w:w="376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(3%)</w:t>
            </w:r>
          </w:p>
        </w:tc>
        <w:tc>
          <w:tcPr>
            <w:tcW w:w="426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r>
      <w:tr>
        <w:trPr>
          <w:trHeight w:val="216"/>
        </w:trPr>
        <w:tc>
          <w:tcPr>
            <w:tcW w:w="3200" w:type="dxa"/>
            <w:vAlign w:val="bottom"/>
            <w:shd w:val="clear" w:color="auto" w:fill="B2B2B2"/>
          </w:tcPr>
          <w:p>
            <w:pPr>
              <w:jc w:val="center"/>
              <w:spacing w:after="0"/>
              <w:rPr>
                <w:sz w:val="20"/>
                <w:szCs w:val="20"/>
                <w:color w:val="auto"/>
              </w:rPr>
            </w:pPr>
            <w:r>
              <w:rPr>
                <w:rFonts w:ascii="Times New Roman" w:cs="Times New Roman" w:eastAsia="Times New Roman" w:hAnsi="Times New Roman"/>
                <w:sz w:val="18"/>
                <w:szCs w:val="18"/>
                <w:color w:val="auto"/>
                <w:w w:val="99"/>
              </w:rPr>
              <w:t>-200 basis points</w:t>
            </w:r>
          </w:p>
        </w:tc>
        <w:tc>
          <w:tcPr>
            <w:tcW w:w="3760" w:type="dxa"/>
            <w:vAlign w:val="bottom"/>
            <w:shd w:val="clear" w:color="auto" w:fill="B2B2B2"/>
          </w:tcPr>
          <w:p>
            <w:pPr>
              <w:jc w:val="right"/>
              <w:ind w:right="1110"/>
              <w:spacing w:after="0"/>
              <w:rPr>
                <w:sz w:val="20"/>
                <w:szCs w:val="20"/>
                <w:color w:val="auto"/>
              </w:rPr>
            </w:pPr>
            <w:r>
              <w:rPr>
                <w:rFonts w:ascii="Times New Roman" w:cs="Times New Roman" w:eastAsia="Times New Roman" w:hAnsi="Times New Roman"/>
                <w:sz w:val="18"/>
                <w:szCs w:val="18"/>
                <w:color w:val="auto"/>
              </w:rPr>
              <w:t>(3%)</w:t>
            </w:r>
          </w:p>
        </w:tc>
        <w:tc>
          <w:tcPr>
            <w:tcW w:w="4260" w:type="dxa"/>
            <w:vAlign w:val="bottom"/>
            <w:shd w:val="clear" w:color="auto" w:fill="B2B2B2"/>
          </w:tcPr>
          <w:p>
            <w:pPr>
              <w:jc w:val="right"/>
              <w:ind w:right="161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B2B2B2"/>
          </w:tcPr>
          <w:p>
            <w:pPr>
              <w:spacing w:after="0"/>
              <w:rPr>
                <w:sz w:val="18"/>
                <w:szCs w:val="18"/>
                <w:color w:val="auto"/>
              </w:rPr>
            </w:pPr>
          </w:p>
        </w:tc>
      </w:tr>
      <w:tr>
        <w:trPr>
          <w:trHeight w:val="432"/>
        </w:trPr>
        <w:tc>
          <w:tcPr>
            <w:tcW w:w="3200" w:type="dxa"/>
            <w:vAlign w:val="bottom"/>
          </w:tcPr>
          <w:p>
            <w:pPr>
              <w:spacing w:after="0"/>
              <w:rPr>
                <w:sz w:val="24"/>
                <w:szCs w:val="24"/>
                <w:color w:val="auto"/>
              </w:rPr>
            </w:pPr>
          </w:p>
        </w:tc>
        <w:tc>
          <w:tcPr>
            <w:tcW w:w="37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33</w:t>
            </w: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200" w:type="dxa"/>
            <w:vAlign w:val="bottom"/>
            <w:tcBorders>
              <w:bottom w:val="single" w:sz="8" w:color="EEEEEE"/>
            </w:tcBorders>
          </w:tcPr>
          <w:p>
            <w:pPr>
              <w:spacing w:after="0"/>
              <w:rPr>
                <w:sz w:val="18"/>
                <w:szCs w:val="18"/>
                <w:color w:val="auto"/>
              </w:rPr>
            </w:pPr>
          </w:p>
        </w:tc>
        <w:tc>
          <w:tcPr>
            <w:tcW w:w="3760" w:type="dxa"/>
            <w:vAlign w:val="bottom"/>
            <w:tcBorders>
              <w:bottom w:val="single" w:sz="8" w:color="EEEEEE"/>
            </w:tcBorders>
          </w:tcPr>
          <w:p>
            <w:pPr>
              <w:spacing w:after="0"/>
              <w:rPr>
                <w:sz w:val="18"/>
                <w:szCs w:val="18"/>
                <w:color w:val="auto"/>
              </w:rPr>
            </w:pPr>
          </w:p>
        </w:tc>
        <w:tc>
          <w:tcPr>
            <w:tcW w:w="426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Position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interest rate risk position at December 31, 2020 for the various time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Variable</w:t>
            </w:r>
          </w:p>
        </w:tc>
        <w:tc>
          <w:tcPr>
            <w:tcW w:w="28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0-90</w:t>
            </w:r>
          </w:p>
        </w:tc>
        <w:tc>
          <w:tcPr>
            <w:tcW w:w="24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91-180</w:t>
            </w:r>
          </w:p>
        </w:tc>
        <w:tc>
          <w:tcPr>
            <w:tcW w:w="24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181-364</w:t>
            </w:r>
          </w:p>
        </w:tc>
        <w:tc>
          <w:tcPr>
            <w:tcW w:w="24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w:t>
            </w:r>
          </w:p>
        </w:tc>
        <w:tc>
          <w:tcPr>
            <w:tcW w:w="200" w:type="dxa"/>
            <w:vAlign w:val="bottom"/>
          </w:tcPr>
          <w:p>
            <w:pPr>
              <w:spacing w:after="0"/>
              <w:rPr>
                <w:sz w:val="18"/>
                <w:szCs w:val="18"/>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Over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Days</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Days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Days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9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28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r>
      <w:tr>
        <w:trPr>
          <w:trHeight w:val="216"/>
        </w:trPr>
        <w:tc>
          <w:tcPr>
            <w:tcW w:w="3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940" w:type="dxa"/>
            <w:vAlign w:val="bottom"/>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Taxable</w:t>
            </w:r>
          </w:p>
        </w:tc>
        <w:tc>
          <w:tcPr>
            <w:tcW w:w="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164,783</w:t>
            </w:r>
          </w:p>
        </w:tc>
        <w:tc>
          <w:tcPr>
            <w:tcW w:w="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23,068</w:t>
            </w:r>
          </w:p>
        </w:tc>
        <w:tc>
          <w:tcPr>
            <w:tcW w:w="2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7,024</w:t>
            </w:r>
          </w:p>
        </w:tc>
        <w:tc>
          <w:tcPr>
            <w:tcW w:w="2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54,221</w:t>
            </w:r>
          </w:p>
        </w:tc>
        <w:tc>
          <w:tcPr>
            <w:tcW w:w="2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524,879</w:t>
            </w:r>
          </w:p>
        </w:tc>
        <w:tc>
          <w:tcPr>
            <w:tcW w:w="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117,701</w:t>
            </w:r>
          </w:p>
        </w:tc>
        <w:tc>
          <w:tcPr>
            <w:tcW w:w="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891,676</w:t>
            </w:r>
          </w:p>
        </w:tc>
      </w:tr>
      <w:tr>
        <w:trPr>
          <w:trHeight w:val="216"/>
        </w:trPr>
        <w:tc>
          <w:tcPr>
            <w:tcW w:w="39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Tax-exempt</w:t>
            </w: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940" w:type="dxa"/>
            <w:vAlign w:val="bottom"/>
            <w:shd w:val="clear" w:color="auto" w:fill="B2B2B2"/>
          </w:tcPr>
          <w:p>
            <w:pPr>
              <w:ind w:left="540"/>
              <w:spacing w:after="0" w:line="256" w:lineRule="exact"/>
              <w:rPr>
                <w:sz w:val="20"/>
                <w:szCs w:val="20"/>
                <w:color w:val="auto"/>
              </w:rPr>
            </w:pPr>
            <w:r>
              <w:rPr>
                <w:rFonts w:ascii="Times New Roman" w:cs="Times New Roman" w:eastAsia="Times New Roman" w:hAnsi="Times New Roman"/>
                <w:sz w:val="18"/>
                <w:szCs w:val="18"/>
                <w:color w:val="auto"/>
              </w:rPr>
              <w:t xml:space="preserve">Investment securities </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color w:val="auto"/>
              </w:rPr>
              <w:t>:</w:t>
            </w:r>
          </w:p>
        </w:tc>
        <w:tc>
          <w:tcPr>
            <w:tcW w:w="280" w:type="dxa"/>
            <w:vAlign w:val="bottom"/>
            <w:shd w:val="clear" w:color="auto" w:fill="B2B2B2"/>
          </w:tcPr>
          <w:p>
            <w:pPr>
              <w:spacing w:after="0"/>
              <w:rPr>
                <w:sz w:val="22"/>
                <w:szCs w:val="22"/>
                <w:color w:val="auto"/>
              </w:rPr>
            </w:pPr>
          </w:p>
        </w:tc>
        <w:tc>
          <w:tcPr>
            <w:tcW w:w="840" w:type="dxa"/>
            <w:vAlign w:val="bottom"/>
            <w:shd w:val="clear" w:color="auto" w:fill="B2B2B2"/>
          </w:tcPr>
          <w:p>
            <w:pPr>
              <w:spacing w:after="0"/>
              <w:rPr>
                <w:sz w:val="22"/>
                <w:szCs w:val="22"/>
                <w:color w:val="auto"/>
              </w:rPr>
            </w:pPr>
          </w:p>
        </w:tc>
        <w:tc>
          <w:tcPr>
            <w:tcW w:w="280" w:type="dxa"/>
            <w:vAlign w:val="bottom"/>
            <w:shd w:val="clear" w:color="auto" w:fill="B2B2B2"/>
          </w:tcPr>
          <w:p>
            <w:pPr>
              <w:spacing w:after="0"/>
              <w:rPr>
                <w:sz w:val="22"/>
                <w:szCs w:val="22"/>
                <w:color w:val="auto"/>
              </w:rPr>
            </w:pPr>
          </w:p>
        </w:tc>
        <w:tc>
          <w:tcPr>
            <w:tcW w:w="760" w:type="dxa"/>
            <w:vAlign w:val="bottom"/>
            <w:shd w:val="clear" w:color="auto" w:fill="B2B2B2"/>
          </w:tcPr>
          <w:p>
            <w:pPr>
              <w:spacing w:after="0"/>
              <w:rPr>
                <w:sz w:val="22"/>
                <w:szCs w:val="22"/>
                <w:color w:val="auto"/>
              </w:rPr>
            </w:pPr>
          </w:p>
        </w:tc>
        <w:tc>
          <w:tcPr>
            <w:tcW w:w="240" w:type="dxa"/>
            <w:vAlign w:val="bottom"/>
            <w:shd w:val="clear" w:color="auto" w:fill="B2B2B2"/>
          </w:tcPr>
          <w:p>
            <w:pPr>
              <w:spacing w:after="0"/>
              <w:rPr>
                <w:sz w:val="22"/>
                <w:szCs w:val="22"/>
                <w:color w:val="auto"/>
              </w:rPr>
            </w:pPr>
          </w:p>
        </w:tc>
        <w:tc>
          <w:tcPr>
            <w:tcW w:w="760" w:type="dxa"/>
            <w:vAlign w:val="bottom"/>
            <w:shd w:val="clear" w:color="auto" w:fill="B2B2B2"/>
          </w:tcPr>
          <w:p>
            <w:pPr>
              <w:spacing w:after="0"/>
              <w:rPr>
                <w:sz w:val="22"/>
                <w:szCs w:val="22"/>
                <w:color w:val="auto"/>
              </w:rPr>
            </w:pPr>
          </w:p>
        </w:tc>
        <w:tc>
          <w:tcPr>
            <w:tcW w:w="240" w:type="dxa"/>
            <w:vAlign w:val="bottom"/>
            <w:shd w:val="clear" w:color="auto" w:fill="B2B2B2"/>
          </w:tcPr>
          <w:p>
            <w:pPr>
              <w:spacing w:after="0"/>
              <w:rPr>
                <w:sz w:val="22"/>
                <w:szCs w:val="22"/>
                <w:color w:val="auto"/>
              </w:rPr>
            </w:pPr>
          </w:p>
        </w:tc>
        <w:tc>
          <w:tcPr>
            <w:tcW w:w="840" w:type="dxa"/>
            <w:vAlign w:val="bottom"/>
            <w:shd w:val="clear" w:color="auto" w:fill="B2B2B2"/>
          </w:tcPr>
          <w:p>
            <w:pPr>
              <w:spacing w:after="0"/>
              <w:rPr>
                <w:sz w:val="22"/>
                <w:szCs w:val="22"/>
                <w:color w:val="auto"/>
              </w:rPr>
            </w:pPr>
          </w:p>
        </w:tc>
        <w:tc>
          <w:tcPr>
            <w:tcW w:w="240" w:type="dxa"/>
            <w:vAlign w:val="bottom"/>
            <w:shd w:val="clear" w:color="auto" w:fill="B2B2B2"/>
          </w:tcPr>
          <w:p>
            <w:pPr>
              <w:spacing w:after="0"/>
              <w:rPr>
                <w:sz w:val="22"/>
                <w:szCs w:val="22"/>
                <w:color w:val="auto"/>
              </w:rPr>
            </w:pPr>
          </w:p>
        </w:tc>
        <w:tc>
          <w:tcPr>
            <w:tcW w:w="82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880" w:type="dxa"/>
            <w:vAlign w:val="bottom"/>
            <w:shd w:val="clear" w:color="auto" w:fill="B2B2B2"/>
          </w:tcPr>
          <w:p>
            <w:pPr>
              <w:spacing w:after="0"/>
              <w:rPr>
                <w:sz w:val="22"/>
                <w:szCs w:val="22"/>
                <w:color w:val="auto"/>
              </w:rPr>
            </w:pPr>
          </w:p>
        </w:tc>
        <w:tc>
          <w:tcPr>
            <w:tcW w:w="180" w:type="dxa"/>
            <w:vAlign w:val="bottom"/>
            <w:shd w:val="clear" w:color="auto" w:fill="B2B2B2"/>
          </w:tcPr>
          <w:p>
            <w:pPr>
              <w:spacing w:after="0"/>
              <w:rPr>
                <w:sz w:val="22"/>
                <w:szCs w:val="22"/>
                <w:color w:val="auto"/>
              </w:rPr>
            </w:pPr>
          </w:p>
        </w:tc>
        <w:tc>
          <w:tcPr>
            <w:tcW w:w="740" w:type="dxa"/>
            <w:vAlign w:val="bottom"/>
            <w:shd w:val="clear" w:color="auto" w:fill="B2B2B2"/>
          </w:tcPr>
          <w:p>
            <w:pPr>
              <w:spacing w:after="0"/>
              <w:rPr>
                <w:sz w:val="22"/>
                <w:szCs w:val="22"/>
                <w:color w:val="auto"/>
              </w:rPr>
            </w:pPr>
          </w:p>
        </w:tc>
      </w:tr>
      <w:tr>
        <w:trPr>
          <w:trHeight w:val="216"/>
        </w:trPr>
        <w:tc>
          <w:tcPr>
            <w:tcW w:w="39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Tax-exempt</w:t>
            </w: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6,457</w:t>
            </w:r>
          </w:p>
        </w:tc>
        <w:tc>
          <w:tcPr>
            <w:tcW w:w="2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3,158</w:t>
            </w:r>
          </w:p>
        </w:tc>
        <w:tc>
          <w:tcPr>
            <w:tcW w:w="24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15,049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100,257</w:t>
            </w: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181,053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305,974</w:t>
            </w:r>
          </w:p>
        </w:tc>
      </w:tr>
      <w:tr>
        <w:trPr>
          <w:trHeight w:val="216"/>
        </w:trPr>
        <w:tc>
          <w:tcPr>
            <w:tcW w:w="3940" w:type="dxa"/>
            <w:vAlign w:val="bottom"/>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U.S. government agencies</w:t>
            </w:r>
          </w:p>
        </w:tc>
        <w:tc>
          <w:tcPr>
            <w:tcW w:w="280" w:type="dxa"/>
            <w:vAlign w:val="bottom"/>
            <w:shd w:val="clear" w:color="auto" w:fill="B2B2B2"/>
          </w:tcPr>
          <w:p>
            <w:pPr>
              <w:spacing w:after="0"/>
              <w:rPr>
                <w:sz w:val="18"/>
                <w:szCs w:val="18"/>
                <w:color w:val="auto"/>
              </w:rPr>
            </w:pPr>
          </w:p>
        </w:tc>
        <w:tc>
          <w:tcPr>
            <w:tcW w:w="8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2B2B2"/>
          </w:tcPr>
          <w:p>
            <w:pPr>
              <w:spacing w:after="0"/>
              <w:rPr>
                <w:sz w:val="18"/>
                <w:szCs w:val="18"/>
                <w:color w:val="auto"/>
              </w:rPr>
            </w:pPr>
          </w:p>
        </w:tc>
        <w:tc>
          <w:tcPr>
            <w:tcW w:w="7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7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84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26,025</w:t>
            </w:r>
          </w:p>
        </w:tc>
        <w:tc>
          <w:tcPr>
            <w:tcW w:w="18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26,734</w:t>
            </w:r>
          </w:p>
        </w:tc>
      </w:tr>
      <w:tr>
        <w:trPr>
          <w:trHeight w:val="198"/>
        </w:trPr>
        <w:tc>
          <w:tcPr>
            <w:tcW w:w="3940" w:type="dxa"/>
            <w:vAlign w:val="bottom"/>
          </w:tcPr>
          <w:p>
            <w:pPr>
              <w:ind w:left="820"/>
              <w:spacing w:after="0" w:line="198" w:lineRule="exact"/>
              <w:rPr>
                <w:sz w:val="20"/>
                <w:szCs w:val="20"/>
                <w:color w:val="auto"/>
              </w:rPr>
            </w:pPr>
            <w:r>
              <w:rPr>
                <w:rFonts w:ascii="Times New Roman" w:cs="Times New Roman" w:eastAsia="Times New Roman" w:hAnsi="Times New Roman"/>
                <w:sz w:val="18"/>
                <w:szCs w:val="18"/>
                <w:color w:val="auto"/>
              </w:rPr>
              <w:t>Treasuries</w:t>
            </w:r>
          </w:p>
        </w:tc>
        <w:tc>
          <w:tcPr>
            <w:tcW w:w="280" w:type="dxa"/>
            <w:vAlign w:val="bottom"/>
          </w:tcPr>
          <w:p>
            <w:pPr>
              <w:spacing w:after="0"/>
              <w:rPr>
                <w:sz w:val="17"/>
                <w:szCs w:val="17"/>
                <w:color w:val="auto"/>
              </w:rPr>
            </w:pPr>
          </w:p>
        </w:tc>
        <w:tc>
          <w:tcPr>
            <w:tcW w:w="8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25,018</w:t>
            </w:r>
          </w:p>
        </w:tc>
        <w:tc>
          <w:tcPr>
            <w:tcW w:w="240" w:type="dxa"/>
            <w:vAlign w:val="bottom"/>
          </w:tcPr>
          <w:p>
            <w:pPr>
              <w:spacing w:after="0"/>
              <w:rPr>
                <w:sz w:val="17"/>
                <w:szCs w:val="17"/>
                <w:color w:val="auto"/>
              </w:rPr>
            </w:pPr>
          </w:p>
        </w:tc>
        <w:tc>
          <w:tcPr>
            <w:tcW w:w="76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8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25,018</w:t>
            </w:r>
          </w:p>
        </w:tc>
      </w:tr>
      <w:tr>
        <w:trPr>
          <w:trHeight w:val="234"/>
        </w:trPr>
        <w:tc>
          <w:tcPr>
            <w:tcW w:w="3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Investments in the FHLB and FRB</w:t>
            </w:r>
          </w:p>
        </w:tc>
        <w:tc>
          <w:tcPr>
            <w:tcW w:w="2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1,381</w:t>
            </w:r>
          </w:p>
        </w:tc>
        <w:tc>
          <w:tcPr>
            <w:tcW w:w="2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198"/>
        </w:trPr>
        <w:tc>
          <w:tcPr>
            <w:tcW w:w="3940" w:type="dxa"/>
            <w:vAlign w:val="bottom"/>
            <w:shd w:val="clear" w:color="auto" w:fill="B2B2B2"/>
          </w:tcPr>
          <w:p>
            <w:pPr>
              <w:ind w:left="540"/>
              <w:spacing w:after="0" w:line="198" w:lineRule="exact"/>
              <w:rPr>
                <w:sz w:val="20"/>
                <w:szCs w:val="20"/>
                <w:color w:val="auto"/>
              </w:rPr>
            </w:pPr>
            <w:r>
              <w:rPr>
                <w:rFonts w:ascii="Times New Roman" w:cs="Times New Roman" w:eastAsia="Times New Roman" w:hAnsi="Times New Roman"/>
                <w:sz w:val="18"/>
                <w:szCs w:val="18"/>
                <w:color w:val="auto"/>
              </w:rPr>
              <w:t>Federal funds sold and other short-term</w:t>
            </w:r>
          </w:p>
        </w:tc>
        <w:tc>
          <w:tcPr>
            <w:tcW w:w="280" w:type="dxa"/>
            <w:vAlign w:val="bottom"/>
            <w:shd w:val="clear" w:color="auto" w:fill="B2B2B2"/>
          </w:tcPr>
          <w:p>
            <w:pPr>
              <w:spacing w:after="0"/>
              <w:rPr>
                <w:sz w:val="17"/>
                <w:szCs w:val="17"/>
                <w:color w:val="auto"/>
              </w:rPr>
            </w:pPr>
          </w:p>
        </w:tc>
        <w:tc>
          <w:tcPr>
            <w:tcW w:w="840" w:type="dxa"/>
            <w:vAlign w:val="bottom"/>
            <w:shd w:val="clear" w:color="auto" w:fill="B2B2B2"/>
          </w:tcPr>
          <w:p>
            <w:pPr>
              <w:spacing w:after="0"/>
              <w:rPr>
                <w:sz w:val="17"/>
                <w:szCs w:val="17"/>
                <w:color w:val="auto"/>
              </w:rPr>
            </w:pPr>
          </w:p>
        </w:tc>
        <w:tc>
          <w:tcPr>
            <w:tcW w:w="280" w:type="dxa"/>
            <w:vAlign w:val="bottom"/>
            <w:shd w:val="clear" w:color="auto" w:fill="B2B2B2"/>
          </w:tcPr>
          <w:p>
            <w:pPr>
              <w:spacing w:after="0"/>
              <w:rPr>
                <w:sz w:val="17"/>
                <w:szCs w:val="17"/>
                <w:color w:val="auto"/>
              </w:rPr>
            </w:pPr>
          </w:p>
        </w:tc>
        <w:tc>
          <w:tcPr>
            <w:tcW w:w="760" w:type="dxa"/>
            <w:vAlign w:val="bottom"/>
            <w:shd w:val="clear" w:color="auto" w:fill="B2B2B2"/>
          </w:tcPr>
          <w:p>
            <w:pPr>
              <w:spacing w:after="0"/>
              <w:rPr>
                <w:sz w:val="17"/>
                <w:szCs w:val="17"/>
                <w:color w:val="auto"/>
              </w:rPr>
            </w:pPr>
          </w:p>
        </w:tc>
        <w:tc>
          <w:tcPr>
            <w:tcW w:w="240" w:type="dxa"/>
            <w:vAlign w:val="bottom"/>
            <w:shd w:val="clear" w:color="auto" w:fill="B2B2B2"/>
          </w:tcPr>
          <w:p>
            <w:pPr>
              <w:spacing w:after="0"/>
              <w:rPr>
                <w:sz w:val="17"/>
                <w:szCs w:val="17"/>
                <w:color w:val="auto"/>
              </w:rPr>
            </w:pPr>
          </w:p>
        </w:tc>
        <w:tc>
          <w:tcPr>
            <w:tcW w:w="760" w:type="dxa"/>
            <w:vAlign w:val="bottom"/>
            <w:shd w:val="clear" w:color="auto" w:fill="B2B2B2"/>
          </w:tcPr>
          <w:p>
            <w:pPr>
              <w:spacing w:after="0"/>
              <w:rPr>
                <w:sz w:val="17"/>
                <w:szCs w:val="17"/>
                <w:color w:val="auto"/>
              </w:rPr>
            </w:pPr>
          </w:p>
        </w:tc>
        <w:tc>
          <w:tcPr>
            <w:tcW w:w="240" w:type="dxa"/>
            <w:vAlign w:val="bottom"/>
            <w:shd w:val="clear" w:color="auto" w:fill="B2B2B2"/>
          </w:tcPr>
          <w:p>
            <w:pPr>
              <w:spacing w:after="0"/>
              <w:rPr>
                <w:sz w:val="17"/>
                <w:szCs w:val="17"/>
                <w:color w:val="auto"/>
              </w:rPr>
            </w:pPr>
          </w:p>
        </w:tc>
        <w:tc>
          <w:tcPr>
            <w:tcW w:w="840" w:type="dxa"/>
            <w:vAlign w:val="bottom"/>
            <w:shd w:val="clear" w:color="auto" w:fill="B2B2B2"/>
          </w:tcPr>
          <w:p>
            <w:pPr>
              <w:spacing w:after="0"/>
              <w:rPr>
                <w:sz w:val="17"/>
                <w:szCs w:val="17"/>
                <w:color w:val="auto"/>
              </w:rPr>
            </w:pPr>
          </w:p>
        </w:tc>
        <w:tc>
          <w:tcPr>
            <w:tcW w:w="24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880" w:type="dxa"/>
            <w:vAlign w:val="bottom"/>
            <w:shd w:val="clear" w:color="auto" w:fill="B2B2B2"/>
          </w:tcPr>
          <w:p>
            <w:pPr>
              <w:spacing w:after="0"/>
              <w:rPr>
                <w:sz w:val="17"/>
                <w:szCs w:val="17"/>
                <w:color w:val="auto"/>
              </w:rPr>
            </w:pPr>
          </w:p>
        </w:tc>
        <w:tc>
          <w:tcPr>
            <w:tcW w:w="180" w:type="dxa"/>
            <w:vAlign w:val="bottom"/>
            <w:shd w:val="clear" w:color="auto" w:fill="B2B2B2"/>
          </w:tcPr>
          <w:p>
            <w:pPr>
              <w:spacing w:after="0"/>
              <w:rPr>
                <w:sz w:val="17"/>
                <w:szCs w:val="17"/>
                <w:color w:val="auto"/>
              </w:rPr>
            </w:pPr>
          </w:p>
        </w:tc>
        <w:tc>
          <w:tcPr>
            <w:tcW w:w="740" w:type="dxa"/>
            <w:vAlign w:val="bottom"/>
            <w:shd w:val="clear" w:color="auto" w:fill="B2B2B2"/>
          </w:tcPr>
          <w:p>
            <w:pPr>
              <w:spacing w:after="0"/>
              <w:rPr>
                <w:sz w:val="17"/>
                <w:szCs w:val="17"/>
                <w:color w:val="auto"/>
              </w:rPr>
            </w:pPr>
          </w:p>
        </w:tc>
      </w:tr>
      <w:tr>
        <w:trPr>
          <w:trHeight w:val="234"/>
        </w:trPr>
        <w:tc>
          <w:tcPr>
            <w:tcW w:w="3940" w:type="dxa"/>
            <w:vAlign w:val="bottom"/>
            <w:tcBorders>
              <w:bottom w:val="single" w:sz="8" w:color="auto"/>
            </w:tcBorders>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Borders>
              <w:bottom w:val="single" w:sz="8" w:color="auto"/>
            </w:tcBorders>
            <w:shd w:val="clear" w:color="auto" w:fill="B2B2B2"/>
          </w:tcPr>
          <w:p>
            <w:pPr>
              <w:spacing w:after="0"/>
              <w:rPr>
                <w:sz w:val="20"/>
                <w:szCs w:val="20"/>
                <w:color w:val="auto"/>
              </w:rPr>
            </w:pPr>
          </w:p>
        </w:tc>
        <w:tc>
          <w:tcPr>
            <w:tcW w:w="84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639,543</w:t>
            </w:r>
          </w:p>
        </w:tc>
        <w:tc>
          <w:tcPr>
            <w:tcW w:w="280" w:type="dxa"/>
            <w:vAlign w:val="bottom"/>
            <w:tcBorders>
              <w:bottom w:val="single" w:sz="8" w:color="auto"/>
            </w:tcBorders>
            <w:shd w:val="clear" w:color="auto" w:fill="B2B2B2"/>
          </w:tcPr>
          <w:p>
            <w:pPr>
              <w:spacing w:after="0"/>
              <w:rPr>
                <w:sz w:val="20"/>
                <w:szCs w:val="20"/>
                <w:color w:val="auto"/>
              </w:rPr>
            </w:pPr>
          </w:p>
        </w:tc>
        <w:tc>
          <w:tcPr>
            <w:tcW w:w="76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2B2B2"/>
          </w:tcPr>
          <w:p>
            <w:pPr>
              <w:spacing w:after="0"/>
              <w:rPr>
                <w:sz w:val="20"/>
                <w:szCs w:val="20"/>
                <w:color w:val="auto"/>
              </w:rPr>
            </w:pPr>
          </w:p>
        </w:tc>
        <w:tc>
          <w:tcPr>
            <w:tcW w:w="76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2B2B2"/>
          </w:tcPr>
          <w:p>
            <w:pPr>
              <w:spacing w:after="0"/>
              <w:rPr>
                <w:sz w:val="20"/>
                <w:szCs w:val="20"/>
                <w:color w:val="auto"/>
              </w:rPr>
            </w:pPr>
          </w:p>
        </w:tc>
        <w:tc>
          <w:tcPr>
            <w:tcW w:w="84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2B2B2"/>
          </w:tcPr>
          <w:p>
            <w:pPr>
              <w:spacing w:after="0"/>
              <w:rPr>
                <w:sz w:val="20"/>
                <w:szCs w:val="20"/>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B2B2B2"/>
          </w:tcPr>
          <w:p>
            <w:pPr>
              <w:spacing w:after="0"/>
              <w:rPr>
                <w:sz w:val="20"/>
                <w:szCs w:val="20"/>
                <w:color w:val="auto"/>
              </w:rPr>
            </w:pPr>
          </w:p>
        </w:tc>
        <w:tc>
          <w:tcPr>
            <w:tcW w:w="88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B2B2B2"/>
          </w:tcPr>
          <w:p>
            <w:pPr>
              <w:spacing w:after="0"/>
              <w:rPr>
                <w:sz w:val="20"/>
                <w:szCs w:val="20"/>
                <w:color w:val="auto"/>
              </w:rPr>
            </w:pPr>
          </w:p>
        </w:tc>
        <w:tc>
          <w:tcPr>
            <w:tcW w:w="7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639,543</w:t>
            </w:r>
          </w:p>
        </w:tc>
      </w:tr>
      <w:tr>
        <w:trPr>
          <w:trHeight w:val="210"/>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805,707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54,543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10,182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69,270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625,845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324,779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1,890,326</w:t>
            </w:r>
          </w:p>
        </w:tc>
      </w:tr>
      <w:tr>
        <w:trPr>
          <w:trHeight w:val="209"/>
        </w:trPr>
        <w:tc>
          <w:tcPr>
            <w:tcW w:w="39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Interest-sensitive liabilities:</w:t>
            </w:r>
          </w:p>
        </w:tc>
        <w:tc>
          <w:tcPr>
            <w:tcW w:w="28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r>
      <w:tr>
        <w:trPr>
          <w:trHeight w:val="216"/>
        </w:trPr>
        <w:tc>
          <w:tcPr>
            <w:tcW w:w="39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Money market accounts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372,751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372,751</w:t>
            </w:r>
          </w:p>
        </w:tc>
      </w:tr>
      <w:tr>
        <w:trPr>
          <w:trHeight w:val="216"/>
        </w:trPr>
        <w:tc>
          <w:tcPr>
            <w:tcW w:w="3940" w:type="dxa"/>
            <w:vAlign w:val="bottom"/>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Now accounts</w:t>
            </w:r>
          </w:p>
        </w:tc>
        <w:tc>
          <w:tcPr>
            <w:tcW w:w="280" w:type="dxa"/>
            <w:vAlign w:val="bottom"/>
            <w:shd w:val="clear" w:color="auto" w:fill="B2B2B2"/>
          </w:tcPr>
          <w:p>
            <w:pPr>
              <w:spacing w:after="0"/>
              <w:rPr>
                <w:sz w:val="18"/>
                <w:szCs w:val="18"/>
                <w:color w:val="auto"/>
              </w:rPr>
            </w:pPr>
          </w:p>
        </w:tc>
        <w:tc>
          <w:tcPr>
            <w:tcW w:w="8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107,532</w:t>
            </w:r>
          </w:p>
        </w:tc>
        <w:tc>
          <w:tcPr>
            <w:tcW w:w="280" w:type="dxa"/>
            <w:vAlign w:val="bottom"/>
            <w:shd w:val="clear" w:color="auto" w:fill="B2B2B2"/>
          </w:tcPr>
          <w:p>
            <w:pPr>
              <w:spacing w:after="0"/>
              <w:rPr>
                <w:sz w:val="18"/>
                <w:szCs w:val="18"/>
                <w:color w:val="auto"/>
              </w:rPr>
            </w:pPr>
          </w:p>
        </w:tc>
        <w:tc>
          <w:tcPr>
            <w:tcW w:w="7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7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84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107,532</w:t>
            </w:r>
          </w:p>
        </w:tc>
      </w:tr>
      <w:tr>
        <w:trPr>
          <w:trHeight w:val="216"/>
        </w:trPr>
        <w:tc>
          <w:tcPr>
            <w:tcW w:w="39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Savings deposits</w:t>
            </w:r>
          </w:p>
        </w:tc>
        <w:tc>
          <w:tcPr>
            <w:tcW w:w="28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21,084</w:t>
            </w:r>
          </w:p>
        </w:tc>
        <w:tc>
          <w:tcPr>
            <w:tcW w:w="2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21,084</w:t>
            </w:r>
          </w:p>
        </w:tc>
      </w:tr>
      <w:tr>
        <w:trPr>
          <w:trHeight w:val="216"/>
        </w:trPr>
        <w:tc>
          <w:tcPr>
            <w:tcW w:w="3940" w:type="dxa"/>
            <w:vAlign w:val="bottom"/>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Time deposits:</w:t>
            </w:r>
          </w:p>
        </w:tc>
        <w:tc>
          <w:tcPr>
            <w:tcW w:w="28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r>
      <w:tr>
        <w:trPr>
          <w:trHeight w:val="216"/>
        </w:trPr>
        <w:tc>
          <w:tcPr>
            <w:tcW w:w="3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$250K and more</w:t>
            </w: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1,187</w:t>
            </w:r>
          </w:p>
        </w:tc>
        <w:tc>
          <w:tcPr>
            <w:tcW w:w="2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7,168</w:t>
            </w:r>
          </w:p>
        </w:tc>
        <w:tc>
          <w:tcPr>
            <w:tcW w:w="24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2,326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16,896</w:t>
            </w:r>
          </w:p>
        </w:tc>
      </w:tr>
      <w:tr>
        <w:trPr>
          <w:trHeight w:val="216"/>
        </w:trPr>
        <w:tc>
          <w:tcPr>
            <w:tcW w:w="3940" w:type="dxa"/>
            <w:vAlign w:val="bottom"/>
            <w:tcBorders>
              <w:bottom w:val="single" w:sz="8" w:color="auto"/>
            </w:tcBorders>
            <w:shd w:val="clear" w:color="auto" w:fill="B2B2B2"/>
          </w:tcPr>
          <w:p>
            <w:pPr>
              <w:ind w:left="1360"/>
              <w:spacing w:after="0"/>
              <w:rPr>
                <w:sz w:val="20"/>
                <w:szCs w:val="20"/>
                <w:color w:val="auto"/>
              </w:rPr>
            </w:pPr>
            <w:r>
              <w:rPr>
                <w:rFonts w:ascii="Times New Roman" w:cs="Times New Roman" w:eastAsia="Times New Roman" w:hAnsi="Times New Roman"/>
                <w:sz w:val="18"/>
                <w:szCs w:val="18"/>
                <w:color w:val="auto"/>
              </w:rPr>
              <w:t>Less than $250K</w:t>
            </w:r>
          </w:p>
        </w:tc>
        <w:tc>
          <w:tcPr>
            <w:tcW w:w="280" w:type="dxa"/>
            <w:vAlign w:val="bottom"/>
            <w:tcBorders>
              <w:bottom w:val="single" w:sz="8" w:color="auto"/>
            </w:tcBorders>
            <w:shd w:val="clear" w:color="auto" w:fill="B2B2B2"/>
          </w:tcPr>
          <w:p>
            <w:pPr>
              <w:spacing w:after="0"/>
              <w:rPr>
                <w:sz w:val="18"/>
                <w:szCs w:val="18"/>
                <w:color w:val="auto"/>
              </w:rPr>
            </w:pPr>
          </w:p>
        </w:tc>
        <w:tc>
          <w:tcPr>
            <w:tcW w:w="84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2B2B2"/>
          </w:tcPr>
          <w:p>
            <w:pPr>
              <w:spacing w:after="0"/>
              <w:rPr>
                <w:sz w:val="18"/>
                <w:szCs w:val="18"/>
                <w:color w:val="auto"/>
              </w:rPr>
            </w:pPr>
          </w:p>
        </w:tc>
        <w:tc>
          <w:tcPr>
            <w:tcW w:w="76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17,315</w:t>
            </w:r>
          </w:p>
        </w:tc>
        <w:tc>
          <w:tcPr>
            <w:tcW w:w="240" w:type="dxa"/>
            <w:vAlign w:val="bottom"/>
            <w:tcBorders>
              <w:bottom w:val="single" w:sz="8" w:color="auto"/>
            </w:tcBorders>
            <w:shd w:val="clear" w:color="auto" w:fill="B2B2B2"/>
          </w:tcPr>
          <w:p>
            <w:pPr>
              <w:spacing w:after="0"/>
              <w:rPr>
                <w:sz w:val="18"/>
                <w:szCs w:val="18"/>
                <w:color w:val="auto"/>
              </w:rPr>
            </w:pPr>
          </w:p>
        </w:tc>
        <w:tc>
          <w:tcPr>
            <w:tcW w:w="76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789</w:t>
            </w:r>
          </w:p>
        </w:tc>
        <w:tc>
          <w:tcPr>
            <w:tcW w:w="240" w:type="dxa"/>
            <w:vAlign w:val="bottom"/>
            <w:tcBorders>
              <w:bottom w:val="single" w:sz="8" w:color="auto"/>
            </w:tcBorders>
            <w:shd w:val="clear" w:color="auto" w:fill="B2B2B2"/>
          </w:tcPr>
          <w:p>
            <w:pPr>
              <w:spacing w:after="0"/>
              <w:rPr>
                <w:sz w:val="18"/>
                <w:szCs w:val="18"/>
                <w:color w:val="auto"/>
              </w:rPr>
            </w:pPr>
          </w:p>
        </w:tc>
        <w:tc>
          <w:tcPr>
            <w:tcW w:w="84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10,790</w:t>
            </w:r>
          </w:p>
        </w:tc>
        <w:tc>
          <w:tcPr>
            <w:tcW w:w="24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20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7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39,089</w:t>
            </w:r>
          </w:p>
        </w:tc>
      </w:tr>
      <w:tr>
        <w:trPr>
          <w:trHeight w:val="209"/>
        </w:trPr>
        <w:tc>
          <w:tcPr>
            <w:tcW w:w="394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interest-sensitive liabilities</w:t>
            </w:r>
          </w:p>
        </w:tc>
        <w:tc>
          <w:tcPr>
            <w:tcW w:w="2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501,367</w:t>
            </w:r>
          </w:p>
        </w:tc>
        <w:tc>
          <w:tcPr>
            <w:tcW w:w="2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18,502</w:t>
            </w:r>
          </w:p>
        </w:tc>
        <w:tc>
          <w:tcPr>
            <w:tcW w:w="2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7,957</w:t>
            </w:r>
          </w:p>
        </w:tc>
        <w:tc>
          <w:tcPr>
            <w:tcW w:w="2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13,116</w:t>
            </w:r>
          </w:p>
        </w:tc>
        <w:tc>
          <w:tcPr>
            <w:tcW w:w="2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16,410</w:t>
            </w:r>
          </w:p>
        </w:tc>
        <w:tc>
          <w:tcPr>
            <w:tcW w:w="2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557,352</w:t>
            </w: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sensitivity gap:</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94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Periodic</w:t>
            </w:r>
          </w:p>
        </w:tc>
        <w:tc>
          <w:tcPr>
            <w:tcW w:w="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304,340</w:t>
            </w:r>
          </w:p>
        </w:tc>
        <w:tc>
          <w:tcPr>
            <w:tcW w:w="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36,041</w:t>
            </w:r>
          </w:p>
        </w:tc>
        <w:tc>
          <w:tcPr>
            <w:tcW w:w="2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2,224</w:t>
            </w:r>
          </w:p>
        </w:tc>
        <w:tc>
          <w:tcPr>
            <w:tcW w:w="2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56,154</w:t>
            </w:r>
          </w:p>
        </w:tc>
        <w:tc>
          <w:tcPr>
            <w:tcW w:w="2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609,435</w:t>
            </w:r>
          </w:p>
        </w:tc>
        <w:tc>
          <w:tcPr>
            <w:tcW w:w="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324,780</w:t>
            </w:r>
          </w:p>
        </w:tc>
        <w:tc>
          <w:tcPr>
            <w:tcW w:w="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9"/>
              </w:rPr>
              <w:t>1,332,974</w:t>
            </w:r>
          </w:p>
        </w:tc>
      </w:tr>
      <w:tr>
        <w:trPr>
          <w:trHeight w:val="216"/>
        </w:trPr>
        <w:tc>
          <w:tcPr>
            <w:tcW w:w="3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Cumulative</w:t>
            </w: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304,340</w:t>
            </w:r>
          </w:p>
        </w:tc>
        <w:tc>
          <w:tcPr>
            <w:tcW w:w="2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340,381</w:t>
            </w:r>
          </w:p>
        </w:tc>
        <w:tc>
          <w:tcPr>
            <w:tcW w:w="2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342,605</w:t>
            </w:r>
          </w:p>
        </w:tc>
        <w:tc>
          <w:tcPr>
            <w:tcW w:w="24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398,759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1,008,194</w:t>
            </w: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1,332,974</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1,332,974</w:t>
            </w:r>
          </w:p>
        </w:tc>
      </w:tr>
      <w:tr>
        <w:trPr>
          <w:trHeight w:val="198"/>
        </w:trPr>
        <w:tc>
          <w:tcPr>
            <w:tcW w:w="3940" w:type="dxa"/>
            <w:vAlign w:val="bottom"/>
            <w:shd w:val="clear" w:color="auto" w:fill="B2B2B2"/>
          </w:tcPr>
          <w:p>
            <w:pPr>
              <w:spacing w:after="0" w:line="198" w:lineRule="exact"/>
              <w:rPr>
                <w:sz w:val="20"/>
                <w:szCs w:val="20"/>
                <w:color w:val="auto"/>
              </w:rPr>
            </w:pPr>
            <w:r>
              <w:rPr>
                <w:rFonts w:ascii="Times New Roman" w:cs="Times New Roman" w:eastAsia="Times New Roman" w:hAnsi="Times New Roman"/>
                <w:sz w:val="18"/>
                <w:szCs w:val="18"/>
                <w:color w:val="auto"/>
              </w:rPr>
              <w:t>Ratio of interest-earning assets to interest-sensitive</w:t>
            </w:r>
          </w:p>
        </w:tc>
        <w:tc>
          <w:tcPr>
            <w:tcW w:w="280" w:type="dxa"/>
            <w:vAlign w:val="bottom"/>
            <w:shd w:val="clear" w:color="auto" w:fill="B2B2B2"/>
          </w:tcPr>
          <w:p>
            <w:pPr>
              <w:spacing w:after="0"/>
              <w:rPr>
                <w:sz w:val="17"/>
                <w:szCs w:val="17"/>
                <w:color w:val="auto"/>
              </w:rPr>
            </w:pPr>
          </w:p>
        </w:tc>
        <w:tc>
          <w:tcPr>
            <w:tcW w:w="840" w:type="dxa"/>
            <w:vAlign w:val="bottom"/>
            <w:shd w:val="clear" w:color="auto" w:fill="B2B2B2"/>
          </w:tcPr>
          <w:p>
            <w:pPr>
              <w:spacing w:after="0"/>
              <w:rPr>
                <w:sz w:val="17"/>
                <w:szCs w:val="17"/>
                <w:color w:val="auto"/>
              </w:rPr>
            </w:pPr>
          </w:p>
        </w:tc>
        <w:tc>
          <w:tcPr>
            <w:tcW w:w="280" w:type="dxa"/>
            <w:vAlign w:val="bottom"/>
            <w:shd w:val="clear" w:color="auto" w:fill="B2B2B2"/>
          </w:tcPr>
          <w:p>
            <w:pPr>
              <w:spacing w:after="0"/>
              <w:rPr>
                <w:sz w:val="17"/>
                <w:szCs w:val="17"/>
                <w:color w:val="auto"/>
              </w:rPr>
            </w:pPr>
          </w:p>
        </w:tc>
        <w:tc>
          <w:tcPr>
            <w:tcW w:w="760" w:type="dxa"/>
            <w:vAlign w:val="bottom"/>
            <w:shd w:val="clear" w:color="auto" w:fill="B2B2B2"/>
          </w:tcPr>
          <w:p>
            <w:pPr>
              <w:spacing w:after="0"/>
              <w:rPr>
                <w:sz w:val="17"/>
                <w:szCs w:val="17"/>
                <w:color w:val="auto"/>
              </w:rPr>
            </w:pPr>
          </w:p>
        </w:tc>
        <w:tc>
          <w:tcPr>
            <w:tcW w:w="240" w:type="dxa"/>
            <w:vAlign w:val="bottom"/>
            <w:shd w:val="clear" w:color="auto" w:fill="B2B2B2"/>
          </w:tcPr>
          <w:p>
            <w:pPr>
              <w:spacing w:after="0"/>
              <w:rPr>
                <w:sz w:val="17"/>
                <w:szCs w:val="17"/>
                <w:color w:val="auto"/>
              </w:rPr>
            </w:pPr>
          </w:p>
        </w:tc>
        <w:tc>
          <w:tcPr>
            <w:tcW w:w="760" w:type="dxa"/>
            <w:vAlign w:val="bottom"/>
            <w:shd w:val="clear" w:color="auto" w:fill="B2B2B2"/>
          </w:tcPr>
          <w:p>
            <w:pPr>
              <w:spacing w:after="0"/>
              <w:rPr>
                <w:sz w:val="17"/>
                <w:szCs w:val="17"/>
                <w:color w:val="auto"/>
              </w:rPr>
            </w:pPr>
          </w:p>
        </w:tc>
        <w:tc>
          <w:tcPr>
            <w:tcW w:w="240" w:type="dxa"/>
            <w:vAlign w:val="bottom"/>
            <w:shd w:val="clear" w:color="auto" w:fill="B2B2B2"/>
          </w:tcPr>
          <w:p>
            <w:pPr>
              <w:spacing w:after="0"/>
              <w:rPr>
                <w:sz w:val="17"/>
                <w:szCs w:val="17"/>
                <w:color w:val="auto"/>
              </w:rPr>
            </w:pPr>
          </w:p>
        </w:tc>
        <w:tc>
          <w:tcPr>
            <w:tcW w:w="840" w:type="dxa"/>
            <w:vAlign w:val="bottom"/>
            <w:shd w:val="clear" w:color="auto" w:fill="B2B2B2"/>
          </w:tcPr>
          <w:p>
            <w:pPr>
              <w:spacing w:after="0"/>
              <w:rPr>
                <w:sz w:val="17"/>
                <w:szCs w:val="17"/>
                <w:color w:val="auto"/>
              </w:rPr>
            </w:pPr>
          </w:p>
        </w:tc>
        <w:tc>
          <w:tcPr>
            <w:tcW w:w="24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880" w:type="dxa"/>
            <w:vAlign w:val="bottom"/>
            <w:shd w:val="clear" w:color="auto" w:fill="B2B2B2"/>
          </w:tcPr>
          <w:p>
            <w:pPr>
              <w:spacing w:after="0"/>
              <w:rPr>
                <w:sz w:val="17"/>
                <w:szCs w:val="17"/>
                <w:color w:val="auto"/>
              </w:rPr>
            </w:pPr>
          </w:p>
        </w:tc>
        <w:tc>
          <w:tcPr>
            <w:tcW w:w="180" w:type="dxa"/>
            <w:vAlign w:val="bottom"/>
            <w:shd w:val="clear" w:color="auto" w:fill="B2B2B2"/>
          </w:tcPr>
          <w:p>
            <w:pPr>
              <w:spacing w:after="0"/>
              <w:rPr>
                <w:sz w:val="17"/>
                <w:szCs w:val="17"/>
                <w:color w:val="auto"/>
              </w:rPr>
            </w:pPr>
          </w:p>
        </w:tc>
        <w:tc>
          <w:tcPr>
            <w:tcW w:w="740" w:type="dxa"/>
            <w:vAlign w:val="bottom"/>
            <w:shd w:val="clear" w:color="auto" w:fill="B2B2B2"/>
          </w:tcPr>
          <w:p>
            <w:pPr>
              <w:spacing w:after="0"/>
              <w:rPr>
                <w:sz w:val="17"/>
                <w:szCs w:val="17"/>
                <w:color w:val="auto"/>
              </w:rPr>
            </w:pPr>
          </w:p>
        </w:tc>
      </w:tr>
      <w:tr>
        <w:trPr>
          <w:trHeight w:val="234"/>
        </w:trPr>
        <w:tc>
          <w:tcPr>
            <w:tcW w:w="394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B2B2B2"/>
          </w:tcPr>
          <w:p>
            <w:pPr>
              <w:spacing w:after="0"/>
              <w:rPr>
                <w:sz w:val="20"/>
                <w:szCs w:val="20"/>
                <w:color w:val="auto"/>
              </w:rPr>
            </w:pPr>
          </w:p>
        </w:tc>
        <w:tc>
          <w:tcPr>
            <w:tcW w:w="840" w:type="dxa"/>
            <w:vAlign w:val="bottom"/>
            <w:shd w:val="clear" w:color="auto" w:fill="B2B2B2"/>
          </w:tcPr>
          <w:p>
            <w:pPr>
              <w:spacing w:after="0"/>
              <w:rPr>
                <w:sz w:val="20"/>
                <w:szCs w:val="20"/>
                <w:color w:val="auto"/>
              </w:rPr>
            </w:pPr>
          </w:p>
        </w:tc>
        <w:tc>
          <w:tcPr>
            <w:tcW w:w="280" w:type="dxa"/>
            <w:vAlign w:val="bottom"/>
            <w:shd w:val="clear" w:color="auto" w:fill="B2B2B2"/>
          </w:tcPr>
          <w:p>
            <w:pPr>
              <w:spacing w:after="0"/>
              <w:rPr>
                <w:sz w:val="20"/>
                <w:szCs w:val="20"/>
                <w:color w:val="auto"/>
              </w:rPr>
            </w:pPr>
          </w:p>
        </w:tc>
        <w:tc>
          <w:tcPr>
            <w:tcW w:w="760" w:type="dxa"/>
            <w:vAlign w:val="bottom"/>
            <w:shd w:val="clear" w:color="auto" w:fill="B2B2B2"/>
          </w:tcPr>
          <w:p>
            <w:pPr>
              <w:spacing w:after="0"/>
              <w:rPr>
                <w:sz w:val="20"/>
                <w:szCs w:val="20"/>
                <w:color w:val="auto"/>
              </w:rPr>
            </w:pPr>
          </w:p>
        </w:tc>
        <w:tc>
          <w:tcPr>
            <w:tcW w:w="240" w:type="dxa"/>
            <w:vAlign w:val="bottom"/>
            <w:shd w:val="clear" w:color="auto" w:fill="B2B2B2"/>
          </w:tcPr>
          <w:p>
            <w:pPr>
              <w:spacing w:after="0"/>
              <w:rPr>
                <w:sz w:val="20"/>
                <w:szCs w:val="20"/>
                <w:color w:val="auto"/>
              </w:rPr>
            </w:pPr>
          </w:p>
        </w:tc>
        <w:tc>
          <w:tcPr>
            <w:tcW w:w="760" w:type="dxa"/>
            <w:vAlign w:val="bottom"/>
            <w:shd w:val="clear" w:color="auto" w:fill="B2B2B2"/>
          </w:tcPr>
          <w:p>
            <w:pPr>
              <w:spacing w:after="0"/>
              <w:rPr>
                <w:sz w:val="20"/>
                <w:szCs w:val="20"/>
                <w:color w:val="auto"/>
              </w:rPr>
            </w:pPr>
          </w:p>
        </w:tc>
        <w:tc>
          <w:tcPr>
            <w:tcW w:w="240" w:type="dxa"/>
            <w:vAlign w:val="bottom"/>
            <w:shd w:val="clear" w:color="auto" w:fill="B2B2B2"/>
          </w:tcPr>
          <w:p>
            <w:pPr>
              <w:spacing w:after="0"/>
              <w:rPr>
                <w:sz w:val="20"/>
                <w:szCs w:val="20"/>
                <w:color w:val="auto"/>
              </w:rPr>
            </w:pPr>
          </w:p>
        </w:tc>
        <w:tc>
          <w:tcPr>
            <w:tcW w:w="840" w:type="dxa"/>
            <w:vAlign w:val="bottom"/>
            <w:shd w:val="clear" w:color="auto" w:fill="B2B2B2"/>
          </w:tcPr>
          <w:p>
            <w:pPr>
              <w:spacing w:after="0"/>
              <w:rPr>
                <w:sz w:val="20"/>
                <w:szCs w:val="20"/>
                <w:color w:val="auto"/>
              </w:rPr>
            </w:pPr>
          </w:p>
        </w:tc>
        <w:tc>
          <w:tcPr>
            <w:tcW w:w="240" w:type="dxa"/>
            <w:vAlign w:val="bottom"/>
            <w:shd w:val="clear" w:color="auto" w:fill="B2B2B2"/>
          </w:tcPr>
          <w:p>
            <w:pPr>
              <w:spacing w:after="0"/>
              <w:rPr>
                <w:sz w:val="20"/>
                <w:szCs w:val="20"/>
                <w:color w:val="auto"/>
              </w:rPr>
            </w:pPr>
          </w:p>
        </w:tc>
        <w:tc>
          <w:tcPr>
            <w:tcW w:w="820" w:type="dxa"/>
            <w:vAlign w:val="bottom"/>
            <w:shd w:val="clear" w:color="auto" w:fill="B2B2B2"/>
          </w:tcPr>
          <w:p>
            <w:pPr>
              <w:spacing w:after="0"/>
              <w:rPr>
                <w:sz w:val="20"/>
                <w:szCs w:val="20"/>
                <w:color w:val="auto"/>
              </w:rPr>
            </w:pPr>
          </w:p>
        </w:tc>
        <w:tc>
          <w:tcPr>
            <w:tcW w:w="200" w:type="dxa"/>
            <w:vAlign w:val="bottom"/>
            <w:shd w:val="clear" w:color="auto" w:fill="B2B2B2"/>
          </w:tcPr>
          <w:p>
            <w:pPr>
              <w:spacing w:after="0"/>
              <w:rPr>
                <w:sz w:val="20"/>
                <w:szCs w:val="20"/>
                <w:color w:val="auto"/>
              </w:rPr>
            </w:pPr>
          </w:p>
        </w:tc>
        <w:tc>
          <w:tcPr>
            <w:tcW w:w="880" w:type="dxa"/>
            <w:vAlign w:val="bottom"/>
            <w:shd w:val="clear" w:color="auto" w:fill="B2B2B2"/>
          </w:tcPr>
          <w:p>
            <w:pPr>
              <w:spacing w:after="0"/>
              <w:rPr>
                <w:sz w:val="20"/>
                <w:szCs w:val="20"/>
                <w:color w:val="auto"/>
              </w:rPr>
            </w:pPr>
          </w:p>
        </w:tc>
        <w:tc>
          <w:tcPr>
            <w:tcW w:w="180" w:type="dxa"/>
            <w:vAlign w:val="bottom"/>
            <w:shd w:val="clear" w:color="auto" w:fill="B2B2B2"/>
          </w:tcPr>
          <w:p>
            <w:pPr>
              <w:spacing w:after="0"/>
              <w:rPr>
                <w:sz w:val="20"/>
                <w:szCs w:val="20"/>
                <w:color w:val="auto"/>
              </w:rPr>
            </w:pPr>
          </w:p>
        </w:tc>
        <w:tc>
          <w:tcPr>
            <w:tcW w:w="740" w:type="dxa"/>
            <w:vAlign w:val="bottom"/>
            <w:shd w:val="clear" w:color="auto" w:fill="B2B2B2"/>
          </w:tcPr>
          <w:p>
            <w:pPr>
              <w:spacing w:after="0"/>
              <w:rPr>
                <w:sz w:val="20"/>
                <w:szCs w:val="20"/>
                <w:color w:val="auto"/>
              </w:rPr>
            </w:pPr>
          </w:p>
        </w:tc>
      </w:tr>
      <w:tr>
        <w:trPr>
          <w:trHeight w:val="216"/>
        </w:trPr>
        <w:tc>
          <w:tcPr>
            <w:tcW w:w="3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Periodic</w:t>
            </w: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3940" w:type="dxa"/>
            <w:vAlign w:val="bottom"/>
            <w:tcBorders>
              <w:bottom w:val="single" w:sz="8" w:color="auto"/>
            </w:tcBorders>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Cumulative</w:t>
            </w:r>
          </w:p>
        </w:tc>
        <w:tc>
          <w:tcPr>
            <w:tcW w:w="280" w:type="dxa"/>
            <w:vAlign w:val="bottom"/>
            <w:tcBorders>
              <w:bottom w:val="single" w:sz="8" w:color="auto"/>
            </w:tcBorders>
            <w:shd w:val="clear" w:color="auto" w:fill="B2B2B2"/>
          </w:tcPr>
          <w:p>
            <w:pPr>
              <w:spacing w:after="0"/>
              <w:rPr>
                <w:sz w:val="18"/>
                <w:szCs w:val="18"/>
                <w:color w:val="auto"/>
              </w:rPr>
            </w:pPr>
          </w:p>
        </w:tc>
        <w:tc>
          <w:tcPr>
            <w:tcW w:w="84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Borders>
              <w:bottom w:val="single" w:sz="8" w:color="auto"/>
            </w:tcBorders>
            <w:shd w:val="clear" w:color="auto" w:fill="B2B2B2"/>
          </w:tcPr>
          <w:p>
            <w:pPr>
              <w:spacing w:after="0"/>
              <w:rPr>
                <w:sz w:val="18"/>
                <w:szCs w:val="18"/>
                <w:color w:val="auto"/>
              </w:rPr>
            </w:pPr>
          </w:p>
        </w:tc>
        <w:tc>
          <w:tcPr>
            <w:tcW w:w="76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Borders>
              <w:bottom w:val="single" w:sz="8" w:color="auto"/>
            </w:tcBorders>
            <w:shd w:val="clear" w:color="auto" w:fill="B2B2B2"/>
          </w:tcPr>
          <w:p>
            <w:pPr>
              <w:spacing w:after="0"/>
              <w:rPr>
                <w:sz w:val="18"/>
                <w:szCs w:val="18"/>
                <w:color w:val="auto"/>
              </w:rPr>
            </w:pPr>
          </w:p>
        </w:tc>
        <w:tc>
          <w:tcPr>
            <w:tcW w:w="76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Borders>
              <w:bottom w:val="single" w:sz="8" w:color="auto"/>
            </w:tcBorders>
            <w:shd w:val="clear" w:color="auto" w:fill="B2B2B2"/>
          </w:tcPr>
          <w:p>
            <w:pPr>
              <w:spacing w:after="0"/>
              <w:rPr>
                <w:sz w:val="18"/>
                <w:szCs w:val="18"/>
                <w:color w:val="auto"/>
              </w:rPr>
            </w:pPr>
          </w:p>
        </w:tc>
        <w:tc>
          <w:tcPr>
            <w:tcW w:w="84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tcBorders>
              <w:bottom w:val="single" w:sz="8" w:color="auto"/>
            </w:tcBorders>
            <w:shd w:val="clear" w:color="auto" w:fill="B2B2B2"/>
          </w:tcPr>
          <w:p>
            <w:pPr>
              <w:spacing w:after="0"/>
              <w:rPr>
                <w:sz w:val="18"/>
                <w:szCs w:val="18"/>
                <w:color w:val="auto"/>
              </w:rPr>
            </w:pPr>
          </w:p>
        </w:tc>
        <w:tc>
          <w:tcPr>
            <w:tcW w:w="7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3.39</w:t>
            </w:r>
          </w:p>
        </w:tc>
      </w:tr>
    </w:tbl>
    <w:p>
      <w:pPr>
        <w:spacing w:after="0" w:line="4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9"/>
          <w:szCs w:val="29"/>
          <w:b w:val="1"/>
          <w:bCs w:val="1"/>
          <w:color w:val="auto"/>
          <w:vertAlign w:val="superscript"/>
        </w:rPr>
        <w:t>(1)</w:t>
      </w:r>
      <w:r>
        <w:rPr>
          <w:sz w:val="20"/>
          <w:szCs w:val="20"/>
          <w:color w:val="auto"/>
        </w:rPr>
        <w:tab/>
      </w:r>
      <w:r>
        <w:rPr>
          <w:rFonts w:ascii="Times New Roman" w:cs="Times New Roman" w:eastAsia="Times New Roman" w:hAnsi="Times New Roman"/>
          <w:sz w:val="17"/>
          <w:szCs w:val="17"/>
          <w:color w:val="auto"/>
        </w:rPr>
        <w:t>Balances shown reflect earliest re-pricing date.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8260" w:type="dxa"/>
            <w:vAlign w:val="bottom"/>
            <w:gridSpan w:val="3"/>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20" w:type="dxa"/>
            <w:vAlign w:val="bottom"/>
          </w:tcPr>
          <w:p>
            <w:pPr>
              <w:spacing w:after="0"/>
              <w:rPr>
                <w:sz w:val="24"/>
                <w:szCs w:val="24"/>
                <w:color w:val="auto"/>
              </w:rPr>
            </w:pPr>
          </w:p>
        </w:tc>
        <w:tc>
          <w:tcPr>
            <w:tcW w:w="754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CASS INFORMATION SYSTEMS, INC. AND SUBSIDIARIES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754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26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16"/>
        </w:trPr>
        <w:tc>
          <w:tcPr>
            <w:tcW w:w="8260" w:type="dxa"/>
            <w:vAlign w:val="bottom"/>
            <w:gridSpan w:val="3"/>
            <w:shd w:val="clear" w:color="auto" w:fill="B2B2B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30,985</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18,076</w:t>
            </w:r>
          </w:p>
        </w:tc>
        <w:tc>
          <w:tcPr>
            <w:tcW w:w="0" w:type="dxa"/>
            <w:vAlign w:val="bottom"/>
          </w:tcPr>
          <w:p>
            <w:pPr>
              <w:spacing w:after="0"/>
              <w:rPr>
                <w:sz w:val="1"/>
                <w:szCs w:val="1"/>
                <w:color w:val="auto"/>
              </w:rPr>
            </w:pPr>
          </w:p>
        </w:tc>
      </w:tr>
      <w:tr>
        <w:trPr>
          <w:trHeight w:val="216"/>
        </w:trPr>
        <w:tc>
          <w:tcPr>
            <w:tcW w:w="8260" w:type="dxa"/>
            <w:vAlign w:val="bottom"/>
            <w:gridSpan w:val="3"/>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Interest-bearing deposits in other financial institutions</w:t>
            </w:r>
          </w:p>
        </w:tc>
        <w:tc>
          <w:tcPr>
            <w:tcW w:w="18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8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393,810</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172,422</w:t>
            </w:r>
          </w:p>
        </w:tc>
        <w:tc>
          <w:tcPr>
            <w:tcW w:w="0" w:type="dxa"/>
            <w:vAlign w:val="bottom"/>
          </w:tcPr>
          <w:p>
            <w:pPr>
              <w:spacing w:after="0"/>
              <w:rPr>
                <w:sz w:val="1"/>
                <w:szCs w:val="1"/>
                <w:color w:val="auto"/>
              </w:rPr>
            </w:pPr>
          </w:p>
        </w:tc>
      </w:tr>
      <w:tr>
        <w:trPr>
          <w:trHeight w:val="216"/>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 funds sold and other short-term investments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245,733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13,456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gridSpan w:val="3"/>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8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670,528</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203,954</w:t>
            </w:r>
          </w:p>
        </w:tc>
        <w:tc>
          <w:tcPr>
            <w:tcW w:w="0" w:type="dxa"/>
            <w:vAlign w:val="bottom"/>
          </w:tcPr>
          <w:p>
            <w:pPr>
              <w:spacing w:after="0"/>
              <w:rPr>
                <w:sz w:val="1"/>
                <w:szCs w:val="1"/>
                <w:color w:val="auto"/>
              </w:rPr>
            </w:pPr>
          </w:p>
        </w:tc>
      </w:tr>
      <w:tr>
        <w:trPr>
          <w:trHeight w:val="20"/>
        </w:trPr>
        <w:tc>
          <w:tcPr>
            <w:tcW w:w="720" w:type="dxa"/>
            <w:vAlign w:val="bottom"/>
            <w:shd w:val="clear" w:color="auto" w:fill="B2B2B2"/>
          </w:tcPr>
          <w:p>
            <w:pPr>
              <w:spacing w:after="0" w:line="20" w:lineRule="exact"/>
              <w:rPr>
                <w:sz w:val="1"/>
                <w:szCs w:val="1"/>
                <w:color w:val="auto"/>
              </w:rPr>
            </w:pPr>
          </w:p>
        </w:tc>
        <w:tc>
          <w:tcPr>
            <w:tcW w:w="4860" w:type="dxa"/>
            <w:vAlign w:val="bottom"/>
            <w:shd w:val="clear" w:color="auto" w:fill="B2B2B2"/>
          </w:tcPr>
          <w:p>
            <w:pPr>
              <w:spacing w:after="0" w:line="20" w:lineRule="exact"/>
              <w:rPr>
                <w:sz w:val="1"/>
                <w:szCs w:val="1"/>
                <w:color w:val="auto"/>
              </w:rPr>
            </w:pPr>
          </w:p>
        </w:tc>
        <w:tc>
          <w:tcPr>
            <w:tcW w:w="2680" w:type="dxa"/>
            <w:vAlign w:val="bottom"/>
            <w:shd w:val="clear" w:color="auto" w:fill="B2B2B2"/>
          </w:tcPr>
          <w:p>
            <w:pPr>
              <w:spacing w:after="0" w:line="20" w:lineRule="exact"/>
              <w:rPr>
                <w:sz w:val="1"/>
                <w:szCs w:val="1"/>
                <w:color w:val="auto"/>
              </w:rPr>
            </w:pPr>
          </w:p>
        </w:tc>
        <w:tc>
          <w:tcPr>
            <w:tcW w:w="180" w:type="dxa"/>
            <w:vAlign w:val="bottom"/>
            <w:shd w:val="clear" w:color="auto" w:fill="B2B2B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357,726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422,665</w:t>
            </w:r>
          </w:p>
        </w:tc>
        <w:tc>
          <w:tcPr>
            <w:tcW w:w="0" w:type="dxa"/>
            <w:vAlign w:val="bottom"/>
          </w:tcPr>
          <w:p>
            <w:pPr>
              <w:spacing w:after="0"/>
              <w:rPr>
                <w:sz w:val="1"/>
                <w:szCs w:val="1"/>
                <w:color w:val="auto"/>
              </w:rPr>
            </w:pPr>
          </w:p>
        </w:tc>
      </w:tr>
    </w:tbl>
    <w:p>
      <w:pPr>
        <w:spacing w:after="0" w:line="179" w:lineRule="exact"/>
        <w:rPr>
          <w:sz w:val="20"/>
          <w:szCs w:val="20"/>
          <w:color w:val="auto"/>
        </w:rPr>
      </w:pPr>
    </w:p>
    <w:p>
      <w:pPr>
        <w:sectPr>
          <w:pgSz w:w="11900" w:h="16838" w:orient="portrait"/>
          <w:cols w:equalWidth="0" w:num="1">
            <w:col w:w="11240"/>
          </w:cols>
          <w:pgMar w:left="320" w:top="29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Less allowance for credit/loan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Loans, net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in advance of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Premises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bank-owned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891,676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772,638</w:t>
            </w:r>
          </w:p>
        </w:tc>
      </w:tr>
      <w:tr>
        <w:trPr>
          <w:trHeight w:val="234"/>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10,556</w:t>
            </w:r>
          </w:p>
        </w:tc>
      </w:tr>
      <w:tr>
        <w:trPr>
          <w:trHeight w:val="209"/>
        </w:trPr>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879,732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762,082</w:t>
            </w:r>
          </w:p>
        </w:tc>
      </w:tr>
      <w:tr>
        <w:trPr>
          <w:trHeight w:val="191"/>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194,563</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100"/>
              <w:spacing w:after="0" w:line="191" w:lineRule="exact"/>
              <w:rPr>
                <w:sz w:val="20"/>
                <w:szCs w:val="20"/>
                <w:color w:val="auto"/>
              </w:rPr>
            </w:pPr>
            <w:r>
              <w:rPr>
                <w:rFonts w:ascii="Times New Roman" w:cs="Times New Roman" w:eastAsia="Times New Roman" w:hAnsi="Times New Roman"/>
                <w:sz w:val="18"/>
                <w:szCs w:val="18"/>
                <w:color w:val="auto"/>
              </w:rPr>
              <w:t>206,158</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20,527</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17,599</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14,262</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4,281</w:t>
            </w: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112,715</w:t>
            </w:r>
          </w:p>
        </w:tc>
      </w:tr>
      <w:tr>
        <w:trPr>
          <w:trHeight w:val="209"/>
        </w:trPr>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2,203,235</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1,764,243</w:t>
            </w:r>
          </w:p>
        </w:tc>
        <w:tc>
          <w:tcPr>
            <w:tcW w:w="10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293"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r>
      <w:tr>
        <w:trPr>
          <w:trHeight w:val="216"/>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Noninterest-bearing</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493,504</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351,091</w:t>
            </w:r>
          </w:p>
        </w:tc>
      </w:tr>
      <w:tr>
        <w:trPr>
          <w:trHeight w:val="216"/>
        </w:trPr>
        <w:tc>
          <w:tcPr>
            <w:tcW w:w="834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Interest-bearing</w:t>
            </w:r>
          </w:p>
        </w:tc>
        <w:tc>
          <w:tcPr>
            <w:tcW w:w="1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40"/>
              <w:spacing w:after="0"/>
              <w:rPr>
                <w:sz w:val="20"/>
                <w:szCs w:val="20"/>
                <w:color w:val="auto"/>
              </w:rPr>
            </w:pPr>
            <w:r>
              <w:rPr>
                <w:rFonts w:ascii="Times New Roman" w:cs="Times New Roman" w:eastAsia="Times New Roman" w:hAnsi="Times New Roman"/>
                <w:sz w:val="18"/>
                <w:szCs w:val="18"/>
                <w:color w:val="auto"/>
              </w:rPr>
              <w:t>557,352</w:t>
            </w:r>
          </w:p>
        </w:tc>
        <w:tc>
          <w:tcPr>
            <w:tcW w:w="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406,045</w:t>
            </w:r>
          </w:p>
        </w:tc>
      </w:tr>
      <w:tr>
        <w:trPr>
          <w:trHeight w:val="20"/>
        </w:trPr>
        <w:tc>
          <w:tcPr>
            <w:tcW w:w="8340" w:type="dxa"/>
            <w:vAlign w:val="bottom"/>
            <w:shd w:val="clear" w:color="auto" w:fill="B2B2B2"/>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B2B2B2"/>
          </w:tcPr>
          <w:p>
            <w:pPr>
              <w:spacing w:after="0" w:line="20" w:lineRule="exact"/>
              <w:rPr>
                <w:sz w:val="1"/>
                <w:szCs w:val="1"/>
                <w:color w:val="auto"/>
              </w:rPr>
            </w:pPr>
          </w:p>
        </w:tc>
        <w:tc>
          <w:tcPr>
            <w:tcW w:w="80" w:type="dxa"/>
            <w:vAlign w:val="bottom"/>
            <w:shd w:val="clear" w:color="auto" w:fill="B2B2B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09"/>
        </w:trPr>
        <w:tc>
          <w:tcPr>
            <w:tcW w:w="8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deposits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1,050,856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757,136</w:t>
            </w:r>
          </w:p>
        </w:tc>
      </w:tr>
      <w:tr>
        <w:trPr>
          <w:trHeight w:val="20"/>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83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1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40"/>
              <w:spacing w:after="0"/>
              <w:rPr>
                <w:sz w:val="20"/>
                <w:szCs w:val="20"/>
                <w:color w:val="auto"/>
              </w:rPr>
            </w:pPr>
            <w:r>
              <w:rPr>
                <w:rFonts w:ascii="Times New Roman" w:cs="Times New Roman" w:eastAsia="Times New Roman" w:hAnsi="Times New Roman"/>
                <w:sz w:val="18"/>
                <w:szCs w:val="18"/>
                <w:color w:val="auto"/>
              </w:rPr>
              <w:t>835,386</w:t>
            </w:r>
          </w:p>
        </w:tc>
        <w:tc>
          <w:tcPr>
            <w:tcW w:w="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684,295</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18,000</w:t>
            </w:r>
          </w:p>
        </w:tc>
      </w:tr>
      <w:tr>
        <w:trPr>
          <w:trHeight w:val="216"/>
        </w:trPr>
        <w:tc>
          <w:tcPr>
            <w:tcW w:w="83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40"/>
              <w:spacing w:after="0"/>
              <w:rPr>
                <w:sz w:val="20"/>
                <w:szCs w:val="20"/>
                <w:color w:val="auto"/>
              </w:rPr>
            </w:pPr>
            <w:r>
              <w:rPr>
                <w:rFonts w:ascii="Times New Roman" w:cs="Times New Roman" w:eastAsia="Times New Roman" w:hAnsi="Times New Roman"/>
                <w:sz w:val="18"/>
                <w:szCs w:val="18"/>
                <w:color w:val="auto"/>
              </w:rPr>
              <w:t>55,833</w:t>
            </w:r>
          </w:p>
        </w:tc>
        <w:tc>
          <w:tcPr>
            <w:tcW w:w="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60,622</w:t>
            </w:r>
          </w:p>
        </w:tc>
      </w:tr>
      <w:tr>
        <w:trPr>
          <w:trHeight w:val="20"/>
        </w:trPr>
        <w:tc>
          <w:tcPr>
            <w:tcW w:w="8340" w:type="dxa"/>
            <w:vAlign w:val="bottom"/>
            <w:shd w:val="clear" w:color="auto" w:fill="B2B2B2"/>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B2B2B2"/>
          </w:tcPr>
          <w:p>
            <w:pPr>
              <w:spacing w:after="0" w:line="20" w:lineRule="exact"/>
              <w:rPr>
                <w:sz w:val="1"/>
                <w:szCs w:val="1"/>
                <w:color w:val="auto"/>
              </w:rPr>
            </w:pPr>
          </w:p>
        </w:tc>
        <w:tc>
          <w:tcPr>
            <w:tcW w:w="80" w:type="dxa"/>
            <w:vAlign w:val="bottom"/>
            <w:shd w:val="clear" w:color="auto" w:fill="B2B2B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8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1,942,075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1,520,053</w:t>
            </w:r>
          </w:p>
        </w:tc>
      </w:tr>
      <w:tr>
        <w:trPr>
          <w:trHeight w:val="209"/>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16"/>
        </w:trPr>
        <w:tc>
          <w:tcPr>
            <w:tcW w:w="83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par value $.50 per share; 2,000,000 shares authorized and no shares issued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340" w:type="dxa"/>
            <w:vAlign w:val="bottom"/>
            <w:shd w:val="clear" w:color="auto" w:fill="B2B2B2"/>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$.50 per share; 40,000,000 shares authorized, 15,505,772 shares issued at December 31,</w:t>
            </w:r>
          </w:p>
        </w:tc>
        <w:tc>
          <w:tcPr>
            <w:tcW w:w="100" w:type="dxa"/>
            <w:vAlign w:val="bottom"/>
            <w:shd w:val="clear" w:color="auto" w:fill="B2B2B2"/>
          </w:tcPr>
          <w:p>
            <w:pPr>
              <w:spacing w:after="0"/>
              <w:rPr>
                <w:sz w:val="17"/>
                <w:szCs w:val="17"/>
                <w:color w:val="auto"/>
              </w:rPr>
            </w:pPr>
          </w:p>
        </w:tc>
        <w:tc>
          <w:tcPr>
            <w:tcW w:w="320" w:type="dxa"/>
            <w:vAlign w:val="bottom"/>
            <w:shd w:val="clear" w:color="auto" w:fill="B2B2B2"/>
          </w:tcPr>
          <w:p>
            <w:pPr>
              <w:spacing w:after="0"/>
              <w:rPr>
                <w:sz w:val="17"/>
                <w:szCs w:val="17"/>
                <w:color w:val="auto"/>
              </w:rPr>
            </w:pPr>
          </w:p>
        </w:tc>
        <w:tc>
          <w:tcPr>
            <w:tcW w:w="920" w:type="dxa"/>
            <w:vAlign w:val="bottom"/>
            <w:shd w:val="clear" w:color="auto" w:fill="B2B2B2"/>
          </w:tcPr>
          <w:p>
            <w:pPr>
              <w:spacing w:after="0"/>
              <w:rPr>
                <w:sz w:val="17"/>
                <w:szCs w:val="17"/>
                <w:color w:val="auto"/>
              </w:rPr>
            </w:pPr>
          </w:p>
        </w:tc>
        <w:tc>
          <w:tcPr>
            <w:tcW w:w="140" w:type="dxa"/>
            <w:vAlign w:val="bottom"/>
            <w:shd w:val="clear" w:color="auto" w:fill="B2B2B2"/>
          </w:tcPr>
          <w:p>
            <w:pPr>
              <w:spacing w:after="0"/>
              <w:rPr>
                <w:sz w:val="17"/>
                <w:szCs w:val="17"/>
                <w:color w:val="auto"/>
              </w:rPr>
            </w:pPr>
          </w:p>
        </w:tc>
        <w:tc>
          <w:tcPr>
            <w:tcW w:w="80" w:type="dxa"/>
            <w:vAlign w:val="bottom"/>
            <w:shd w:val="clear" w:color="auto" w:fill="B2B2B2"/>
          </w:tcPr>
          <w:p>
            <w:pPr>
              <w:spacing w:after="0"/>
              <w:rPr>
                <w:sz w:val="17"/>
                <w:szCs w:val="17"/>
                <w:color w:val="auto"/>
              </w:rPr>
            </w:pPr>
          </w:p>
        </w:tc>
        <w:tc>
          <w:tcPr>
            <w:tcW w:w="300" w:type="dxa"/>
            <w:vAlign w:val="bottom"/>
            <w:shd w:val="clear" w:color="auto" w:fill="B2B2B2"/>
          </w:tcPr>
          <w:p>
            <w:pPr>
              <w:spacing w:after="0"/>
              <w:rPr>
                <w:sz w:val="17"/>
                <w:szCs w:val="17"/>
                <w:color w:val="auto"/>
              </w:rPr>
            </w:pPr>
          </w:p>
        </w:tc>
        <w:tc>
          <w:tcPr>
            <w:tcW w:w="1040" w:type="dxa"/>
            <w:vAlign w:val="bottom"/>
            <w:shd w:val="clear" w:color="auto" w:fill="B2B2B2"/>
          </w:tcPr>
          <w:p>
            <w:pPr>
              <w:spacing w:after="0"/>
              <w:rPr>
                <w:sz w:val="17"/>
                <w:szCs w:val="17"/>
                <w:color w:val="auto"/>
              </w:rPr>
            </w:pPr>
          </w:p>
        </w:tc>
      </w:tr>
      <w:tr>
        <w:trPr>
          <w:trHeight w:val="234"/>
        </w:trPr>
        <w:tc>
          <w:tcPr>
            <w:tcW w:w="834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2020 and 2019.</w:t>
            </w:r>
          </w:p>
        </w:tc>
        <w:tc>
          <w:tcPr>
            <w:tcW w:w="100" w:type="dxa"/>
            <w:vAlign w:val="bottom"/>
            <w:shd w:val="clear" w:color="auto" w:fill="B2B2B2"/>
          </w:tcPr>
          <w:p>
            <w:pPr>
              <w:spacing w:after="0"/>
              <w:rPr>
                <w:sz w:val="20"/>
                <w:szCs w:val="20"/>
                <w:color w:val="auto"/>
              </w:rPr>
            </w:pPr>
          </w:p>
        </w:tc>
        <w:tc>
          <w:tcPr>
            <w:tcW w:w="320" w:type="dxa"/>
            <w:vAlign w:val="bottom"/>
            <w:shd w:val="clear" w:color="auto" w:fill="B2B2B2"/>
          </w:tcPr>
          <w:p>
            <w:pPr>
              <w:spacing w:after="0"/>
              <w:rPr>
                <w:sz w:val="20"/>
                <w:szCs w:val="20"/>
                <w:color w:val="auto"/>
              </w:rPr>
            </w:pPr>
          </w:p>
        </w:tc>
        <w:tc>
          <w:tcPr>
            <w:tcW w:w="1060" w:type="dxa"/>
            <w:vAlign w:val="bottom"/>
            <w:gridSpan w:val="2"/>
            <w:shd w:val="clear" w:color="auto" w:fill="B2B2B2"/>
          </w:tcPr>
          <w:p>
            <w:pPr>
              <w:jc w:val="right"/>
              <w:ind w:right="140"/>
              <w:spacing w:after="0"/>
              <w:rPr>
                <w:sz w:val="20"/>
                <w:szCs w:val="20"/>
                <w:color w:val="auto"/>
              </w:rPr>
            </w:pPr>
            <w:r>
              <w:rPr>
                <w:rFonts w:ascii="Times New Roman" w:cs="Times New Roman" w:eastAsia="Times New Roman" w:hAnsi="Times New Roman"/>
                <w:sz w:val="18"/>
                <w:szCs w:val="18"/>
                <w:color w:val="auto"/>
              </w:rPr>
              <w:t>7,753</w:t>
            </w:r>
          </w:p>
        </w:tc>
        <w:tc>
          <w:tcPr>
            <w:tcW w:w="80" w:type="dxa"/>
            <w:vAlign w:val="bottom"/>
            <w:shd w:val="clear" w:color="auto" w:fill="B2B2B2"/>
          </w:tcPr>
          <w:p>
            <w:pPr>
              <w:spacing w:after="0"/>
              <w:rPr>
                <w:sz w:val="20"/>
                <w:szCs w:val="20"/>
                <w:color w:val="auto"/>
              </w:rPr>
            </w:pPr>
          </w:p>
        </w:tc>
        <w:tc>
          <w:tcPr>
            <w:tcW w:w="300" w:type="dxa"/>
            <w:vAlign w:val="bottom"/>
            <w:shd w:val="clear" w:color="auto" w:fill="B2B2B2"/>
          </w:tcPr>
          <w:p>
            <w:pPr>
              <w:spacing w:after="0"/>
              <w:rPr>
                <w:sz w:val="20"/>
                <w:szCs w:val="20"/>
                <w:color w:val="auto"/>
              </w:rPr>
            </w:pPr>
          </w:p>
        </w:tc>
        <w:tc>
          <w:tcPr>
            <w:tcW w:w="10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7,753</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204,875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205,397</w:t>
            </w:r>
          </w:p>
        </w:tc>
      </w:tr>
      <w:tr>
        <w:trPr>
          <w:trHeight w:val="216"/>
        </w:trPr>
        <w:tc>
          <w:tcPr>
            <w:tcW w:w="83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40"/>
              <w:spacing w:after="0"/>
              <w:rPr>
                <w:sz w:val="20"/>
                <w:szCs w:val="20"/>
                <w:color w:val="auto"/>
              </w:rPr>
            </w:pPr>
            <w:r>
              <w:rPr>
                <w:rFonts w:ascii="Times New Roman" w:cs="Times New Roman" w:eastAsia="Times New Roman" w:hAnsi="Times New Roman"/>
                <w:sz w:val="18"/>
                <w:szCs w:val="18"/>
                <w:color w:val="auto"/>
              </w:rPr>
              <w:t>99,062</w:t>
            </w:r>
          </w:p>
        </w:tc>
        <w:tc>
          <w:tcPr>
            <w:tcW w:w="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90,341</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in treasury, at cost (1,113,103 and 991,406 shares at December 31, 2020 and 2019, respectively)</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(50,515)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(45,381)</w:t>
            </w:r>
          </w:p>
        </w:tc>
      </w:tr>
      <w:tr>
        <w:trPr>
          <w:trHeight w:val="216"/>
        </w:trPr>
        <w:tc>
          <w:tcPr>
            <w:tcW w:w="83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(13,920)</w:t>
            </w:r>
          </w:p>
        </w:tc>
      </w:tr>
      <w:tr>
        <w:trPr>
          <w:trHeight w:val="20"/>
        </w:trPr>
        <w:tc>
          <w:tcPr>
            <w:tcW w:w="8340" w:type="dxa"/>
            <w:vAlign w:val="bottom"/>
            <w:shd w:val="clear" w:color="auto" w:fill="B2B2B2"/>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B2B2B2"/>
          </w:tcPr>
          <w:p>
            <w:pPr>
              <w:spacing w:after="0" w:line="20" w:lineRule="exact"/>
              <w:rPr>
                <w:sz w:val="1"/>
                <w:szCs w:val="1"/>
                <w:color w:val="auto"/>
              </w:rPr>
            </w:pPr>
          </w:p>
        </w:tc>
        <w:tc>
          <w:tcPr>
            <w:tcW w:w="80" w:type="dxa"/>
            <w:vAlign w:val="bottom"/>
            <w:shd w:val="clear" w:color="auto" w:fill="B2B2B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8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261,160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244,190</w:t>
            </w:r>
          </w:p>
        </w:tc>
      </w:tr>
      <w:tr>
        <w:trPr>
          <w:trHeight w:val="20"/>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30"/>
        </w:trPr>
        <w:tc>
          <w:tcPr>
            <w:tcW w:w="8340" w:type="dxa"/>
            <w:vAlign w:val="bottom"/>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shd w:val="clear" w:color="auto" w:fill="B2B2B2"/>
          </w:tcPr>
          <w:p>
            <w:pPr>
              <w:spacing w:after="0"/>
              <w:rPr>
                <w:sz w:val="19"/>
                <w:szCs w:val="19"/>
                <w:color w:val="auto"/>
              </w:rPr>
            </w:pPr>
          </w:p>
        </w:tc>
        <w:tc>
          <w:tcPr>
            <w:tcW w:w="320" w:type="dxa"/>
            <w:vAlign w:val="bottom"/>
            <w:shd w:val="clear" w:color="auto" w:fill="B2B2B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B2B2B2"/>
          </w:tcPr>
          <w:p>
            <w:pPr>
              <w:jc w:val="right"/>
              <w:ind w:right="140"/>
              <w:spacing w:after="0"/>
              <w:rPr>
                <w:sz w:val="20"/>
                <w:szCs w:val="20"/>
                <w:color w:val="auto"/>
              </w:rPr>
            </w:pPr>
            <w:r>
              <w:rPr>
                <w:rFonts w:ascii="Times New Roman" w:cs="Times New Roman" w:eastAsia="Times New Roman" w:hAnsi="Times New Roman"/>
                <w:sz w:val="18"/>
                <w:szCs w:val="18"/>
                <w:color w:val="auto"/>
              </w:rPr>
              <w:t>2,203,235</w:t>
            </w:r>
          </w:p>
        </w:tc>
        <w:tc>
          <w:tcPr>
            <w:tcW w:w="38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1,764,243</w:t>
            </w:r>
          </w:p>
        </w:tc>
      </w:tr>
      <w:tr>
        <w:trPr>
          <w:trHeight w:val="20"/>
        </w:trPr>
        <w:tc>
          <w:tcPr>
            <w:tcW w:w="8340" w:type="dxa"/>
            <w:vAlign w:val="bottom"/>
            <w:tcBorders>
              <w:top w:val="single" w:sz="8" w:color="B2B2B2"/>
            </w:tcBorders>
            <w:shd w:val="clear" w:color="auto" w:fill="B2B2B2"/>
          </w:tcPr>
          <w:p>
            <w:pPr>
              <w:spacing w:after="0" w:line="20" w:lineRule="exact"/>
              <w:rPr>
                <w:sz w:val="1"/>
                <w:szCs w:val="1"/>
                <w:color w:val="auto"/>
              </w:rPr>
            </w:pPr>
          </w:p>
        </w:tc>
        <w:tc>
          <w:tcPr>
            <w:tcW w:w="100" w:type="dxa"/>
            <w:vAlign w:val="bottom"/>
            <w:tcBorders>
              <w:top w:val="single" w:sz="8" w:color="B2B2B2"/>
            </w:tcBorders>
            <w:shd w:val="clear" w:color="auto" w:fill="B2B2B2"/>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B2B2B2"/>
            </w:tcBorders>
            <w:shd w:val="clear" w:color="auto" w:fill="B2B2B2"/>
          </w:tcPr>
          <w:p>
            <w:pPr>
              <w:spacing w:after="0" w:line="20" w:lineRule="exact"/>
              <w:rPr>
                <w:sz w:val="1"/>
                <w:szCs w:val="1"/>
                <w:color w:val="auto"/>
              </w:rPr>
            </w:pPr>
          </w:p>
        </w:tc>
        <w:tc>
          <w:tcPr>
            <w:tcW w:w="80" w:type="dxa"/>
            <w:vAlign w:val="bottom"/>
            <w:tcBorders>
              <w:top w:val="single" w:sz="8" w:color="B2B2B2"/>
            </w:tcBorders>
            <w:shd w:val="clear" w:color="auto" w:fill="B2B2B2"/>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8340" w:type="dxa"/>
            <w:vAlign w:val="bottom"/>
            <w:gridSpan w:val="4"/>
          </w:tcPr>
          <w:p>
            <w:pPr>
              <w:ind w:left="3160"/>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340" w:type="dxa"/>
            <w:vAlign w:val="bottom"/>
            <w:gridSpan w:val="4"/>
          </w:tcPr>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8"/>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17"/>
        </w:trPr>
        <w:tc>
          <w:tcPr>
            <w:tcW w:w="6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97,204</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107,953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102,181</w:t>
            </w: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Bank service fees</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8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1,386</w:t>
            </w: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sales of securities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B2B2B2"/>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B2B2B2"/>
            </w:tcBorders>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B2B2B2"/>
            </w:tcBorders>
            <w:shd w:val="clear" w:color="auto" w:fill="B2B2B2"/>
          </w:tcPr>
          <w:p>
            <w:pPr>
              <w:spacing w:after="0"/>
              <w:rPr>
                <w:sz w:val="18"/>
                <w:szCs w:val="18"/>
                <w:color w:val="auto"/>
              </w:rPr>
            </w:pPr>
          </w:p>
        </w:tc>
        <w:tc>
          <w:tcPr>
            <w:tcW w:w="26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0" w:type="dxa"/>
            <w:vAlign w:val="bottom"/>
            <w:tcBorders>
              <w:bottom w:val="single" w:sz="8" w:color="B2B2B2"/>
            </w:tcBorders>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09"/>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100,441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110,069</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104,076</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36,461</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32,477</w:t>
            </w: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 and dividends on securities:</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Taxable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2,497</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Exempt from federal income taxes</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7,104</w:t>
            </w: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8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7,839</w:t>
            </w: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9,063</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federal funds sold and other short-term investments</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4,282</w:t>
            </w:r>
          </w:p>
        </w:tc>
        <w:tc>
          <w:tcPr>
            <w:tcW w:w="0" w:type="dxa"/>
            <w:vAlign w:val="bottom"/>
          </w:tcPr>
          <w:p>
            <w:pPr>
              <w:spacing w:after="0"/>
              <w:rPr>
                <w:sz w:val="1"/>
                <w:szCs w:val="1"/>
                <w:color w:val="auto"/>
              </w:rPr>
            </w:pPr>
          </w:p>
        </w:tc>
      </w:tr>
      <w:tr>
        <w:trPr>
          <w:trHeight w:val="209"/>
        </w:trPr>
        <w:tc>
          <w:tcPr>
            <w:tcW w:w="686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Total interest income</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47,687</w:t>
            </w: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8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52,609</w:t>
            </w: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47,926</w:t>
            </w:r>
          </w:p>
        </w:tc>
        <w:tc>
          <w:tcPr>
            <w:tcW w:w="0" w:type="dxa"/>
            <w:vAlign w:val="bottom"/>
          </w:tcPr>
          <w:p>
            <w:pPr>
              <w:spacing w:after="0"/>
              <w:rPr>
                <w:sz w:val="1"/>
                <w:szCs w:val="1"/>
                <w:color w:val="auto"/>
              </w:rPr>
            </w:pPr>
          </w:p>
        </w:tc>
      </w:tr>
      <w:tr>
        <w:trPr>
          <w:trHeight w:val="209"/>
        </w:trPr>
        <w:tc>
          <w:tcPr>
            <w:tcW w:w="686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300" w:type="dxa"/>
            <w:vAlign w:val="bottom"/>
            <w:tcBorders>
              <w:top w:val="single" w:sz="8" w:color="auto"/>
            </w:tcBorders>
            <w:shd w:val="clear" w:color="auto" w:fill="B2B2B2"/>
          </w:tcPr>
          <w:p>
            <w:pPr>
              <w:spacing w:after="0"/>
              <w:rPr>
                <w:sz w:val="18"/>
                <w:szCs w:val="18"/>
                <w:color w:val="auto"/>
              </w:rPr>
            </w:pPr>
          </w:p>
        </w:tc>
        <w:tc>
          <w:tcPr>
            <w:tcW w:w="1060" w:type="dxa"/>
            <w:vAlign w:val="bottom"/>
            <w:tcBorders>
              <w:top w:val="single" w:sz="8" w:color="auto"/>
            </w:tcBorders>
            <w:shd w:val="clear" w:color="auto" w:fill="B2B2B2"/>
          </w:tcPr>
          <w:p>
            <w:pPr>
              <w:spacing w:after="0"/>
              <w:rPr>
                <w:sz w:val="18"/>
                <w:szCs w:val="18"/>
                <w:color w:val="auto"/>
              </w:rPr>
            </w:pPr>
          </w:p>
        </w:tc>
        <w:tc>
          <w:tcPr>
            <w:tcW w:w="100" w:type="dxa"/>
            <w:vAlign w:val="bottom"/>
            <w:tcBorders>
              <w:top w:val="single" w:sz="8" w:color="B2B2B2"/>
            </w:tcBorders>
            <w:shd w:val="clear" w:color="auto" w:fill="B2B2B2"/>
          </w:tcPr>
          <w:p>
            <w:pPr>
              <w:spacing w:after="0"/>
              <w:rPr>
                <w:sz w:val="18"/>
                <w:szCs w:val="18"/>
                <w:color w:val="auto"/>
              </w:rPr>
            </w:pPr>
          </w:p>
        </w:tc>
        <w:tc>
          <w:tcPr>
            <w:tcW w:w="260" w:type="dxa"/>
            <w:vAlign w:val="bottom"/>
            <w:tcBorders>
              <w:top w:val="single" w:sz="8" w:color="auto"/>
            </w:tcBorders>
            <w:shd w:val="clear" w:color="auto" w:fill="B2B2B2"/>
          </w:tcPr>
          <w:p>
            <w:pPr>
              <w:spacing w:after="0"/>
              <w:rPr>
                <w:sz w:val="18"/>
                <w:szCs w:val="18"/>
                <w:color w:val="auto"/>
              </w:rPr>
            </w:pPr>
          </w:p>
        </w:tc>
        <w:tc>
          <w:tcPr>
            <w:tcW w:w="980" w:type="dxa"/>
            <w:vAlign w:val="bottom"/>
            <w:tcBorders>
              <w:top w:val="single" w:sz="8" w:color="auto"/>
            </w:tcBorders>
            <w:shd w:val="clear" w:color="auto" w:fill="B2B2B2"/>
          </w:tcPr>
          <w:p>
            <w:pPr>
              <w:spacing w:after="0"/>
              <w:rPr>
                <w:sz w:val="18"/>
                <w:szCs w:val="18"/>
                <w:color w:val="auto"/>
              </w:rPr>
            </w:pPr>
          </w:p>
        </w:tc>
        <w:tc>
          <w:tcPr>
            <w:tcW w:w="200" w:type="dxa"/>
            <w:vAlign w:val="bottom"/>
            <w:tcBorders>
              <w:top w:val="single" w:sz="8" w:color="B2B2B2"/>
            </w:tcBorders>
            <w:shd w:val="clear" w:color="auto" w:fill="B2B2B2"/>
          </w:tcPr>
          <w:p>
            <w:pPr>
              <w:spacing w:after="0"/>
              <w:rPr>
                <w:sz w:val="18"/>
                <w:szCs w:val="18"/>
                <w:color w:val="auto"/>
              </w:rPr>
            </w:pPr>
          </w:p>
        </w:tc>
        <w:tc>
          <w:tcPr>
            <w:tcW w:w="300" w:type="dxa"/>
            <w:vAlign w:val="bottom"/>
            <w:tcBorders>
              <w:top w:val="single" w:sz="8" w:color="auto"/>
            </w:tcBorders>
            <w:shd w:val="clear" w:color="auto" w:fill="B2B2B2"/>
          </w:tcPr>
          <w:p>
            <w:pPr>
              <w:spacing w:after="0"/>
              <w:rPr>
                <w:sz w:val="18"/>
                <w:szCs w:val="18"/>
                <w:color w:val="auto"/>
              </w:rPr>
            </w:pPr>
          </w:p>
        </w:tc>
        <w:tc>
          <w:tcPr>
            <w:tcW w:w="940" w:type="dxa"/>
            <w:vAlign w:val="bottom"/>
            <w:tcBorders>
              <w:top w:val="single" w:sz="8" w:color="auto"/>
            </w:tcBorders>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Borders>
              <w:bottom w:val="single" w:sz="8" w:color="B2B2B2"/>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 on deposits</w:t>
            </w:r>
          </w:p>
        </w:tc>
        <w:tc>
          <w:tcPr>
            <w:tcW w:w="120" w:type="dxa"/>
            <w:vAlign w:val="bottom"/>
            <w:tcBorders>
              <w:bottom w:val="single" w:sz="8" w:color="B2B2B2"/>
            </w:tcBorders>
            <w:shd w:val="clear" w:color="auto" w:fill="B2B2B2"/>
          </w:tcPr>
          <w:p>
            <w:pPr>
              <w:spacing w:after="0"/>
              <w:rPr>
                <w:sz w:val="18"/>
                <w:szCs w:val="18"/>
                <w:color w:val="auto"/>
              </w:rPr>
            </w:pPr>
          </w:p>
        </w:tc>
        <w:tc>
          <w:tcPr>
            <w:tcW w:w="300" w:type="dxa"/>
            <w:vAlign w:val="bottom"/>
            <w:tcBorders>
              <w:bottom w:val="single" w:sz="8" w:color="B2B2B2"/>
            </w:tcBorders>
            <w:shd w:val="clear" w:color="auto" w:fill="B2B2B2"/>
          </w:tcPr>
          <w:p>
            <w:pPr>
              <w:spacing w:after="0"/>
              <w:rPr>
                <w:sz w:val="18"/>
                <w:szCs w:val="18"/>
                <w:color w:val="auto"/>
              </w:rPr>
            </w:pPr>
          </w:p>
        </w:tc>
        <w:tc>
          <w:tcPr>
            <w:tcW w:w="1060" w:type="dxa"/>
            <w:vAlign w:val="bottom"/>
            <w:tcBorders>
              <w:bottom w:val="single" w:sz="8" w:color="B2B2B2"/>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Borders>
              <w:bottom w:val="single" w:sz="8" w:color="B2B2B2"/>
            </w:tcBorders>
            <w:shd w:val="clear" w:color="auto" w:fill="B2B2B2"/>
          </w:tcPr>
          <w:p>
            <w:pPr>
              <w:spacing w:after="0"/>
              <w:rPr>
                <w:sz w:val="18"/>
                <w:szCs w:val="18"/>
                <w:color w:val="auto"/>
              </w:rPr>
            </w:pPr>
          </w:p>
        </w:tc>
        <w:tc>
          <w:tcPr>
            <w:tcW w:w="260" w:type="dxa"/>
            <w:vAlign w:val="bottom"/>
            <w:tcBorders>
              <w:bottom w:val="single" w:sz="8" w:color="B2B2B2"/>
            </w:tcBorders>
            <w:shd w:val="clear" w:color="auto" w:fill="B2B2B2"/>
          </w:tcPr>
          <w:p>
            <w:pPr>
              <w:spacing w:after="0"/>
              <w:rPr>
                <w:sz w:val="18"/>
                <w:szCs w:val="18"/>
                <w:color w:val="auto"/>
              </w:rPr>
            </w:pPr>
          </w:p>
        </w:tc>
        <w:tc>
          <w:tcPr>
            <w:tcW w:w="1180" w:type="dxa"/>
            <w:vAlign w:val="bottom"/>
            <w:tcBorders>
              <w:bottom w:val="single" w:sz="8" w:color="B2B2B2"/>
            </w:tcBorders>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5,191</w:t>
            </w:r>
          </w:p>
        </w:tc>
        <w:tc>
          <w:tcPr>
            <w:tcW w:w="300" w:type="dxa"/>
            <w:vAlign w:val="bottom"/>
            <w:tcBorders>
              <w:bottom w:val="single" w:sz="8" w:color="B2B2B2"/>
            </w:tcBorders>
            <w:shd w:val="clear" w:color="auto" w:fill="B2B2B2"/>
          </w:tcPr>
          <w:p>
            <w:pPr>
              <w:spacing w:after="0"/>
              <w:rPr>
                <w:sz w:val="18"/>
                <w:szCs w:val="18"/>
                <w:color w:val="auto"/>
              </w:rPr>
            </w:pPr>
          </w:p>
        </w:tc>
        <w:tc>
          <w:tcPr>
            <w:tcW w:w="940" w:type="dxa"/>
            <w:vAlign w:val="bottom"/>
            <w:tcBorders>
              <w:bottom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20" w:type="dxa"/>
            <w:vAlign w:val="bottom"/>
            <w:tcBorders>
              <w:bottom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Interest on short-term borrowings</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B2B2B2"/>
            </w:tcBorders>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bottom w:val="single" w:sz="8" w:color="B2B2B2"/>
            </w:tcBorders>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bottom w:val="single" w:sz="8" w:color="B2B2B2"/>
            </w:tcBorders>
            <w:shd w:val="clear" w:color="auto" w:fill="B2B2B2"/>
          </w:tcPr>
          <w:p>
            <w:pPr>
              <w:spacing w:after="0"/>
              <w:rPr>
                <w:sz w:val="18"/>
                <w:szCs w:val="18"/>
                <w:color w:val="auto"/>
              </w:rPr>
            </w:pPr>
          </w:p>
        </w:tc>
        <w:tc>
          <w:tcPr>
            <w:tcW w:w="26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200" w:type="dxa"/>
            <w:vAlign w:val="bottom"/>
            <w:tcBorders>
              <w:bottom w:val="single" w:sz="8" w:color="B2B2B2"/>
            </w:tcBorders>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r>
        <w:trPr>
          <w:trHeight w:val="209"/>
        </w:trPr>
        <w:tc>
          <w:tcPr>
            <w:tcW w:w="6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interest income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47,416</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44,190</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B2B2B2"/>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Provision for credit/loan losses</w:t>
            </w:r>
          </w:p>
        </w:tc>
        <w:tc>
          <w:tcPr>
            <w:tcW w:w="120" w:type="dxa"/>
            <w:vAlign w:val="bottom"/>
            <w:tcBorders>
              <w:bottom w:val="single" w:sz="8" w:color="B2B2B2"/>
            </w:tcBorders>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B2B2B2"/>
            </w:tcBorders>
            <w:shd w:val="clear" w:color="auto" w:fill="B2B2B2"/>
          </w:tcPr>
          <w:p>
            <w:pPr>
              <w:spacing w:after="0"/>
              <w:rPr>
                <w:sz w:val="18"/>
                <w:szCs w:val="18"/>
                <w:color w:val="auto"/>
              </w:rPr>
            </w:pPr>
          </w:p>
        </w:tc>
        <w:tc>
          <w:tcPr>
            <w:tcW w:w="26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Borders>
              <w:bottom w:val="single" w:sz="8" w:color="B2B2B2"/>
            </w:tcBorders>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interest income after provision for credit/loan losses</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44,515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47,166</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44,190</w:t>
            </w:r>
          </w:p>
        </w:tc>
        <w:tc>
          <w:tcPr>
            <w:tcW w:w="0" w:type="dxa"/>
            <w:vAlign w:val="bottom"/>
          </w:tcPr>
          <w:p>
            <w:pPr>
              <w:spacing w:after="0"/>
              <w:rPr>
                <w:sz w:val="1"/>
                <w:szCs w:val="1"/>
                <w:color w:val="auto"/>
              </w:rPr>
            </w:pPr>
          </w:p>
        </w:tc>
      </w:tr>
      <w:tr>
        <w:trPr>
          <w:trHeight w:val="210"/>
        </w:trPr>
        <w:tc>
          <w:tcPr>
            <w:tcW w:w="6860" w:type="dxa"/>
            <w:vAlign w:val="bottom"/>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144,956</w:t>
            </w: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8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157,235</w:t>
            </w: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148,266</w:t>
            </w:r>
          </w:p>
        </w:tc>
        <w:tc>
          <w:tcPr>
            <w:tcW w:w="0" w:type="dxa"/>
            <w:vAlign w:val="bottom"/>
          </w:tcPr>
          <w:p>
            <w:pPr>
              <w:spacing w:after="0"/>
              <w:rPr>
                <w:sz w:val="1"/>
                <w:szCs w:val="1"/>
                <w:color w:val="auto"/>
              </w:rPr>
            </w:pPr>
          </w:p>
        </w:tc>
      </w:tr>
      <w:tr>
        <w:trPr>
          <w:trHeight w:val="210"/>
        </w:trPr>
        <w:tc>
          <w:tcPr>
            <w:tcW w:w="686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300" w:type="dxa"/>
            <w:vAlign w:val="bottom"/>
            <w:tcBorders>
              <w:top w:val="single" w:sz="8" w:color="auto"/>
            </w:tcBorders>
            <w:shd w:val="clear" w:color="auto" w:fill="B2B2B2"/>
          </w:tcPr>
          <w:p>
            <w:pPr>
              <w:spacing w:after="0"/>
              <w:rPr>
                <w:sz w:val="18"/>
                <w:szCs w:val="18"/>
                <w:color w:val="auto"/>
              </w:rPr>
            </w:pPr>
          </w:p>
        </w:tc>
        <w:tc>
          <w:tcPr>
            <w:tcW w:w="1060" w:type="dxa"/>
            <w:vAlign w:val="bottom"/>
            <w:tcBorders>
              <w:top w:val="single" w:sz="8" w:color="auto"/>
            </w:tcBorders>
            <w:shd w:val="clear" w:color="auto" w:fill="B2B2B2"/>
          </w:tcPr>
          <w:p>
            <w:pPr>
              <w:spacing w:after="0"/>
              <w:rPr>
                <w:sz w:val="18"/>
                <w:szCs w:val="18"/>
                <w:color w:val="auto"/>
              </w:rPr>
            </w:pPr>
          </w:p>
        </w:tc>
        <w:tc>
          <w:tcPr>
            <w:tcW w:w="100" w:type="dxa"/>
            <w:vAlign w:val="bottom"/>
            <w:tcBorders>
              <w:top w:val="single" w:sz="8" w:color="B2B2B2"/>
            </w:tcBorders>
            <w:shd w:val="clear" w:color="auto" w:fill="B2B2B2"/>
          </w:tcPr>
          <w:p>
            <w:pPr>
              <w:spacing w:after="0"/>
              <w:rPr>
                <w:sz w:val="18"/>
                <w:szCs w:val="18"/>
                <w:color w:val="auto"/>
              </w:rPr>
            </w:pPr>
          </w:p>
        </w:tc>
        <w:tc>
          <w:tcPr>
            <w:tcW w:w="260" w:type="dxa"/>
            <w:vAlign w:val="bottom"/>
            <w:tcBorders>
              <w:top w:val="single" w:sz="8" w:color="auto"/>
            </w:tcBorders>
            <w:shd w:val="clear" w:color="auto" w:fill="B2B2B2"/>
          </w:tcPr>
          <w:p>
            <w:pPr>
              <w:spacing w:after="0"/>
              <w:rPr>
                <w:sz w:val="18"/>
                <w:szCs w:val="18"/>
                <w:color w:val="auto"/>
              </w:rPr>
            </w:pPr>
          </w:p>
        </w:tc>
        <w:tc>
          <w:tcPr>
            <w:tcW w:w="980" w:type="dxa"/>
            <w:vAlign w:val="bottom"/>
            <w:tcBorders>
              <w:top w:val="single" w:sz="8" w:color="auto"/>
            </w:tcBorders>
            <w:shd w:val="clear" w:color="auto" w:fill="B2B2B2"/>
          </w:tcPr>
          <w:p>
            <w:pPr>
              <w:spacing w:after="0"/>
              <w:rPr>
                <w:sz w:val="18"/>
                <w:szCs w:val="18"/>
                <w:color w:val="auto"/>
              </w:rPr>
            </w:pPr>
          </w:p>
        </w:tc>
        <w:tc>
          <w:tcPr>
            <w:tcW w:w="200" w:type="dxa"/>
            <w:vAlign w:val="bottom"/>
            <w:tcBorders>
              <w:top w:val="single" w:sz="8" w:color="B2B2B2"/>
            </w:tcBorders>
            <w:shd w:val="clear" w:color="auto" w:fill="B2B2B2"/>
          </w:tcPr>
          <w:p>
            <w:pPr>
              <w:spacing w:after="0"/>
              <w:rPr>
                <w:sz w:val="18"/>
                <w:szCs w:val="18"/>
                <w:color w:val="auto"/>
              </w:rPr>
            </w:pPr>
          </w:p>
        </w:tc>
        <w:tc>
          <w:tcPr>
            <w:tcW w:w="300" w:type="dxa"/>
            <w:vAlign w:val="bottom"/>
            <w:tcBorders>
              <w:top w:val="single" w:sz="8" w:color="auto"/>
            </w:tcBorders>
            <w:shd w:val="clear" w:color="auto" w:fill="B2B2B2"/>
          </w:tcPr>
          <w:p>
            <w:pPr>
              <w:spacing w:after="0"/>
              <w:rPr>
                <w:sz w:val="18"/>
                <w:szCs w:val="18"/>
                <w:color w:val="auto"/>
              </w:rPr>
            </w:pPr>
          </w:p>
        </w:tc>
        <w:tc>
          <w:tcPr>
            <w:tcW w:w="940" w:type="dxa"/>
            <w:vAlign w:val="bottom"/>
            <w:tcBorders>
              <w:top w:val="single" w:sz="8" w:color="auto"/>
            </w:tcBorders>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Personnel</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88,062</w:t>
            </w: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8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91,083</w:t>
            </w: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85,881</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Occupancy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3,918</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3,723</w:t>
            </w: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6,568</w:t>
            </w: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8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6,140</w:t>
            </w: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5,610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563</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B2B2B2"/>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 operating</w:t>
            </w:r>
          </w:p>
        </w:tc>
        <w:tc>
          <w:tcPr>
            <w:tcW w:w="120" w:type="dxa"/>
            <w:vAlign w:val="bottom"/>
            <w:tcBorders>
              <w:bottom w:val="single" w:sz="8" w:color="B2B2B2"/>
            </w:tcBorders>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15,387</w:t>
            </w:r>
          </w:p>
        </w:tc>
        <w:tc>
          <w:tcPr>
            <w:tcW w:w="100" w:type="dxa"/>
            <w:vAlign w:val="bottom"/>
            <w:tcBorders>
              <w:bottom w:val="single" w:sz="8" w:color="B2B2B2"/>
            </w:tcBorders>
            <w:shd w:val="clear" w:color="auto" w:fill="B2B2B2"/>
          </w:tcPr>
          <w:p>
            <w:pPr>
              <w:spacing w:after="0"/>
              <w:rPr>
                <w:sz w:val="18"/>
                <w:szCs w:val="18"/>
                <w:color w:val="auto"/>
              </w:rPr>
            </w:pPr>
          </w:p>
        </w:tc>
        <w:tc>
          <w:tcPr>
            <w:tcW w:w="26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18,065</w:t>
            </w:r>
          </w:p>
        </w:tc>
        <w:tc>
          <w:tcPr>
            <w:tcW w:w="200" w:type="dxa"/>
            <w:vAlign w:val="bottom"/>
            <w:tcBorders>
              <w:bottom w:val="single" w:sz="8" w:color="B2B2B2"/>
            </w:tcBorders>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16,263</w:t>
            </w:r>
          </w:p>
        </w:tc>
        <w:tc>
          <w:tcPr>
            <w:tcW w:w="0" w:type="dxa"/>
            <w:vAlign w:val="bottom"/>
          </w:tcPr>
          <w:p>
            <w:pPr>
              <w:spacing w:after="0"/>
              <w:rPr>
                <w:sz w:val="1"/>
                <w:szCs w:val="1"/>
                <w:color w:val="auto"/>
              </w:rPr>
            </w:pPr>
          </w:p>
        </w:tc>
      </w:tr>
      <w:tr>
        <w:trPr>
          <w:trHeight w:val="209"/>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operating expense</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114,615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119,769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111,919</w:t>
            </w:r>
          </w:p>
        </w:tc>
        <w:tc>
          <w:tcPr>
            <w:tcW w:w="0" w:type="dxa"/>
            <w:vAlign w:val="bottom"/>
          </w:tcPr>
          <w:p>
            <w:pPr>
              <w:spacing w:after="0"/>
              <w:rPr>
                <w:sz w:val="1"/>
                <w:szCs w:val="1"/>
                <w:color w:val="auto"/>
              </w:rPr>
            </w:pPr>
          </w:p>
        </w:tc>
      </w:tr>
      <w:tr>
        <w:trPr>
          <w:trHeight w:val="210"/>
        </w:trPr>
        <w:tc>
          <w:tcPr>
            <w:tcW w:w="6860" w:type="dxa"/>
            <w:vAlign w:val="bottom"/>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30,341</w:t>
            </w: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8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37,466</w:t>
            </w: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36,347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5,165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6,079</w:t>
            </w:r>
          </w:p>
        </w:tc>
        <w:tc>
          <w:tcPr>
            <w:tcW w:w="0" w:type="dxa"/>
            <w:vAlign w:val="bottom"/>
          </w:tcPr>
          <w:p>
            <w:pPr>
              <w:spacing w:after="0"/>
              <w:rPr>
                <w:sz w:val="1"/>
                <w:szCs w:val="1"/>
                <w:color w:val="auto"/>
              </w:rPr>
            </w:pPr>
          </w:p>
        </w:tc>
      </w:tr>
      <w:tr>
        <w:trPr>
          <w:trHeight w:val="249"/>
        </w:trPr>
        <w:tc>
          <w:tcPr>
            <w:tcW w:w="6860" w:type="dxa"/>
            <w:vAlign w:val="bottom"/>
            <w:tcBorders>
              <w:bottom w:val="single" w:sz="8" w:color="B2B2B2"/>
            </w:tcBorders>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B2B2B2"/>
            </w:tcBorders>
            <w:shd w:val="clear" w:color="auto" w:fill="B2B2B2"/>
          </w:tcPr>
          <w:p>
            <w:pPr>
              <w:spacing w:after="0"/>
              <w:rPr>
                <w:sz w:val="21"/>
                <w:szCs w:val="21"/>
                <w:color w:val="auto"/>
              </w:rPr>
            </w:pPr>
          </w:p>
        </w:tc>
        <w:tc>
          <w:tcPr>
            <w:tcW w:w="30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25,176</w:t>
            </w:r>
          </w:p>
        </w:tc>
        <w:tc>
          <w:tcPr>
            <w:tcW w:w="100" w:type="dxa"/>
            <w:vAlign w:val="bottom"/>
            <w:tcBorders>
              <w:bottom w:val="single" w:sz="8" w:color="B2B2B2"/>
            </w:tcBorders>
            <w:shd w:val="clear" w:color="auto" w:fill="B2B2B2"/>
          </w:tcPr>
          <w:p>
            <w:pPr>
              <w:spacing w:after="0"/>
              <w:rPr>
                <w:sz w:val="21"/>
                <w:szCs w:val="21"/>
                <w:color w:val="auto"/>
              </w:rPr>
            </w:pPr>
          </w:p>
        </w:tc>
        <w:tc>
          <w:tcPr>
            <w:tcW w:w="26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200" w:type="dxa"/>
            <w:vAlign w:val="bottom"/>
            <w:tcBorders>
              <w:bottom w:val="single" w:sz="8" w:color="B2B2B2"/>
            </w:tcBorders>
            <w:shd w:val="clear" w:color="auto" w:fill="B2B2B2"/>
          </w:tcPr>
          <w:p>
            <w:pPr>
              <w:spacing w:after="0"/>
              <w:rPr>
                <w:sz w:val="21"/>
                <w:szCs w:val="21"/>
                <w:color w:val="auto"/>
              </w:rPr>
            </w:pPr>
          </w:p>
        </w:tc>
        <w:tc>
          <w:tcPr>
            <w:tcW w:w="300" w:type="dxa"/>
            <w:vAlign w:val="bottom"/>
            <w:tcBorders>
              <w:bottom w:val="single" w:sz="8" w:color="auto"/>
            </w:tcBorders>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30,268</w:t>
            </w:r>
          </w:p>
        </w:tc>
        <w:tc>
          <w:tcPr>
            <w:tcW w:w="0" w:type="dxa"/>
            <w:vAlign w:val="bottom"/>
          </w:tcPr>
          <w:p>
            <w:pPr>
              <w:spacing w:after="0"/>
              <w:rPr>
                <w:sz w:val="1"/>
                <w:szCs w:val="1"/>
                <w:color w:val="auto"/>
              </w:rPr>
            </w:pPr>
          </w:p>
        </w:tc>
      </w:tr>
      <w:tr>
        <w:trPr>
          <w:trHeight w:val="197"/>
        </w:trPr>
        <w:tc>
          <w:tcPr>
            <w:tcW w:w="6860" w:type="dxa"/>
            <w:vAlign w:val="bottom"/>
            <w:shd w:val="clear" w:color="auto" w:fill="B2B2B2"/>
          </w:tcPr>
          <w:p>
            <w:pPr>
              <w:spacing w:after="0"/>
              <w:rPr>
                <w:sz w:val="17"/>
                <w:szCs w:val="17"/>
                <w:color w:val="auto"/>
              </w:rPr>
            </w:pPr>
          </w:p>
        </w:tc>
        <w:tc>
          <w:tcPr>
            <w:tcW w:w="420" w:type="dxa"/>
            <w:vAlign w:val="bottom"/>
            <w:gridSpan w:val="2"/>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8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300" w:type="dxa"/>
            <w:vAlign w:val="bottom"/>
            <w:shd w:val="clear" w:color="auto" w:fill="B2B2B2"/>
          </w:tcPr>
          <w:p>
            <w:pPr>
              <w:spacing w:after="0"/>
              <w:rPr>
                <w:sz w:val="17"/>
                <w:szCs w:val="17"/>
                <w:color w:val="auto"/>
              </w:rPr>
            </w:pPr>
          </w:p>
        </w:tc>
        <w:tc>
          <w:tcPr>
            <w:tcW w:w="94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8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2.07</w:t>
            </w: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8580" w:type="dxa"/>
            <w:vAlign w:val="bottom"/>
            <w:gridSpan w:val="3"/>
          </w:tcPr>
          <w:p>
            <w:pPr>
              <w:ind w:left="3160"/>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580" w:type="dxa"/>
            <w:vAlign w:val="bottom"/>
            <w:gridSpan w:val="3"/>
          </w:tcPr>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7"/>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09"/>
        </w:trPr>
        <w:tc>
          <w:tcPr>
            <w:tcW w:w="73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8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25,176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30,404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30,268</w:t>
            </w:r>
          </w:p>
        </w:tc>
        <w:tc>
          <w:tcPr>
            <w:tcW w:w="0" w:type="dxa"/>
            <w:vAlign w:val="bottom"/>
          </w:tcPr>
          <w:p>
            <w:pPr>
              <w:spacing w:after="0"/>
              <w:rPr>
                <w:sz w:val="1"/>
                <w:szCs w:val="1"/>
                <w:color w:val="auto"/>
              </w:rPr>
            </w:pPr>
          </w:p>
        </w:tc>
      </w:tr>
      <w:tr>
        <w:trPr>
          <w:trHeight w:val="216"/>
        </w:trPr>
        <w:tc>
          <w:tcPr>
            <w:tcW w:w="73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unrealized gain (loss) on securities available-for-sale</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0" w:type="dxa"/>
            <w:vAlign w:val="bottom"/>
          </w:tcPr>
          <w:p>
            <w:pPr>
              <w:spacing w:after="0"/>
              <w:rPr>
                <w:sz w:val="1"/>
                <w:szCs w:val="1"/>
                <w:color w:val="auto"/>
              </w:rPr>
            </w:pPr>
          </w:p>
        </w:tc>
      </w:tr>
      <w:tr>
        <w:trPr>
          <w:trHeight w:val="216"/>
        </w:trPr>
        <w:tc>
          <w:tcPr>
            <w:tcW w:w="732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Tax effect</w:t>
            </w:r>
          </w:p>
        </w:tc>
        <w:tc>
          <w:tcPr>
            <w:tcW w:w="28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Reclassification adjustments for (gains) losses included in net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732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Tax effect</w:t>
            </w:r>
          </w:p>
        </w:tc>
        <w:tc>
          <w:tcPr>
            <w:tcW w:w="280" w:type="dxa"/>
            <w:vAlign w:val="bottom"/>
            <w:shd w:val="clear" w:color="auto" w:fill="B2B2B2"/>
          </w:tcPr>
          <w:p>
            <w:pPr>
              <w:spacing w:after="0"/>
              <w:rPr>
                <w:sz w:val="18"/>
                <w:szCs w:val="18"/>
                <w:color w:val="auto"/>
              </w:rPr>
            </w:pPr>
          </w:p>
        </w:tc>
        <w:tc>
          <w:tcPr>
            <w:tcW w:w="9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FASB ASC 715 pension adjustment</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732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Tax effect</w:t>
            </w:r>
          </w:p>
        </w:tc>
        <w:tc>
          <w:tcPr>
            <w:tcW w:w="28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B2B2B2"/>
            </w:tcBorders>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13,905</w:t>
            </w:r>
          </w:p>
        </w:tc>
        <w:tc>
          <w:tcPr>
            <w:tcW w:w="120" w:type="dxa"/>
            <w:vAlign w:val="bottom"/>
            <w:tcBorders>
              <w:bottom w:val="single" w:sz="8" w:color="B2B2B2"/>
            </w:tcBorders>
            <w:shd w:val="clear" w:color="auto" w:fill="B2B2B2"/>
          </w:tcPr>
          <w:p>
            <w:pPr>
              <w:spacing w:after="0"/>
              <w:rPr>
                <w:sz w:val="18"/>
                <w:szCs w:val="18"/>
                <w:color w:val="auto"/>
              </w:rPr>
            </w:pPr>
          </w:p>
        </w:tc>
        <w:tc>
          <w:tcPr>
            <w:tcW w:w="2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4,952</w:t>
            </w:r>
          </w:p>
        </w:tc>
        <w:tc>
          <w:tcPr>
            <w:tcW w:w="100" w:type="dxa"/>
            <w:vAlign w:val="bottom"/>
            <w:tcBorders>
              <w:bottom w:val="single" w:sz="8" w:color="B2B2B2"/>
            </w:tcBorders>
            <w:shd w:val="clear" w:color="auto" w:fill="B2B2B2"/>
          </w:tcPr>
          <w:p>
            <w:pPr>
              <w:spacing w:after="0"/>
              <w:rPr>
                <w:sz w:val="18"/>
                <w:szCs w:val="18"/>
                <w:color w:val="auto"/>
              </w:rPr>
            </w:pPr>
          </w:p>
        </w:tc>
        <w:tc>
          <w:tcPr>
            <w:tcW w:w="2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39,081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35,356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24,716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8360" w:type="dxa"/>
            <w:vAlign w:val="bottom"/>
            <w:gridSpan w:val="4"/>
          </w:tcPr>
          <w:p>
            <w:pPr>
              <w:ind w:left="3160"/>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360" w:type="dxa"/>
            <w:vAlign w:val="bottom"/>
            <w:gridSpan w:val="4"/>
          </w:tcPr>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7"/>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09"/>
        </w:trPr>
        <w:tc>
          <w:tcPr>
            <w:tcW w:w="6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25,176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30,404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30,268</w:t>
            </w: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11,238</w:t>
            </w: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Net (gains) losses on sales of securities</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3,006</w:t>
            </w: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Provision for credit/loan losses</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Increase (decrease) in current income tax liability</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3,746</w:t>
            </w:r>
          </w:p>
        </w:tc>
        <w:tc>
          <w:tcPr>
            <w:tcW w:w="0" w:type="dxa"/>
            <w:vAlign w:val="bottom"/>
          </w:tcPr>
          <w:p>
            <w:pPr>
              <w:spacing w:after="0"/>
              <w:rPr>
                <w:sz w:val="1"/>
                <w:szCs w:val="1"/>
                <w:color w:val="auto"/>
              </w:rPr>
            </w:pPr>
          </w:p>
        </w:tc>
      </w:tr>
      <w:tr>
        <w:trPr>
          <w:trHeight w:val="216"/>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 (decrease) in pension liability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4,641</w:t>
            </w: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4,709</w:t>
            </w:r>
          </w:p>
        </w:tc>
        <w:tc>
          <w:tcPr>
            <w:tcW w:w="0" w:type="dxa"/>
            <w:vAlign w:val="bottom"/>
          </w:tcPr>
          <w:p>
            <w:pPr>
              <w:spacing w:after="0"/>
              <w:rPr>
                <w:sz w:val="1"/>
                <w:szCs w:val="1"/>
                <w:color w:val="auto"/>
              </w:rPr>
            </w:pPr>
          </w:p>
        </w:tc>
      </w:tr>
      <w:tr>
        <w:trPr>
          <w:trHeight w:val="216"/>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0" w:type="dxa"/>
            <w:vAlign w:val="bottom"/>
          </w:tcPr>
          <w:p>
            <w:pPr>
              <w:spacing w:after="0"/>
              <w:rPr>
                <w:sz w:val="1"/>
                <w:szCs w:val="1"/>
                <w:color w:val="auto"/>
              </w:rPr>
            </w:pPr>
          </w:p>
        </w:tc>
      </w:tr>
      <w:tr>
        <w:trPr>
          <w:trHeight w:val="209"/>
        </w:trPr>
        <w:tc>
          <w:tcPr>
            <w:tcW w:w="6860" w:type="dxa"/>
            <w:vAlign w:val="bottom"/>
            <w:tcBorders>
              <w:bottom w:val="single" w:sz="8" w:color="B2B2B2"/>
            </w:tcBorders>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bottom w:val="single" w:sz="8" w:color="B2B2B2"/>
            </w:tcBorders>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47,781</w:t>
            </w:r>
          </w:p>
        </w:tc>
        <w:tc>
          <w:tcPr>
            <w:tcW w:w="100" w:type="dxa"/>
            <w:vAlign w:val="bottom"/>
            <w:tcBorders>
              <w:bottom w:val="single" w:sz="8" w:color="B2B2B2"/>
            </w:tcBorders>
            <w:shd w:val="clear" w:color="auto" w:fill="B2B2B2"/>
          </w:tcPr>
          <w:p>
            <w:pPr>
              <w:spacing w:after="0"/>
              <w:rPr>
                <w:sz w:val="18"/>
                <w:szCs w:val="18"/>
                <w:color w:val="auto"/>
              </w:rPr>
            </w:pPr>
          </w:p>
        </w:tc>
        <w:tc>
          <w:tcPr>
            <w:tcW w:w="28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42,126</w:t>
            </w:r>
          </w:p>
        </w:tc>
        <w:tc>
          <w:tcPr>
            <w:tcW w:w="100" w:type="dxa"/>
            <w:vAlign w:val="bottom"/>
            <w:tcBorders>
              <w:bottom w:val="single" w:sz="8" w:color="B2B2B2"/>
            </w:tcBorders>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48,335</w:t>
            </w:r>
          </w:p>
        </w:tc>
        <w:tc>
          <w:tcPr>
            <w:tcW w:w="0" w:type="dxa"/>
            <w:vAlign w:val="bottom"/>
          </w:tcPr>
          <w:p>
            <w:pPr>
              <w:spacing w:after="0"/>
              <w:rPr>
                <w:sz w:val="1"/>
                <w:szCs w:val="1"/>
                <w:color w:val="auto"/>
              </w:rPr>
            </w:pPr>
          </w:p>
        </w:tc>
      </w:tr>
      <w:tr>
        <w:trPr>
          <w:trHeight w:val="210"/>
        </w:trPr>
        <w:tc>
          <w:tcPr>
            <w:tcW w:w="68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Proceeds from sales of securities available-for-sale</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21,943</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4,648</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58,520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of securities available-for-sale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63,789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38,116</w:t>
            </w: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Purchase of securities available-for-sale</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(20,043)</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(82,022)</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loans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(35,336)</w:t>
            </w: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Decrease (increase) in payments in advance of funding</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11,595</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(45,381)</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(21,674)</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B2B2B2"/>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Asset acquisition of Gateway Giving, LLC</w:t>
            </w:r>
          </w:p>
        </w:tc>
        <w:tc>
          <w:tcPr>
            <w:tcW w:w="120" w:type="dxa"/>
            <w:vAlign w:val="bottom"/>
            <w:tcBorders>
              <w:bottom w:val="single" w:sz="8" w:color="B2B2B2"/>
            </w:tcBorders>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2B2B2"/>
            </w:tcBorders>
            <w:shd w:val="clear" w:color="auto" w:fill="B2B2B2"/>
          </w:tcPr>
          <w:p>
            <w:pPr>
              <w:spacing w:after="0"/>
              <w:rPr>
                <w:sz w:val="18"/>
                <w:szCs w:val="18"/>
                <w:color w:val="auto"/>
              </w:rPr>
            </w:pPr>
          </w:p>
        </w:tc>
        <w:tc>
          <w:tcPr>
            <w:tcW w:w="28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Borders>
              <w:bottom w:val="single" w:sz="8" w:color="B2B2B2"/>
            </w:tcBorders>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(75,757)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(46,795)</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noninterest-bearing demand deposits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142,413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31,717</w:t>
            </w: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increase (decrease) in interest-bearing demand and savings deposits</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166,289</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time deposits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19,959</w:t>
            </w: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increase (decrease) in accounts and drafts payable</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210,495</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(22,400)</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(19,595)</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short-term borrowings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Cash dividends paid</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(13,177)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common shares for treasury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B2B2B2"/>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120" w:type="dxa"/>
            <w:vAlign w:val="bottom"/>
            <w:tcBorders>
              <w:bottom w:val="single" w:sz="8" w:color="B2B2B2"/>
            </w:tcBorders>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Borders>
              <w:bottom w:val="single" w:sz="8" w:color="B2B2B2"/>
            </w:tcBorders>
            <w:shd w:val="clear" w:color="auto" w:fill="B2B2B2"/>
          </w:tcPr>
          <w:p>
            <w:pPr>
              <w:spacing w:after="0"/>
              <w:rPr>
                <w:sz w:val="18"/>
                <w:szCs w:val="18"/>
                <w:color w:val="auto"/>
              </w:rPr>
            </w:pPr>
          </w:p>
        </w:tc>
        <w:tc>
          <w:tcPr>
            <w:tcW w:w="28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bottom w:val="single" w:sz="8" w:color="B2B2B2"/>
            </w:tcBorders>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0"/>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462,693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6,652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10"/>
        </w:trPr>
        <w:tc>
          <w:tcPr>
            <w:tcW w:w="6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466,574</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(26,979)</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2,823</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203,954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230,933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228,110</w:t>
            </w:r>
          </w:p>
        </w:tc>
        <w:tc>
          <w:tcPr>
            <w:tcW w:w="0" w:type="dxa"/>
            <w:vAlign w:val="bottom"/>
          </w:tcPr>
          <w:p>
            <w:pPr>
              <w:spacing w:after="0"/>
              <w:rPr>
                <w:sz w:val="1"/>
                <w:szCs w:val="1"/>
                <w:color w:val="auto"/>
              </w:rPr>
            </w:pPr>
          </w:p>
        </w:tc>
      </w:tr>
      <w:tr>
        <w:trPr>
          <w:trHeight w:val="250"/>
        </w:trPr>
        <w:tc>
          <w:tcPr>
            <w:tcW w:w="6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42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670,528</w:t>
            </w:r>
          </w:p>
        </w:tc>
        <w:tc>
          <w:tcPr>
            <w:tcW w:w="38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203,954</w:t>
            </w:r>
          </w:p>
        </w:tc>
        <w:tc>
          <w:tcPr>
            <w:tcW w:w="40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230,933</w:t>
            </w:r>
          </w:p>
        </w:tc>
        <w:tc>
          <w:tcPr>
            <w:tcW w:w="0" w:type="dxa"/>
            <w:vAlign w:val="bottom"/>
          </w:tcPr>
          <w:p>
            <w:pPr>
              <w:spacing w:after="0"/>
              <w:rPr>
                <w:sz w:val="1"/>
                <w:szCs w:val="1"/>
                <w:color w:val="auto"/>
              </w:rPr>
            </w:pPr>
          </w:p>
        </w:tc>
      </w:tr>
      <w:tr>
        <w:trPr>
          <w:trHeight w:val="196"/>
        </w:trPr>
        <w:tc>
          <w:tcPr>
            <w:tcW w:w="6860" w:type="dxa"/>
            <w:vAlign w:val="bottom"/>
            <w:tcBorders>
              <w:top w:val="single" w:sz="8" w:color="B2B2B2"/>
            </w:tcBorders>
            <w:shd w:val="clear" w:color="auto" w:fill="B2B2B2"/>
          </w:tcPr>
          <w:p>
            <w:pPr>
              <w:spacing w:after="0"/>
              <w:rPr>
                <w:sz w:val="17"/>
                <w:szCs w:val="17"/>
                <w:color w:val="auto"/>
              </w:rPr>
            </w:pPr>
          </w:p>
        </w:tc>
        <w:tc>
          <w:tcPr>
            <w:tcW w:w="120" w:type="dxa"/>
            <w:vAlign w:val="bottom"/>
            <w:tcBorders>
              <w:top w:val="single" w:sz="8" w:color="B2B2B2"/>
            </w:tcBorders>
            <w:shd w:val="clear" w:color="auto" w:fill="B2B2B2"/>
          </w:tcPr>
          <w:p>
            <w:pPr>
              <w:spacing w:after="0"/>
              <w:rPr>
                <w:sz w:val="17"/>
                <w:szCs w:val="17"/>
                <w:color w:val="auto"/>
              </w:rPr>
            </w:pPr>
          </w:p>
        </w:tc>
        <w:tc>
          <w:tcPr>
            <w:tcW w:w="300" w:type="dxa"/>
            <w:vAlign w:val="bottom"/>
            <w:tcBorders>
              <w:top w:val="single" w:sz="8" w:color="auto"/>
            </w:tcBorders>
            <w:shd w:val="clear" w:color="auto" w:fill="B2B2B2"/>
          </w:tcPr>
          <w:p>
            <w:pPr>
              <w:spacing w:after="0"/>
              <w:rPr>
                <w:sz w:val="17"/>
                <w:szCs w:val="17"/>
                <w:color w:val="auto"/>
              </w:rPr>
            </w:pPr>
          </w:p>
        </w:tc>
        <w:tc>
          <w:tcPr>
            <w:tcW w:w="1080" w:type="dxa"/>
            <w:vAlign w:val="bottom"/>
            <w:tcBorders>
              <w:top w:val="single" w:sz="8" w:color="auto"/>
            </w:tcBorders>
            <w:shd w:val="clear" w:color="auto" w:fill="B2B2B2"/>
          </w:tcPr>
          <w:p>
            <w:pPr>
              <w:spacing w:after="0"/>
              <w:rPr>
                <w:sz w:val="17"/>
                <w:szCs w:val="17"/>
                <w:color w:val="auto"/>
              </w:rPr>
            </w:pPr>
          </w:p>
        </w:tc>
        <w:tc>
          <w:tcPr>
            <w:tcW w:w="100" w:type="dxa"/>
            <w:vAlign w:val="bottom"/>
            <w:tcBorders>
              <w:top w:val="single" w:sz="8" w:color="B2B2B2"/>
            </w:tcBorders>
            <w:shd w:val="clear" w:color="auto" w:fill="B2B2B2"/>
          </w:tcPr>
          <w:p>
            <w:pPr>
              <w:spacing w:after="0"/>
              <w:rPr>
                <w:sz w:val="17"/>
                <w:szCs w:val="17"/>
                <w:color w:val="auto"/>
              </w:rPr>
            </w:pPr>
          </w:p>
        </w:tc>
        <w:tc>
          <w:tcPr>
            <w:tcW w:w="280" w:type="dxa"/>
            <w:vAlign w:val="bottom"/>
            <w:tcBorders>
              <w:top w:val="single" w:sz="8" w:color="auto"/>
            </w:tcBorders>
            <w:shd w:val="clear" w:color="auto" w:fill="B2B2B2"/>
          </w:tcPr>
          <w:p>
            <w:pPr>
              <w:spacing w:after="0"/>
              <w:rPr>
                <w:sz w:val="17"/>
                <w:szCs w:val="17"/>
                <w:color w:val="auto"/>
              </w:rPr>
            </w:pPr>
          </w:p>
        </w:tc>
        <w:tc>
          <w:tcPr>
            <w:tcW w:w="1060" w:type="dxa"/>
            <w:vAlign w:val="bottom"/>
            <w:tcBorders>
              <w:top w:val="single" w:sz="8" w:color="auto"/>
            </w:tcBorders>
            <w:shd w:val="clear" w:color="auto" w:fill="B2B2B2"/>
          </w:tcPr>
          <w:p>
            <w:pPr>
              <w:spacing w:after="0"/>
              <w:rPr>
                <w:sz w:val="17"/>
                <w:szCs w:val="17"/>
                <w:color w:val="auto"/>
              </w:rPr>
            </w:pPr>
          </w:p>
        </w:tc>
        <w:tc>
          <w:tcPr>
            <w:tcW w:w="100" w:type="dxa"/>
            <w:vAlign w:val="bottom"/>
            <w:tcBorders>
              <w:top w:val="single" w:sz="8" w:color="B2B2B2"/>
            </w:tcBorders>
            <w:shd w:val="clear" w:color="auto" w:fill="B2B2B2"/>
          </w:tcPr>
          <w:p>
            <w:pPr>
              <w:spacing w:after="0"/>
              <w:rPr>
                <w:sz w:val="17"/>
                <w:szCs w:val="17"/>
                <w:color w:val="auto"/>
              </w:rPr>
            </w:pPr>
          </w:p>
        </w:tc>
        <w:tc>
          <w:tcPr>
            <w:tcW w:w="300" w:type="dxa"/>
            <w:vAlign w:val="bottom"/>
            <w:tcBorders>
              <w:top w:val="single" w:sz="8" w:color="auto"/>
            </w:tcBorders>
            <w:shd w:val="clear" w:color="auto" w:fill="B2B2B2"/>
          </w:tcPr>
          <w:p>
            <w:pPr>
              <w:spacing w:after="0"/>
              <w:rPr>
                <w:sz w:val="17"/>
                <w:szCs w:val="17"/>
                <w:color w:val="auto"/>
              </w:rPr>
            </w:pPr>
          </w:p>
        </w:tc>
        <w:tc>
          <w:tcPr>
            <w:tcW w:w="1040" w:type="dxa"/>
            <w:vAlign w:val="bottom"/>
            <w:tcBorders>
              <w:top w:val="single" w:sz="8" w:color="auto"/>
            </w:tcBorders>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Cash paid for interest</w:t>
            </w:r>
          </w:p>
        </w:tc>
        <w:tc>
          <w:tcPr>
            <w:tcW w:w="42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2,426</w:t>
            </w:r>
          </w:p>
        </w:tc>
        <w:tc>
          <w:tcPr>
            <w:tcW w:w="38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5,181</w:t>
            </w:r>
          </w:p>
        </w:tc>
        <w:tc>
          <w:tcPr>
            <w:tcW w:w="40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3,701</w:t>
            </w:r>
          </w:p>
        </w:tc>
        <w:tc>
          <w:tcPr>
            <w:tcW w:w="0" w:type="dxa"/>
            <w:vAlign w:val="bottom"/>
          </w:tcPr>
          <w:p>
            <w:pPr>
              <w:spacing w:after="0"/>
              <w:rPr>
                <w:sz w:val="1"/>
                <w:szCs w:val="1"/>
                <w:color w:val="auto"/>
              </w:rPr>
            </w:pPr>
          </w:p>
        </w:tc>
      </w:tr>
      <w:tr>
        <w:trPr>
          <w:trHeight w:val="234"/>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6,723</w:t>
            </w:r>
          </w:p>
        </w:tc>
        <w:tc>
          <w:tcPr>
            <w:tcW w:w="0" w:type="dxa"/>
            <w:vAlign w:val="bottom"/>
          </w:tcPr>
          <w:p>
            <w:pPr>
              <w:spacing w:after="0"/>
              <w:rPr>
                <w:sz w:val="1"/>
                <w:szCs w:val="1"/>
                <w:color w:val="auto"/>
              </w:rPr>
            </w:pPr>
          </w:p>
        </w:tc>
      </w:tr>
    </w:tbl>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8800" w:type="dxa"/>
            <w:vAlign w:val="bottom"/>
            <w:gridSpan w:val="17"/>
          </w:tcPr>
          <w:p>
            <w:pPr>
              <w:ind w:left="3160"/>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800" w:type="dxa"/>
            <w:vAlign w:val="bottom"/>
            <w:gridSpan w:val="17"/>
          </w:tcPr>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22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B2B2B2"/>
          </w:tcPr>
          <w:p>
            <w:pPr>
              <w:jc w:val="right"/>
              <w:ind w:right="20"/>
              <w:spacing w:after="0"/>
              <w:rPr>
                <w:sz w:val="20"/>
                <w:szCs w:val="20"/>
                <w:color w:val="auto"/>
              </w:rPr>
            </w:pPr>
            <w:r>
              <w:rPr>
                <w:rFonts w:ascii="Times New Roman" w:cs="Times New Roman" w:eastAsia="Times New Roman" w:hAnsi="Times New Roman"/>
                <w:sz w:val="18"/>
                <w:szCs w:val="18"/>
                <w:color w:val="auto"/>
              </w:rPr>
              <w:t>6,524</w:t>
            </w:r>
          </w:p>
        </w:tc>
        <w:tc>
          <w:tcPr>
            <w:tcW w:w="22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204,631</w:t>
            </w:r>
          </w:p>
        </w:tc>
        <w:tc>
          <w:tcPr>
            <w:tcW w:w="24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59,314</w:t>
            </w:r>
          </w:p>
        </w:tc>
        <w:tc>
          <w:tcPr>
            <w:tcW w:w="24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(32,061)</w:t>
            </w:r>
          </w:p>
        </w:tc>
        <w:tc>
          <w:tcPr>
            <w:tcW w:w="220" w:type="dxa"/>
            <w:vAlign w:val="bottom"/>
            <w:gridSpan w:val="2"/>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(13,320)</w:t>
            </w:r>
          </w:p>
        </w:tc>
        <w:tc>
          <w:tcPr>
            <w:tcW w:w="300" w:type="dxa"/>
            <w:vAlign w:val="bottom"/>
            <w:gridSpan w:val="2"/>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225,088</w:t>
            </w:r>
          </w:p>
        </w:tc>
        <w:tc>
          <w:tcPr>
            <w:tcW w:w="0" w:type="dxa"/>
            <w:vAlign w:val="bottom"/>
          </w:tcPr>
          <w:p>
            <w:pPr>
              <w:spacing w:after="0"/>
              <w:rPr>
                <w:sz w:val="1"/>
                <w:szCs w:val="1"/>
                <w:color w:val="auto"/>
              </w:rPr>
            </w:pPr>
          </w:p>
        </w:tc>
      </w:tr>
      <w:tr>
        <w:trPr>
          <w:trHeight w:val="210"/>
        </w:trPr>
        <w:tc>
          <w:tcPr>
            <w:tcW w:w="428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820" w:type="dxa"/>
            <w:vAlign w:val="bottom"/>
            <w:tcBorders>
              <w:top w:val="single" w:sz="8" w:color="auto"/>
            </w:tcBorders>
            <w:shd w:val="clear" w:color="auto" w:fill="B2B2B2"/>
          </w:tcPr>
          <w:p>
            <w:pPr>
              <w:spacing w:after="0"/>
              <w:rPr>
                <w:sz w:val="18"/>
                <w:szCs w:val="18"/>
                <w:color w:val="auto"/>
              </w:rPr>
            </w:pPr>
          </w:p>
        </w:tc>
        <w:tc>
          <w:tcPr>
            <w:tcW w:w="2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spacing w:after="0"/>
              <w:rPr>
                <w:sz w:val="18"/>
                <w:szCs w:val="18"/>
                <w:color w:val="auto"/>
              </w:rPr>
            </w:pPr>
          </w:p>
        </w:tc>
        <w:tc>
          <w:tcPr>
            <w:tcW w:w="900" w:type="dxa"/>
            <w:vAlign w:val="bottom"/>
            <w:tcBorders>
              <w:top w:val="single" w:sz="8" w:color="auto"/>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spacing w:after="0"/>
              <w:rPr>
                <w:sz w:val="18"/>
                <w:szCs w:val="18"/>
                <w:color w:val="auto"/>
              </w:rPr>
            </w:pPr>
          </w:p>
        </w:tc>
        <w:tc>
          <w:tcPr>
            <w:tcW w:w="800" w:type="dxa"/>
            <w:vAlign w:val="bottom"/>
            <w:tcBorders>
              <w:top w:val="single" w:sz="8" w:color="auto"/>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spacing w:after="0"/>
              <w:rPr>
                <w:sz w:val="18"/>
                <w:szCs w:val="18"/>
                <w:color w:val="auto"/>
              </w:rPr>
            </w:pPr>
          </w:p>
        </w:tc>
        <w:tc>
          <w:tcPr>
            <w:tcW w:w="760" w:type="dxa"/>
            <w:vAlign w:val="bottom"/>
            <w:tcBorders>
              <w:top w:val="single" w:sz="8" w:color="auto"/>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1000" w:type="dxa"/>
            <w:vAlign w:val="bottom"/>
            <w:tcBorders>
              <w:top w:val="single" w:sz="8" w:color="auto"/>
            </w:tcBorders>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spacing w:after="0"/>
              <w:rPr>
                <w:sz w:val="18"/>
                <w:szCs w:val="18"/>
                <w:color w:val="auto"/>
              </w:rPr>
            </w:pPr>
          </w:p>
        </w:tc>
        <w:tc>
          <w:tcPr>
            <w:tcW w:w="100" w:type="dxa"/>
            <w:vAlign w:val="bottom"/>
            <w:tcBorders>
              <w:top w:val="single" w:sz="8" w:color="B2B2B2"/>
            </w:tcBorders>
            <w:shd w:val="clear" w:color="auto" w:fill="B2B2B2"/>
          </w:tcPr>
          <w:p>
            <w:pPr>
              <w:spacing w:after="0"/>
              <w:rPr>
                <w:sz w:val="18"/>
                <w:szCs w:val="18"/>
                <w:color w:val="auto"/>
              </w:rPr>
            </w:pPr>
          </w:p>
        </w:tc>
        <w:tc>
          <w:tcPr>
            <w:tcW w:w="200" w:type="dxa"/>
            <w:vAlign w:val="bottom"/>
            <w:tcBorders>
              <w:top w:val="single" w:sz="8" w:color="auto"/>
            </w:tcBorders>
            <w:shd w:val="clear" w:color="auto" w:fill="B2B2B2"/>
          </w:tcPr>
          <w:p>
            <w:pPr>
              <w:spacing w:after="0"/>
              <w:rPr>
                <w:sz w:val="18"/>
                <w:szCs w:val="18"/>
                <w:color w:val="auto"/>
              </w:rPr>
            </w:pPr>
          </w:p>
        </w:tc>
        <w:tc>
          <w:tcPr>
            <w:tcW w:w="700" w:type="dxa"/>
            <w:vAlign w:val="bottom"/>
            <w:tcBorders>
              <w:top w:val="single" w:sz="8" w:color="auto"/>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30,268</w:t>
            </w:r>
          </w:p>
        </w:tc>
        <w:tc>
          <w:tcPr>
            <w:tcW w:w="0" w:type="dxa"/>
            <w:vAlign w:val="bottom"/>
          </w:tcPr>
          <w:p>
            <w:pPr>
              <w:spacing w:after="0"/>
              <w:rPr>
                <w:sz w:val="1"/>
                <w:szCs w:val="1"/>
                <w:color w:val="auto"/>
              </w:rPr>
            </w:pPr>
          </w:p>
        </w:tc>
      </w:tr>
      <w:tr>
        <w:trPr>
          <w:trHeight w:val="216"/>
        </w:trPr>
        <w:tc>
          <w:tcPr>
            <w:tcW w:w="42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Cash dividends ($.89 per share)</w:t>
            </w: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0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(13,177)</w:t>
            </w: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0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(13,177)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 dividend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4280" w:type="dxa"/>
            <w:vAlign w:val="bottom"/>
            <w:shd w:val="clear" w:color="auto" w:fill="B2B2B2"/>
          </w:tcPr>
          <w:p>
            <w:pPr>
              <w:spacing w:after="0" w:line="198" w:lineRule="exact"/>
              <w:rPr>
                <w:sz w:val="20"/>
                <w:szCs w:val="20"/>
                <w:color w:val="auto"/>
              </w:rPr>
            </w:pPr>
            <w:r>
              <w:rPr>
                <w:rFonts w:ascii="Times New Roman" w:cs="Times New Roman" w:eastAsia="Times New Roman" w:hAnsi="Times New Roman"/>
                <w:sz w:val="18"/>
                <w:szCs w:val="18"/>
                <w:color w:val="auto"/>
                <w:w w:val="99"/>
              </w:rPr>
              <w:t>Issuance of 33,039 common shares pursuant to stock-based</w:t>
            </w:r>
          </w:p>
        </w:tc>
        <w:tc>
          <w:tcPr>
            <w:tcW w:w="1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90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80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76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0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70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compensation plan, net</w:t>
            </w:r>
          </w:p>
        </w:tc>
        <w:tc>
          <w:tcPr>
            <w:tcW w:w="12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820" w:type="dxa"/>
            <w:vAlign w:val="bottom"/>
            <w:shd w:val="clear" w:color="auto" w:fill="B2B2B2"/>
          </w:tcPr>
          <w:p>
            <w:pPr>
              <w:spacing w:after="0"/>
              <w:rPr>
                <w:sz w:val="20"/>
                <w:szCs w:val="20"/>
                <w:color w:val="auto"/>
              </w:rPr>
            </w:pPr>
          </w:p>
        </w:tc>
        <w:tc>
          <w:tcPr>
            <w:tcW w:w="2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00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80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86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100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200" w:type="dxa"/>
            <w:vAlign w:val="bottom"/>
            <w:shd w:val="clear" w:color="auto" w:fill="B2B2B2"/>
          </w:tcPr>
          <w:p>
            <w:pPr>
              <w:spacing w:after="0"/>
              <w:rPr>
                <w:sz w:val="20"/>
                <w:szCs w:val="20"/>
                <w:color w:val="auto"/>
              </w:rPr>
            </w:pPr>
          </w:p>
        </w:tc>
        <w:tc>
          <w:tcPr>
            <w:tcW w:w="80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6"/>
        </w:trPr>
        <w:tc>
          <w:tcPr>
            <w:tcW w:w="42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3,006</w:t>
            </w: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0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3,006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169,143 common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(8,838)</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B2B2B2"/>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Borders>
              <w:bottom w:val="single" w:sz="8" w:color="B2B2B2"/>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spacing w:after="0"/>
              <w:rPr>
                <w:sz w:val="18"/>
                <w:szCs w:val="18"/>
                <w:color w:val="auto"/>
              </w:rPr>
            </w:pPr>
          </w:p>
        </w:tc>
        <w:tc>
          <w:tcPr>
            <w:tcW w:w="20" w:type="dxa"/>
            <w:vAlign w:val="bottom"/>
            <w:tcBorders>
              <w:bottom w:val="single" w:sz="8" w:color="B2B2B2"/>
            </w:tcBorders>
            <w:shd w:val="clear" w:color="auto" w:fill="B2B2B2"/>
          </w:tcPr>
          <w:p>
            <w:pPr>
              <w:spacing w:after="0"/>
              <w:rPr>
                <w:sz w:val="18"/>
                <w:szCs w:val="18"/>
                <w:color w:val="auto"/>
              </w:rPr>
            </w:pPr>
          </w:p>
        </w:tc>
        <w:tc>
          <w:tcPr>
            <w:tcW w:w="10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76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B2B2B2"/>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gridSpan w:val="2"/>
            <w:shd w:val="clear" w:color="auto" w:fill="B2B2B2"/>
          </w:tcPr>
          <w:p>
            <w:pPr>
              <w:jc w:val="right"/>
              <w:ind w:right="60"/>
              <w:spacing w:after="0"/>
              <w:rPr>
                <w:sz w:val="20"/>
                <w:szCs w:val="20"/>
                <w:color w:val="auto"/>
              </w:rPr>
            </w:pPr>
            <w:r>
              <w:rPr>
                <w:rFonts w:ascii="Times New Roman" w:cs="Times New Roman" w:eastAsia="Times New Roman" w:hAnsi="Times New Roman"/>
                <w:sz w:val="18"/>
                <w:szCs w:val="18"/>
                <w:color w:val="auto"/>
              </w:rPr>
              <w:t>(5,552)</w:t>
            </w:r>
          </w:p>
        </w:tc>
        <w:tc>
          <w:tcPr>
            <w:tcW w:w="100" w:type="dxa"/>
            <w:vAlign w:val="bottom"/>
            <w:tcBorders>
              <w:bottom w:val="single" w:sz="8" w:color="B2B2B2"/>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(5,552)</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205,770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(39,974)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(18,872)</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229,848</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0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30,404</w:t>
            </w: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0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30,404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($1.05 per share)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(15,234)</w:t>
            </w:r>
          </w:p>
        </w:tc>
        <w:tc>
          <w:tcPr>
            <w:tcW w:w="0" w:type="dxa"/>
            <w:vAlign w:val="bottom"/>
          </w:tcPr>
          <w:p>
            <w:pPr>
              <w:spacing w:after="0"/>
              <w:rPr>
                <w:sz w:val="1"/>
                <w:szCs w:val="1"/>
                <w:color w:val="auto"/>
              </w:rPr>
            </w:pPr>
          </w:p>
        </w:tc>
      </w:tr>
      <w:tr>
        <w:trPr>
          <w:trHeight w:val="198"/>
        </w:trPr>
        <w:tc>
          <w:tcPr>
            <w:tcW w:w="4280" w:type="dxa"/>
            <w:vAlign w:val="bottom"/>
            <w:shd w:val="clear" w:color="auto" w:fill="B2B2B2"/>
          </w:tcPr>
          <w:p>
            <w:pPr>
              <w:spacing w:after="0" w:line="198" w:lineRule="exact"/>
              <w:rPr>
                <w:sz w:val="20"/>
                <w:szCs w:val="20"/>
                <w:color w:val="auto"/>
              </w:rPr>
            </w:pPr>
            <w:r>
              <w:rPr>
                <w:rFonts w:ascii="Times New Roman" w:cs="Times New Roman" w:eastAsia="Times New Roman" w:hAnsi="Times New Roman"/>
                <w:sz w:val="18"/>
                <w:szCs w:val="18"/>
                <w:color w:val="auto"/>
                <w:w w:val="99"/>
              </w:rPr>
              <w:t>Issuance of 34,810 common shares pursuant to stock-based</w:t>
            </w:r>
          </w:p>
        </w:tc>
        <w:tc>
          <w:tcPr>
            <w:tcW w:w="1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90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80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76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0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70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compensation plan, net</w:t>
            </w:r>
          </w:p>
        </w:tc>
        <w:tc>
          <w:tcPr>
            <w:tcW w:w="12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820" w:type="dxa"/>
            <w:vAlign w:val="bottom"/>
            <w:shd w:val="clear" w:color="auto" w:fill="B2B2B2"/>
          </w:tcPr>
          <w:p>
            <w:pPr>
              <w:spacing w:after="0"/>
              <w:rPr>
                <w:sz w:val="20"/>
                <w:szCs w:val="20"/>
                <w:color w:val="auto"/>
              </w:rPr>
            </w:pPr>
          </w:p>
        </w:tc>
        <w:tc>
          <w:tcPr>
            <w:tcW w:w="2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00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80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86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100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200" w:type="dxa"/>
            <w:vAlign w:val="bottom"/>
            <w:shd w:val="clear" w:color="auto" w:fill="B2B2B2"/>
          </w:tcPr>
          <w:p>
            <w:pPr>
              <w:spacing w:after="0"/>
              <w:rPr>
                <w:sz w:val="20"/>
                <w:szCs w:val="20"/>
                <w:color w:val="auto"/>
              </w:rPr>
            </w:pPr>
          </w:p>
        </w:tc>
        <w:tc>
          <w:tcPr>
            <w:tcW w:w="80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16"/>
        </w:trPr>
        <w:tc>
          <w:tcPr>
            <w:tcW w:w="42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3,144</w:t>
            </w: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0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3,144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154,593 common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(7,799)</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B2B2B2"/>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B2B2B2"/>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spacing w:after="0"/>
              <w:rPr>
                <w:sz w:val="18"/>
                <w:szCs w:val="18"/>
                <w:color w:val="auto"/>
              </w:rPr>
            </w:pPr>
          </w:p>
        </w:tc>
        <w:tc>
          <w:tcPr>
            <w:tcW w:w="20" w:type="dxa"/>
            <w:vAlign w:val="bottom"/>
            <w:tcBorders>
              <w:bottom w:val="single" w:sz="8" w:color="B2B2B2"/>
            </w:tcBorders>
            <w:shd w:val="clear" w:color="auto" w:fill="B2B2B2"/>
          </w:tcPr>
          <w:p>
            <w:pPr>
              <w:spacing w:after="0"/>
              <w:rPr>
                <w:sz w:val="18"/>
                <w:szCs w:val="18"/>
                <w:color w:val="auto"/>
              </w:rPr>
            </w:pPr>
          </w:p>
        </w:tc>
        <w:tc>
          <w:tcPr>
            <w:tcW w:w="10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76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B2B2B2"/>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4,952</w:t>
            </w:r>
          </w:p>
        </w:tc>
        <w:tc>
          <w:tcPr>
            <w:tcW w:w="100" w:type="dxa"/>
            <w:vAlign w:val="bottom"/>
            <w:tcBorders>
              <w:bottom w:val="single" w:sz="8" w:color="B2B2B2"/>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4,952</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205,397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(45,381)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(13,920)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244,190</w:t>
            </w:r>
          </w:p>
        </w:tc>
        <w:tc>
          <w:tcPr>
            <w:tcW w:w="0" w:type="dxa"/>
            <w:vAlign w:val="bottom"/>
          </w:tcPr>
          <w:p>
            <w:pPr>
              <w:spacing w:after="0"/>
              <w:rPr>
                <w:sz w:val="1"/>
                <w:szCs w:val="1"/>
                <w:color w:val="auto"/>
              </w:rPr>
            </w:pPr>
          </w:p>
        </w:tc>
      </w:tr>
      <w:tr>
        <w:trPr>
          <w:trHeight w:val="210"/>
        </w:trPr>
        <w:tc>
          <w:tcPr>
            <w:tcW w:w="42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820" w:type="dxa"/>
            <w:vAlign w:val="bottom"/>
            <w:tcBorders>
              <w:top w:val="single" w:sz="8" w:color="auto"/>
            </w:tcBorders>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spacing w:after="0"/>
              <w:rPr>
                <w:sz w:val="18"/>
                <w:szCs w:val="18"/>
                <w:color w:val="auto"/>
              </w:rPr>
            </w:pPr>
          </w:p>
        </w:tc>
        <w:tc>
          <w:tcPr>
            <w:tcW w:w="900" w:type="dxa"/>
            <w:vAlign w:val="bottom"/>
            <w:tcBorders>
              <w:top w:val="single" w:sz="8" w:color="auto"/>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spacing w:after="0"/>
              <w:rPr>
                <w:sz w:val="18"/>
                <w:szCs w:val="18"/>
                <w:color w:val="auto"/>
              </w:rPr>
            </w:pPr>
          </w:p>
        </w:tc>
        <w:tc>
          <w:tcPr>
            <w:tcW w:w="800" w:type="dxa"/>
            <w:vAlign w:val="bottom"/>
            <w:tcBorders>
              <w:top w:val="single" w:sz="8" w:color="auto"/>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spacing w:after="0"/>
              <w:rPr>
                <w:sz w:val="18"/>
                <w:szCs w:val="18"/>
                <w:color w:val="auto"/>
              </w:rPr>
            </w:pPr>
          </w:p>
        </w:tc>
        <w:tc>
          <w:tcPr>
            <w:tcW w:w="760" w:type="dxa"/>
            <w:vAlign w:val="bottom"/>
            <w:tcBorders>
              <w:top w:val="single" w:sz="8" w:color="auto"/>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1000" w:type="dxa"/>
            <w:vAlign w:val="bottom"/>
            <w:tcBorders>
              <w:top w:val="single" w:sz="8" w:color="auto"/>
            </w:tcBorders>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tcBorders>
              <w:top w:val="single" w:sz="8" w:color="auto"/>
            </w:tcBorders>
            <w:shd w:val="clear" w:color="auto" w:fill="B2B2B2"/>
          </w:tcPr>
          <w:p>
            <w:pPr>
              <w:spacing w:after="0"/>
              <w:rPr>
                <w:sz w:val="18"/>
                <w:szCs w:val="18"/>
                <w:color w:val="auto"/>
              </w:rPr>
            </w:pPr>
          </w:p>
        </w:tc>
        <w:tc>
          <w:tcPr>
            <w:tcW w:w="700" w:type="dxa"/>
            <w:vAlign w:val="bottom"/>
            <w:tcBorders>
              <w:top w:val="single" w:sz="8" w:color="auto"/>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of accounting change (ASU 2016-13),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21"/>
        </w:trPr>
        <w:tc>
          <w:tcPr>
            <w:tcW w:w="4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of tax</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Balance, January 1, 2020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205,397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(45,381)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(13,920)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243,334</w:t>
            </w:r>
          </w:p>
        </w:tc>
        <w:tc>
          <w:tcPr>
            <w:tcW w:w="0" w:type="dxa"/>
            <w:vAlign w:val="bottom"/>
          </w:tcPr>
          <w:p>
            <w:pPr>
              <w:spacing w:after="0"/>
              <w:rPr>
                <w:sz w:val="1"/>
                <w:szCs w:val="1"/>
                <w:color w:val="auto"/>
              </w:rPr>
            </w:pPr>
          </w:p>
        </w:tc>
      </w:tr>
      <w:tr>
        <w:trPr>
          <w:trHeight w:val="209"/>
        </w:trPr>
        <w:tc>
          <w:tcPr>
            <w:tcW w:w="42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820" w:type="dxa"/>
            <w:vAlign w:val="bottom"/>
            <w:tcBorders>
              <w:top w:val="single" w:sz="8" w:color="auto"/>
            </w:tcBorders>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spacing w:after="0"/>
              <w:rPr>
                <w:sz w:val="18"/>
                <w:szCs w:val="18"/>
                <w:color w:val="auto"/>
              </w:rPr>
            </w:pPr>
          </w:p>
        </w:tc>
        <w:tc>
          <w:tcPr>
            <w:tcW w:w="900" w:type="dxa"/>
            <w:vAlign w:val="bottom"/>
            <w:tcBorders>
              <w:top w:val="single" w:sz="8" w:color="auto"/>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spacing w:after="0"/>
              <w:rPr>
                <w:sz w:val="18"/>
                <w:szCs w:val="18"/>
                <w:color w:val="auto"/>
              </w:rPr>
            </w:pPr>
          </w:p>
        </w:tc>
        <w:tc>
          <w:tcPr>
            <w:tcW w:w="80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25,176</w:t>
            </w: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spacing w:after="0"/>
              <w:rPr>
                <w:sz w:val="18"/>
                <w:szCs w:val="18"/>
                <w:color w:val="auto"/>
              </w:rPr>
            </w:pPr>
          </w:p>
        </w:tc>
        <w:tc>
          <w:tcPr>
            <w:tcW w:w="760" w:type="dxa"/>
            <w:vAlign w:val="bottom"/>
            <w:tcBorders>
              <w:top w:val="single" w:sz="8" w:color="auto"/>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1000" w:type="dxa"/>
            <w:vAlign w:val="bottom"/>
            <w:tcBorders>
              <w:top w:val="single" w:sz="8" w:color="auto"/>
            </w:tcBorders>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tcBorders>
              <w:top w:val="single" w:sz="8" w:color="auto"/>
            </w:tcBorders>
            <w:shd w:val="clear" w:color="auto" w:fill="B2B2B2"/>
          </w:tcPr>
          <w:p>
            <w:pPr>
              <w:spacing w:after="0"/>
              <w:rPr>
                <w:sz w:val="18"/>
                <w:szCs w:val="18"/>
                <w:color w:val="auto"/>
              </w:rPr>
            </w:pPr>
          </w:p>
        </w:tc>
        <w:tc>
          <w:tcPr>
            <w:tcW w:w="70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25,176</w:t>
            </w:r>
          </w:p>
        </w:tc>
        <w:tc>
          <w:tcPr>
            <w:tcW w:w="10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($1.08 per share)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(15,599)</w:t>
            </w:r>
          </w:p>
        </w:tc>
        <w:tc>
          <w:tcPr>
            <w:tcW w:w="0" w:type="dxa"/>
            <w:vAlign w:val="bottom"/>
          </w:tcPr>
          <w:p>
            <w:pPr>
              <w:spacing w:after="0"/>
              <w:rPr>
                <w:sz w:val="1"/>
                <w:szCs w:val="1"/>
                <w:color w:val="auto"/>
              </w:rPr>
            </w:pPr>
          </w:p>
        </w:tc>
      </w:tr>
      <w:tr>
        <w:trPr>
          <w:trHeight w:val="198"/>
        </w:trPr>
        <w:tc>
          <w:tcPr>
            <w:tcW w:w="4280" w:type="dxa"/>
            <w:vAlign w:val="bottom"/>
            <w:shd w:val="clear" w:color="auto" w:fill="B2B2B2"/>
          </w:tcPr>
          <w:p>
            <w:pPr>
              <w:spacing w:after="0" w:line="198" w:lineRule="exact"/>
              <w:rPr>
                <w:sz w:val="20"/>
                <w:szCs w:val="20"/>
                <w:color w:val="auto"/>
              </w:rPr>
            </w:pPr>
            <w:r>
              <w:rPr>
                <w:rFonts w:ascii="Times New Roman" w:cs="Times New Roman" w:eastAsia="Times New Roman" w:hAnsi="Times New Roman"/>
                <w:sz w:val="18"/>
                <w:szCs w:val="18"/>
                <w:color w:val="auto"/>
                <w:w w:val="99"/>
              </w:rPr>
              <w:t>Issuance of 72,448 common shares pursuant to stock-based</w:t>
            </w:r>
          </w:p>
        </w:tc>
        <w:tc>
          <w:tcPr>
            <w:tcW w:w="1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90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80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76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0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70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compensation plan, net</w:t>
            </w:r>
          </w:p>
        </w:tc>
        <w:tc>
          <w:tcPr>
            <w:tcW w:w="12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820" w:type="dxa"/>
            <w:vAlign w:val="bottom"/>
            <w:shd w:val="clear" w:color="auto" w:fill="B2B2B2"/>
          </w:tcPr>
          <w:p>
            <w:pPr>
              <w:spacing w:after="0"/>
              <w:rPr>
                <w:sz w:val="20"/>
                <w:szCs w:val="20"/>
                <w:color w:val="auto"/>
              </w:rPr>
            </w:pPr>
          </w:p>
        </w:tc>
        <w:tc>
          <w:tcPr>
            <w:tcW w:w="2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00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(2,546)</w:t>
            </w:r>
          </w:p>
        </w:tc>
        <w:tc>
          <w:tcPr>
            <w:tcW w:w="1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80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86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100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200" w:type="dxa"/>
            <w:vAlign w:val="bottom"/>
            <w:shd w:val="clear" w:color="auto" w:fill="B2B2B2"/>
          </w:tcPr>
          <w:p>
            <w:pPr>
              <w:spacing w:after="0"/>
              <w:rPr>
                <w:sz w:val="20"/>
                <w:szCs w:val="20"/>
                <w:color w:val="auto"/>
              </w:rPr>
            </w:pPr>
          </w:p>
        </w:tc>
        <w:tc>
          <w:tcPr>
            <w:tcW w:w="80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42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2,267</w:t>
            </w: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0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2,267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162,901 common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(6,825)</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B2B2B2"/>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B2B2B2"/>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spacing w:after="0"/>
              <w:rPr>
                <w:sz w:val="18"/>
                <w:szCs w:val="18"/>
                <w:color w:val="auto"/>
              </w:rPr>
            </w:pPr>
          </w:p>
        </w:tc>
        <w:tc>
          <w:tcPr>
            <w:tcW w:w="20" w:type="dxa"/>
            <w:vAlign w:val="bottom"/>
            <w:tcBorders>
              <w:bottom w:val="single" w:sz="8" w:color="B2B2B2"/>
            </w:tcBorders>
            <w:shd w:val="clear" w:color="auto" w:fill="B2B2B2"/>
          </w:tcPr>
          <w:p>
            <w:pPr>
              <w:spacing w:after="0"/>
              <w:rPr>
                <w:sz w:val="18"/>
                <w:szCs w:val="18"/>
                <w:color w:val="auto"/>
              </w:rPr>
            </w:pPr>
          </w:p>
        </w:tc>
        <w:tc>
          <w:tcPr>
            <w:tcW w:w="10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76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B2B2B2"/>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13,905</w:t>
            </w:r>
          </w:p>
        </w:tc>
        <w:tc>
          <w:tcPr>
            <w:tcW w:w="100" w:type="dxa"/>
            <w:vAlign w:val="bottom"/>
            <w:tcBorders>
              <w:bottom w:val="single" w:sz="8" w:color="B2B2B2"/>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13,905</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204,875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(50,515)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261,160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Summary of Operations </w:t>
      </w:r>
      <w:r>
        <w:rPr>
          <w:rFonts w:ascii="Times New Roman" w:cs="Times New Roman" w:eastAsia="Times New Roman" w:hAnsi="Times New Roman"/>
          <w:sz w:val="18"/>
          <w:szCs w:val="18"/>
          <w:color w:val="auto"/>
        </w:rPr>
        <w:t>The Company provides payment and information services, which include processing and payment of transportation,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telecommunications and environmental invoices. These services include the acquisition and management of data, information delivery and financial exchange. The consolidated balance sheet captions, “Accounts and drafts payable” and “Payments in advance of funding,” represent the Company’s resulting financial position related to the payment services that are performed for customers. The Company also provides a full range of banking services to individual, corporate and institutional customers through the Bank, its wholly owned bank subsidiary.</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The accounting and reporting policies of the Company and its subsidiaries conform to U.S. GAAP. The consolidated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 include the accounts of the Company and its wholly owned subsidiaries after elimination of intercompany transactions. Certain amounts in the 2019 and 2018 consolidated financial statements have been reclassified to conform to the 2020 presentation. Such reclassifications have no effect on previously reported net income or shareholders’ equity.</w:t>
      </w:r>
    </w:p>
    <w:p>
      <w:pPr>
        <w:spacing w:after="0" w:line="1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In preparing the consolidated financial statements, Company management is required to make estimates and assumptions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significantly affect the reported amounts in the consolidated financial statements.</w:t>
      </w:r>
    </w:p>
    <w:p>
      <w:pPr>
        <w:spacing w:after="0" w:line="1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For purposes of the consolidated statements of cash flows, the Company considers cash and due from banks, interest-bearing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deposits in other financial institutions, federal funds sold and other short-term investments as segregated in the accompanying consolidated balance sheets to be cash equivalents.</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Debt Securities </w:t>
      </w:r>
      <w:r>
        <w:rPr>
          <w:rFonts w:ascii="Times New Roman" w:cs="Times New Roman" w:eastAsia="Times New Roman" w:hAnsi="Times New Roman"/>
          <w:sz w:val="18"/>
          <w:szCs w:val="18"/>
          <w:color w:val="auto"/>
        </w:rPr>
        <w:t>The Company classifies its debt marketable securities as available-for-sale. Securities classified as available-for-sale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carried at fair value. Unrealized gains and losses, net of the related tax effect, are excluded from earnings and reported in accumulated other comprehensive income, a component of shareholders’ equity. Securities are periodically evaluated for credit losses in accordance with the guidance provided in FASB ASC Topic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available for sale debt securities in an unrealized loss position, the entire loss in fair value is required to be recognized in current earnings if the Company intends to sell the securities or believes it likely that it will be required to sell the security before the anticipated recovery. If neither condition is met, and the Company does not expect to recover the amortized cost basis, the Company determines whether the decline in fair value resulted from credit losses or other factors. If the assessment indicates that a credit loss exists, the present value of cash flows expected to be collected is compared to the amortized cost basis of the security. If the present value of cash flows expected to be collected is less than the amortized cost basis, a credit loss has occurred, and an allowance for credit losses is recorded. The allowance for credit losses is limited by the amount that the fair value is less than the amortized cost basis. Any impairment not recorded through the provision for credit losses would be recognized in other comprehensive income.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allowance for credit losses would be recorded as a provision for credit losses on the consolidated statements of income. Losses would be charged against the allowance for credit losses on securities when management believes the uncollectibility of an available for sale security is confirmed or when either of the conditions regarding intent or requirement to sell is met.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adoption of ASU 2016 -13 as of January 1, 2020, the Company evaluated a decline in the fair value of any available-for-sale security below cost to determine whether the decline was deemed other than temporary and, if so, would result in a charge to earnings and the establishment of a new cost basis for the security. To determine whether impairment was other than temporary, the Company considered guidance provided in the FASB ASC Topic 320, Investments – Debt and Equity Securities. When determining whether a debt security was other-than-temporarily impaired, the Company assessed whether it had the intent to sell the security and whether it was more likely than not that the Company would be required to sell prior to recovery of the amortized cost basis. Evidence considered in this assessment included the reasons for impairment, the severity and duration of the impairment, changes in value subsequent to year-end and forecasted performance of the investee.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Premiums and discounts are amortized or accreted to interest income over the estimated lives of the securities using the level-yield method. Interest income is recognized when earned. Gains and losses are calculated using the specific identification method.</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w:t>
      </w:r>
      <w:r>
        <w:rPr>
          <w:rFonts w:ascii="Times New Roman" w:cs="Times New Roman" w:eastAsia="Times New Roman" w:hAnsi="Times New Roman"/>
          <w:sz w:val="18"/>
          <w:szCs w:val="18"/>
          <w:color w:val="auto"/>
        </w:rPr>
        <w:t>Interest on loans is recognized based upon the principal amounts outstanding. It is the Company’s policy to discontinue the accrual of interest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is reasonable doubt as to the collectability of principal or interest. Subsequent payments received on such loans are applied to principal if there is any doubt as to the collectability of such principal; otherwise, these receipts are recorded as interest income. The accrual of interest on a loan is resumed when the loan is current as to payment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both principal and interest and/or the borrower demonstrates the ability to pay and remain current. Loan origination and commitment fees on originated loans, net of certain direct loan origination costs, are deferred and amortized to interest income using the level-yield method over the estimated lives of the related loans.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w:t>
      </w:r>
      <w:r>
        <w:rPr>
          <w:rFonts w:ascii="Times New Roman" w:cs="Times New Roman" w:eastAsia="Times New Roman" w:hAnsi="Times New Roman"/>
          <w:sz w:val="18"/>
          <w:szCs w:val="18"/>
          <w:color w:val="auto"/>
        </w:rPr>
        <w:t>The ACL is increased by provisions charged to expense and is available to absorb charge-offs, net of recoveries.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utilizes a systematic, documented approach in determining the appropriate level of the ACL. Management’s approach provides for estimated credit losses on loans in accordance with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These estimates are based upon a number of factors, such as payment history, financial condition of the borrower, expected future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collateral exposure.</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is a valuation account that is deducted from the amortized cost basis to present the net amount expected to be collected on the loans. Loans are charged off against the ACL when management believes the uncollectibility of a loan balance is confirmed. Expected recoveries for amounts previously charged off and expected to be charged off do not exceed the aggregate of amounts previously charged off and expected to be charged off.</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estimated the allowance balance using relevant available information from internal and external sources, relating to past events, current conditions and reasonable and supportable forecasts based on economic factors, such as GDP. Historical credit loss experience, of both the Company and similar peer banks, provides the basis for the estimation of expected credit losses. Adjustments to historical loss information are made for lending management experience, asset quality trends, borrower’s ability to pay, collateral, and other environmental factors. The ACL is measured on a collective pool basis when similar risk characteristics exist. Management believes the ACL is adequate to absorb expected losses in the loan portfolio.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ACL is measured on a collective pool basis when similar risk characteristics exist. The Company has identified the following portfolio segments:</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Commercial &amp; Industrial (“C&amp;I”) </w:t>
      </w:r>
      <w:r>
        <w:rPr>
          <w:rFonts w:ascii="Times New Roman" w:cs="Times New Roman" w:eastAsia="Times New Roman" w:hAnsi="Times New Roman"/>
          <w:sz w:val="18"/>
          <w:szCs w:val="18"/>
          <w:color w:val="auto"/>
        </w:rPr>
        <w:t>– C&amp;I loans consist of loans to small and medium-sized businesses in a wide variety of industries, franchise lending,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equipment financing to companies of all sizes. These loans are generally collateralized by inventory, accounts receivable, equipment, and other commercial assets, and may be supported by other credit enhancements such as personal guarantees. Risk arises primarily due to a difference between expected and actual cash flows of the borrower. However, the recoverability of these loans is also dependent on other factors primarily dictated by the type of collateral securing these loans. The fair value of the collateral securing these loans may fluctuate as market conditions change. Included within C&amp;I are revolving loans supported by borrowing bases that fluctuate depending on the amount of underlying collateral.</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Real Estate (“CRE”) </w:t>
      </w:r>
      <w:r>
        <w:rPr>
          <w:rFonts w:ascii="Times New Roman" w:cs="Times New Roman" w:eastAsia="Times New Roman" w:hAnsi="Times New Roman"/>
          <w:sz w:val="18"/>
          <w:szCs w:val="18"/>
          <w:color w:val="auto"/>
        </w:rPr>
        <w:t>– CRE loans include various types of loans for which the Company holds real property as collateral. Commercial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estate lending activity is typically restricted to owner-occupied properties or to investor properties that are owned by customers with a current banking relationship. The primary risks of CRE loans include the borrower’s inability to pay and material decreases in the value of the real estate being held as collateral.</w:t>
      </w:r>
    </w:p>
    <w:p>
      <w:pPr>
        <w:spacing w:after="0" w:line="16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Faith-based CRE </w:t>
      </w:r>
      <w:r>
        <w:rPr>
          <w:rFonts w:ascii="Times New Roman" w:cs="Times New Roman" w:eastAsia="Times New Roman" w:hAnsi="Times New Roman"/>
          <w:sz w:val="18"/>
          <w:szCs w:val="18"/>
          <w:color w:val="auto"/>
        </w:rPr>
        <w:t>– Faith-based CRE loans include loans to faith-based ministries for which the Company holds real property as collateral. The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risks of faith-based CRE loans include the borrower’s inability to pay and material decreases in the value of the real estate being held as collateral.</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Construction and Land Development </w:t>
      </w:r>
      <w:r>
        <w:rPr>
          <w:rFonts w:ascii="Times New Roman" w:cs="Times New Roman" w:eastAsia="Times New Roman" w:hAnsi="Times New Roman"/>
          <w:sz w:val="18"/>
          <w:szCs w:val="18"/>
          <w:color w:val="auto"/>
        </w:rPr>
        <w:t>– The Company originates loans to finance construction projects including faith-based and commercial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loans are generally collateralized by first liens on the real estate and have floating interest rates. The primary risks of construction loans are construction completion and timing risk. Adverse economic conditions may negatively impact the borrowers’ ability to complete the project. Additionally, the fair value of the underlying collateral may fluctuate as market conditions change.</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ACL is calculated as the difference between the amortized cost basis and the projections from the weighted-average remaining maturity ("WARM") model that the Company developed. The WARM model utilizes an attrition analysis, including events such as payoffs, matured loans, and renewals in the borrowers’ control, to anticipate the length of time it would take for each portfolio segment to runoff. Management incorporates a one year GDP forecast and an immediate reversion to peer historical loss rates to determine the annual charge off rates over the estimated life of the loans. After the reasonable and supportable forecast period, the model reverts to long-run historical average loss rates of its peers. However, for the faith-based CRE ACL, beyond the reasonable and supportable forecast period, loss rates are reverted immediately to the Company’s long-run historical averages, as this represents a unique loan segment to the peer portfolios. The economic forecast is based on management’s assessment of the length and pattern of the current economic cycle. The resulting annual charge off rate determined for each year in the WARM model is applied to the loan balances estimated in the attrition analysis.</w:t>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accounts for the inherent uncertainty of the underlying economic forecast by reviewing forecast scenarios. Additionally, the ACL calculation includes subjective adjustments for qualitative risk factors that are likely to cause estimated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credit losses to differ from historical experience. These qualitative adjustments may increase or reduce reserve levels and include adjustments for lending management experience and risk tolerance, loan review and audit results, asset quality and portfolio trends, loan portfolio growth and loan concentrations. The Company has elected to exclude accrued interest receivable ("AIR") from the allowance for credit losses calculation. When a loan is placed on non-accrual, any recorded AIR is reversed against interest income.</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determination and application of the ACL accounting policy involves judgments, estimates, and uncertainties that are subject to change. Changes in these assumptions, estimates or the conditions surrounding them may have a material impact on the Company’s financial condition, liquidity or results of operations. Various regulatory agencies, as an integral part of the examination process, periodically review the ACL. Such agencies may require the Company to recognize additions to the ACL or reserve increases to adversely graded classified loans based on information available to them at the time of their examinations.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ACL is decreased by net charge-offs and is increased by provisions for credit losses that are charged to the consolidated statements of operations. Charge-offs, if any, are typically measured for each loan based on a thorough analysis of the most probable source of repayment, such as the present value of the loan’s expected future cash flows, the loan’s estimated fair value, or the estimated fair value of the underlying collateral less costs of disposition for collateral-dependent loans. When it is determined that specific loans, or portions thereof, are uncollectible, these amounts are charged off against the ACL.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loan commitments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ACL for funded loans, the Company maintains reserves to cover the risk of loss associated with off-balance sheet unfunded loan commitments. The allowance for off-balance sheet credit losses is maintained within other liabilities in the statements of financial condition. Under the CECL framework, adjustments to this liability are recorded as provision for credit losses in the consolidated statements of operations. Unfunded loan commitment balances are evaluated by loan segment. In order to establish the required level of reserve, the Company applies average historical utilization rates and ACL loan model loss rates for each loan segment to the outstanding unfunded commitment balances.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Management evaluates all investments in an unrealized loss position on a quarterly basis, and more frequently when economic or market conditions warrant such evaluation. If the Company has the intent to sell the security or it is more likely than not that the Company will be required to sell the security, the security is written down to fair value and the entire loss is recorded in earnings. If either of the above criteria is not met, the Company will evaluate whether the decline in fair value is the result of credit losses or other factors. In making the assessment, the Company may consider various factors including the extent to which fair value is less than amortized cost, performance on any underlying collateral, downgrades in the ratings of the security by a rating agency, the failure of the issuer to make scheduled interest or principal payments and adverse conditions specifically related to the security. If the assessment indicates that a credit loss exists, the present value of cash flows expected to be collected are compared to the amortized cost basis of the security and any excess is recorded as an allowance for credit loss. For U.S. agency-backed securities where the risk of nonpayment of the amortized cost basis is zero, the Company will not measure expected credit losses on these securities. When the loss is not considered a result of credit loss, the cost basis of the security is written down to fair value, with the loss charge recognized in AOCI. Credit losses are not estimated for AIR from investment securities as interest deemed uncollectible is written off through interest income.</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Loan Losses </w:t>
      </w:r>
      <w:r>
        <w:rPr>
          <w:rFonts w:ascii="Times New Roman" w:cs="Times New Roman" w:eastAsia="Times New Roman" w:hAnsi="Times New Roman"/>
          <w:sz w:val="18"/>
          <w:szCs w:val="18"/>
          <w:color w:val="auto"/>
        </w:rPr>
        <w:t>Prior to the adoption of ASU 2016-13 as of January 1, 2020, the Company determined reserves for losses on the loan portfolio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ALLL. The ALLL was increased by provisions charged to expense and was available to absorb charge-offs, net of recoveries. Management utilized a systematic, documented approach in determining the appropriate level of the ALLL. Management’s approach provided for estimated credit losses on individually evaluated loans in accordance with FASB ASC 310, Allowance for Credit Losses (“ASC 310”). These estimates were based upon a number of factors, such as payment history, financial condition of the borrower, expected future cash flows and discounted collateral exposure.</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Estimated credit losses inherent in the remainder of the portfolio were estimated in accordance with FASB ASC 450, Contingencies. These loans were segmented into groups based on similar risk characteristics. Historical loss rates for each risk group, which were updated quarterly, were generally quantified using all recorded loan charge-offs and recoveries over a prescribed look-back period. These historical loss rates for each risk group were used as the starting point to determine the level of the allowance. The Company’s methodology incorporated an estimated loss emergence period for each risk group. The loss emergence period was the period of time from when a borrower experienced a loss event and when the actual loss was recognized in the financial statements, generally at the time of initial charge-off of the loan balance. The Company’s methodology also included qualitative risk factors that allowed management to adjust its estimates of losses based on the most recent information available and to address other limitations in the quantitative component that was based on historical loss rates. Such risk factors were generally reviewed and updated quarterly, as appropriate, and were adjusted to reflect changes in national and local economic conditions and developments, the volume and severity of delinquent and internally classified loans, loan concentrations, assessment of trends in collateral values, assessment of changes in borrowers’ financial stability, and changes in lending policies and procedures, including underwriting standards and collections, charge-off and recovery practices.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believed the ALLL was adequate to absorb probable losses in the loan portfolio. Additionally, various regulatory agencies, as an integral part of their examination process, periodically reviewed the Company’s ALLL. Such agencies may have required the Company to increase the ALLL based on information available to them at the time of their examinations.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Loans </w:t>
      </w:r>
      <w:r>
        <w:rPr>
          <w:rFonts w:ascii="Times New Roman" w:cs="Times New Roman" w:eastAsia="Times New Roman" w:hAnsi="Times New Roman"/>
          <w:sz w:val="18"/>
          <w:szCs w:val="18"/>
          <w:color w:val="auto"/>
        </w:rPr>
        <w:t>A loan is considered impaired when it is probable that a creditor will be unable to collect all amounts due, both principal and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 to the contractual terms of the loan agreement. When measuring impairment, the expected future cash flows of an impaired loan are discounted at the loan's effective interest rate. Alternatively, impairment could be measured by reference to an observable market price, if one exists, or the fair value of the collateral for a collateral-dependent loan. Regardless of the historical measurement method used, the Company measures impairment based on the fair value of the collateral when the Company determines foreclosure is probable. Additionally, impairment of a restructured loan is measured by discounting the total expected future cash flows at the loan's effective rate of interest as stated in the original loan agreement. The Company uses its nonaccrual methods as discussed above for recognizing interest on impaired loans.</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Foreclosed Assets </w:t>
      </w:r>
      <w:r>
        <w:rPr>
          <w:rFonts w:ascii="Times New Roman" w:cs="Times New Roman" w:eastAsia="Times New Roman" w:hAnsi="Times New Roman"/>
          <w:sz w:val="18"/>
          <w:szCs w:val="18"/>
          <w:color w:val="auto"/>
        </w:rPr>
        <w:t>Real estate acquired as a result of foreclosure is initially recorded at fair value less estimated selling costs. Fair value is generally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determined through the receipt of appraisals. Any write down to fair value at the time the property is acquired is recorded as a charge-off to the allowance for credit losses. Any decline in the fair value of the property subsequent to acquisition is recorded as a charge to non-interest expense.</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Premises and Equipment </w:t>
      </w:r>
      <w:r>
        <w:rPr>
          <w:rFonts w:ascii="Times New Roman" w:cs="Times New Roman" w:eastAsia="Times New Roman" w:hAnsi="Times New Roman"/>
          <w:sz w:val="18"/>
          <w:szCs w:val="18"/>
          <w:color w:val="auto"/>
        </w:rPr>
        <w:t>Premises and equipment are stated at cost less accumulated depreciation and amortization. Depreciation is computed over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estimated useful lives of the assets, or the respective lease terms for leasehold improvements, using straight-line and accelerated methods. Estimated useful lives do not exceed 40 years for buildings, the lesser of 10 years or the life of the lease for leasehold improvements and range from 3 to 7 years for software, equipment, furniture and fixtures. Maintenance and repairs are charged to expense as incurred.</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Intangible Assets </w:t>
      </w:r>
      <w:r>
        <w:rPr>
          <w:rFonts w:ascii="Times New Roman" w:cs="Times New Roman" w:eastAsia="Times New Roman" w:hAnsi="Times New Roman"/>
          <w:sz w:val="18"/>
          <w:szCs w:val="18"/>
          <w:color w:val="auto"/>
        </w:rPr>
        <w:t>Cost in excess of fair value of net assets acquired has resulted from business acquisitions. Goodwill and intangible assets with indefinite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useful lives are not amortized, but instead are tested for impairment at least annually. Intangible assets with definite useful lives are amortized on a straight-line basis over their respective estimated useful lives.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Periodically, the Company reviews intangible assets for events or changes in circumstances that may indicate that the carrying amount of the assets may not be recoverable. Based on those reviews, adjustments of recorded amounts have not been required.</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Non-marketable Equity Investments </w:t>
      </w:r>
      <w:r>
        <w:rPr>
          <w:rFonts w:ascii="Times New Roman" w:cs="Times New Roman" w:eastAsia="Times New Roman" w:hAnsi="Times New Roman"/>
          <w:sz w:val="18"/>
          <w:szCs w:val="18"/>
          <w:color w:val="auto"/>
        </w:rPr>
        <w:t>The Company accounts for non-marketable equity investments, in which it holds less than a 20% ownership,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investments without readily determinable fair values. As a result, the carrying value of the investment is determined under the measurement alternative of cost, less impairment (if any), adjusted for fair value changes when observable prices are available. The Company periodically evaluates for impairment of these investments. In performing this evaluation, the Company considers various factors including the investee's financial condition, results of operations, operating trends and other financial ratios. Non-marketable equity investments are included in other assets on the consolidated balance sheets.</w:t>
      </w:r>
    </w:p>
    <w:p>
      <w:pPr>
        <w:spacing w:after="0" w:line="16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Treasury Stock </w:t>
      </w:r>
      <w:r>
        <w:rPr>
          <w:rFonts w:ascii="Times New Roman" w:cs="Times New Roman" w:eastAsia="Times New Roman" w:hAnsi="Times New Roman"/>
          <w:sz w:val="18"/>
          <w:szCs w:val="18"/>
          <w:color w:val="auto"/>
        </w:rPr>
        <w:t>Purchases of the Company’s common stock are recorded at cost. Upon reissuance, treasury stock is reduced based upon the average cost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of shares held.</w:t>
      </w:r>
    </w:p>
    <w:p>
      <w:pPr>
        <w:spacing w:after="0" w:line="1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Income </w:t>
      </w:r>
      <w:r>
        <w:rPr>
          <w:rFonts w:ascii="Times New Roman" w:cs="Times New Roman" w:eastAsia="Times New Roman" w:hAnsi="Times New Roman"/>
          <w:sz w:val="18"/>
          <w:szCs w:val="18"/>
          <w:color w:val="auto"/>
        </w:rPr>
        <w:t>Comprehensive income consists of net income, changes in net unrealized gains (losses) on available-for-sale securities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pension liability adjustments and is presented in the accompanying consolidated statements of shareholders' equity and consolidated statements of comprehensive income.</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Services Revenue </w:t>
      </w:r>
      <w:r>
        <w:rPr>
          <w:rFonts w:ascii="Times New Roman" w:cs="Times New Roman" w:eastAsia="Times New Roman" w:hAnsi="Times New Roman"/>
          <w:sz w:val="18"/>
          <w:szCs w:val="18"/>
          <w:color w:val="auto"/>
        </w:rPr>
        <w:t>A majority of the Company’s revenues are attributable to fees for providing services. These services include transportation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invoice rating, payment processing, auditing, and the generation of accounting and transportation information. The Company also processes, pays and generates management information from electric, gas, telecommunications, environmental, and other invoices. The specific payment and information processing services provided to each customer are developed individually to meet each customer’s specific requirements. The Company enters into service agreements with customers typically for fixed fees per transaction that are invoiced monthly. Revenues are recognized in the period services are rendered and earned under the service agreements, as long as collection is reasonably assured.</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Deferred tax assets and liabilities are recognized for the estimated future tax consequences attributable to differences between the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carrying amounts of existing assets and liabilities and their respective tax bases. Deferred tax assets and liabilities are measured using enacted tax rates in effect for the year in which those temporary differences are expected to be recovered or settled. Deferred tax assets are reduced if necessary, by a deferred tax asset valuation allowance. In the event that management determines it is more likely than not that it will not be able to realize all or part of net deferred tax assets in the future, the Company adjusts the recorded value of deferred tax assets, which would result in a direct charge to income tax expense in the period that such determination is made. Likewise, the Company will reverse the valuation allowance when realization of the deferred tax asset is expected. The effect on deferred tax assets and liabilities of a change in tax rates is recognized in income in the period that includes the enactment date. The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Company and its subsidiaries file U.S. federal and certain state income tax returns on a consolidated basis. In addition, certain state jurisdictions are filed on a separate company basis by the Company or its subsidiaries.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and measures income tax benefits using a two-step model: 1) a tax position must be more likely than not to be sustained based solely on its technical merits in order to be recognized; and 2) the benefit must be measured as the largest dollar amount of that position that is more likely than not to be sustained upon settlement. The difference between the benefit recognized for a tax position in this model and the tax benefit claimed on a tax return is treated as an unrecognized tax benefit. The Company recognizes income tax related interest and penalties in income tax expense.</w:t>
      </w:r>
    </w:p>
    <w:p>
      <w:pPr>
        <w:spacing w:after="0" w:line="1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w:t>
      </w:r>
      <w:r>
        <w:rPr>
          <w:rFonts w:ascii="Times New Roman" w:cs="Times New Roman" w:eastAsia="Times New Roman" w:hAnsi="Times New Roman"/>
          <w:sz w:val="18"/>
          <w:szCs w:val="18"/>
          <w:color w:val="auto"/>
        </w:rPr>
        <w:t>Basic earnings per share is computed by dividing net income by the weighted average number of common shares outstanding. Diluted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earnings per share is computed by dividing net income by the sum of the weighted average number of common shares outstanding and the weighted average number of potential common shares outstanding.</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The Company follows FASB ASC 718,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Accounting for Stock Options and Other Stock-based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(“ASC 718”),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requires that all stock-based compensation be recognized as an expense in the financial statements and that such cost be measured at the fair value of the award. ASC 718 also requires that excess tax benefits related to stock option exercises and restricted stock awards be reflected as financing cash inflows instead of operating cash inflows.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Plans </w:t>
      </w:r>
      <w:r>
        <w:rPr>
          <w:rFonts w:ascii="Times New Roman" w:cs="Times New Roman" w:eastAsia="Times New Roman" w:hAnsi="Times New Roman"/>
          <w:sz w:val="18"/>
          <w:szCs w:val="18"/>
          <w:color w:val="auto"/>
        </w:rPr>
        <w:t>The amounts recognized in the consolidated financial statements related to pension are determined from actuarial valuations. Inherent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these valuations are assumptions including expected return on plan assets, discount rates at which the liabilities could be settled at December 31, 2020, rate of increase in future compensation levels and mortality rates. These assumptions are updated annually and are disclosed in Note 10. The Company follows FASB ASC 715, - </w:t>
      </w:r>
      <w:r>
        <w:rPr>
          <w:rFonts w:ascii="Times New Roman" w:cs="Times New Roman" w:eastAsia="Times New Roman" w:hAnsi="Times New Roman"/>
          <w:sz w:val="18"/>
          <w:szCs w:val="18"/>
          <w:i w:val="1"/>
          <w:iCs w:val="1"/>
          <w:color w:val="auto"/>
        </w:rPr>
        <w:t>Compensation – Retirement Benefits</w:t>
      </w:r>
      <w:r>
        <w:rPr>
          <w:rFonts w:ascii="Times New Roman" w:cs="Times New Roman" w:eastAsia="Times New Roman" w:hAnsi="Times New Roman"/>
          <w:sz w:val="18"/>
          <w:szCs w:val="18"/>
          <w:color w:val="auto"/>
        </w:rPr>
        <w:t xml:space="preserve"> (“ASC 715”), which requires companies to recognize the overfunded or underfunded status of a defined benefit postretirement plan as an asset or liability in its consolidated balance sheet and to recognize changes in that funded status in the year in which the changes occur through comprehensive income. The funded status is measured as the difference between the fair value of the plan assets and the projected benefit obligation as of the date of its fiscal year-end.</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Measurements </w:t>
      </w:r>
      <w:r>
        <w:rPr>
          <w:rFonts w:ascii="Times New Roman" w:cs="Times New Roman" w:eastAsia="Times New Roman" w:hAnsi="Times New Roman"/>
          <w:sz w:val="18"/>
          <w:szCs w:val="18"/>
          <w:color w:val="auto"/>
        </w:rPr>
        <w:t>The Company follows the provisions of FASB ASC 820,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defines 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establishes a framework for measuring fair value in GAAP, and outlines disclosures about fair value measurements.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A three-level hierarchy for valuation techniques is used to measure financial assets and financial liabilities at fair value. This hierarchy is based on whether the valuation inputs are observable or unobservable. Financial instrument valuations are considered Level 1 when they are based on quoted prices in active markets for identical assets or liabilities. Level 2 financial instrument valuations use quoted prices for similar assets or liabilities, quoted prices in markets that are not active, or other inputs that are observable or can be corroborated by observable market data. Financial instrument valuations are considered Level 3 when they are determined using pricing models, discounted cash flow methodologies or similar techniques and at least one significant model assumption or input is unobservable, and when determination of the fair value requires significant management judgment or estimation. The Company records securities available for sale at their fair values on a recurring basis using Level 2 valuations. Additionally, the Company records impaired loans and other real estate owned at their fair value on a nonrecurring basis. The nonrecurring fair value adjustments typically involve application of lower-of-cost-or-market accounting or impairment write-downs of individual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and Not Yet Adopted Accounting Pronouncements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The standard is effective for fiscal periods beginning after December 15, 2019. The CARES Act was signed into law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27, 2020 and included provisions that temporarily delayed the required implementation date of ASU 2016-13 to the earlier of the end of the national pandemic or December 31, 2020. The CAA was signed into law on December 27, 2020 and extended the deferral of required implementation of ASU 2016-13 to the earlier of the first day of a company’s fiscal year that begins after the date the COVID-19 national emergency comes to an end or January 1, 2022. The Company elected to defer the adoption of ASU 2016-13 until December 31, 2020 with an effective date of January 1, 2020.</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ASU required measurement and recognition of expected credit losses for financial instruments held at amortized cost, which include allowances for credit losses expected over the life of the portfolio, rather than incurred losses, which include allowances for current known and inherent losses within the portfolio. Under this standard, the Company is required to hold an allowance equal to the expected life-of-loan losses on the loan portfolio. It also applies to off-balance sheet credit exposures such as loan commitments, standby letters of credit and other similar instruments. In addition, ASU 2016-13 made changes to the accounting for available-for-sale debt securities.</w:t>
      </w:r>
    </w:p>
    <w:p>
      <w:pPr>
        <w:spacing w:after="0" w:line="1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adopted ASU 2016-13 using a modified retrospective approach. Results for annual reporting periods beginning after January 1, 2020 are presented under ASU 2016-13 while prior period amounts continue to be reported in accordance with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previously applicable GAAP. Upon adoption, the Company recognized increases of $723,000 in the allowance for credit losses and $402,000 in the reserve for unfunded commitments, with a corresponding reduction to retained earnings, net of tax, of $856,000. No credit loss allowance was required upon adoption for the investment securities portfolio. Consistent with the provisions of the CARES Act, results for quarterly reporting periods beginning after December 31, 2020 in the Company’s Form 10-Q will be presented under ASU 2016-13 while prior quarterly period amounts continue to be reported in accordance with previously applicable GAAP.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the impact of the adoption of ASU 2016-13: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0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Impact of</w:t>
            </w:r>
          </w:p>
        </w:tc>
        <w:tc>
          <w:tcPr>
            <w:tcW w:w="1260" w:type="dxa"/>
            <w:vAlign w:val="bottom"/>
            <w:tcBorders>
              <w:top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r>
      <w:tr>
        <w:trPr>
          <w:trHeight w:val="216"/>
        </w:trPr>
        <w:tc>
          <w:tcPr>
            <w:tcW w:w="5400" w:type="dxa"/>
            <w:vAlign w:val="bottom"/>
          </w:tcPr>
          <w:p>
            <w:pPr>
              <w:spacing w:after="0"/>
              <w:rPr>
                <w:sz w:val="18"/>
                <w:szCs w:val="18"/>
                <w:color w:val="auto"/>
              </w:rPr>
            </w:pPr>
          </w:p>
        </w:tc>
        <w:tc>
          <w:tcPr>
            <w:tcW w:w="3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ASU 2016-13</w:t>
            </w:r>
          </w:p>
        </w:tc>
        <w:tc>
          <w:tcPr>
            <w:tcW w:w="12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Under ASU</w:t>
            </w:r>
          </w:p>
        </w:tc>
      </w:tr>
      <w:tr>
        <w:trPr>
          <w:trHeight w:val="238"/>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Adoption</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2016-13</w:t>
            </w:r>
          </w:p>
        </w:tc>
      </w:tr>
      <w:tr>
        <w:trPr>
          <w:trHeight w:val="209"/>
        </w:trPr>
        <w:tc>
          <w:tcPr>
            <w:tcW w:w="54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Assets:</w:t>
            </w:r>
          </w:p>
        </w:tc>
        <w:tc>
          <w:tcPr>
            <w:tcW w:w="24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r>
      <w:tr>
        <w:trPr>
          <w:trHeight w:val="216"/>
        </w:trPr>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Allowance for loan/credit losses on loans</w:t>
            </w:r>
          </w:p>
        </w:tc>
        <w:tc>
          <w:tcPr>
            <w:tcW w:w="2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11,279</w:t>
            </w:r>
          </w:p>
        </w:tc>
      </w:tr>
      <w:tr>
        <w:trPr>
          <w:trHeight w:val="216"/>
        </w:trPr>
        <w:tc>
          <w:tcPr>
            <w:tcW w:w="54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Deferred tax asset</w:t>
            </w:r>
          </w:p>
        </w:tc>
        <w:tc>
          <w:tcPr>
            <w:tcW w:w="24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2,567</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4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Reserve for unfunded commitments</w:t>
            </w:r>
          </w:p>
        </w:tc>
        <w:tc>
          <w:tcPr>
            <w:tcW w:w="24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5400" w:type="dxa"/>
            <w:vAlign w:val="bottom"/>
            <w:tcBorders>
              <w:bottom w:val="single" w:sz="8" w:color="auto"/>
            </w:tcBorders>
            <w:shd w:val="clear" w:color="auto" w:fill="B2B2B2"/>
          </w:tcPr>
          <w:p>
            <w:pPr>
              <w:ind w:left="280"/>
              <w:spacing w:after="0" w:line="202" w:lineRule="exact"/>
              <w:rPr>
                <w:sz w:val="20"/>
                <w:szCs w:val="20"/>
                <w:color w:val="auto"/>
              </w:rPr>
            </w:pPr>
            <w:r>
              <w:rPr>
                <w:rFonts w:ascii="Times New Roman" w:cs="Times New Roman" w:eastAsia="Times New Roman" w:hAnsi="Times New Roman"/>
                <w:sz w:val="18"/>
                <w:szCs w:val="18"/>
                <w:color w:val="auto"/>
              </w:rPr>
              <w:t>Retained earnings</w:t>
            </w:r>
          </w:p>
        </w:tc>
        <w:tc>
          <w:tcPr>
            <w:tcW w:w="2400" w:type="dxa"/>
            <w:vAlign w:val="bottom"/>
            <w:tcBorders>
              <w:bottom w:val="single" w:sz="8" w:color="auto"/>
            </w:tcBorders>
            <w:shd w:val="clear" w:color="auto" w:fill="B2B2B2"/>
          </w:tcPr>
          <w:p>
            <w:pPr>
              <w:spacing w:after="0"/>
              <w:rPr>
                <w:sz w:val="19"/>
                <w:szCs w:val="19"/>
                <w:color w:val="auto"/>
              </w:rPr>
            </w:pPr>
          </w:p>
        </w:tc>
        <w:tc>
          <w:tcPr>
            <w:tcW w:w="94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90,341</w:t>
            </w:r>
          </w:p>
        </w:tc>
        <w:tc>
          <w:tcPr>
            <w:tcW w:w="200" w:type="dxa"/>
            <w:vAlign w:val="bottom"/>
            <w:tcBorders>
              <w:bottom w:val="single" w:sz="8" w:color="auto"/>
            </w:tcBorders>
            <w:shd w:val="clear" w:color="auto" w:fill="B2B2B2"/>
          </w:tcPr>
          <w:p>
            <w:pPr>
              <w:spacing w:after="0"/>
              <w:rPr>
                <w:sz w:val="19"/>
                <w:szCs w:val="19"/>
                <w:color w:val="auto"/>
              </w:rPr>
            </w:pPr>
          </w:p>
        </w:tc>
        <w:tc>
          <w:tcPr>
            <w:tcW w:w="104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(856)</w:t>
            </w:r>
          </w:p>
        </w:tc>
        <w:tc>
          <w:tcPr>
            <w:tcW w:w="120" w:type="dxa"/>
            <w:vAlign w:val="bottom"/>
            <w:tcBorders>
              <w:bottom w:val="single" w:sz="8" w:color="auto"/>
            </w:tcBorders>
            <w:shd w:val="clear" w:color="auto" w:fill="B2B2B2"/>
          </w:tcPr>
          <w:p>
            <w:pPr>
              <w:spacing w:after="0"/>
              <w:rPr>
                <w:sz w:val="19"/>
                <w:szCs w:val="19"/>
                <w:color w:val="auto"/>
              </w:rPr>
            </w:pPr>
          </w:p>
        </w:tc>
        <w:tc>
          <w:tcPr>
            <w:tcW w:w="1140" w:type="dxa"/>
            <w:vAlign w:val="bottom"/>
            <w:tcBorders>
              <w:bottom w:val="single" w:sz="8" w:color="auto"/>
            </w:tcBorders>
            <w:shd w:val="clear" w:color="auto" w:fill="B2B2B2"/>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89,485</w:t>
            </w: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11, 2020, the WHO declared the outbreak of COVID-19 as a global pandemic, which continues to spread throughout the United States and around the world. The declaration of a global pandemic indicates that almost all public commerce and related business activities must be, to varying degrees, curtailed with the goal of decreasing the rate of new infections. This response to the COVID-19 pandemic has resulted in an unprecedented slow-down in economic activity and a related increase in unemployment.</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late fiscal 2020, vaccines for combatting COVID-19 were approved by health agencies and began to be administered. However, initial quantities of vaccines are limited and vaccine distributions, controlled by local authorities, are being allocated, generally first to front-line health care workers and other essential workers and next to those members of individual populations believed most susceptible to severe effects from COVID-19. The timeline of full administration of the COVID-19 vaccines is uncertain and fluctuating, but is widely thought to be unlikely to occur in most jurisdictions until mid to late 2021. The impact of COVID-19, including the impact of restrictions imposed to combat its spread, could result in additional and prolonged business closures, work restrictions and activity restrictions.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evaluated subsequent events after the consolidated balance sheet date of December 31, 2020 and the breadth of the impact of the global presence of COVID-19 on the Company’s business is currently unknown. The Company is closely monitoring developments related to COVID-19 checking regularly for updated information and recommendations from the WHO and the CDC, from national, state, and local governments, and evaluating courses of action being taken by peers. The duration and severity of the effect of COVID-19 on economic, market and business conditions and the timeline and shape of recovery from the pandemic remain uncertain. At this time, the Company remains subject to heightened business, operational, market, credit and other risks related to the COVID-19 pandemic, including, but not limited to, those discussed below, which may have an adverse effect on business, financial condition and results of operations.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position and results of operations - The global health crisis caused by COVID-19 has and will continue to negatively impact business activity throughout the world. The COVID-19 outbreak and associated counter-acting measures implemented by governments around the world, as well as increased business uncertainty, have had, and continue to have, an adverse impact on the Company’s financial results and are discussed in more detail below. Although in various locations certain activity restrictions have been relaxed with some success, many states and localities are experiencing significant increases in the number of COVID-19 cases, prompting a reinstatement of prior activity restrictions in some locations and the need for additional aid and other forms of relief for affected individuals, businesses and other entities. When and if COVID-19 is demonstrably contained, the Company anticipates a rebound in economic activity; however, any such rebound is contingent upon the rate and effectiveness of the containment efforts deployed by federal, state, and local governments. In light of the evolving health, social, economic and business environment, governmental regulations or mandates, and business disruptions that have occurred and could continue to occur, the aggregate impact that COVID-19 could have on the Company’s financial condition and operating results remains highly uncertain.</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response to COVID-19, the Federal Reserve has taken action to lower the Federal Funds rate, which has adversely affected interest income and therefore, the Company’s results of operations and financial condition. The Federal Reserve has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its commitment to this approach, indicating that the target Federal Funds rate would remain at current levels until the economy is in a more stable employment and price-stability position.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the business disruption continues for an extended period, additional cost control actions will be considered. Future asset impairment charges, increases in allowance for credit losses, or restructuring charges could be more likely and will be dependent on the severity and duration of this crisis and its effect on the Company’s borrowers.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payment processing services, business closures, including constrictions in the manufacturing sector, have led to a decrease in the number of transactions and dollars processed due to the decline in customers’ business activity. In addition, the dampened demand for oil and resulting plummet in oil prices has had, and can continue to have, a negative effect on both the number of freight transactions processed and the dollar amount of invoices processed. Other financial impact could occur though such potential impact is unknown at this time.</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and liquidity - While the Company believes that it has sufficient capital to withstand an extended economic recession brought about by COVID-19, its reported and regulatory capital ratios could be adversely impacted by future financial losses.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access to multiple sources of liquidity. If funding costs are elevated for an extended period of time, it could have an adverse effect on the Company’s net interest margin. If an extended recession caused large numbers of the Bank’s customers to draw down deposits, the Company might become more reliant on more expensive sources of funding.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 valuation - Currently, the Company does not expect COVID-19 to affect its ability to fairly value the assets on its balance sheet; however, this could change in future periods. While certain valuation assumptions and judgments will change to account for pandemic-related circumstances such as widening credit spreads, the Company does not anticipate significant changes in methodology used to determine the fair value of assets measured in accordance with GAAP.</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economic slowdown as a result of COVID-19 could cause a further and sustained decline in the Company’s stock price or the occurrence of what management would deem to be a triggering event that could, under certain circumstances, necessitate a goodwill or intangible asset impairment test and result in an impairment charge being recorded for that period. In the event that the Company concludes that all or a portion of its goodwill is impaired, a non-cash charge for the amount of such impairment would be recorded to earnings. Such a charge would have no impact on tangible capital or regulatory capital.</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Processes, controls and business continuity - In accord with its federally mandated Pandemic Plan and Business Continuity Plan, Cass has deployed its remote workforce program. Most Cass employees around the globe are now working and conducting business remotely. Employees necessary to oversee certain business coordination activities or to conduct essential physical activities such as mail handling and scanning operations, remain in offices. In addition, employees are now being permitted to return to the offices on a voluntary basis. Employees are required to report any exposure or diagnosis and must adhere to the defined safety protocol to enter the offices.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past several years, Cass has invested in sophisticated technology initiatives that enable employees to operate remotely with full system(s) access along with unified and transparent voice and electronic communications capabilities, ensuring seamless service delivery. The Company cannot predict when or how it will fully lift the actions put in place as part of the Business Continuity Plan, including work from home requirements and travel restrictions. Cass does not believe the work from home protocol has materially adversely impacted internal controls, financial reporting systems, or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Requirements and Regulatory Restrictions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consolidated financial statements. Under capital adequacy guidelines, the Company and the Bank must meet specific capital guidelines that involve quantitative measures of assets, liabilities and certain off-balance sheet items as calculated under regulatory accounting practices. The Company’s and the Bank’s capital amounts and classifications are also subject to qualitative judgments by the regulators about components, risk weightings and other factors.</w:t>
      </w: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Quantitative measures established by regulators to ensure capital adequacy require the Company and the Bank to maintain minimum amounts and ratios of total and Tier I capital and common equity Tier I capital to risk-weighted assets, and of Tier I capital to average assets. Management believes that as of December 31, 2020 and 2019, the Company and the Bank met all capital adequacy requirements to which they are subject.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July 2, 2013, the Federal Reserve Board approved final rules known as the “Basel III Capital Rules” that substantially revised the risk-based capital and leverage capital requirements applicable to bank holding companies and depository institutions, including the Company and the Bank. The Basel III Capital Rules implement aspects of the Basel III capital</w:t>
      </w:r>
    </w:p>
    <w:p>
      <w:pPr>
        <w:sectPr>
          <w:pgSz w:w="11900" w:h="16838" w:orient="portrait"/>
          <w:cols w:equalWidth="0" w:num="1">
            <w:col w:w="11240"/>
          </w:cols>
          <w:pgMar w:left="320" w:top="293" w:right="339"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framework agreed upon by the Basel Committee and incorporate changes required by the Dodd-Frank Wall Street Reform and Consumer Protection Act. Among other things, the Basel III Capital Rules establish stricter capital requirements and calculation standards, as well as more restrictive risk weightings for certain loans and facilities. The Basel III Capital Rules were effective for the Company and the Bank on January 1, 2015, subject to a phase-in period that ended on January 1, 2019.</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is also subject to the regulatory framework for prompt corrective action. As of December 31, 2020, the most recent notification from the regulatory agencies categorized the Bank as well-capitalized. To be categorized as well-capitalized, the Bank must maintain minimum total risk-based, common equity Tier I risk-based, Tier I risk-based, and Tier I leverage ratios as set forth in the table below. There are no conditions or events since that notification that management believes have changed the Bank’s category.</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traditionally paid a quarterly cash dividend to its shareholders. Subsidiary dividends can be a significant source of funds for payment of dividends by the Company to its shareholders. Banking regulations may limit the amount of dividends that may be paid. Approval by regulatory authorities is required if the effect of dividends declared would cause the regulatory capital of the Bank to fall below specified minimum levels. Approval is also required if dividends declared exceed the net profits for that year combined with the retained net profits for the preceding two years. Under the foregoing dividend restrictions and while maintaining its “well capitalized” status, at December 31, 2020, unappropriated retained earnings of $48,680,000 were available at the Bank for the declaration of dividends to the Company without prior approval from regulatory authorities. In addition to regulatory requirements and considerations, any payment of dividends in the future will depend on the Company’s earnings, financial condition and other factors considered relevant by the Company’s Board of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restricted funds on deposit used to meet regulatory reserve requirements at December 31, 2020 and 2019.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and the Bank’s actual and required capital amounts and ratios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Requirement to be</w:t>
            </w:r>
          </w:p>
        </w:tc>
      </w:tr>
      <w:tr>
        <w:trPr>
          <w:trHeight w:val="245"/>
        </w:trPr>
        <w:tc>
          <w:tcPr>
            <w:tcW w:w="5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Requirements</w:t>
            </w:r>
          </w:p>
        </w:tc>
        <w:tc>
          <w:tcPr>
            <w:tcW w:w="2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Well-Capitalized</w:t>
            </w:r>
          </w:p>
        </w:tc>
      </w:tr>
      <w:tr>
        <w:trPr>
          <w:trHeight w:val="223"/>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Amount Ratio</w:t>
            </w: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Amount Ratio</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Amount Ratio</w:t>
            </w:r>
          </w:p>
        </w:tc>
      </w:tr>
      <w:tr>
        <w:trPr>
          <w:trHeight w:val="216"/>
        </w:trPr>
        <w:tc>
          <w:tcPr>
            <w:tcW w:w="52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20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6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2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00" w:type="dxa"/>
            <w:vAlign w:val="bottom"/>
            <w:shd w:val="clear" w:color="auto" w:fill="B2B2B2"/>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255,332</w:t>
            </w:r>
          </w:p>
        </w:tc>
        <w:tc>
          <w:tcPr>
            <w:tcW w:w="680" w:type="dxa"/>
            <w:vAlign w:val="bottom"/>
            <w:shd w:val="clear" w:color="auto" w:fill="B2B2B2"/>
          </w:tcPr>
          <w:p>
            <w:pPr>
              <w:ind w:left="60"/>
              <w:spacing w:after="0"/>
              <w:rPr>
                <w:sz w:val="20"/>
                <w:szCs w:val="20"/>
                <w:color w:val="auto"/>
              </w:rPr>
            </w:pPr>
            <w:r>
              <w:rPr>
                <w:rFonts w:ascii="Times New Roman" w:cs="Times New Roman" w:eastAsia="Times New Roman" w:hAnsi="Times New Roman"/>
                <w:sz w:val="18"/>
                <w:szCs w:val="18"/>
                <w:color w:val="auto"/>
              </w:rPr>
              <w:t>21.41%</w:t>
            </w:r>
          </w:p>
        </w:tc>
        <w:tc>
          <w:tcPr>
            <w:tcW w:w="26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2B2B2"/>
          </w:tcPr>
          <w:p>
            <w:pPr>
              <w:jc w:val="right"/>
              <w:ind w:right="370"/>
              <w:spacing w:after="0"/>
              <w:rPr>
                <w:sz w:val="20"/>
                <w:szCs w:val="20"/>
                <w:color w:val="auto"/>
              </w:rPr>
            </w:pPr>
            <w:r>
              <w:rPr>
                <w:rFonts w:ascii="Times New Roman" w:cs="Times New Roman" w:eastAsia="Times New Roman" w:hAnsi="Times New Roman"/>
                <w:sz w:val="18"/>
                <w:szCs w:val="18"/>
                <w:color w:val="auto"/>
              </w:rPr>
              <w:t>95,388</w:t>
            </w:r>
          </w:p>
        </w:tc>
        <w:tc>
          <w:tcPr>
            <w:tcW w:w="640" w:type="dxa"/>
            <w:vAlign w:val="bottom"/>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shd w:val="clear" w:color="auto" w:fill="B2B2B2"/>
          </w:tcPr>
          <w:p>
            <w:pPr>
              <w:ind w:left="320"/>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5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Cass Commercial Bank</w:t>
            </w:r>
          </w:p>
        </w:tc>
        <w:tc>
          <w:tcPr>
            <w:tcW w:w="20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171,298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21.46</w:t>
            </w:r>
          </w:p>
        </w:tc>
        <w:tc>
          <w:tcPr>
            <w:tcW w:w="260" w:type="dxa"/>
            <w:vAlign w:val="bottom"/>
          </w:tcPr>
          <w:p>
            <w:pPr>
              <w:spacing w:after="0"/>
              <w:rPr>
                <w:sz w:val="18"/>
                <w:szCs w:val="18"/>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63,855</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79,819</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2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Common Equity Tier I Capital (to risk-weighted assets)</w:t>
            </w:r>
          </w:p>
        </w:tc>
        <w:tc>
          <w:tcPr>
            <w:tcW w:w="20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6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r>
      <w:tr>
        <w:trPr>
          <w:trHeight w:val="216"/>
        </w:trPr>
        <w:tc>
          <w:tcPr>
            <w:tcW w:w="5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0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243,388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20.41</w:t>
            </w:r>
          </w:p>
        </w:tc>
        <w:tc>
          <w:tcPr>
            <w:tcW w:w="260" w:type="dxa"/>
            <w:vAlign w:val="bottom"/>
          </w:tcPr>
          <w:p>
            <w:pPr>
              <w:spacing w:after="0"/>
              <w:rPr>
                <w:sz w:val="18"/>
                <w:szCs w:val="18"/>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53,656</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2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Cass Commercial Bank</w:t>
            </w:r>
          </w:p>
        </w:tc>
        <w:tc>
          <w:tcPr>
            <w:tcW w:w="20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161,300</w:t>
            </w:r>
          </w:p>
        </w:tc>
        <w:tc>
          <w:tcPr>
            <w:tcW w:w="680" w:type="dxa"/>
            <w:vAlign w:val="bottom"/>
            <w:shd w:val="clear" w:color="auto" w:fill="B2B2B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370"/>
              <w:spacing w:after="0"/>
              <w:rPr>
                <w:sz w:val="20"/>
                <w:szCs w:val="20"/>
                <w:color w:val="auto"/>
              </w:rPr>
            </w:pPr>
            <w:r>
              <w:rPr>
                <w:rFonts w:ascii="Times New Roman" w:cs="Times New Roman" w:eastAsia="Times New Roman" w:hAnsi="Times New Roman"/>
                <w:sz w:val="18"/>
                <w:szCs w:val="18"/>
                <w:color w:val="auto"/>
              </w:rPr>
              <w:t>35,918</w:t>
            </w:r>
          </w:p>
        </w:tc>
        <w:tc>
          <w:tcPr>
            <w:tcW w:w="640" w:type="dxa"/>
            <w:vAlign w:val="bottom"/>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51,882</w:t>
            </w:r>
          </w:p>
        </w:tc>
        <w:tc>
          <w:tcPr>
            <w:tcW w:w="80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2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0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243,388</w:t>
            </w:r>
          </w:p>
        </w:tc>
        <w:tc>
          <w:tcPr>
            <w:tcW w:w="680" w:type="dxa"/>
            <w:vAlign w:val="bottom"/>
            <w:shd w:val="clear" w:color="auto" w:fill="B2B2B2"/>
          </w:tcPr>
          <w:p>
            <w:pPr>
              <w:ind w:left="60"/>
              <w:spacing w:after="0"/>
              <w:rPr>
                <w:sz w:val="20"/>
                <w:szCs w:val="20"/>
                <w:color w:val="auto"/>
              </w:rPr>
            </w:pPr>
            <w:r>
              <w:rPr>
                <w:rFonts w:ascii="Times New Roman" w:cs="Times New Roman" w:eastAsia="Times New Roman" w:hAnsi="Times New Roman"/>
                <w:sz w:val="18"/>
                <w:szCs w:val="18"/>
                <w:color w:val="auto"/>
              </w:rPr>
              <w:t>20.41</w:t>
            </w:r>
          </w:p>
        </w:tc>
        <w:tc>
          <w:tcPr>
            <w:tcW w:w="26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370"/>
              <w:spacing w:after="0"/>
              <w:rPr>
                <w:sz w:val="20"/>
                <w:szCs w:val="20"/>
                <w:color w:val="auto"/>
              </w:rPr>
            </w:pPr>
            <w:r>
              <w:rPr>
                <w:rFonts w:ascii="Times New Roman" w:cs="Times New Roman" w:eastAsia="Times New Roman" w:hAnsi="Times New Roman"/>
                <w:sz w:val="18"/>
                <w:szCs w:val="18"/>
                <w:color w:val="auto"/>
              </w:rPr>
              <w:t>71,541</w:t>
            </w:r>
          </w:p>
        </w:tc>
        <w:tc>
          <w:tcPr>
            <w:tcW w:w="640" w:type="dxa"/>
            <w:vAlign w:val="bottom"/>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shd w:val="clear" w:color="auto" w:fill="B2B2B2"/>
          </w:tcPr>
          <w:p>
            <w:pPr>
              <w:ind w:left="3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Cass Commercial Bank</w:t>
            </w:r>
          </w:p>
        </w:tc>
        <w:tc>
          <w:tcPr>
            <w:tcW w:w="20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161,300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18"/>
                <w:szCs w:val="18"/>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47,891</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63,855</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52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20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6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r>
      <w:tr>
        <w:trPr>
          <w:trHeight w:val="216"/>
        </w:trPr>
        <w:tc>
          <w:tcPr>
            <w:tcW w:w="5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0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243,388</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11.52</w:t>
            </w:r>
          </w:p>
        </w:tc>
        <w:tc>
          <w:tcPr>
            <w:tcW w:w="260" w:type="dxa"/>
            <w:vAlign w:val="bottom"/>
          </w:tcPr>
          <w:p>
            <w:pPr>
              <w:spacing w:after="0"/>
              <w:rPr>
                <w:sz w:val="18"/>
                <w:szCs w:val="18"/>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84,511</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200" w:type="dxa"/>
            <w:vAlign w:val="bottom"/>
            <w:tcBorders>
              <w:bottom w:val="single" w:sz="8" w:color="auto"/>
            </w:tcBorders>
            <w:shd w:val="clear" w:color="auto" w:fill="B2B2B2"/>
          </w:tcPr>
          <w:p>
            <w:pPr>
              <w:ind w:left="280"/>
              <w:spacing w:after="0" w:line="202" w:lineRule="exact"/>
              <w:rPr>
                <w:sz w:val="20"/>
                <w:szCs w:val="20"/>
                <w:color w:val="auto"/>
              </w:rPr>
            </w:pPr>
            <w:r>
              <w:rPr>
                <w:rFonts w:ascii="Times New Roman" w:cs="Times New Roman" w:eastAsia="Times New Roman" w:hAnsi="Times New Roman"/>
                <w:sz w:val="18"/>
                <w:szCs w:val="18"/>
                <w:color w:val="auto"/>
              </w:rPr>
              <w:t>Cass Commercial Bank</w:t>
            </w:r>
          </w:p>
        </w:tc>
        <w:tc>
          <w:tcPr>
            <w:tcW w:w="200" w:type="dxa"/>
            <w:vAlign w:val="bottom"/>
            <w:tcBorders>
              <w:bottom w:val="single" w:sz="8" w:color="auto"/>
            </w:tcBorders>
            <w:shd w:val="clear" w:color="auto" w:fill="B2B2B2"/>
          </w:tcPr>
          <w:p>
            <w:pPr>
              <w:spacing w:after="0"/>
              <w:rPr>
                <w:sz w:val="19"/>
                <w:szCs w:val="19"/>
                <w:color w:val="auto"/>
              </w:rPr>
            </w:pPr>
          </w:p>
        </w:tc>
        <w:tc>
          <w:tcPr>
            <w:tcW w:w="1100" w:type="dxa"/>
            <w:vAlign w:val="bottom"/>
            <w:tcBorders>
              <w:bottom w:val="single" w:sz="8" w:color="auto"/>
            </w:tcBorders>
            <w:shd w:val="clear" w:color="auto" w:fill="B2B2B2"/>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rPr>
              <w:t>161,300</w:t>
            </w:r>
          </w:p>
        </w:tc>
        <w:tc>
          <w:tcPr>
            <w:tcW w:w="680" w:type="dxa"/>
            <w:vAlign w:val="bottom"/>
            <w:tcBorders>
              <w:bottom w:val="single" w:sz="8" w:color="auto"/>
            </w:tcBorders>
            <w:shd w:val="clear" w:color="auto" w:fill="B2B2B2"/>
          </w:tcPr>
          <w:p>
            <w:pPr>
              <w:ind w:left="60"/>
              <w:spacing w:after="0" w:line="202" w:lineRule="exact"/>
              <w:rPr>
                <w:sz w:val="20"/>
                <w:szCs w:val="20"/>
                <w:color w:val="auto"/>
              </w:rPr>
            </w:pPr>
            <w:r>
              <w:rPr>
                <w:rFonts w:ascii="Times New Roman" w:cs="Times New Roman" w:eastAsia="Times New Roman" w:hAnsi="Times New Roman"/>
                <w:sz w:val="18"/>
                <w:szCs w:val="18"/>
                <w:color w:val="auto"/>
              </w:rPr>
              <w:t>14.48</w:t>
            </w:r>
          </w:p>
        </w:tc>
        <w:tc>
          <w:tcPr>
            <w:tcW w:w="260" w:type="dxa"/>
            <w:vAlign w:val="bottom"/>
            <w:tcBorders>
              <w:bottom w:val="single" w:sz="8" w:color="auto"/>
            </w:tcBorders>
            <w:shd w:val="clear" w:color="auto" w:fill="B2B2B2"/>
          </w:tcPr>
          <w:p>
            <w:pPr>
              <w:spacing w:after="0"/>
              <w:rPr>
                <w:sz w:val="19"/>
                <w:szCs w:val="19"/>
                <w:color w:val="auto"/>
              </w:rPr>
            </w:pPr>
          </w:p>
        </w:tc>
        <w:tc>
          <w:tcPr>
            <w:tcW w:w="1160" w:type="dxa"/>
            <w:vAlign w:val="bottom"/>
            <w:tcBorders>
              <w:bottom w:val="single" w:sz="8" w:color="auto"/>
            </w:tcBorders>
            <w:shd w:val="clear" w:color="auto" w:fill="B2B2B2"/>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44,543</w:t>
            </w:r>
          </w:p>
        </w:tc>
        <w:tc>
          <w:tcPr>
            <w:tcW w:w="640" w:type="dxa"/>
            <w:vAlign w:val="bottom"/>
            <w:tcBorders>
              <w:bottom w:val="single" w:sz="8" w:color="auto"/>
            </w:tcBorders>
            <w:shd w:val="clear" w:color="auto" w:fill="B2B2B2"/>
          </w:tcPr>
          <w:p>
            <w:pPr>
              <w:ind w:left="120"/>
              <w:spacing w:after="0" w:line="202" w:lineRule="exact"/>
              <w:rPr>
                <w:sz w:val="20"/>
                <w:szCs w:val="20"/>
                <w:color w:val="auto"/>
              </w:rPr>
            </w:pPr>
            <w:r>
              <w:rPr>
                <w:rFonts w:ascii="Times New Roman" w:cs="Times New Roman" w:eastAsia="Times New Roman" w:hAnsi="Times New Roman"/>
                <w:sz w:val="18"/>
                <w:szCs w:val="18"/>
                <w:color w:val="auto"/>
              </w:rPr>
              <w:t>4.00</w:t>
            </w:r>
          </w:p>
        </w:tc>
        <w:tc>
          <w:tcPr>
            <w:tcW w:w="240" w:type="dxa"/>
            <w:vAlign w:val="bottom"/>
            <w:tcBorders>
              <w:bottom w:val="single" w:sz="8" w:color="auto"/>
            </w:tcBorders>
            <w:shd w:val="clear" w:color="auto" w:fill="B2B2B2"/>
          </w:tcPr>
          <w:p>
            <w:pPr>
              <w:spacing w:after="0"/>
              <w:rPr>
                <w:sz w:val="19"/>
                <w:szCs w:val="19"/>
                <w:color w:val="auto"/>
              </w:rPr>
            </w:pPr>
          </w:p>
        </w:tc>
        <w:tc>
          <w:tcPr>
            <w:tcW w:w="960" w:type="dxa"/>
            <w:vAlign w:val="bottom"/>
            <w:tcBorders>
              <w:bottom w:val="single" w:sz="8" w:color="auto"/>
            </w:tcBorders>
            <w:shd w:val="clear" w:color="auto" w:fill="B2B2B2"/>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55,679</w:t>
            </w:r>
          </w:p>
        </w:tc>
        <w:tc>
          <w:tcPr>
            <w:tcW w:w="800" w:type="dxa"/>
            <w:vAlign w:val="bottom"/>
            <w:tcBorders>
              <w:bottom w:val="single" w:sz="8" w:color="auto"/>
            </w:tcBorders>
            <w:shd w:val="clear" w:color="auto" w:fill="B2B2B2"/>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5.00</w:t>
            </w:r>
          </w:p>
        </w:tc>
      </w:tr>
      <w:tr>
        <w:trPr>
          <w:trHeight w:val="392"/>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2019</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52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6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r>
      <w:tr>
        <w:trPr>
          <w:trHeight w:val="216"/>
        </w:trPr>
        <w:tc>
          <w:tcPr>
            <w:tcW w:w="5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249,954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19.70%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101,530</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52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Cass Commercial Bank</w:t>
            </w:r>
          </w:p>
        </w:tc>
        <w:tc>
          <w:tcPr>
            <w:tcW w:w="20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154,011</w:t>
            </w:r>
          </w:p>
        </w:tc>
        <w:tc>
          <w:tcPr>
            <w:tcW w:w="680" w:type="dxa"/>
            <w:vAlign w:val="bottom"/>
            <w:shd w:val="clear" w:color="auto" w:fill="B2B2B2"/>
          </w:tcPr>
          <w:p>
            <w:pPr>
              <w:ind w:left="60"/>
              <w:spacing w:after="0"/>
              <w:rPr>
                <w:sz w:val="20"/>
                <w:szCs w:val="20"/>
                <w:color w:val="auto"/>
              </w:rPr>
            </w:pPr>
            <w:r>
              <w:rPr>
                <w:rFonts w:ascii="Times New Roman" w:cs="Times New Roman" w:eastAsia="Times New Roman" w:hAnsi="Times New Roman"/>
                <w:sz w:val="18"/>
                <w:szCs w:val="18"/>
                <w:color w:val="auto"/>
              </w:rPr>
              <w:t>19.32</w:t>
            </w:r>
          </w:p>
        </w:tc>
        <w:tc>
          <w:tcPr>
            <w:tcW w:w="26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370"/>
              <w:spacing w:after="0"/>
              <w:rPr>
                <w:sz w:val="20"/>
                <w:szCs w:val="20"/>
                <w:color w:val="auto"/>
              </w:rPr>
            </w:pPr>
            <w:r>
              <w:rPr>
                <w:rFonts w:ascii="Times New Roman" w:cs="Times New Roman" w:eastAsia="Times New Roman" w:hAnsi="Times New Roman"/>
                <w:sz w:val="18"/>
                <w:szCs w:val="18"/>
                <w:color w:val="auto"/>
              </w:rPr>
              <w:t>63,778</w:t>
            </w:r>
          </w:p>
        </w:tc>
        <w:tc>
          <w:tcPr>
            <w:tcW w:w="640" w:type="dxa"/>
            <w:vAlign w:val="bottom"/>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79,722</w:t>
            </w:r>
          </w:p>
        </w:tc>
        <w:tc>
          <w:tcPr>
            <w:tcW w:w="80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Common Equity Tier I Capital (to risk-weighted assets)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2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0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239,398</w:t>
            </w:r>
          </w:p>
        </w:tc>
        <w:tc>
          <w:tcPr>
            <w:tcW w:w="680" w:type="dxa"/>
            <w:vAlign w:val="bottom"/>
            <w:shd w:val="clear" w:color="auto" w:fill="B2B2B2"/>
          </w:tcPr>
          <w:p>
            <w:pPr>
              <w:ind w:left="60"/>
              <w:spacing w:after="0"/>
              <w:rPr>
                <w:sz w:val="20"/>
                <w:szCs w:val="20"/>
                <w:color w:val="auto"/>
              </w:rPr>
            </w:pPr>
            <w:r>
              <w:rPr>
                <w:rFonts w:ascii="Times New Roman" w:cs="Times New Roman" w:eastAsia="Times New Roman" w:hAnsi="Times New Roman"/>
                <w:sz w:val="18"/>
                <w:szCs w:val="18"/>
                <w:color w:val="auto"/>
              </w:rPr>
              <w:t>18.86</w:t>
            </w:r>
          </w:p>
        </w:tc>
        <w:tc>
          <w:tcPr>
            <w:tcW w:w="26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370"/>
              <w:spacing w:after="0"/>
              <w:rPr>
                <w:sz w:val="20"/>
                <w:szCs w:val="20"/>
                <w:color w:val="auto"/>
              </w:rPr>
            </w:pPr>
            <w:r>
              <w:rPr>
                <w:rFonts w:ascii="Times New Roman" w:cs="Times New Roman" w:eastAsia="Times New Roman" w:hAnsi="Times New Roman"/>
                <w:sz w:val="18"/>
                <w:szCs w:val="18"/>
                <w:color w:val="auto"/>
              </w:rPr>
              <w:t>57,110</w:t>
            </w:r>
          </w:p>
        </w:tc>
        <w:tc>
          <w:tcPr>
            <w:tcW w:w="640" w:type="dxa"/>
            <w:vAlign w:val="bottom"/>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shd w:val="clear" w:color="auto" w:fill="B2B2B2"/>
          </w:tcPr>
          <w:p>
            <w:pPr>
              <w:ind w:left="3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Cass Commercial Bank</w:t>
            </w:r>
          </w:p>
        </w:tc>
        <w:tc>
          <w:tcPr>
            <w:tcW w:w="20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145,673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18.27</w:t>
            </w:r>
          </w:p>
        </w:tc>
        <w:tc>
          <w:tcPr>
            <w:tcW w:w="260" w:type="dxa"/>
            <w:vAlign w:val="bottom"/>
          </w:tcPr>
          <w:p>
            <w:pPr>
              <w:spacing w:after="0"/>
              <w:rPr>
                <w:sz w:val="18"/>
                <w:szCs w:val="18"/>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35,875</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51,819</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52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20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6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r>
      <w:tr>
        <w:trPr>
          <w:trHeight w:val="216"/>
        </w:trPr>
        <w:tc>
          <w:tcPr>
            <w:tcW w:w="5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0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239,398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18.86</w:t>
            </w:r>
          </w:p>
        </w:tc>
        <w:tc>
          <w:tcPr>
            <w:tcW w:w="260" w:type="dxa"/>
            <w:vAlign w:val="bottom"/>
          </w:tcPr>
          <w:p>
            <w:pPr>
              <w:spacing w:after="0"/>
              <w:rPr>
                <w:sz w:val="18"/>
                <w:szCs w:val="18"/>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76,147</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2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Cass Commercial Bank</w:t>
            </w:r>
          </w:p>
        </w:tc>
        <w:tc>
          <w:tcPr>
            <w:tcW w:w="20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145,673</w:t>
            </w:r>
          </w:p>
        </w:tc>
        <w:tc>
          <w:tcPr>
            <w:tcW w:w="680" w:type="dxa"/>
            <w:vAlign w:val="bottom"/>
            <w:shd w:val="clear" w:color="auto" w:fill="B2B2B2"/>
          </w:tcPr>
          <w:p>
            <w:pPr>
              <w:ind w:left="60"/>
              <w:spacing w:after="0"/>
              <w:rPr>
                <w:sz w:val="20"/>
                <w:szCs w:val="20"/>
                <w:color w:val="auto"/>
              </w:rPr>
            </w:pPr>
            <w:r>
              <w:rPr>
                <w:rFonts w:ascii="Times New Roman" w:cs="Times New Roman" w:eastAsia="Times New Roman" w:hAnsi="Times New Roman"/>
                <w:sz w:val="18"/>
                <w:szCs w:val="18"/>
                <w:color w:val="auto"/>
              </w:rPr>
              <w:t>18.27</w:t>
            </w:r>
          </w:p>
        </w:tc>
        <w:tc>
          <w:tcPr>
            <w:tcW w:w="26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370"/>
              <w:spacing w:after="0"/>
              <w:rPr>
                <w:sz w:val="20"/>
                <w:szCs w:val="20"/>
                <w:color w:val="auto"/>
              </w:rPr>
            </w:pPr>
            <w:r>
              <w:rPr>
                <w:rFonts w:ascii="Times New Roman" w:cs="Times New Roman" w:eastAsia="Times New Roman" w:hAnsi="Times New Roman"/>
                <w:sz w:val="18"/>
                <w:szCs w:val="18"/>
                <w:color w:val="auto"/>
              </w:rPr>
              <w:t>47,833</w:t>
            </w:r>
          </w:p>
        </w:tc>
        <w:tc>
          <w:tcPr>
            <w:tcW w:w="640" w:type="dxa"/>
            <w:vAlign w:val="bottom"/>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63,778</w:t>
            </w:r>
          </w:p>
        </w:tc>
        <w:tc>
          <w:tcPr>
            <w:tcW w:w="80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2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00" w:type="dxa"/>
            <w:vAlign w:val="bottom"/>
            <w:shd w:val="clear" w:color="auto" w:fill="B2B2B2"/>
          </w:tcPr>
          <w:p>
            <w:pPr>
              <w:spacing w:after="0"/>
              <w:rPr>
                <w:sz w:val="18"/>
                <w:szCs w:val="18"/>
                <w:color w:val="auto"/>
              </w:rPr>
            </w:pPr>
          </w:p>
        </w:tc>
        <w:tc>
          <w:tcPr>
            <w:tcW w:w="1100" w:type="dxa"/>
            <w:vAlign w:val="bottom"/>
            <w:shd w:val="clear" w:color="auto" w:fill="B2B2B2"/>
          </w:tcPr>
          <w:p>
            <w:pPr>
              <w:jc w:val="right"/>
              <w:ind w:right="330"/>
              <w:spacing w:after="0"/>
              <w:rPr>
                <w:sz w:val="20"/>
                <w:szCs w:val="20"/>
                <w:color w:val="auto"/>
              </w:rPr>
            </w:pPr>
            <w:r>
              <w:rPr>
                <w:rFonts w:ascii="Times New Roman" w:cs="Times New Roman" w:eastAsia="Times New Roman" w:hAnsi="Times New Roman"/>
                <w:sz w:val="18"/>
                <w:szCs w:val="18"/>
                <w:color w:val="auto"/>
              </w:rPr>
              <w:t>239,398</w:t>
            </w:r>
          </w:p>
        </w:tc>
        <w:tc>
          <w:tcPr>
            <w:tcW w:w="680" w:type="dxa"/>
            <w:vAlign w:val="bottom"/>
            <w:shd w:val="clear" w:color="auto" w:fill="B2B2B2"/>
          </w:tcPr>
          <w:p>
            <w:pPr>
              <w:ind w:left="60"/>
              <w:spacing w:after="0"/>
              <w:rPr>
                <w:sz w:val="20"/>
                <w:szCs w:val="20"/>
                <w:color w:val="auto"/>
              </w:rPr>
            </w:pPr>
            <w:r>
              <w:rPr>
                <w:rFonts w:ascii="Times New Roman" w:cs="Times New Roman" w:eastAsia="Times New Roman" w:hAnsi="Times New Roman"/>
                <w:sz w:val="18"/>
                <w:szCs w:val="18"/>
                <w:color w:val="auto"/>
              </w:rPr>
              <w:t>13.24</w:t>
            </w:r>
          </w:p>
        </w:tc>
        <w:tc>
          <w:tcPr>
            <w:tcW w:w="26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370"/>
              <w:spacing w:after="0"/>
              <w:rPr>
                <w:sz w:val="20"/>
                <w:szCs w:val="20"/>
                <w:color w:val="auto"/>
              </w:rPr>
            </w:pPr>
            <w:r>
              <w:rPr>
                <w:rFonts w:ascii="Times New Roman" w:cs="Times New Roman" w:eastAsia="Times New Roman" w:hAnsi="Times New Roman"/>
                <w:sz w:val="18"/>
                <w:szCs w:val="18"/>
                <w:color w:val="auto"/>
              </w:rPr>
              <w:t>72,329</w:t>
            </w:r>
          </w:p>
        </w:tc>
        <w:tc>
          <w:tcPr>
            <w:tcW w:w="640" w:type="dxa"/>
            <w:vAlign w:val="bottom"/>
            <w:shd w:val="clear" w:color="auto" w:fill="B2B2B2"/>
          </w:tcPr>
          <w:p>
            <w:pPr>
              <w:ind w:left="12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7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shd w:val="clear" w:color="auto" w:fill="B2B2B2"/>
          </w:tcPr>
          <w:p>
            <w:pPr>
              <w:ind w:left="320"/>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200" w:type="dxa"/>
            <w:vAlign w:val="bottom"/>
            <w:tcBorders>
              <w:bottom w:val="single" w:sz="8" w:color="auto"/>
            </w:tcBorders>
          </w:tcPr>
          <w:p>
            <w:pPr>
              <w:ind w:left="280"/>
              <w:spacing w:after="0" w:line="202" w:lineRule="exact"/>
              <w:rPr>
                <w:sz w:val="20"/>
                <w:szCs w:val="20"/>
                <w:color w:val="auto"/>
              </w:rPr>
            </w:pPr>
            <w:r>
              <w:rPr>
                <w:rFonts w:ascii="Times New Roman" w:cs="Times New Roman" w:eastAsia="Times New Roman" w:hAnsi="Times New Roman"/>
                <w:sz w:val="18"/>
                <w:szCs w:val="18"/>
                <w:color w:val="auto"/>
              </w:rPr>
              <w:t>Cass Commercial Bank</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rPr>
              <w:t>145,673</w:t>
            </w:r>
          </w:p>
        </w:tc>
        <w:tc>
          <w:tcPr>
            <w:tcW w:w="680" w:type="dxa"/>
            <w:vAlign w:val="bottom"/>
            <w:tcBorders>
              <w:bottom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16.64</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35,012</w:t>
            </w:r>
          </w:p>
        </w:tc>
        <w:tc>
          <w:tcPr>
            <w:tcW w:w="640" w:type="dxa"/>
            <w:vAlign w:val="bottom"/>
            <w:tcBorders>
              <w:bottom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4.00</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43,765</w:t>
            </w:r>
          </w:p>
        </w:tc>
        <w:tc>
          <w:tcPr>
            <w:tcW w:w="800" w:type="dxa"/>
            <w:vAlign w:val="bottom"/>
            <w:tcBorders>
              <w:bottom w:val="single" w:sz="8" w:color="auto"/>
            </w:tcBorders>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5.00</w:t>
            </w: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Securities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 securities available-for-sale are recorded at fair value on a recurring basis. The Company’s investment securities available-for-sale at December 31, 2020 and 2019 are measured at fair value using Level 2 valuations. The market evaluation utilizes several sources which include “observable inputs” rather than “significant unobservable inputs” and therefore falls into the Level 2 category. The table below presents the balances of securities available-for-sale measured at fair value on a recurring basis. The amortized cost, gross unrealized gains, gross unrealized losses and fair value of debt and equity securities are summarized as follows:</w:t>
      </w:r>
    </w:p>
    <w:p>
      <w:pPr>
        <w:sectPr>
          <w:pgSz w:w="11900" w:h="16838" w:orient="portrait"/>
          <w:cols w:equalWidth="0" w:num="1">
            <w:col w:w="11240"/>
          </w:cols>
          <w:pgMar w:left="320" w:top="293" w:right="33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4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43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104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4340" w:type="dxa"/>
            <w:vAlign w:val="bottom"/>
            <w:tcBorders>
              <w:top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200" w:type="dxa"/>
            <w:vAlign w:val="bottom"/>
            <w:tcBorders>
              <w:top w:val="single" w:sz="8" w:color="auto"/>
            </w:tcBorders>
            <w:gridSpan w:val="2"/>
            <w:shd w:val="clear" w:color="auto" w:fill="B2B2B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287,059</w:t>
            </w:r>
          </w:p>
        </w:tc>
        <w:tc>
          <w:tcPr>
            <w:tcW w:w="1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1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305,974</w:t>
            </w:r>
          </w:p>
        </w:tc>
        <w:tc>
          <w:tcPr>
            <w:tcW w:w="20" w:type="dxa"/>
            <w:vAlign w:val="bottom"/>
          </w:tcPr>
          <w:p>
            <w:pPr>
              <w:spacing w:after="0"/>
              <w:rPr>
                <w:sz w:val="18"/>
                <w:szCs w:val="18"/>
                <w:color w:val="auto"/>
              </w:rPr>
            </w:pPr>
          </w:p>
        </w:tc>
      </w:tr>
      <w:tr>
        <w:trPr>
          <w:trHeight w:val="216"/>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2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50,988</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51,752</w:t>
            </w:r>
          </w:p>
        </w:tc>
        <w:tc>
          <w:tcPr>
            <w:tcW w:w="20" w:type="dxa"/>
            <w:vAlign w:val="bottom"/>
          </w:tcPr>
          <w:p>
            <w:pPr>
              <w:spacing w:after="0"/>
              <w:rPr>
                <w:sz w:val="18"/>
                <w:szCs w:val="18"/>
                <w:color w:val="auto"/>
              </w:rPr>
            </w:pPr>
          </w:p>
        </w:tc>
      </w:tr>
      <w:tr>
        <w:trPr>
          <w:trHeight w:val="216"/>
        </w:trPr>
        <w:tc>
          <w:tcPr>
            <w:tcW w:w="4340" w:type="dxa"/>
            <w:vAlign w:val="bottom"/>
            <w:tcBorders>
              <w:bottom w:val="single" w:sz="8" w:color="auto"/>
            </w:tcBorders>
            <w:shd w:val="clear" w:color="auto" w:fill="B2B2B2"/>
          </w:tcPr>
          <w:p>
            <w:pPr>
              <w:ind w:left="280"/>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2200" w:type="dxa"/>
            <w:vAlign w:val="bottom"/>
            <w:tcBorders>
              <w:bottom w:val="single" w:sz="8" w:color="auto"/>
            </w:tcBorders>
            <w:gridSpan w:val="2"/>
            <w:shd w:val="clear" w:color="auto" w:fill="B2B2B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338,047</w:t>
            </w:r>
          </w:p>
        </w:tc>
        <w:tc>
          <w:tcPr>
            <w:tcW w:w="18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19,679</w:t>
            </w:r>
          </w:p>
        </w:tc>
        <w:tc>
          <w:tcPr>
            <w:tcW w:w="18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357,726</w:t>
            </w:r>
          </w:p>
        </w:tc>
        <w:tc>
          <w:tcPr>
            <w:tcW w:w="20" w:type="dxa"/>
            <w:vAlign w:val="bottom"/>
          </w:tcPr>
          <w:p>
            <w:pPr>
              <w:spacing w:after="0"/>
              <w:rPr>
                <w:sz w:val="18"/>
                <w:szCs w:val="18"/>
                <w:color w:val="auto"/>
              </w:rPr>
            </w:pPr>
          </w:p>
        </w:tc>
      </w:tr>
      <w:tr>
        <w:trPr>
          <w:trHeight w:val="392"/>
        </w:trPr>
        <w:tc>
          <w:tcPr>
            <w:tcW w:w="4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43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104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4340" w:type="dxa"/>
            <w:vAlign w:val="bottom"/>
            <w:tcBorders>
              <w:top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200" w:type="dxa"/>
            <w:vAlign w:val="bottom"/>
            <w:tcBorders>
              <w:top w:val="single" w:sz="8" w:color="auto"/>
            </w:tcBorders>
            <w:gridSpan w:val="2"/>
            <w:shd w:val="clear" w:color="auto" w:fill="B2B2B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310,720</w:t>
            </w:r>
          </w:p>
        </w:tc>
        <w:tc>
          <w:tcPr>
            <w:tcW w:w="1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13,727</w:t>
            </w:r>
          </w:p>
        </w:tc>
        <w:tc>
          <w:tcPr>
            <w:tcW w:w="1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324,447</w:t>
            </w:r>
          </w:p>
        </w:tc>
        <w:tc>
          <w:tcPr>
            <w:tcW w:w="2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97,380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97,718</w:t>
            </w:r>
          </w:p>
        </w:tc>
        <w:tc>
          <w:tcPr>
            <w:tcW w:w="20" w:type="dxa"/>
            <w:vAlign w:val="bottom"/>
          </w:tcPr>
          <w:p>
            <w:pPr>
              <w:spacing w:after="0"/>
              <w:rPr>
                <w:sz w:val="18"/>
                <w:szCs w:val="18"/>
                <w:color w:val="auto"/>
              </w:rPr>
            </w:pPr>
          </w:p>
        </w:tc>
      </w:tr>
      <w:tr>
        <w:trPr>
          <w:trHeight w:val="223"/>
        </w:trPr>
        <w:tc>
          <w:tcPr>
            <w:tcW w:w="434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080" w:type="dxa"/>
            <w:vAlign w:val="bottom"/>
            <w:tcBorders>
              <w:bottom w:val="single" w:sz="8" w:color="auto"/>
            </w:tcBorders>
            <w:shd w:val="clear" w:color="auto" w:fill="B2B2B2"/>
          </w:tcPr>
          <w:p>
            <w:pPr>
              <w:spacing w:after="0"/>
              <w:rPr>
                <w:sz w:val="19"/>
                <w:szCs w:val="19"/>
                <w:color w:val="auto"/>
              </w:rPr>
            </w:pPr>
          </w:p>
        </w:tc>
        <w:tc>
          <w:tcPr>
            <w:tcW w:w="120" w:type="dxa"/>
            <w:vAlign w:val="bottom"/>
            <w:tcBorders>
              <w:bottom w:val="single" w:sz="8" w:color="auto"/>
            </w:tcBorders>
            <w:shd w:val="clear" w:color="auto" w:fill="B2B2B2"/>
          </w:tcPr>
          <w:p>
            <w:pPr>
              <w:spacing w:after="0"/>
              <w:rPr>
                <w:sz w:val="19"/>
                <w:szCs w:val="19"/>
                <w:color w:val="auto"/>
              </w:rPr>
            </w:pPr>
          </w:p>
        </w:tc>
        <w:tc>
          <w:tcPr>
            <w:tcW w:w="10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Borders>
              <w:bottom w:val="single" w:sz="8" w:color="auto"/>
            </w:tcBorders>
            <w:shd w:val="clear" w:color="auto" w:fill="B2B2B2"/>
          </w:tcPr>
          <w:p>
            <w:pPr>
              <w:spacing w:after="0"/>
              <w:rPr>
                <w:sz w:val="19"/>
                <w:szCs w:val="19"/>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B2B2B2"/>
          </w:tcPr>
          <w:p>
            <w:pPr>
              <w:spacing w:after="0"/>
              <w:rPr>
                <w:sz w:val="19"/>
                <w:szCs w:val="19"/>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B2B2B2"/>
          </w:tcPr>
          <w:p>
            <w:pPr>
              <w:spacing w:after="0"/>
              <w:rPr>
                <w:sz w:val="19"/>
                <w:szCs w:val="19"/>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9"/>
                <w:szCs w:val="19"/>
                <w:color w:val="auto"/>
              </w:rPr>
            </w:pPr>
          </w:p>
        </w:tc>
      </w:tr>
      <w:tr>
        <w:trPr>
          <w:trHeight w:val="223"/>
        </w:trPr>
        <w:tc>
          <w:tcPr>
            <w:tcW w:w="4340" w:type="dxa"/>
            <w:vAlign w:val="bottom"/>
            <w:tcBorders>
              <w:bottom w:val="single" w:sz="8" w:color="auto"/>
            </w:tcBorders>
          </w:tcPr>
          <w:p>
            <w:pPr>
              <w:ind w:left="280"/>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2200" w:type="dxa"/>
            <w:vAlign w:val="bottom"/>
            <w:tcBorders>
              <w:bottom w:val="single" w:sz="8" w:color="auto"/>
            </w:tcBorders>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408,600</w:t>
            </w:r>
          </w:p>
        </w:tc>
        <w:tc>
          <w:tcPr>
            <w:tcW w:w="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14,234</w:t>
            </w:r>
          </w:p>
        </w:tc>
        <w:tc>
          <w:tcPr>
            <w:tcW w:w="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169</w:t>
            </w:r>
          </w:p>
        </w:tc>
        <w:tc>
          <w:tcPr>
            <w:tcW w:w="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422,665</w:t>
            </w:r>
          </w:p>
        </w:tc>
        <w:tc>
          <w:tcPr>
            <w:tcW w:w="20" w:type="dxa"/>
            <w:vAlign w:val="bottom"/>
            <w:tcBorders>
              <w:bottom w:val="single" w:sz="8" w:color="auto"/>
            </w:tcBorders>
          </w:tcPr>
          <w:p>
            <w:pPr>
              <w:spacing w:after="0"/>
              <w:rPr>
                <w:sz w:val="19"/>
                <w:szCs w:val="19"/>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securities with unrealized losses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18"/>
                <w:szCs w:val="18"/>
                <w:color w:val="auto"/>
              </w:rPr>
            </w:pPr>
          </w:p>
        </w:tc>
        <w:tc>
          <w:tcPr>
            <w:tcW w:w="234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20" w:type="dxa"/>
            <w:vAlign w:val="bottom"/>
          </w:tcPr>
          <w:p>
            <w:pPr>
              <w:spacing w:after="0"/>
              <w:rPr>
                <w:sz w:val="18"/>
                <w:szCs w:val="18"/>
                <w:color w:val="auto"/>
              </w:rPr>
            </w:pPr>
          </w:p>
        </w:tc>
        <w:tc>
          <w:tcPr>
            <w:tcW w:w="2200" w:type="dxa"/>
            <w:vAlign w:val="bottom"/>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8"/>
                <w:szCs w:val="18"/>
                <w:color w:val="auto"/>
              </w:rPr>
            </w:pPr>
          </w:p>
        </w:tc>
      </w:tr>
      <w:tr>
        <w:trPr>
          <w:trHeight w:val="187"/>
        </w:trPr>
        <w:tc>
          <w:tcPr>
            <w:tcW w:w="39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8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09"/>
        </w:trPr>
        <w:tc>
          <w:tcPr>
            <w:tcW w:w="3940" w:type="dxa"/>
            <w:vAlign w:val="bottom"/>
            <w:tcBorders>
              <w:top w:val="single" w:sz="8" w:color="auto"/>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40" w:type="dxa"/>
            <w:vAlign w:val="bottom"/>
            <w:tcBorders>
              <w:top w:val="single" w:sz="8" w:color="auto"/>
              <w:bottom w:val="single" w:sz="8" w:color="auto"/>
            </w:tcBorders>
            <w:shd w:val="clear" w:color="auto" w:fill="B2B2B2"/>
          </w:tcPr>
          <w:p>
            <w:pPr>
              <w:spacing w:after="0"/>
              <w:rPr>
                <w:sz w:val="18"/>
                <w:szCs w:val="18"/>
                <w:color w:val="auto"/>
              </w:rPr>
            </w:pPr>
          </w:p>
        </w:tc>
        <w:tc>
          <w:tcPr>
            <w:tcW w:w="106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80" w:type="dxa"/>
            <w:vAlign w:val="bottom"/>
            <w:tcBorders>
              <w:top w:val="single" w:sz="8" w:color="auto"/>
              <w:bottom w:val="single" w:sz="8" w:color="auto"/>
            </w:tcBorders>
            <w:shd w:val="clear" w:color="auto" w:fill="B2B2B2"/>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auto"/>
              <w:bottom w:val="single" w:sz="8" w:color="auto"/>
            </w:tcBorders>
            <w:shd w:val="clear" w:color="auto" w:fill="B2B2B2"/>
          </w:tcPr>
          <w:p>
            <w:pPr>
              <w:spacing w:after="0"/>
              <w:rPr>
                <w:sz w:val="18"/>
                <w:szCs w:val="18"/>
                <w:color w:val="auto"/>
              </w:rPr>
            </w:pPr>
          </w:p>
        </w:tc>
        <w:tc>
          <w:tcPr>
            <w:tcW w:w="106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17,593</w:t>
            </w:r>
          </w:p>
        </w:tc>
        <w:tc>
          <w:tcPr>
            <w:tcW w:w="180" w:type="dxa"/>
            <w:vAlign w:val="bottom"/>
            <w:tcBorders>
              <w:top w:val="single" w:sz="8" w:color="auto"/>
              <w:bottom w:val="single" w:sz="8" w:color="auto"/>
            </w:tcBorders>
            <w:shd w:val="clear" w:color="auto" w:fill="B2B2B2"/>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top w:val="single" w:sz="8" w:color="auto"/>
              <w:bottom w:val="single" w:sz="8" w:color="auto"/>
            </w:tcBorders>
            <w:shd w:val="clear" w:color="auto" w:fill="B2B2B2"/>
          </w:tcPr>
          <w:p>
            <w:pPr>
              <w:spacing w:after="0"/>
              <w:rPr>
                <w:sz w:val="18"/>
                <w:szCs w:val="18"/>
                <w:color w:val="auto"/>
              </w:rPr>
            </w:pPr>
          </w:p>
        </w:tc>
        <w:tc>
          <w:tcPr>
            <w:tcW w:w="10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21,394</w:t>
            </w:r>
          </w:p>
        </w:tc>
        <w:tc>
          <w:tcPr>
            <w:tcW w:w="160" w:type="dxa"/>
            <w:vAlign w:val="bottom"/>
            <w:tcBorders>
              <w:top w:val="single" w:sz="8" w:color="auto"/>
              <w:bottom w:val="single" w:sz="8" w:color="auto"/>
            </w:tcBorders>
            <w:shd w:val="clear" w:color="auto" w:fill="B2B2B2"/>
          </w:tcPr>
          <w:p>
            <w:pPr>
              <w:spacing w:after="0"/>
              <w:rPr>
                <w:sz w:val="18"/>
                <w:szCs w:val="18"/>
                <w:color w:val="auto"/>
              </w:rPr>
            </w:pPr>
          </w:p>
        </w:tc>
        <w:tc>
          <w:tcPr>
            <w:tcW w:w="10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8"/>
                <w:szCs w:val="18"/>
                <w:color w:val="auto"/>
              </w:rPr>
            </w:pPr>
          </w:p>
        </w:tc>
      </w:tr>
      <w:tr>
        <w:trPr>
          <w:trHeight w:val="217"/>
        </w:trPr>
        <w:tc>
          <w:tcPr>
            <w:tcW w:w="3940" w:type="dxa"/>
            <w:vAlign w:val="bottom"/>
            <w:tcBorders>
              <w:bottom w:val="single" w:sz="8" w:color="auto"/>
            </w:tcBorders>
          </w:tcPr>
          <w:p>
            <w:pPr>
              <w:ind w:left="28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3,801</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17,593</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21,394</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20" w:type="dxa"/>
            <w:vAlign w:val="bottom"/>
            <w:tcBorders>
              <w:bottom w:val="single" w:sz="8" w:color="auto"/>
            </w:tcBorders>
          </w:tcPr>
          <w:p>
            <w:pPr>
              <w:spacing w:after="0"/>
              <w:rPr>
                <w:sz w:val="18"/>
                <w:szCs w:val="18"/>
                <w:color w:val="auto"/>
              </w:rPr>
            </w:pPr>
          </w:p>
        </w:tc>
      </w:tr>
    </w:tbl>
    <w:p>
      <w:pPr>
        <w:spacing w:after="0" w:line="3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securities in an unrealized loss position as of December 31, 2020 compared to 9 securities, or 3% (7 greater than 12 months), in an unrealized loss position as of December 31, 2019.</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debt and equity securities by contractual maturity are shown in the following table. Expected maturities may differ from contractual maturities because borrowers have the right to prepay obligations with or without prepayment penalties.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20"/>
                <w:szCs w:val="20"/>
                <w:color w:val="auto"/>
              </w:rPr>
            </w:pPr>
          </w:p>
        </w:tc>
        <w:tc>
          <w:tcPr>
            <w:tcW w:w="270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0" w:type="dxa"/>
            <w:vAlign w:val="bottom"/>
          </w:tcPr>
          <w:p>
            <w:pPr>
              <w:spacing w:after="0"/>
              <w:rPr>
                <w:sz w:val="1"/>
                <w:szCs w:val="1"/>
                <w:color w:val="auto"/>
              </w:rPr>
            </w:pPr>
          </w:p>
        </w:tc>
      </w:tr>
      <w:tr>
        <w:trPr>
          <w:trHeight w:val="217"/>
        </w:trPr>
        <w:tc>
          <w:tcPr>
            <w:tcW w:w="6220" w:type="dxa"/>
            <w:vAlign w:val="bottom"/>
            <w:tcBorders>
              <w:bottom w:val="single" w:sz="8" w:color="auto"/>
            </w:tcBorders>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Due in 1 year or less</w:t>
            </w:r>
          </w:p>
        </w:tc>
        <w:tc>
          <w:tcPr>
            <w:tcW w:w="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49,384</w:t>
            </w:r>
          </w:p>
        </w:tc>
        <w:tc>
          <w:tcPr>
            <w:tcW w:w="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49,681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Due after 1 year through 5 years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96,118</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Due after 5 years through 10 years</w:t>
            </w:r>
          </w:p>
        </w:tc>
        <w:tc>
          <w:tcPr>
            <w:tcW w:w="10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163,035</w:t>
            </w:r>
          </w:p>
        </w:tc>
        <w:tc>
          <w:tcPr>
            <w:tcW w:w="20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176,573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Due after 10 years</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29,510</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20" w:type="dxa"/>
            <w:vAlign w:val="bottom"/>
            <w:tcBorders>
              <w:bottom w:val="single" w:sz="8" w:color="auto"/>
            </w:tcBorders>
            <w:shd w:val="clear" w:color="auto" w:fill="B2B2B2"/>
          </w:tcPr>
          <w:p>
            <w:pPr>
              <w:ind w:left="28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338,047</w:t>
            </w:r>
          </w:p>
        </w:tc>
        <w:tc>
          <w:tcPr>
            <w:tcW w:w="20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357,726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premium related to the purchase of state and political subdivisions was $6,013,000 and $6,408,000 in 2020 and 2019,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securities pledged to secure public deposits and for other purposes at December 31, 2020.</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sales of debt securities classified as available-for-sale were $21,943,000 in 2020, $4,648,000 in 2019, and $58,520,000 in 2018. Gross realized gains on the sales in 2020, 2019, and 2018 were $1,075,000, $19,000, and $180,000, respectively. There were no gross realized losses on sales in 2020 or 2019 and gross realized losses of $222,000 in 2018.</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1, the Company adopted ASU 2016-13 effective January 1, 2020. The adoption of ASU 2016-13 had no impact to the Company's available for sale securities reported in its consolidated financial statements at January 1, 2020. For 2020, the Company did not recognize a credit loss expense on any available for sale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originates commercial, industrial and real estate loans to businesses and faith-based ministries throughout the metropolitan St. Louis, Missouri area, Orange County, California, Colorado Springs, Colorado and other selected cities in the United States. The Company does not have any particular concentration of credit in any one economic sector; however, a substantial portion of the commercial and industrial loans is extended to privately-held commercial companies and franchises in these market areas and are generally secured by the assets of the business. The Company also has a substantial portion of</w:t>
      </w:r>
    </w:p>
    <w:p>
      <w:pPr>
        <w:sectPr>
          <w:pgSz w:w="11900" w:h="16838" w:orient="portrait"/>
          <w:cols w:equalWidth="0" w:num="1">
            <w:col w:w="11240"/>
          </w:cols>
          <w:pgMar w:left="320" w:top="293" w:right="33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loans secured by mortgages that are extended to faith-based ministries in its market area and selected cities in the United States.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loan categories is as follows: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7"/>
        </w:trPr>
        <w:tc>
          <w:tcPr>
            <w:tcW w:w="69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16"/>
        </w:trPr>
        <w:tc>
          <w:tcPr>
            <w:tcW w:w="69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298,984</w:t>
            </w:r>
          </w:p>
        </w:tc>
        <w:tc>
          <w:tcPr>
            <w:tcW w:w="2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323,857</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Mortgage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101,654</w:t>
            </w:r>
          </w:p>
        </w:tc>
        <w:tc>
          <w:tcPr>
            <w:tcW w:w="0" w:type="dxa"/>
            <w:vAlign w:val="bottom"/>
          </w:tcPr>
          <w:p>
            <w:pPr>
              <w:spacing w:after="0"/>
              <w:rPr>
                <w:sz w:val="1"/>
                <w:szCs w:val="1"/>
                <w:color w:val="auto"/>
              </w:rPr>
            </w:pPr>
          </w:p>
        </w:tc>
      </w:tr>
      <w:tr>
        <w:trPr>
          <w:trHeight w:val="216"/>
        </w:trPr>
        <w:tc>
          <w:tcPr>
            <w:tcW w:w="6940" w:type="dxa"/>
            <w:vAlign w:val="bottom"/>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Construction</w:t>
            </w:r>
          </w:p>
        </w:tc>
        <w:tc>
          <w:tcPr>
            <w:tcW w:w="22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25,090</w:t>
            </w:r>
          </w:p>
        </w:tc>
        <w:tc>
          <w:tcPr>
            <w:tcW w:w="24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0" w:type="dxa"/>
            <w:vAlign w:val="bottom"/>
          </w:tcPr>
          <w:p>
            <w:pPr>
              <w:spacing w:after="0"/>
              <w:rPr>
                <w:sz w:val="1"/>
                <w:szCs w:val="1"/>
                <w:color w:val="auto"/>
              </w:rPr>
            </w:pPr>
          </w:p>
        </w:tc>
      </w:tr>
      <w:tr>
        <w:trPr>
          <w:trHeight w:val="216"/>
        </w:trPr>
        <w:tc>
          <w:tcPr>
            <w:tcW w:w="6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Faith-based:</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B2B2B2"/>
          </w:tcPr>
          <w:p>
            <w:pPr>
              <w:ind w:left="820"/>
              <w:spacing w:after="0"/>
              <w:rPr>
                <w:sz w:val="20"/>
                <w:szCs w:val="20"/>
                <w:color w:val="auto"/>
              </w:rPr>
            </w:pPr>
            <w:r>
              <w:rPr>
                <w:rFonts w:ascii="Times New Roman" w:cs="Times New Roman" w:eastAsia="Times New Roman" w:hAnsi="Times New Roman"/>
                <w:sz w:val="18"/>
                <w:szCs w:val="18"/>
                <w:color w:val="auto"/>
              </w:rPr>
              <w:t>Mortgage</w:t>
            </w:r>
          </w:p>
        </w:tc>
        <w:tc>
          <w:tcPr>
            <w:tcW w:w="22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333,661</w:t>
            </w:r>
          </w:p>
        </w:tc>
        <w:tc>
          <w:tcPr>
            <w:tcW w:w="24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305,826</w:t>
            </w:r>
          </w:p>
        </w:tc>
        <w:tc>
          <w:tcPr>
            <w:tcW w:w="0" w:type="dxa"/>
            <w:vAlign w:val="bottom"/>
          </w:tcPr>
          <w:p>
            <w:pPr>
              <w:spacing w:after="0"/>
              <w:rPr>
                <w:sz w:val="1"/>
                <w:szCs w:val="1"/>
                <w:color w:val="auto"/>
              </w:rPr>
            </w:pPr>
          </w:p>
        </w:tc>
      </w:tr>
      <w:tr>
        <w:trPr>
          <w:trHeight w:val="216"/>
        </w:trPr>
        <w:tc>
          <w:tcPr>
            <w:tcW w:w="69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Construction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0" w:type="dxa"/>
            <w:vAlign w:val="bottom"/>
          </w:tcPr>
          <w:p>
            <w:pPr>
              <w:spacing w:after="0"/>
              <w:rPr>
                <w:sz w:val="1"/>
                <w:szCs w:val="1"/>
                <w:color w:val="auto"/>
              </w:rPr>
            </w:pPr>
          </w:p>
        </w:tc>
      </w:tr>
      <w:tr>
        <w:trPr>
          <w:trHeight w:val="216"/>
        </w:trPr>
        <w:tc>
          <w:tcPr>
            <w:tcW w:w="69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PPP</w:t>
            </w:r>
          </w:p>
        </w:tc>
        <w:tc>
          <w:tcPr>
            <w:tcW w:w="22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109,704</w:t>
            </w:r>
          </w:p>
        </w:tc>
        <w:tc>
          <w:tcPr>
            <w:tcW w:w="24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7"/>
        </w:trPr>
        <w:tc>
          <w:tcPr>
            <w:tcW w:w="6940" w:type="dxa"/>
            <w:vAlign w:val="bottom"/>
            <w:tcBorders>
              <w:bottom w:val="single" w:sz="8" w:color="auto"/>
            </w:tcBorders>
            <w:shd w:val="clear" w:color="auto" w:fill="B2B2B2"/>
          </w:tcPr>
          <w:p>
            <w:pPr>
              <w:ind w:left="540"/>
              <w:spacing w:after="0" w:line="196" w:lineRule="exact"/>
              <w:rPr>
                <w:sz w:val="20"/>
                <w:szCs w:val="20"/>
                <w:color w:val="auto"/>
              </w:rPr>
            </w:pPr>
            <w:r>
              <w:rPr>
                <w:rFonts w:ascii="Times New Roman" w:cs="Times New Roman" w:eastAsia="Times New Roman" w:hAnsi="Times New Roman"/>
                <w:sz w:val="18"/>
                <w:szCs w:val="18"/>
                <w:color w:val="auto"/>
              </w:rPr>
              <w:t>Total loans</w:t>
            </w:r>
          </w:p>
        </w:tc>
        <w:tc>
          <w:tcPr>
            <w:tcW w:w="220" w:type="dxa"/>
            <w:vAlign w:val="bottom"/>
            <w:tcBorders>
              <w:bottom w:val="single" w:sz="8" w:color="auto"/>
            </w:tcBorders>
            <w:shd w:val="clear" w:color="auto" w:fill="B2B2B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891,676</w:t>
            </w:r>
          </w:p>
        </w:tc>
        <w:tc>
          <w:tcPr>
            <w:tcW w:w="240" w:type="dxa"/>
            <w:vAlign w:val="bottom"/>
            <w:tcBorders>
              <w:bottom w:val="single" w:sz="8" w:color="auto"/>
            </w:tcBorders>
            <w:shd w:val="clear" w:color="auto" w:fill="B2B2B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772,638</w:t>
            </w: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loans by loan categories at December 31,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2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90 Days</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30-59</w:t>
            </w:r>
          </w:p>
        </w:tc>
        <w:tc>
          <w:tcPr>
            <w:tcW w:w="24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60-89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and</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Non-</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Days</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Over</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216"/>
        </w:trPr>
        <w:tc>
          <w:tcPr>
            <w:tcW w:w="46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298,984</w:t>
            </w:r>
          </w:p>
        </w:tc>
        <w:tc>
          <w:tcPr>
            <w:tcW w:w="2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2B2B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B2B2B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B2B2B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2B2B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B2B2B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298,984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62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r>
      <w:tr>
        <w:trPr>
          <w:trHeight w:val="216"/>
        </w:trPr>
        <w:tc>
          <w:tcPr>
            <w:tcW w:w="4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100,419</w:t>
            </w:r>
          </w:p>
        </w:tc>
        <w:tc>
          <w:tcPr>
            <w:tcW w:w="24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100,419</w:t>
            </w:r>
          </w:p>
        </w:tc>
      </w:tr>
      <w:tr>
        <w:trPr>
          <w:trHeight w:val="216"/>
        </w:trPr>
        <w:tc>
          <w:tcPr>
            <w:tcW w:w="462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25,090</w:t>
            </w: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920" w:type="dxa"/>
            <w:vAlign w:val="bottom"/>
            <w:gridSpan w:val="2"/>
            <w:shd w:val="clear" w:color="auto" w:fill="B2B2B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2B2B2"/>
          </w:tcPr>
          <w:p>
            <w:pPr>
              <w:spacing w:after="0"/>
              <w:rPr>
                <w:sz w:val="18"/>
                <w:szCs w:val="18"/>
                <w:color w:val="auto"/>
              </w:rPr>
            </w:pPr>
          </w:p>
        </w:tc>
        <w:tc>
          <w:tcPr>
            <w:tcW w:w="240" w:type="dxa"/>
            <w:vAlign w:val="bottom"/>
            <w:gridSpan w:val="2"/>
            <w:shd w:val="clear" w:color="auto" w:fill="B2B2B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25,090</w:t>
            </w:r>
          </w:p>
        </w:tc>
      </w:tr>
      <w:tr>
        <w:trPr>
          <w:trHeight w:val="216"/>
        </w:trPr>
        <w:tc>
          <w:tcPr>
            <w:tcW w:w="4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Faith-based: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62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333,661</w:t>
            </w: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920" w:type="dxa"/>
            <w:vAlign w:val="bottom"/>
            <w:gridSpan w:val="2"/>
            <w:shd w:val="clear" w:color="auto" w:fill="B2B2B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2B2B2"/>
          </w:tcPr>
          <w:p>
            <w:pPr>
              <w:spacing w:after="0"/>
              <w:rPr>
                <w:sz w:val="18"/>
                <w:szCs w:val="18"/>
                <w:color w:val="auto"/>
              </w:rPr>
            </w:pPr>
          </w:p>
        </w:tc>
        <w:tc>
          <w:tcPr>
            <w:tcW w:w="240" w:type="dxa"/>
            <w:vAlign w:val="bottom"/>
            <w:gridSpan w:val="2"/>
            <w:shd w:val="clear" w:color="auto" w:fill="B2B2B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333,661</w:t>
            </w:r>
          </w:p>
        </w:tc>
      </w:tr>
      <w:tr>
        <w:trPr>
          <w:trHeight w:val="216"/>
        </w:trPr>
        <w:tc>
          <w:tcPr>
            <w:tcW w:w="4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23,818</w:t>
            </w:r>
          </w:p>
        </w:tc>
        <w:tc>
          <w:tcPr>
            <w:tcW w:w="24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23,818</w:t>
            </w:r>
          </w:p>
        </w:tc>
      </w:tr>
      <w:tr>
        <w:trPr>
          <w:trHeight w:val="216"/>
        </w:trPr>
        <w:tc>
          <w:tcPr>
            <w:tcW w:w="462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PPP</w:t>
            </w:r>
          </w:p>
        </w:tc>
        <w:tc>
          <w:tcPr>
            <w:tcW w:w="14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109,704</w:t>
            </w:r>
          </w:p>
        </w:tc>
        <w:tc>
          <w:tcPr>
            <w:tcW w:w="24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gridSpan w:val="2"/>
            <w:shd w:val="clear" w:color="auto" w:fill="B2B2B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B2B2B2"/>
          </w:tcPr>
          <w:p>
            <w:pPr>
              <w:spacing w:after="0"/>
              <w:rPr>
                <w:sz w:val="18"/>
                <w:szCs w:val="18"/>
                <w:color w:val="auto"/>
              </w:rPr>
            </w:pPr>
          </w:p>
        </w:tc>
        <w:tc>
          <w:tcPr>
            <w:tcW w:w="240" w:type="dxa"/>
            <w:vAlign w:val="bottom"/>
            <w:tcBorders>
              <w:bottom w:val="single" w:sz="8" w:color="auto"/>
            </w:tcBorders>
            <w:gridSpan w:val="2"/>
            <w:shd w:val="clear" w:color="auto" w:fill="B2B2B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109,704</w:t>
            </w:r>
          </w:p>
        </w:tc>
      </w:tr>
      <w:tr>
        <w:trPr>
          <w:trHeight w:val="216"/>
        </w:trPr>
        <w:tc>
          <w:tcPr>
            <w:tcW w:w="46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891,676</w:t>
            </w:r>
          </w:p>
        </w:tc>
        <w:tc>
          <w:tcPr>
            <w:tcW w:w="2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ind w:left="6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ind w:left="6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ind w:left="6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891,676</w:t>
            </w: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loans by loan categories at December 31,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2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90 Days</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30-59</w:t>
            </w:r>
          </w:p>
        </w:tc>
        <w:tc>
          <w:tcPr>
            <w:tcW w:w="24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60-89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and</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Non-</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1"/>
                <w:szCs w:val="21"/>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Pr>
          <w:p>
            <w:pPr>
              <w:spacing w:after="0"/>
              <w:rPr>
                <w:sz w:val="21"/>
                <w:szCs w:val="21"/>
                <w:color w:val="auto"/>
              </w:rPr>
            </w:pPr>
          </w:p>
        </w:tc>
        <w:tc>
          <w:tcPr>
            <w:tcW w:w="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Pr>
          <w:p>
            <w:pPr>
              <w:spacing w:after="0"/>
              <w:rPr>
                <w:sz w:val="21"/>
                <w:szCs w:val="21"/>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Days</w:t>
            </w:r>
          </w:p>
        </w:tc>
        <w:tc>
          <w:tcPr>
            <w:tcW w:w="160" w:type="dxa"/>
            <w:vAlign w:val="bottom"/>
          </w:tcPr>
          <w:p>
            <w:pPr>
              <w:spacing w:after="0"/>
              <w:rPr>
                <w:sz w:val="21"/>
                <w:szCs w:val="21"/>
                <w:color w:val="auto"/>
              </w:rPr>
            </w:pPr>
          </w:p>
        </w:tc>
        <w:tc>
          <w:tcPr>
            <w:tcW w:w="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Over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216"/>
        </w:trPr>
        <w:tc>
          <w:tcPr>
            <w:tcW w:w="4620" w:type="dxa"/>
            <w:vAlign w:val="bottom"/>
            <w:tcBorders>
              <w:top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323,857</w:t>
            </w:r>
          </w:p>
        </w:tc>
        <w:tc>
          <w:tcPr>
            <w:tcW w:w="220" w:type="dxa"/>
            <w:vAlign w:val="bottom"/>
            <w:tcBorders>
              <w:top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B2B2B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2"/>
            <w:shd w:val="clear" w:color="auto" w:fill="B2B2B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B2B2B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B2B2B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gridSpan w:val="2"/>
            <w:shd w:val="clear" w:color="auto" w:fill="B2B2B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323,857</w:t>
            </w:r>
          </w:p>
        </w:tc>
        <w:tc>
          <w:tcPr>
            <w:tcW w:w="2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2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tcBorders>
              <w:right w:val="single" w:sz="8" w:color="B2B2B2"/>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101,654</w:t>
            </w:r>
          </w:p>
        </w:tc>
        <w:tc>
          <w:tcPr>
            <w:tcW w:w="22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101,654</w:t>
            </w:r>
          </w:p>
        </w:tc>
        <w:tc>
          <w:tcPr>
            <w:tcW w:w="20" w:type="dxa"/>
            <w:vAlign w:val="bottom"/>
          </w:tcPr>
          <w:p>
            <w:pPr>
              <w:spacing w:after="0"/>
              <w:rPr>
                <w:sz w:val="18"/>
                <w:szCs w:val="18"/>
                <w:color w:val="auto"/>
              </w:rPr>
            </w:pPr>
          </w:p>
        </w:tc>
      </w:tr>
      <w:tr>
        <w:trPr>
          <w:trHeight w:val="216"/>
        </w:trPr>
        <w:tc>
          <w:tcPr>
            <w:tcW w:w="462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920" w:type="dxa"/>
            <w:vAlign w:val="bottom"/>
            <w:gridSpan w:val="2"/>
            <w:shd w:val="clear" w:color="auto" w:fill="B2B2B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2B2B2"/>
          </w:tcPr>
          <w:p>
            <w:pPr>
              <w:spacing w:after="0"/>
              <w:rPr>
                <w:sz w:val="18"/>
                <w:szCs w:val="18"/>
                <w:color w:val="auto"/>
              </w:rPr>
            </w:pPr>
          </w:p>
        </w:tc>
        <w:tc>
          <w:tcPr>
            <w:tcW w:w="240" w:type="dxa"/>
            <w:vAlign w:val="bottom"/>
            <w:gridSpan w:val="2"/>
            <w:shd w:val="clear" w:color="auto" w:fill="B2B2B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82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20" w:type="dxa"/>
            <w:vAlign w:val="bottom"/>
          </w:tcPr>
          <w:p>
            <w:pPr>
              <w:spacing w:after="0"/>
              <w:rPr>
                <w:sz w:val="18"/>
                <w:szCs w:val="18"/>
                <w:color w:val="auto"/>
              </w:rPr>
            </w:pPr>
          </w:p>
        </w:tc>
      </w:tr>
      <w:tr>
        <w:trPr>
          <w:trHeight w:val="216"/>
        </w:trPr>
        <w:tc>
          <w:tcPr>
            <w:tcW w:w="4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Faith-based: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2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305,826</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920" w:type="dxa"/>
            <w:vAlign w:val="bottom"/>
            <w:gridSpan w:val="2"/>
            <w:shd w:val="clear" w:color="auto" w:fill="B2B2B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2B2B2"/>
          </w:tcPr>
          <w:p>
            <w:pPr>
              <w:spacing w:after="0"/>
              <w:rPr>
                <w:sz w:val="18"/>
                <w:szCs w:val="18"/>
                <w:color w:val="auto"/>
              </w:rPr>
            </w:pPr>
          </w:p>
        </w:tc>
        <w:tc>
          <w:tcPr>
            <w:tcW w:w="240" w:type="dxa"/>
            <w:vAlign w:val="bottom"/>
            <w:gridSpan w:val="2"/>
            <w:shd w:val="clear" w:color="auto" w:fill="B2B2B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82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305,826</w:t>
            </w:r>
          </w:p>
        </w:tc>
        <w:tc>
          <w:tcPr>
            <w:tcW w:w="20" w:type="dxa"/>
            <w:vAlign w:val="bottom"/>
          </w:tcPr>
          <w:p>
            <w:pPr>
              <w:spacing w:after="0"/>
              <w:rPr>
                <w:sz w:val="18"/>
                <w:szCs w:val="18"/>
                <w:color w:val="auto"/>
              </w:rPr>
            </w:pPr>
          </w:p>
        </w:tc>
      </w:tr>
      <w:tr>
        <w:trPr>
          <w:trHeight w:val="216"/>
        </w:trPr>
        <w:tc>
          <w:tcPr>
            <w:tcW w:w="4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22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20" w:type="dxa"/>
            <w:vAlign w:val="bottom"/>
          </w:tcPr>
          <w:p>
            <w:pPr>
              <w:spacing w:after="0"/>
              <w:rPr>
                <w:sz w:val="18"/>
                <w:szCs w:val="18"/>
                <w:color w:val="auto"/>
              </w:rPr>
            </w:pPr>
          </w:p>
        </w:tc>
      </w:tr>
      <w:tr>
        <w:trPr>
          <w:trHeight w:val="216"/>
        </w:trPr>
        <w:tc>
          <w:tcPr>
            <w:tcW w:w="462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gridSpan w:val="2"/>
            <w:shd w:val="clear" w:color="auto" w:fill="B2B2B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B2B2B2"/>
          </w:tcPr>
          <w:p>
            <w:pPr>
              <w:spacing w:after="0"/>
              <w:rPr>
                <w:sz w:val="18"/>
                <w:szCs w:val="18"/>
                <w:color w:val="auto"/>
              </w:rPr>
            </w:pPr>
          </w:p>
        </w:tc>
        <w:tc>
          <w:tcPr>
            <w:tcW w:w="240" w:type="dxa"/>
            <w:vAlign w:val="bottom"/>
            <w:tcBorders>
              <w:bottom w:val="single" w:sz="8" w:color="auto"/>
            </w:tcBorders>
            <w:gridSpan w:val="2"/>
            <w:shd w:val="clear" w:color="auto" w:fill="B2B2B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r>
      <w:tr>
        <w:trPr>
          <w:trHeight w:val="217"/>
        </w:trPr>
        <w:tc>
          <w:tcPr>
            <w:tcW w:w="46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772,638</w:t>
            </w:r>
          </w:p>
        </w:tc>
        <w:tc>
          <w:tcPr>
            <w:tcW w:w="2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ind w:left="6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ind w:left="6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ind w:left="6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772,638</w:t>
            </w:r>
          </w:p>
        </w:tc>
        <w:tc>
          <w:tcPr>
            <w:tcW w:w="20" w:type="dxa"/>
            <w:vAlign w:val="bottom"/>
          </w:tcPr>
          <w:p>
            <w:pPr>
              <w:spacing w:after="0"/>
              <w:rPr>
                <w:sz w:val="18"/>
                <w:szCs w:val="18"/>
                <w:color w:val="auto"/>
              </w:rPr>
            </w:pPr>
          </w:p>
        </w:tc>
      </w:tr>
      <w:tr>
        <w:trPr>
          <w:trHeight w:val="432"/>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6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90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8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900" w:type="dxa"/>
            <w:vAlign w:val="bottom"/>
            <w:tcBorders>
              <w:bottom w:val="single" w:sz="8" w:color="EEEEEE"/>
            </w:tcBorders>
          </w:tcPr>
          <w:p>
            <w:pPr>
              <w:spacing w:after="0"/>
              <w:rPr>
                <w:sz w:val="18"/>
                <w:szCs w:val="18"/>
                <w:color w:val="auto"/>
              </w:rPr>
            </w:pPr>
          </w:p>
        </w:tc>
        <w:tc>
          <w:tcPr>
            <w:tcW w:w="86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82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1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8"/>
        </w:trPr>
        <w:tc>
          <w:tcPr>
            <w:tcW w:w="9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presents the credit exposure of the loan portfolio by internally assigned credit grade as of December 31, 2020:</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9"/>
        </w:trPr>
        <w:tc>
          <w:tcPr>
            <w:tcW w:w="3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00" w:type="dxa"/>
            <w:vAlign w:val="bottom"/>
          </w:tcPr>
          <w:p>
            <w:pPr>
              <w:spacing w:after="0"/>
              <w:rPr>
                <w:sz w:val="24"/>
                <w:szCs w:val="24"/>
                <w:color w:val="auto"/>
              </w:rPr>
            </w:pPr>
          </w:p>
        </w:tc>
        <w:tc>
          <w:tcPr>
            <w:tcW w:w="16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Performing</w:t>
            </w:r>
          </w:p>
        </w:tc>
        <w:tc>
          <w:tcPr>
            <w:tcW w:w="220" w:type="dxa"/>
            <w:vAlign w:val="bottom"/>
          </w:tcPr>
          <w:p>
            <w:pPr>
              <w:spacing w:after="0"/>
              <w:rPr>
                <w:sz w:val="24"/>
                <w:szCs w:val="24"/>
                <w:color w:val="auto"/>
              </w:rPr>
            </w:pP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Nonperforming</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Subject to</w:t>
            </w:r>
          </w:p>
        </w:tc>
        <w:tc>
          <w:tcPr>
            <w:tcW w:w="200" w:type="dxa"/>
            <w:vAlign w:val="bottom"/>
          </w:tcPr>
          <w:p>
            <w:pPr>
              <w:spacing w:after="0"/>
              <w:rPr>
                <w:sz w:val="18"/>
                <w:szCs w:val="18"/>
                <w:color w:val="auto"/>
              </w:rPr>
            </w:pPr>
          </w:p>
        </w:tc>
        <w:tc>
          <w:tcPr>
            <w:tcW w:w="16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Loans Subject to</w:t>
            </w:r>
          </w:p>
        </w:tc>
        <w:tc>
          <w:tcPr>
            <w:tcW w:w="220" w:type="dxa"/>
            <w:vAlign w:val="bottom"/>
          </w:tcPr>
          <w:p>
            <w:pPr>
              <w:spacing w:after="0"/>
              <w:rPr>
                <w:sz w:val="18"/>
                <w:szCs w:val="18"/>
                <w:color w:val="auto"/>
              </w:rPr>
            </w:pP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Loans Subject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3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Normal</w:t>
            </w:r>
          </w:p>
        </w:tc>
        <w:tc>
          <w:tcPr>
            <w:tcW w:w="200" w:type="dxa"/>
            <w:vAlign w:val="bottom"/>
          </w:tcPr>
          <w:p>
            <w:pPr>
              <w:spacing w:after="0"/>
              <w:rPr>
                <w:sz w:val="19"/>
                <w:szCs w:val="19"/>
                <w:color w:val="auto"/>
              </w:rPr>
            </w:pPr>
          </w:p>
        </w:tc>
        <w:tc>
          <w:tcPr>
            <w:tcW w:w="16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Special</w:t>
            </w:r>
          </w:p>
        </w:tc>
        <w:tc>
          <w:tcPr>
            <w:tcW w:w="220" w:type="dxa"/>
            <w:vAlign w:val="bottom"/>
          </w:tcPr>
          <w:p>
            <w:pPr>
              <w:spacing w:after="0"/>
              <w:rPr>
                <w:sz w:val="19"/>
                <w:szCs w:val="19"/>
                <w:color w:val="auto"/>
              </w:rPr>
            </w:pP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82"/>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190"/>
              <w:spacing w:after="0" w:line="276" w:lineRule="exact"/>
              <w:rPr>
                <w:sz w:val="20"/>
                <w:szCs w:val="20"/>
                <w:color w:val="auto"/>
              </w:rPr>
            </w:pPr>
            <w:r>
              <w:rPr>
                <w:rFonts w:ascii="Times New Roman" w:cs="Times New Roman" w:eastAsia="Times New Roman" w:hAnsi="Times New Roman"/>
                <w:sz w:val="18"/>
                <w:szCs w:val="18"/>
                <w:b w:val="1"/>
                <w:bCs w:val="1"/>
                <w:color w:val="auto"/>
                <w:w w:val="95"/>
              </w:rPr>
              <w:t>Monitoring</w:t>
            </w:r>
            <w:r>
              <w:rPr>
                <w:rFonts w:ascii="Times New Roman" w:cs="Times New Roman" w:eastAsia="Times New Roman" w:hAnsi="Times New Roman"/>
                <w:sz w:val="29"/>
                <w:szCs w:val="29"/>
                <w:b w:val="1"/>
                <w:bCs w:val="1"/>
                <w:color w:val="auto"/>
                <w:w w:val="95"/>
                <w:vertAlign w:val="superscript"/>
              </w:rPr>
              <w:t>(1)</w:t>
            </w: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90"/>
              <w:spacing w:after="0" w:line="276" w:lineRule="exact"/>
              <w:rPr>
                <w:sz w:val="20"/>
                <w:szCs w:val="20"/>
                <w:color w:val="auto"/>
              </w:rPr>
            </w:pPr>
            <w:r>
              <w:rPr>
                <w:rFonts w:ascii="Times New Roman" w:cs="Times New Roman" w:eastAsia="Times New Roman" w:hAnsi="Times New Roman"/>
                <w:sz w:val="18"/>
                <w:szCs w:val="18"/>
                <w:b w:val="1"/>
                <w:bCs w:val="1"/>
                <w:color w:val="auto"/>
                <w:w w:val="95"/>
              </w:rPr>
              <w:t>Monitoring</w:t>
            </w:r>
            <w:r>
              <w:rPr>
                <w:rFonts w:ascii="Times New Roman" w:cs="Times New Roman" w:eastAsia="Times New Roman" w:hAnsi="Times New Roman"/>
                <w:sz w:val="29"/>
                <w:szCs w:val="29"/>
                <w:b w:val="1"/>
                <w:bCs w:val="1"/>
                <w:color w:val="auto"/>
                <w:w w:val="95"/>
                <w:vertAlign w:val="superscript"/>
              </w:rPr>
              <w:t>(2)</w:t>
            </w: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130"/>
              <w:spacing w:after="0" w:line="276" w:lineRule="exact"/>
              <w:rPr>
                <w:sz w:val="20"/>
                <w:szCs w:val="20"/>
                <w:color w:val="auto"/>
              </w:rPr>
            </w:pPr>
            <w:r>
              <w:rPr>
                <w:rFonts w:ascii="Times New Roman" w:cs="Times New Roman" w:eastAsia="Times New Roman" w:hAnsi="Times New Roman"/>
                <w:sz w:val="18"/>
                <w:szCs w:val="18"/>
                <w:b w:val="1"/>
                <w:bCs w:val="1"/>
                <w:color w:val="auto"/>
                <w:w w:val="95"/>
              </w:rPr>
              <w:t>Monitoring</w:t>
            </w:r>
            <w:r>
              <w:rPr>
                <w:rFonts w:ascii="Times New Roman" w:cs="Times New Roman" w:eastAsia="Times New Roman" w:hAnsi="Times New Roman"/>
                <w:sz w:val="29"/>
                <w:szCs w:val="29"/>
                <w:b w:val="1"/>
                <w:bCs w:val="1"/>
                <w:color w:val="auto"/>
                <w:w w:val="95"/>
                <w:vertAlign w:val="superscript"/>
              </w:rPr>
              <w:t>(2)</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Total Loans</w:t>
            </w:r>
          </w:p>
        </w:tc>
      </w:tr>
      <w:tr>
        <w:trPr>
          <w:trHeight w:val="216"/>
        </w:trPr>
        <w:tc>
          <w:tcPr>
            <w:tcW w:w="32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284,882</w:t>
            </w:r>
          </w:p>
        </w:tc>
        <w:tc>
          <w:tcPr>
            <w:tcW w:w="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14,102</w:t>
            </w:r>
          </w:p>
        </w:tc>
        <w:tc>
          <w:tcPr>
            <w:tcW w:w="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B2B2B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298,984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shd w:val="clear" w:color="auto" w:fill="B2B2B2"/>
          </w:tcPr>
          <w:p>
            <w:pPr>
              <w:spacing w:after="0"/>
              <w:rPr>
                <w:sz w:val="18"/>
                <w:szCs w:val="18"/>
                <w:color w:val="auto"/>
              </w:rPr>
            </w:pPr>
          </w:p>
        </w:tc>
        <w:tc>
          <w:tcPr>
            <w:tcW w:w="15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5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r>
      <w:tr>
        <w:trPr>
          <w:trHeight w:val="216"/>
        </w:trPr>
        <w:tc>
          <w:tcPr>
            <w:tcW w:w="3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99,044</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20" w:type="dxa"/>
            <w:vAlign w:val="bottom"/>
          </w:tcPr>
          <w:p>
            <w:pPr>
              <w:spacing w:after="0"/>
              <w:rPr>
                <w:sz w:val="18"/>
                <w:szCs w:val="18"/>
                <w:color w:val="auto"/>
              </w:rPr>
            </w:pPr>
          </w:p>
        </w:tc>
        <w:tc>
          <w:tcPr>
            <w:tcW w:w="15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100,419</w:t>
            </w:r>
          </w:p>
        </w:tc>
      </w:tr>
      <w:tr>
        <w:trPr>
          <w:trHeight w:val="216"/>
        </w:trPr>
        <w:tc>
          <w:tcPr>
            <w:tcW w:w="328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shd w:val="clear" w:color="auto" w:fill="B2B2B2"/>
          </w:tcPr>
          <w:p>
            <w:pPr>
              <w:spacing w:after="0"/>
              <w:rPr>
                <w:sz w:val="18"/>
                <w:szCs w:val="18"/>
                <w:color w:val="auto"/>
              </w:rPr>
            </w:pPr>
          </w:p>
        </w:tc>
        <w:tc>
          <w:tcPr>
            <w:tcW w:w="15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25,090</w:t>
            </w:r>
          </w:p>
        </w:tc>
        <w:tc>
          <w:tcPr>
            <w:tcW w:w="200" w:type="dxa"/>
            <w:vAlign w:val="bottom"/>
            <w:shd w:val="clear" w:color="auto" w:fill="B2B2B2"/>
          </w:tcPr>
          <w:p>
            <w:pPr>
              <w:spacing w:after="0"/>
              <w:rPr>
                <w:sz w:val="18"/>
                <w:szCs w:val="18"/>
                <w:color w:val="auto"/>
              </w:rPr>
            </w:pPr>
          </w:p>
        </w:tc>
        <w:tc>
          <w:tcPr>
            <w:tcW w:w="16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2B2B2"/>
          </w:tcPr>
          <w:p>
            <w:pPr>
              <w:spacing w:after="0"/>
              <w:rPr>
                <w:sz w:val="18"/>
                <w:szCs w:val="18"/>
                <w:color w:val="auto"/>
              </w:rPr>
            </w:pPr>
          </w:p>
        </w:tc>
        <w:tc>
          <w:tcPr>
            <w:tcW w:w="1560" w:type="dxa"/>
            <w:vAlign w:val="bottom"/>
            <w:shd w:val="clear" w:color="auto" w:fill="B2B2B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25,090</w:t>
            </w:r>
          </w:p>
        </w:tc>
      </w:tr>
      <w:tr>
        <w:trPr>
          <w:trHeight w:val="216"/>
        </w:trPr>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2B2B2"/>
          </w:tcPr>
          <w:p>
            <w:pPr>
              <w:spacing w:after="0"/>
              <w:rPr>
                <w:sz w:val="18"/>
                <w:szCs w:val="18"/>
                <w:color w:val="auto"/>
              </w:rPr>
            </w:pPr>
          </w:p>
        </w:tc>
        <w:tc>
          <w:tcPr>
            <w:tcW w:w="15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330,554</w:t>
            </w:r>
          </w:p>
        </w:tc>
        <w:tc>
          <w:tcPr>
            <w:tcW w:w="200" w:type="dxa"/>
            <w:vAlign w:val="bottom"/>
            <w:shd w:val="clear" w:color="auto" w:fill="B2B2B2"/>
          </w:tcPr>
          <w:p>
            <w:pPr>
              <w:spacing w:after="0"/>
              <w:rPr>
                <w:sz w:val="18"/>
                <w:szCs w:val="18"/>
                <w:color w:val="auto"/>
              </w:rPr>
            </w:pPr>
          </w:p>
        </w:tc>
        <w:tc>
          <w:tcPr>
            <w:tcW w:w="16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220" w:type="dxa"/>
            <w:vAlign w:val="bottom"/>
            <w:shd w:val="clear" w:color="auto" w:fill="B2B2B2"/>
          </w:tcPr>
          <w:p>
            <w:pPr>
              <w:spacing w:after="0"/>
              <w:rPr>
                <w:sz w:val="18"/>
                <w:szCs w:val="18"/>
                <w:color w:val="auto"/>
              </w:rPr>
            </w:pPr>
          </w:p>
        </w:tc>
        <w:tc>
          <w:tcPr>
            <w:tcW w:w="1560" w:type="dxa"/>
            <w:vAlign w:val="bottom"/>
            <w:shd w:val="clear" w:color="auto" w:fill="B2B2B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333,661</w:t>
            </w:r>
          </w:p>
        </w:tc>
      </w:tr>
      <w:tr>
        <w:trPr>
          <w:trHeight w:val="216"/>
        </w:trPr>
        <w:tc>
          <w:tcPr>
            <w:tcW w:w="3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23,818</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23,818</w:t>
            </w:r>
          </w:p>
        </w:tc>
      </w:tr>
      <w:tr>
        <w:trPr>
          <w:trHeight w:val="216"/>
        </w:trPr>
        <w:tc>
          <w:tcPr>
            <w:tcW w:w="328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PPP</w:t>
            </w:r>
          </w:p>
        </w:tc>
        <w:tc>
          <w:tcPr>
            <w:tcW w:w="1560" w:type="dxa"/>
            <w:vAlign w:val="bottom"/>
            <w:tcBorders>
              <w:bottom w:val="single" w:sz="8" w:color="auto"/>
            </w:tcBorders>
            <w:shd w:val="clear" w:color="auto" w:fill="B2B2B2"/>
          </w:tcPr>
          <w:p>
            <w:pPr>
              <w:spacing w:after="0"/>
              <w:rPr>
                <w:sz w:val="18"/>
                <w:szCs w:val="18"/>
                <w:color w:val="auto"/>
              </w:rPr>
            </w:pPr>
          </w:p>
        </w:tc>
        <w:tc>
          <w:tcPr>
            <w:tcW w:w="15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109,704</w:t>
            </w:r>
          </w:p>
        </w:tc>
        <w:tc>
          <w:tcPr>
            <w:tcW w:w="200" w:type="dxa"/>
            <w:vAlign w:val="bottom"/>
            <w:tcBorders>
              <w:bottom w:val="single" w:sz="8" w:color="auto"/>
            </w:tcBorders>
            <w:shd w:val="clear" w:color="auto" w:fill="B2B2B2"/>
          </w:tcPr>
          <w:p>
            <w:pPr>
              <w:spacing w:after="0"/>
              <w:rPr>
                <w:sz w:val="18"/>
                <w:szCs w:val="18"/>
                <w:color w:val="auto"/>
              </w:rPr>
            </w:pPr>
          </w:p>
        </w:tc>
        <w:tc>
          <w:tcPr>
            <w:tcW w:w="16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B2B2B2"/>
          </w:tcPr>
          <w:p>
            <w:pPr>
              <w:spacing w:after="0"/>
              <w:rPr>
                <w:sz w:val="18"/>
                <w:szCs w:val="18"/>
                <w:color w:val="auto"/>
              </w:rPr>
            </w:pPr>
          </w:p>
        </w:tc>
        <w:tc>
          <w:tcPr>
            <w:tcW w:w="1560" w:type="dxa"/>
            <w:vAlign w:val="bottom"/>
            <w:tcBorders>
              <w:bottom w:val="single" w:sz="8" w:color="auto"/>
            </w:tcBorders>
            <w:shd w:val="clear" w:color="auto" w:fill="B2B2B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109,704</w:t>
            </w:r>
          </w:p>
        </w:tc>
      </w:tr>
      <w:tr>
        <w:trPr>
          <w:trHeight w:val="217"/>
        </w:trPr>
        <w:tc>
          <w:tcPr>
            <w:tcW w:w="32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873,092</w:t>
            </w: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18,584</w:t>
            </w:r>
          </w:p>
        </w:tc>
        <w:tc>
          <w:tcPr>
            <w:tcW w:w="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ind w:left="1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891,676</w:t>
            </w:r>
          </w:p>
        </w:tc>
      </w:tr>
    </w:tbl>
    <w:p>
      <w:pPr>
        <w:spacing w:after="0" w:line="63" w:lineRule="exact"/>
        <w:rPr>
          <w:sz w:val="20"/>
          <w:szCs w:val="20"/>
          <w:color w:val="auto"/>
        </w:rPr>
      </w:pPr>
    </w:p>
    <w:p>
      <w:pPr>
        <w:ind w:left="340" w:right="20" w:hanging="332"/>
        <w:spacing w:after="0" w:line="190" w:lineRule="auto"/>
        <w:tabs>
          <w:tab w:leader="none" w:pos="340" w:val="left"/>
        </w:tabs>
        <w:numPr>
          <w:ilvl w:val="0"/>
          <w:numId w:val="15"/>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Loans subject to normal monitoring involve borrowers of acceptable-to-strong credit quality and risk, who have the apparent ability to satisfy their loan obligation.</w:t>
      </w:r>
    </w:p>
    <w:p>
      <w:pPr>
        <w:spacing w:after="0" w:line="1" w:lineRule="exact"/>
        <w:rPr>
          <w:rFonts w:ascii="Times New Roman" w:cs="Times New Roman" w:eastAsia="Times New Roman" w:hAnsi="Times New Roman"/>
          <w:sz w:val="30"/>
          <w:szCs w:val="30"/>
          <w:b w:val="1"/>
          <w:bCs w:val="1"/>
          <w:color w:val="auto"/>
          <w:vertAlign w:val="superscript"/>
        </w:rPr>
      </w:pPr>
    </w:p>
    <w:p>
      <w:pPr>
        <w:ind w:left="340" w:hanging="332"/>
        <w:spacing w:after="0" w:line="194" w:lineRule="auto"/>
        <w:tabs>
          <w:tab w:leader="none" w:pos="340" w:val="left"/>
        </w:tabs>
        <w:numPr>
          <w:ilvl w:val="0"/>
          <w:numId w:val="15"/>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5"/>
          <w:szCs w:val="15"/>
          <w:color w:val="auto"/>
        </w:rPr>
        <w:t>Loans subject to special monitoring possess some credit deficiency or potential weakness which requires a high level of management attention.</w:t>
      </w:r>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had one loan that was considered impaired in the amount of $2,500,000 at December 31, 2020. This loan was individually evaluated for impairment, resulting in a specific allowance for credit loss of $500,000.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credit exposure of the loan portfolio by internally assigned credit grade as of December 31,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00" w:type="dxa"/>
            <w:vAlign w:val="bottom"/>
          </w:tcPr>
          <w:p>
            <w:pPr>
              <w:spacing w:after="0"/>
              <w:rPr>
                <w:sz w:val="18"/>
                <w:szCs w:val="18"/>
                <w:color w:val="auto"/>
              </w:rPr>
            </w:pPr>
          </w:p>
        </w:tc>
        <w:tc>
          <w:tcPr>
            <w:tcW w:w="16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Performing</w:t>
            </w:r>
          </w:p>
        </w:tc>
        <w:tc>
          <w:tcPr>
            <w:tcW w:w="220" w:type="dxa"/>
            <w:vAlign w:val="bottom"/>
          </w:tcPr>
          <w:p>
            <w:pPr>
              <w:spacing w:after="0"/>
              <w:rPr>
                <w:sz w:val="18"/>
                <w:szCs w:val="18"/>
                <w:color w:val="auto"/>
              </w:rPr>
            </w:pP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Nonperforming</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Subject to</w:t>
            </w:r>
          </w:p>
        </w:tc>
        <w:tc>
          <w:tcPr>
            <w:tcW w:w="200" w:type="dxa"/>
            <w:vAlign w:val="bottom"/>
          </w:tcPr>
          <w:p>
            <w:pPr>
              <w:spacing w:after="0"/>
              <w:rPr>
                <w:sz w:val="18"/>
                <w:szCs w:val="18"/>
                <w:color w:val="auto"/>
              </w:rPr>
            </w:pPr>
          </w:p>
        </w:tc>
        <w:tc>
          <w:tcPr>
            <w:tcW w:w="16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Loans Subject to</w:t>
            </w:r>
          </w:p>
        </w:tc>
        <w:tc>
          <w:tcPr>
            <w:tcW w:w="220" w:type="dxa"/>
            <w:vAlign w:val="bottom"/>
          </w:tcPr>
          <w:p>
            <w:pPr>
              <w:spacing w:after="0"/>
              <w:rPr>
                <w:sz w:val="18"/>
                <w:szCs w:val="18"/>
                <w:color w:val="auto"/>
              </w:rPr>
            </w:pP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Loans Subject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3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Normal</w:t>
            </w:r>
          </w:p>
        </w:tc>
        <w:tc>
          <w:tcPr>
            <w:tcW w:w="200" w:type="dxa"/>
            <w:vAlign w:val="bottom"/>
          </w:tcPr>
          <w:p>
            <w:pPr>
              <w:spacing w:after="0"/>
              <w:rPr>
                <w:sz w:val="19"/>
                <w:szCs w:val="19"/>
                <w:color w:val="auto"/>
              </w:rPr>
            </w:pPr>
          </w:p>
        </w:tc>
        <w:tc>
          <w:tcPr>
            <w:tcW w:w="16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Special</w:t>
            </w:r>
          </w:p>
        </w:tc>
        <w:tc>
          <w:tcPr>
            <w:tcW w:w="220" w:type="dxa"/>
            <w:vAlign w:val="bottom"/>
          </w:tcPr>
          <w:p>
            <w:pPr>
              <w:spacing w:after="0"/>
              <w:rPr>
                <w:sz w:val="19"/>
                <w:szCs w:val="19"/>
                <w:color w:val="auto"/>
              </w:rPr>
            </w:pP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82"/>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190"/>
              <w:spacing w:after="0" w:line="276" w:lineRule="exact"/>
              <w:rPr>
                <w:sz w:val="20"/>
                <w:szCs w:val="20"/>
                <w:color w:val="auto"/>
              </w:rPr>
            </w:pPr>
            <w:r>
              <w:rPr>
                <w:rFonts w:ascii="Times New Roman" w:cs="Times New Roman" w:eastAsia="Times New Roman" w:hAnsi="Times New Roman"/>
                <w:sz w:val="18"/>
                <w:szCs w:val="18"/>
                <w:b w:val="1"/>
                <w:bCs w:val="1"/>
                <w:color w:val="auto"/>
                <w:w w:val="95"/>
              </w:rPr>
              <w:t>Monitoring</w:t>
            </w:r>
            <w:r>
              <w:rPr>
                <w:rFonts w:ascii="Times New Roman" w:cs="Times New Roman" w:eastAsia="Times New Roman" w:hAnsi="Times New Roman"/>
                <w:sz w:val="29"/>
                <w:szCs w:val="29"/>
                <w:b w:val="1"/>
                <w:bCs w:val="1"/>
                <w:color w:val="auto"/>
                <w:w w:val="95"/>
                <w:vertAlign w:val="superscript"/>
              </w:rPr>
              <w:t>(1)</w:t>
            </w: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90"/>
              <w:spacing w:after="0" w:line="276" w:lineRule="exact"/>
              <w:rPr>
                <w:sz w:val="20"/>
                <w:szCs w:val="20"/>
                <w:color w:val="auto"/>
              </w:rPr>
            </w:pPr>
            <w:r>
              <w:rPr>
                <w:rFonts w:ascii="Times New Roman" w:cs="Times New Roman" w:eastAsia="Times New Roman" w:hAnsi="Times New Roman"/>
                <w:sz w:val="18"/>
                <w:szCs w:val="18"/>
                <w:b w:val="1"/>
                <w:bCs w:val="1"/>
                <w:color w:val="auto"/>
                <w:w w:val="95"/>
              </w:rPr>
              <w:t>Monitoring</w:t>
            </w:r>
            <w:r>
              <w:rPr>
                <w:rFonts w:ascii="Times New Roman" w:cs="Times New Roman" w:eastAsia="Times New Roman" w:hAnsi="Times New Roman"/>
                <w:sz w:val="29"/>
                <w:szCs w:val="29"/>
                <w:b w:val="1"/>
                <w:bCs w:val="1"/>
                <w:color w:val="auto"/>
                <w:w w:val="95"/>
                <w:vertAlign w:val="superscript"/>
              </w:rPr>
              <w:t>(2)</w:t>
            </w: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130"/>
              <w:spacing w:after="0" w:line="276" w:lineRule="exact"/>
              <w:rPr>
                <w:sz w:val="20"/>
                <w:szCs w:val="20"/>
                <w:color w:val="auto"/>
              </w:rPr>
            </w:pPr>
            <w:r>
              <w:rPr>
                <w:rFonts w:ascii="Times New Roman" w:cs="Times New Roman" w:eastAsia="Times New Roman" w:hAnsi="Times New Roman"/>
                <w:sz w:val="18"/>
                <w:szCs w:val="18"/>
                <w:b w:val="1"/>
                <w:bCs w:val="1"/>
                <w:color w:val="auto"/>
                <w:w w:val="95"/>
              </w:rPr>
              <w:t>Monitoring</w:t>
            </w:r>
            <w:r>
              <w:rPr>
                <w:rFonts w:ascii="Times New Roman" w:cs="Times New Roman" w:eastAsia="Times New Roman" w:hAnsi="Times New Roman"/>
                <w:sz w:val="29"/>
                <w:szCs w:val="29"/>
                <w:b w:val="1"/>
                <w:bCs w:val="1"/>
                <w:color w:val="auto"/>
                <w:w w:val="95"/>
                <w:vertAlign w:val="superscript"/>
              </w:rPr>
              <w:t>(2)</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Total Loans</w:t>
            </w:r>
          </w:p>
        </w:tc>
      </w:tr>
      <w:tr>
        <w:trPr>
          <w:trHeight w:val="216"/>
        </w:trPr>
        <w:tc>
          <w:tcPr>
            <w:tcW w:w="32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321,554</w:t>
            </w:r>
          </w:p>
        </w:tc>
        <w:tc>
          <w:tcPr>
            <w:tcW w:w="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B2B2B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323,857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shd w:val="clear" w:color="auto" w:fill="B2B2B2"/>
          </w:tcPr>
          <w:p>
            <w:pPr>
              <w:spacing w:after="0"/>
              <w:rPr>
                <w:sz w:val="18"/>
                <w:szCs w:val="18"/>
                <w:color w:val="auto"/>
              </w:rPr>
            </w:pPr>
          </w:p>
        </w:tc>
        <w:tc>
          <w:tcPr>
            <w:tcW w:w="15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5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r>
      <w:tr>
        <w:trPr>
          <w:trHeight w:val="216"/>
        </w:trPr>
        <w:tc>
          <w:tcPr>
            <w:tcW w:w="3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100,346</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20" w:type="dxa"/>
            <w:vAlign w:val="bottom"/>
          </w:tcPr>
          <w:p>
            <w:pPr>
              <w:spacing w:after="0"/>
              <w:rPr>
                <w:sz w:val="18"/>
                <w:szCs w:val="18"/>
                <w:color w:val="auto"/>
              </w:rPr>
            </w:pPr>
          </w:p>
        </w:tc>
        <w:tc>
          <w:tcPr>
            <w:tcW w:w="15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101,654</w:t>
            </w:r>
          </w:p>
        </w:tc>
      </w:tr>
      <w:tr>
        <w:trPr>
          <w:trHeight w:val="216"/>
        </w:trPr>
        <w:tc>
          <w:tcPr>
            <w:tcW w:w="328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shd w:val="clear" w:color="auto" w:fill="B2B2B2"/>
          </w:tcPr>
          <w:p>
            <w:pPr>
              <w:spacing w:after="0"/>
              <w:rPr>
                <w:sz w:val="18"/>
                <w:szCs w:val="18"/>
                <w:color w:val="auto"/>
              </w:rPr>
            </w:pPr>
          </w:p>
        </w:tc>
        <w:tc>
          <w:tcPr>
            <w:tcW w:w="15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200" w:type="dxa"/>
            <w:vAlign w:val="bottom"/>
            <w:shd w:val="clear" w:color="auto" w:fill="B2B2B2"/>
          </w:tcPr>
          <w:p>
            <w:pPr>
              <w:spacing w:after="0"/>
              <w:rPr>
                <w:sz w:val="18"/>
                <w:szCs w:val="18"/>
                <w:color w:val="auto"/>
              </w:rPr>
            </w:pPr>
          </w:p>
        </w:tc>
        <w:tc>
          <w:tcPr>
            <w:tcW w:w="16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2B2B2"/>
          </w:tcPr>
          <w:p>
            <w:pPr>
              <w:spacing w:after="0"/>
              <w:rPr>
                <w:sz w:val="18"/>
                <w:szCs w:val="18"/>
                <w:color w:val="auto"/>
              </w:rPr>
            </w:pPr>
          </w:p>
        </w:tc>
        <w:tc>
          <w:tcPr>
            <w:tcW w:w="1560" w:type="dxa"/>
            <w:vAlign w:val="bottom"/>
            <w:shd w:val="clear" w:color="auto" w:fill="B2B2B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25,299</w:t>
            </w:r>
          </w:p>
        </w:tc>
      </w:tr>
      <w:tr>
        <w:trPr>
          <w:trHeight w:val="216"/>
        </w:trPr>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2B2B2"/>
          </w:tcPr>
          <w:p>
            <w:pPr>
              <w:spacing w:after="0"/>
              <w:rPr>
                <w:sz w:val="18"/>
                <w:szCs w:val="18"/>
                <w:color w:val="auto"/>
              </w:rPr>
            </w:pPr>
          </w:p>
        </w:tc>
        <w:tc>
          <w:tcPr>
            <w:tcW w:w="15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304,513</w:t>
            </w:r>
          </w:p>
        </w:tc>
        <w:tc>
          <w:tcPr>
            <w:tcW w:w="200" w:type="dxa"/>
            <w:vAlign w:val="bottom"/>
            <w:shd w:val="clear" w:color="auto" w:fill="B2B2B2"/>
          </w:tcPr>
          <w:p>
            <w:pPr>
              <w:spacing w:after="0"/>
              <w:rPr>
                <w:sz w:val="18"/>
                <w:szCs w:val="18"/>
                <w:color w:val="auto"/>
              </w:rPr>
            </w:pPr>
          </w:p>
        </w:tc>
        <w:tc>
          <w:tcPr>
            <w:tcW w:w="16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20" w:type="dxa"/>
            <w:vAlign w:val="bottom"/>
            <w:shd w:val="clear" w:color="auto" w:fill="B2B2B2"/>
          </w:tcPr>
          <w:p>
            <w:pPr>
              <w:spacing w:after="0"/>
              <w:rPr>
                <w:sz w:val="18"/>
                <w:szCs w:val="18"/>
                <w:color w:val="auto"/>
              </w:rPr>
            </w:pPr>
          </w:p>
        </w:tc>
        <w:tc>
          <w:tcPr>
            <w:tcW w:w="1560" w:type="dxa"/>
            <w:vAlign w:val="bottom"/>
            <w:shd w:val="clear" w:color="auto" w:fill="B2B2B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305,826</w:t>
            </w:r>
          </w:p>
        </w:tc>
      </w:tr>
      <w:tr>
        <w:trPr>
          <w:trHeight w:val="216"/>
        </w:trPr>
        <w:tc>
          <w:tcPr>
            <w:tcW w:w="3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15,945</w:t>
            </w:r>
          </w:p>
        </w:tc>
      </w:tr>
      <w:tr>
        <w:trPr>
          <w:trHeight w:val="216"/>
        </w:trPr>
        <w:tc>
          <w:tcPr>
            <w:tcW w:w="328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auto"/>
            </w:tcBorders>
            <w:shd w:val="clear" w:color="auto" w:fill="B2B2B2"/>
          </w:tcPr>
          <w:p>
            <w:pPr>
              <w:spacing w:after="0"/>
              <w:rPr>
                <w:sz w:val="18"/>
                <w:szCs w:val="18"/>
                <w:color w:val="auto"/>
              </w:rPr>
            </w:pPr>
          </w:p>
        </w:tc>
        <w:tc>
          <w:tcPr>
            <w:tcW w:w="15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bottom w:val="single" w:sz="8" w:color="auto"/>
            </w:tcBorders>
            <w:shd w:val="clear" w:color="auto" w:fill="B2B2B2"/>
          </w:tcPr>
          <w:p>
            <w:pPr>
              <w:spacing w:after="0"/>
              <w:rPr>
                <w:sz w:val="18"/>
                <w:szCs w:val="18"/>
                <w:color w:val="auto"/>
              </w:rPr>
            </w:pPr>
          </w:p>
        </w:tc>
        <w:tc>
          <w:tcPr>
            <w:tcW w:w="16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B2B2B2"/>
          </w:tcPr>
          <w:p>
            <w:pPr>
              <w:spacing w:after="0"/>
              <w:rPr>
                <w:sz w:val="18"/>
                <w:szCs w:val="18"/>
                <w:color w:val="auto"/>
              </w:rPr>
            </w:pPr>
          </w:p>
        </w:tc>
        <w:tc>
          <w:tcPr>
            <w:tcW w:w="1560" w:type="dxa"/>
            <w:vAlign w:val="bottom"/>
            <w:tcBorders>
              <w:bottom w:val="single" w:sz="8" w:color="auto"/>
            </w:tcBorders>
            <w:shd w:val="clear" w:color="auto" w:fill="B2B2B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7"/>
        </w:trPr>
        <w:tc>
          <w:tcPr>
            <w:tcW w:w="32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767,714</w:t>
            </w: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4,924</w:t>
            </w:r>
          </w:p>
        </w:tc>
        <w:tc>
          <w:tcPr>
            <w:tcW w:w="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ind w:left="1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772,638</w:t>
            </w:r>
          </w:p>
        </w:tc>
      </w:tr>
    </w:tbl>
    <w:p>
      <w:pPr>
        <w:spacing w:after="0" w:line="63" w:lineRule="exact"/>
        <w:rPr>
          <w:sz w:val="20"/>
          <w:szCs w:val="20"/>
          <w:color w:val="auto"/>
        </w:rPr>
      </w:pPr>
    </w:p>
    <w:p>
      <w:pPr>
        <w:ind w:left="340" w:right="20" w:hanging="332"/>
        <w:spacing w:after="0" w:line="190" w:lineRule="auto"/>
        <w:tabs>
          <w:tab w:leader="none" w:pos="340" w:val="left"/>
        </w:tabs>
        <w:numPr>
          <w:ilvl w:val="0"/>
          <w:numId w:val="16"/>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Loans subject to normal monitoring involve borrowers of acceptable-to-strong credit quality and risk, who have the apparent ability to satisfy their loan obligation.</w:t>
      </w:r>
    </w:p>
    <w:p>
      <w:pPr>
        <w:spacing w:after="0" w:line="1" w:lineRule="exact"/>
        <w:rPr>
          <w:rFonts w:ascii="Times New Roman" w:cs="Times New Roman" w:eastAsia="Times New Roman" w:hAnsi="Times New Roman"/>
          <w:sz w:val="30"/>
          <w:szCs w:val="30"/>
          <w:b w:val="1"/>
          <w:bCs w:val="1"/>
          <w:color w:val="auto"/>
          <w:vertAlign w:val="superscript"/>
        </w:rPr>
      </w:pPr>
    </w:p>
    <w:p>
      <w:pPr>
        <w:ind w:left="340" w:hanging="332"/>
        <w:spacing w:after="0" w:line="194" w:lineRule="auto"/>
        <w:tabs>
          <w:tab w:leader="none" w:pos="340" w:val="left"/>
        </w:tabs>
        <w:numPr>
          <w:ilvl w:val="0"/>
          <w:numId w:val="16"/>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5"/>
          <w:szCs w:val="15"/>
          <w:color w:val="auto"/>
        </w:rPr>
        <w:t>Loans subject to special monitoring possess some credit deficiency or potential weakness which requires a high level of management attention.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recorded investment by category for loans considered as troubled debt restructuring during the year ended December 31, 2020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Pre-</w:t>
            </w:r>
          </w:p>
        </w:tc>
        <w:tc>
          <w:tcPr>
            <w:tcW w:w="220" w:type="dxa"/>
            <w:vAlign w:val="bottom"/>
          </w:tcPr>
          <w:p>
            <w:pPr>
              <w:spacing w:after="0"/>
              <w:rPr>
                <w:sz w:val="18"/>
                <w:szCs w:val="18"/>
                <w:color w:val="auto"/>
              </w:rPr>
            </w:pPr>
          </w:p>
        </w:tc>
        <w:tc>
          <w:tcPr>
            <w:tcW w:w="10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Post-</w:t>
            </w:r>
          </w:p>
        </w:tc>
      </w:tr>
      <w:tr>
        <w:trPr>
          <w:trHeight w:val="216"/>
        </w:trPr>
        <w:tc>
          <w:tcPr>
            <w:tcW w:w="48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Modification</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Modification</w:t>
            </w:r>
          </w:p>
        </w:tc>
      </w:tr>
      <w:tr>
        <w:trPr>
          <w:trHeight w:val="216"/>
        </w:trPr>
        <w:tc>
          <w:tcPr>
            <w:tcW w:w="4820" w:type="dxa"/>
            <w:vAlign w:val="bottom"/>
          </w:tcPr>
          <w:p>
            <w:pPr>
              <w:spacing w:after="0"/>
              <w:rPr>
                <w:sz w:val="18"/>
                <w:szCs w:val="18"/>
                <w:color w:val="auto"/>
              </w:rPr>
            </w:pPr>
          </w:p>
        </w:tc>
        <w:tc>
          <w:tcPr>
            <w:tcW w:w="374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38"/>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740" w:type="dxa"/>
            <w:vAlign w:val="bottom"/>
            <w:tcBorders>
              <w:bottom w:val="single" w:sz="8" w:color="auto"/>
            </w:tcBorders>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10"/>
        </w:trPr>
        <w:tc>
          <w:tcPr>
            <w:tcW w:w="48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740" w:type="dxa"/>
            <w:vAlign w:val="bottom"/>
            <w:shd w:val="clear" w:color="auto" w:fill="B2B2B2"/>
          </w:tcPr>
          <w:p>
            <w:pPr>
              <w:spacing w:after="0"/>
              <w:rPr>
                <w:sz w:val="18"/>
                <w:szCs w:val="18"/>
                <w:color w:val="auto"/>
              </w:rPr>
            </w:pPr>
          </w:p>
        </w:tc>
        <w:tc>
          <w:tcPr>
            <w:tcW w:w="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8,773</w:t>
            </w:r>
          </w:p>
        </w:tc>
      </w:tr>
      <w:tr>
        <w:trPr>
          <w:trHeight w:val="216"/>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Faith-based real estate</w:t>
            </w:r>
          </w:p>
        </w:tc>
        <w:tc>
          <w:tcPr>
            <w:tcW w:w="3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1,029</w:t>
            </w:r>
          </w:p>
        </w:tc>
      </w:tr>
      <w:tr>
        <w:trPr>
          <w:trHeight w:val="217"/>
        </w:trPr>
        <w:tc>
          <w:tcPr>
            <w:tcW w:w="4820" w:type="dxa"/>
            <w:vAlign w:val="bottom"/>
            <w:tcBorders>
              <w:bottom w:val="single" w:sz="8" w:color="auto"/>
            </w:tcBorders>
            <w:shd w:val="clear" w:color="auto" w:fill="B2B2B2"/>
          </w:tcPr>
          <w:p>
            <w:pPr>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3740" w:type="dxa"/>
            <w:vAlign w:val="bottom"/>
            <w:tcBorders>
              <w:bottom w:val="single" w:sz="8" w:color="auto"/>
            </w:tcBorders>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9,802</w:t>
            </w:r>
          </w:p>
        </w:tc>
        <w:tc>
          <w:tcPr>
            <w:tcW w:w="22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B2B2B2"/>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9,802</w:t>
            </w:r>
          </w:p>
        </w:tc>
      </w:tr>
    </w:tbl>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2020, two loans were restructured to change the amortization schedule to reduce payments from the borrowers while the contractual interest rate remained unchanged. These loans did not have a specific allowance for credit loss allocated to them at December 31, 2020. There were no loans restructured for the year ended December 31, 2019. There were no loans restructured that subsequently defaulted during the years ended December 31, 2020 or 2019.</w:t>
      </w:r>
    </w:p>
    <w:p>
      <w:pPr>
        <w:sectPr>
          <w:pgSz w:w="11900" w:h="16838" w:orient="portrait"/>
          <w:cols w:equalWidth="0" w:num="1">
            <w:col w:w="11240"/>
          </w:cols>
          <w:pgMar w:left="320" w:top="293"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the ACL by category for the period ended December 31, 2020 is as follows: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9"/>
        </w:trPr>
        <w:tc>
          <w:tcPr>
            <w:tcW w:w="4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Faith-based</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6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C&amp;I</w:t>
            </w:r>
          </w:p>
        </w:tc>
        <w:tc>
          <w:tcPr>
            <w:tcW w:w="2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CRE</w:t>
            </w: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CRE</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340" w:type="dxa"/>
            <w:vAlign w:val="bottom"/>
          </w:tcPr>
          <w:p>
            <w:pPr>
              <w:spacing w:after="0"/>
              <w:rPr>
                <w:sz w:val="20"/>
                <w:szCs w:val="20"/>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660" w:type="dxa"/>
            <w:vAlign w:val="bottom"/>
            <w:tcBorders>
              <w:top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660" w:type="dxa"/>
            <w:vAlign w:val="bottom"/>
            <w:tcBorders>
              <w:top w:val="single" w:sz="8" w:color="auto"/>
            </w:tcBorders>
            <w:shd w:val="clear" w:color="auto" w:fill="B2B2B2"/>
          </w:tcPr>
          <w:p>
            <w:pPr>
              <w:spacing w:after="0"/>
              <w:rPr>
                <w:sz w:val="18"/>
                <w:szCs w:val="18"/>
                <w:color w:val="auto"/>
              </w:rPr>
            </w:pPr>
          </w:p>
        </w:tc>
        <w:tc>
          <w:tcPr>
            <w:tcW w:w="1140" w:type="dxa"/>
            <w:vAlign w:val="bottom"/>
            <w:tcBorders>
              <w:top w:val="single" w:sz="8" w:color="auto"/>
            </w:tcBorders>
            <w:shd w:val="clear" w:color="auto" w:fill="B2B2B2"/>
          </w:tcPr>
          <w:p>
            <w:pPr>
              <w:spacing w:after="0"/>
              <w:rPr>
                <w:sz w:val="18"/>
                <w:szCs w:val="18"/>
                <w:color w:val="auto"/>
              </w:rPr>
            </w:pPr>
          </w:p>
        </w:tc>
        <w:tc>
          <w:tcPr>
            <w:tcW w:w="220" w:type="dxa"/>
            <w:vAlign w:val="bottom"/>
            <w:tcBorders>
              <w:top w:val="single" w:sz="8" w:color="auto"/>
            </w:tcBorders>
            <w:shd w:val="clear" w:color="auto" w:fill="B2B2B2"/>
          </w:tcPr>
          <w:p>
            <w:pPr>
              <w:spacing w:after="0"/>
              <w:rPr>
                <w:sz w:val="18"/>
                <w:szCs w:val="18"/>
                <w:color w:val="auto"/>
              </w:rPr>
            </w:pPr>
          </w:p>
        </w:tc>
        <w:tc>
          <w:tcPr>
            <w:tcW w:w="900" w:type="dxa"/>
            <w:vAlign w:val="bottom"/>
            <w:tcBorders>
              <w:top w:val="single" w:sz="8" w:color="auto"/>
            </w:tcBorders>
            <w:shd w:val="clear" w:color="auto" w:fill="B2B2B2"/>
          </w:tcPr>
          <w:p>
            <w:pPr>
              <w:spacing w:after="0"/>
              <w:rPr>
                <w:sz w:val="18"/>
                <w:szCs w:val="18"/>
                <w:color w:val="auto"/>
              </w:rPr>
            </w:pPr>
          </w:p>
        </w:tc>
        <w:tc>
          <w:tcPr>
            <w:tcW w:w="220" w:type="dxa"/>
            <w:vAlign w:val="bottom"/>
            <w:tcBorders>
              <w:top w:val="single" w:sz="8" w:color="auto"/>
            </w:tcBorders>
            <w:shd w:val="clear" w:color="auto" w:fill="B2B2B2"/>
          </w:tcPr>
          <w:p>
            <w:pPr>
              <w:spacing w:after="0"/>
              <w:rPr>
                <w:sz w:val="18"/>
                <w:szCs w:val="18"/>
                <w:color w:val="auto"/>
              </w:rPr>
            </w:pPr>
          </w:p>
        </w:tc>
        <w:tc>
          <w:tcPr>
            <w:tcW w:w="860" w:type="dxa"/>
            <w:vAlign w:val="bottom"/>
            <w:tcBorders>
              <w:top w:val="single" w:sz="8" w:color="auto"/>
            </w:tcBorders>
            <w:shd w:val="clear" w:color="auto" w:fill="B2B2B2"/>
          </w:tcPr>
          <w:p>
            <w:pPr>
              <w:spacing w:after="0"/>
              <w:rPr>
                <w:sz w:val="18"/>
                <w:szCs w:val="18"/>
                <w:color w:val="auto"/>
              </w:rPr>
            </w:pPr>
          </w:p>
        </w:tc>
        <w:tc>
          <w:tcPr>
            <w:tcW w:w="480" w:type="dxa"/>
            <w:vAlign w:val="bottom"/>
            <w:tcBorders>
              <w:top w:val="single" w:sz="8" w:color="auto"/>
            </w:tcBorders>
            <w:shd w:val="clear" w:color="auto" w:fill="B2B2B2"/>
          </w:tcPr>
          <w:p>
            <w:pPr>
              <w:spacing w:after="0"/>
              <w:rPr>
                <w:sz w:val="18"/>
                <w:szCs w:val="18"/>
                <w:color w:val="auto"/>
              </w:rPr>
            </w:pPr>
          </w:p>
        </w:tc>
        <w:tc>
          <w:tcPr>
            <w:tcW w:w="740" w:type="dxa"/>
            <w:vAlign w:val="bottom"/>
            <w:tcBorders>
              <w:top w:val="single" w:sz="8" w:color="auto"/>
            </w:tcBorders>
            <w:shd w:val="clear" w:color="auto" w:fill="B2B2B2"/>
          </w:tcPr>
          <w:p>
            <w:pPr>
              <w:spacing w:after="0"/>
              <w:rPr>
                <w:sz w:val="18"/>
                <w:szCs w:val="18"/>
                <w:color w:val="auto"/>
              </w:rPr>
            </w:pPr>
          </w:p>
        </w:tc>
        <w:tc>
          <w:tcPr>
            <w:tcW w:w="340" w:type="dxa"/>
            <w:vAlign w:val="bottom"/>
            <w:tcBorders>
              <w:top w:val="single" w:sz="8" w:color="auto"/>
            </w:tcBorders>
            <w:shd w:val="clear" w:color="auto" w:fill="B2B2B2"/>
          </w:tcPr>
          <w:p>
            <w:pPr>
              <w:spacing w:after="0"/>
              <w:rPr>
                <w:sz w:val="18"/>
                <w:szCs w:val="18"/>
                <w:color w:val="auto"/>
              </w:rPr>
            </w:pPr>
          </w:p>
        </w:tc>
        <w:tc>
          <w:tcPr>
            <w:tcW w:w="102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20" w:type="dxa"/>
            <w:vAlign w:val="bottom"/>
          </w:tcPr>
          <w:p>
            <w:pPr>
              <w:spacing w:after="0"/>
              <w:rPr>
                <w:sz w:val="18"/>
                <w:szCs w:val="18"/>
                <w:color w:val="auto"/>
              </w:rPr>
            </w:pPr>
          </w:p>
        </w:tc>
      </w:tr>
      <w:tr>
        <w:trPr>
          <w:trHeight w:val="216"/>
        </w:trPr>
        <w:tc>
          <w:tcPr>
            <w:tcW w:w="4660" w:type="dxa"/>
            <w:vAlign w:val="bottom"/>
            <w:tcBorders>
              <w:bottom w:val="single" w:sz="8" w:color="auto"/>
            </w:tcBorders>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Cumulative effect of accounting change (ASU 2016-13)</w:t>
            </w:r>
          </w:p>
        </w:tc>
        <w:tc>
          <w:tcPr>
            <w:tcW w:w="66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480" w:type="dxa"/>
            <w:vAlign w:val="bottom"/>
            <w:tcBorders>
              <w:bottom w:val="single" w:sz="8" w:color="auto"/>
            </w:tcBorders>
            <w:shd w:val="clear" w:color="auto" w:fill="B2B2B2"/>
          </w:tcPr>
          <w:p>
            <w:pPr>
              <w:spacing w:after="0"/>
              <w:rPr>
                <w:sz w:val="18"/>
                <w:szCs w:val="18"/>
                <w:color w:val="auto"/>
              </w:rPr>
            </w:pPr>
          </w:p>
        </w:tc>
        <w:tc>
          <w:tcPr>
            <w:tcW w:w="74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 w:type="dxa"/>
            <w:vAlign w:val="bottom"/>
          </w:tcPr>
          <w:p>
            <w:pPr>
              <w:spacing w:after="0"/>
              <w:rPr>
                <w:sz w:val="18"/>
                <w:szCs w:val="18"/>
                <w:color w:val="auto"/>
              </w:rPr>
            </w:pPr>
          </w:p>
        </w:tc>
      </w:tr>
      <w:tr>
        <w:trPr>
          <w:trHeight w:val="210"/>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at January 1, 2020</w:t>
            </w: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4,348</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1,127</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326</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11,279</w:t>
            </w:r>
          </w:p>
        </w:tc>
        <w:tc>
          <w:tcPr>
            <w:tcW w:w="20" w:type="dxa"/>
            <w:vAlign w:val="bottom"/>
          </w:tcPr>
          <w:p>
            <w:pPr>
              <w:spacing w:after="0"/>
              <w:rPr>
                <w:sz w:val="18"/>
                <w:szCs w:val="18"/>
                <w:color w:val="auto"/>
              </w:rPr>
            </w:pPr>
          </w:p>
        </w:tc>
      </w:tr>
      <w:tr>
        <w:trPr>
          <w:trHeight w:val="209"/>
        </w:trPr>
        <w:tc>
          <w:tcPr>
            <w:tcW w:w="466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6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80" w:type="dxa"/>
            <w:vAlign w:val="bottom"/>
            <w:shd w:val="clear" w:color="auto" w:fill="B2B2B2"/>
          </w:tcPr>
          <w:p>
            <w:pPr>
              <w:spacing w:after="0"/>
              <w:rPr>
                <w:sz w:val="18"/>
                <w:szCs w:val="18"/>
                <w:color w:val="auto"/>
              </w:rPr>
            </w:pPr>
          </w:p>
        </w:tc>
        <w:tc>
          <w:tcPr>
            <w:tcW w:w="74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 w:type="dxa"/>
            <w:vAlign w:val="bottom"/>
          </w:tcPr>
          <w:p>
            <w:pPr>
              <w:spacing w:after="0"/>
              <w:rPr>
                <w:sz w:val="18"/>
                <w:szCs w:val="18"/>
                <w:color w:val="auto"/>
              </w:rPr>
            </w:pPr>
          </w:p>
        </w:tc>
      </w:tr>
      <w:tr>
        <w:trPr>
          <w:trHeight w:val="216"/>
        </w:trPr>
        <w:tc>
          <w:tcPr>
            <w:tcW w:w="46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Recoveries</w:t>
            </w: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r>
      <w:tr>
        <w:trPr>
          <w:trHeight w:val="217"/>
        </w:trPr>
        <w:tc>
          <w:tcPr>
            <w:tcW w:w="4660" w:type="dxa"/>
            <w:vAlign w:val="bottom"/>
            <w:tcBorders>
              <w:bottom w:val="single" w:sz="8" w:color="auto"/>
            </w:tcBorders>
            <w:shd w:val="clear" w:color="auto" w:fill="B2B2B2"/>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2020</w:t>
            </w:r>
          </w:p>
        </w:tc>
        <w:tc>
          <w:tcPr>
            <w:tcW w:w="660" w:type="dxa"/>
            <w:vAlign w:val="bottom"/>
            <w:tcBorders>
              <w:bottom w:val="single" w:sz="8" w:color="auto"/>
            </w:tcBorders>
            <w:shd w:val="clear" w:color="auto" w:fill="B2B2B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2B2B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4,635</w:t>
            </w:r>
          </w:p>
        </w:tc>
        <w:tc>
          <w:tcPr>
            <w:tcW w:w="220" w:type="dxa"/>
            <w:vAlign w:val="bottom"/>
            <w:tcBorders>
              <w:bottom w:val="single" w:sz="8" w:color="auto"/>
            </w:tcBorders>
            <w:shd w:val="clear" w:color="auto" w:fill="B2B2B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B2B2B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1,175</w:t>
            </w:r>
          </w:p>
        </w:tc>
        <w:tc>
          <w:tcPr>
            <w:tcW w:w="220" w:type="dxa"/>
            <w:vAlign w:val="bottom"/>
            <w:tcBorders>
              <w:bottom w:val="single" w:sz="8" w:color="auto"/>
            </w:tcBorders>
            <w:shd w:val="clear" w:color="auto" w:fill="B2B2B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5,717</w:t>
            </w:r>
          </w:p>
        </w:tc>
        <w:tc>
          <w:tcPr>
            <w:tcW w:w="480" w:type="dxa"/>
            <w:vAlign w:val="bottom"/>
            <w:tcBorders>
              <w:bottom w:val="single" w:sz="8" w:color="auto"/>
            </w:tcBorders>
            <w:shd w:val="clear" w:color="auto" w:fill="B2B2B2"/>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B2B2B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340" w:type="dxa"/>
            <w:vAlign w:val="bottom"/>
            <w:tcBorders>
              <w:bottom w:val="single" w:sz="8" w:color="auto"/>
            </w:tcBorders>
            <w:shd w:val="clear" w:color="auto" w:fill="B2B2B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11,944</w:t>
            </w:r>
          </w:p>
        </w:tc>
        <w:tc>
          <w:tcPr>
            <w:tcW w:w="20" w:type="dxa"/>
            <w:vAlign w:val="bottom"/>
            <w:tcBorders>
              <w:bottom w:val="single" w:sz="8" w:color="auto"/>
            </w:tcBorders>
          </w:tcPr>
          <w:p>
            <w:pPr>
              <w:spacing w:after="0"/>
              <w:rPr>
                <w:sz w:val="18"/>
                <w:szCs w:val="18"/>
                <w:color w:val="auto"/>
              </w:rPr>
            </w:pPr>
          </w:p>
        </w:tc>
      </w:tr>
    </w:tbl>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the provision for credit losses on loans during the year ended December 31, 2020 is due to the Company’s forecast of macroeconomic factors, which decreased during 2020, primarily due to the COVID-19 pandemic.</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allowance for loan losses for the period ended December 31, 2019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Charge-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Offs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Recoveries</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r>
      <w:tr>
        <w:trPr>
          <w:trHeight w:val="209"/>
        </w:trPr>
        <w:tc>
          <w:tcPr>
            <w:tcW w:w="34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2B2B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433</w:t>
            </w:r>
          </w:p>
        </w:tc>
        <w:tc>
          <w:tcPr>
            <w:tcW w:w="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2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8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1660" w:type="dxa"/>
            <w:vAlign w:val="bottom"/>
            <w:shd w:val="clear" w:color="auto" w:fill="B2B2B2"/>
          </w:tcPr>
          <w:p>
            <w:pPr>
              <w:spacing w:after="0"/>
              <w:rPr>
                <w:sz w:val="18"/>
                <w:szCs w:val="18"/>
                <w:color w:val="auto"/>
              </w:rPr>
            </w:pPr>
          </w:p>
        </w:tc>
        <w:tc>
          <w:tcPr>
            <w:tcW w:w="12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Mortgage</w:t>
            </w:r>
          </w:p>
        </w:tc>
        <w:tc>
          <w:tcPr>
            <w:tcW w:w="1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0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0" w:type="dxa"/>
            <w:vAlign w:val="bottom"/>
          </w:tcPr>
          <w:p>
            <w:pPr>
              <w:spacing w:after="0"/>
              <w:rPr>
                <w:sz w:val="18"/>
                <w:szCs w:val="18"/>
                <w:color w:val="auto"/>
              </w:rPr>
            </w:pPr>
          </w:p>
        </w:tc>
      </w:tr>
      <w:tr>
        <w:trPr>
          <w:trHeight w:val="216"/>
        </w:trPr>
        <w:tc>
          <w:tcPr>
            <w:tcW w:w="348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Construction</w:t>
            </w:r>
          </w:p>
        </w:tc>
        <w:tc>
          <w:tcPr>
            <w:tcW w:w="1660" w:type="dxa"/>
            <w:vAlign w:val="bottom"/>
            <w:shd w:val="clear" w:color="auto" w:fill="B2B2B2"/>
          </w:tcPr>
          <w:p>
            <w:pPr>
              <w:spacing w:after="0"/>
              <w:rPr>
                <w:sz w:val="18"/>
                <w:szCs w:val="18"/>
                <w:color w:val="auto"/>
              </w:rPr>
            </w:pPr>
          </w:p>
        </w:tc>
        <w:tc>
          <w:tcPr>
            <w:tcW w:w="1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8"/>
                <w:szCs w:val="18"/>
                <w:color w:val="auto"/>
              </w:rPr>
            </w:pPr>
          </w:p>
        </w:tc>
      </w:tr>
      <w:tr>
        <w:trPr>
          <w:trHeight w:val="216"/>
        </w:trPr>
        <w:tc>
          <w:tcPr>
            <w:tcW w:w="3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Faith-based:</w:t>
            </w: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8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Mortgage</w:t>
            </w:r>
          </w:p>
        </w:tc>
        <w:tc>
          <w:tcPr>
            <w:tcW w:w="1660" w:type="dxa"/>
            <w:vAlign w:val="bottom"/>
            <w:shd w:val="clear" w:color="auto" w:fill="B2B2B2"/>
          </w:tcPr>
          <w:p>
            <w:pPr>
              <w:spacing w:after="0"/>
              <w:rPr>
                <w:sz w:val="18"/>
                <w:szCs w:val="18"/>
                <w:color w:val="auto"/>
              </w:rPr>
            </w:pPr>
          </w:p>
        </w:tc>
        <w:tc>
          <w:tcPr>
            <w:tcW w:w="1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20" w:type="dxa"/>
            <w:vAlign w:val="bottom"/>
          </w:tcPr>
          <w:p>
            <w:pPr>
              <w:spacing w:after="0"/>
              <w:rPr>
                <w:sz w:val="18"/>
                <w:szCs w:val="18"/>
                <w:color w:val="auto"/>
              </w:rPr>
            </w:pPr>
          </w:p>
        </w:tc>
      </w:tr>
      <w:tr>
        <w:trPr>
          <w:trHeight w:val="216"/>
        </w:trPr>
        <w:tc>
          <w:tcPr>
            <w:tcW w:w="34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Construction</w:t>
            </w:r>
          </w:p>
        </w:tc>
        <w:tc>
          <w:tcPr>
            <w:tcW w:w="16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8"/>
                <w:szCs w:val="18"/>
                <w:color w:val="auto"/>
              </w:rPr>
            </w:pPr>
          </w:p>
        </w:tc>
      </w:tr>
      <w:tr>
        <w:trPr>
          <w:trHeight w:val="217"/>
        </w:trPr>
        <w:tc>
          <w:tcPr>
            <w:tcW w:w="3480" w:type="dxa"/>
            <w:vAlign w:val="bottom"/>
            <w:tcBorders>
              <w:bottom w:val="single" w:sz="8" w:color="auto"/>
            </w:tcBorders>
            <w:shd w:val="clear" w:color="auto" w:fill="B2B2B2"/>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10,225</w:t>
            </w:r>
          </w:p>
        </w:tc>
        <w:tc>
          <w:tcPr>
            <w:tcW w:w="20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B2B2B2"/>
          </w:tcPr>
          <w:p>
            <w:pPr>
              <w:ind w:left="6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20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2B2B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18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10,556</w:t>
            </w:r>
          </w:p>
        </w:tc>
        <w:tc>
          <w:tcPr>
            <w:tcW w:w="20" w:type="dxa"/>
            <w:vAlign w:val="bottom"/>
            <w:tcBorders>
              <w:bottom w:val="single" w:sz="8" w:color="auto"/>
            </w:tcBorders>
          </w:tcPr>
          <w:p>
            <w:pPr>
              <w:spacing w:after="0"/>
              <w:rPr>
                <w:sz w:val="18"/>
                <w:szCs w:val="18"/>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and 2019, there were loans totaling $161,475 and $167,429, respectively, to affiliates of executive officers or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Premises and Equipment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premises and equipment is as follows:</w:t>
            </w: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Land</w:t>
            </w:r>
          </w:p>
        </w:tc>
        <w:tc>
          <w:tcPr>
            <w:tcW w:w="1760" w:type="dxa"/>
            <w:vAlign w:val="bottom"/>
            <w:gridSpan w:val="2"/>
            <w:shd w:val="clear" w:color="auto" w:fill="B2B2B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600" w:type="dxa"/>
            <w:vAlign w:val="bottom"/>
            <w:shd w:val="clear" w:color="auto" w:fill="B2B2B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8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8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600" w:type="dxa"/>
            <w:vAlign w:val="bottom"/>
            <w:shd w:val="clear" w:color="auto" w:fill="B2B2B2"/>
          </w:tcPr>
          <w:p>
            <w:pPr>
              <w:spacing w:after="0"/>
              <w:rPr>
                <w:sz w:val="18"/>
                <w:szCs w:val="18"/>
                <w:color w:val="auto"/>
              </w:rPr>
            </w:pPr>
          </w:p>
        </w:tc>
        <w:tc>
          <w:tcPr>
            <w:tcW w:w="6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138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8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600" w:type="dxa"/>
            <w:vAlign w:val="bottom"/>
            <w:shd w:val="clear" w:color="auto" w:fill="B2B2B2"/>
          </w:tcPr>
          <w:p>
            <w:pPr>
              <w:spacing w:after="0"/>
              <w:rPr>
                <w:sz w:val="18"/>
                <w:szCs w:val="18"/>
                <w:color w:val="auto"/>
              </w:rPr>
            </w:pPr>
          </w:p>
        </w:tc>
        <w:tc>
          <w:tcPr>
            <w:tcW w:w="6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19,538</w:t>
            </w:r>
          </w:p>
        </w:tc>
        <w:tc>
          <w:tcPr>
            <w:tcW w:w="6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18,780</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B2B2B2"/>
          </w:tcPr>
          <w:p>
            <w:pPr>
              <w:spacing w:after="0"/>
              <w:rPr>
                <w:sz w:val="18"/>
                <w:szCs w:val="18"/>
                <w:color w:val="auto"/>
              </w:rPr>
            </w:pPr>
          </w:p>
        </w:tc>
        <w:tc>
          <w:tcPr>
            <w:tcW w:w="138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8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54,302</w:t>
            </w:r>
          </w:p>
        </w:tc>
        <w:tc>
          <w:tcPr>
            <w:tcW w:w="600" w:type="dxa"/>
            <w:vAlign w:val="bottom"/>
            <w:shd w:val="clear" w:color="auto" w:fill="B2B2B2"/>
          </w:tcPr>
          <w:p>
            <w:pPr>
              <w:spacing w:after="0"/>
              <w:rPr>
                <w:sz w:val="18"/>
                <w:szCs w:val="18"/>
                <w:color w:val="auto"/>
              </w:rPr>
            </w:pPr>
          </w:p>
        </w:tc>
        <w:tc>
          <w:tcPr>
            <w:tcW w:w="6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52,336</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36,245</w:t>
            </w:r>
          </w:p>
        </w:tc>
        <w:tc>
          <w:tcPr>
            <w:tcW w:w="6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31,809</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shd w:val="clear" w:color="auto" w:fill="B2B2B2"/>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gridSpan w:val="2"/>
            <w:shd w:val="clear" w:color="auto" w:fill="B2B2B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18,057</w:t>
            </w:r>
          </w:p>
        </w:tc>
        <w:tc>
          <w:tcPr>
            <w:tcW w:w="600" w:type="dxa"/>
            <w:vAlign w:val="bottom"/>
            <w:tcBorders>
              <w:bottom w:val="single" w:sz="8" w:color="auto"/>
            </w:tcBorders>
            <w:shd w:val="clear" w:color="auto" w:fill="B2B2B2"/>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20,527</w:t>
            </w:r>
          </w:p>
        </w:tc>
        <w:tc>
          <w:tcPr>
            <w:tcW w:w="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depreciation charged to expense in 2020, 2019 and 2018 amounted to $4,471,000, $4,227,000, and $3,954,000,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Acquired Intangible Assets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intangible assets in accordance with FASB ASC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xml:space="preserve"> (“ASC 350”), which requires that intangibles with indefinite useful lives be tested annually for impairment, or when management deems there is a triggering event, and those with finite useful lives be amortized over their useful lives.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2019, the Company acquired the assets of Gateway Giving, LLC and recorded intangible assets of $4,983,000. Those intangible assets were valued at $2,610,000 for software, $1,693,000 for goodwill, $490,000 for the customer list, and</w:t>
      </w:r>
    </w:p>
    <w:p>
      <w:pPr>
        <w:sectPr>
          <w:pgSz w:w="11900" w:h="16838" w:orient="portrait"/>
          <w:cols w:equalWidth="0" w:num="1">
            <w:col w:w="11240"/>
          </w:cols>
          <w:pgMar w:left="320" w:top="293" w:right="33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$190,000 for the trade name. The amounts for these intangible assets were originally recorded on a provisional basis and have been adjusted upon the completion of a valuation. The goodwill is deductible for tax purposes over 15 years, starting in 2019. The intangible assets and results of Gyve are included in the Banking Services operating segment.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price of the acquisition consisted of a cash payment of $3,000,000 and a potential earnout of $4,000,000. The Company recorded the earnout component to be $1,983,000. The fair value of the contingent consideration was estimated on the acquisition date as the present value of the expected future contingent payments which were determined using a scenario-based model. Any changes in the estimated fair value of the contingent earn-out consideration, up to the contracted amount, will be reflected in the results of operations in future periods as they are identified.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Company’s intangible assets are as follows:</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91"/>
        </w:trPr>
        <w:tc>
          <w:tcPr>
            <w:tcW w:w="5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187"/>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00" w:type="dxa"/>
            <w:vAlign w:val="bottom"/>
          </w:tcPr>
          <w:p>
            <w:pPr>
              <w:spacing w:after="0"/>
              <w:rPr>
                <w:sz w:val="16"/>
                <w:szCs w:val="16"/>
                <w:color w:val="auto"/>
              </w:rPr>
            </w:pPr>
          </w:p>
        </w:tc>
        <w:tc>
          <w:tcPr>
            <w:tcW w:w="132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00" w:type="dxa"/>
            <w:vAlign w:val="bottom"/>
          </w:tcPr>
          <w:p>
            <w:pPr>
              <w:spacing w:after="0"/>
              <w:rPr>
                <w:sz w:val="16"/>
                <w:szCs w:val="16"/>
                <w:color w:val="auto"/>
              </w:rPr>
            </w:pPr>
          </w:p>
        </w:tc>
        <w:tc>
          <w:tcPr>
            <w:tcW w:w="13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45"/>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6"/>
        </w:trPr>
        <w:tc>
          <w:tcPr>
            <w:tcW w:w="50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Assets eligible for amortization:</w:t>
            </w:r>
          </w:p>
        </w:tc>
        <w:tc>
          <w:tcPr>
            <w:tcW w:w="120" w:type="dxa"/>
            <w:vAlign w:val="bottom"/>
            <w:shd w:val="clear" w:color="auto" w:fill="B2B2B2"/>
          </w:tcPr>
          <w:p>
            <w:pPr>
              <w:spacing w:after="0"/>
              <w:rPr>
                <w:sz w:val="18"/>
                <w:szCs w:val="18"/>
                <w:color w:val="auto"/>
              </w:rPr>
            </w:pPr>
          </w:p>
        </w:tc>
        <w:tc>
          <w:tcPr>
            <w:tcW w:w="14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3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300" w:type="dxa"/>
            <w:vAlign w:val="bottom"/>
            <w:shd w:val="clear" w:color="auto" w:fill="B2B2B2"/>
          </w:tcPr>
          <w:p>
            <w:pPr>
              <w:spacing w:after="0"/>
              <w:rPr>
                <w:sz w:val="18"/>
                <w:szCs w:val="18"/>
                <w:color w:val="auto"/>
              </w:rPr>
            </w:pPr>
          </w:p>
        </w:tc>
      </w:tr>
      <w:tr>
        <w:trPr>
          <w:trHeight w:val="216"/>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Customer lists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r>
      <w:tr>
        <w:trPr>
          <w:trHeight w:val="216"/>
        </w:trPr>
        <w:tc>
          <w:tcPr>
            <w:tcW w:w="508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Patent</w:t>
            </w:r>
          </w:p>
        </w:tc>
        <w:tc>
          <w:tcPr>
            <w:tcW w:w="12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B2B2B2"/>
          </w:tcPr>
          <w:p>
            <w:pPr>
              <w:spacing w:after="0"/>
              <w:rPr>
                <w:sz w:val="18"/>
                <w:szCs w:val="18"/>
                <w:color w:val="auto"/>
              </w:rPr>
            </w:pPr>
          </w:p>
        </w:tc>
        <w:tc>
          <w:tcPr>
            <w:tcW w:w="1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Non-compete agreements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508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00" w:type="dxa"/>
            <w:vAlign w:val="bottom"/>
            <w:shd w:val="clear" w:color="auto" w:fill="B2B2B2"/>
          </w:tcPr>
          <w:p>
            <w:pPr>
              <w:spacing w:after="0"/>
              <w:rPr>
                <w:sz w:val="18"/>
                <w:szCs w:val="18"/>
                <w:color w:val="auto"/>
              </w:rPr>
            </w:pPr>
          </w:p>
        </w:tc>
        <w:tc>
          <w:tcPr>
            <w:tcW w:w="1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0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Trade Name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08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B2B2B2"/>
          </w:tcPr>
          <w:p>
            <w:pPr>
              <w:spacing w:after="0"/>
              <w:rPr>
                <w:sz w:val="18"/>
                <w:szCs w:val="18"/>
                <w:color w:val="auto"/>
              </w:rPr>
            </w:pPr>
          </w:p>
        </w:tc>
        <w:tc>
          <w:tcPr>
            <w:tcW w:w="13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intangible assets: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6"/>
        </w:trPr>
        <w:tc>
          <w:tcPr>
            <w:tcW w:w="5080" w:type="dxa"/>
            <w:vAlign w:val="bottom"/>
            <w:tcBorders>
              <w:bottom w:val="single" w:sz="8" w:color="auto"/>
            </w:tcBorders>
            <w:shd w:val="clear" w:color="auto" w:fill="B2B2B2"/>
          </w:tcPr>
          <w:p>
            <w:pPr>
              <w:ind w:left="280"/>
              <w:spacing w:after="0" w:line="256"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9"/>
                <w:szCs w:val="29"/>
                <w:b w:val="1"/>
                <w:bCs w:val="1"/>
                <w:color w:val="auto"/>
                <w:vertAlign w:val="superscript"/>
              </w:rPr>
              <w:t>(1)</w:t>
            </w:r>
          </w:p>
        </w:tc>
        <w:tc>
          <w:tcPr>
            <w:tcW w:w="120" w:type="dxa"/>
            <w:vAlign w:val="bottom"/>
            <w:tcBorders>
              <w:bottom w:val="single" w:sz="8" w:color="auto"/>
            </w:tcBorders>
            <w:shd w:val="clear" w:color="auto" w:fill="B2B2B2"/>
          </w:tcPr>
          <w:p>
            <w:pPr>
              <w:spacing w:after="0"/>
              <w:rPr>
                <w:sz w:val="22"/>
                <w:szCs w:val="22"/>
                <w:color w:val="auto"/>
              </w:rPr>
            </w:pPr>
          </w:p>
        </w:tc>
        <w:tc>
          <w:tcPr>
            <w:tcW w:w="14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14,489</w:t>
            </w:r>
          </w:p>
        </w:tc>
        <w:tc>
          <w:tcPr>
            <w:tcW w:w="200" w:type="dxa"/>
            <w:vAlign w:val="bottom"/>
            <w:tcBorders>
              <w:bottom w:val="single" w:sz="8" w:color="auto"/>
            </w:tcBorders>
            <w:shd w:val="clear" w:color="auto" w:fill="B2B2B2"/>
          </w:tcPr>
          <w:p>
            <w:pPr>
              <w:spacing w:after="0"/>
              <w:rPr>
                <w:sz w:val="22"/>
                <w:szCs w:val="22"/>
                <w:color w:val="auto"/>
              </w:rPr>
            </w:pPr>
          </w:p>
        </w:tc>
        <w:tc>
          <w:tcPr>
            <w:tcW w:w="13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auto"/>
            </w:tcBorders>
            <w:shd w:val="clear" w:color="auto" w:fill="B2B2B2"/>
          </w:tcPr>
          <w:p>
            <w:pPr>
              <w:spacing w:after="0"/>
              <w:rPr>
                <w:sz w:val="22"/>
                <w:szCs w:val="22"/>
                <w:color w:val="auto"/>
              </w:rPr>
            </w:pPr>
          </w:p>
        </w:tc>
        <w:tc>
          <w:tcPr>
            <w:tcW w:w="100" w:type="dxa"/>
            <w:vAlign w:val="bottom"/>
            <w:tcBorders>
              <w:bottom w:val="single" w:sz="8" w:color="auto"/>
            </w:tcBorders>
            <w:shd w:val="clear" w:color="auto" w:fill="B2B2B2"/>
          </w:tcPr>
          <w:p>
            <w:pPr>
              <w:spacing w:after="0"/>
              <w:rPr>
                <w:sz w:val="22"/>
                <w:szCs w:val="22"/>
                <w:color w:val="auto"/>
              </w:rPr>
            </w:pPr>
          </w:p>
        </w:tc>
        <w:tc>
          <w:tcPr>
            <w:tcW w:w="14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14,489</w:t>
            </w:r>
          </w:p>
        </w:tc>
        <w:tc>
          <w:tcPr>
            <w:tcW w:w="200" w:type="dxa"/>
            <w:vAlign w:val="bottom"/>
            <w:tcBorders>
              <w:bottom w:val="single" w:sz="8" w:color="auto"/>
            </w:tcBorders>
            <w:shd w:val="clear" w:color="auto" w:fill="B2B2B2"/>
          </w:tcPr>
          <w:p>
            <w:pPr>
              <w:spacing w:after="0"/>
              <w:rPr>
                <w:sz w:val="22"/>
                <w:szCs w:val="22"/>
                <w:color w:val="auto"/>
              </w:rPr>
            </w:pPr>
          </w:p>
        </w:tc>
        <w:tc>
          <w:tcPr>
            <w:tcW w:w="13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7"/>
        </w:trPr>
        <w:tc>
          <w:tcPr>
            <w:tcW w:w="50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23,205</w:t>
            </w: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(5,520)</w:t>
            </w:r>
          </w:p>
        </w:tc>
        <w:tc>
          <w:tcPr>
            <w:tcW w:w="20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23,205</w:t>
            </w: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(4,662)</w:t>
            </w:r>
          </w:p>
        </w:tc>
      </w:tr>
    </w:tbl>
    <w:p>
      <w:pPr>
        <w:ind w:left="340" w:hanging="332"/>
        <w:spacing w:after="0" w:line="206" w:lineRule="auto"/>
        <w:tabs>
          <w:tab w:leader="none" w:pos="340" w:val="left"/>
        </w:tabs>
        <w:numPr>
          <w:ilvl w:val="0"/>
          <w:numId w:val="17"/>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Amortization through December 31, 2001 prior to adoption of ASC 350.</w:t>
      </w:r>
    </w:p>
    <w:p>
      <w:pPr>
        <w:spacing w:after="0" w:line="3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customer lists are amortized over 7 and 10 years; the patents over 18 years, the non-compete agreements over 2 and 5 years, software over 3 years and 7 years, the trade name over 20 years and other intangible assets over 15 years. Amortization of intangible assets amounted to $859,000, $563,000, and $442,000 for the years ended December 31, 2020, 2019 and 2018, respectively. Estimated future amortization of intangibles is $859,000 in 2021, $540,000 in both 2022 and 2023, $498,000 in 2024 and $489,000 in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Interest-Bearing Deposits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 consist of the following:</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320" w:type="dxa"/>
            <w:vAlign w:val="bottom"/>
            <w:shd w:val="clear" w:color="auto" w:fill="B2B2B2"/>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480,283</w:t>
            </w:r>
          </w:p>
        </w:tc>
        <w:tc>
          <w:tcPr>
            <w:tcW w:w="520" w:type="dxa"/>
            <w:vAlign w:val="bottom"/>
            <w:shd w:val="clear" w:color="auto" w:fill="B2B2B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322,027</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21,084</w:t>
            </w:r>
          </w:p>
        </w:tc>
        <w:tc>
          <w:tcPr>
            <w:tcW w:w="5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13,051</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320" w:type="dxa"/>
            <w:vAlign w:val="bottom"/>
            <w:shd w:val="clear" w:color="auto" w:fill="B2B2B2"/>
          </w:tcPr>
          <w:p>
            <w:pPr>
              <w:spacing w:after="0"/>
              <w:rPr>
                <w:sz w:val="18"/>
                <w:szCs w:val="18"/>
                <w:color w:val="auto"/>
              </w:rPr>
            </w:pPr>
          </w:p>
        </w:tc>
        <w:tc>
          <w:tcPr>
            <w:tcW w:w="7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than $100</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4,091</w:t>
            </w:r>
          </w:p>
        </w:tc>
        <w:tc>
          <w:tcPr>
            <w:tcW w:w="5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4,927</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$100 to less than $250</w:t>
            </w:r>
          </w:p>
        </w:tc>
        <w:tc>
          <w:tcPr>
            <w:tcW w:w="320" w:type="dxa"/>
            <w:vAlign w:val="bottom"/>
            <w:shd w:val="clear" w:color="auto" w:fill="B2B2B2"/>
          </w:tcPr>
          <w:p>
            <w:pPr>
              <w:spacing w:after="0"/>
              <w:rPr>
                <w:sz w:val="18"/>
                <w:szCs w:val="18"/>
                <w:color w:val="auto"/>
              </w:rPr>
            </w:pPr>
          </w:p>
        </w:tc>
        <w:tc>
          <w:tcPr>
            <w:tcW w:w="104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34,998</w:t>
            </w:r>
          </w:p>
        </w:tc>
        <w:tc>
          <w:tcPr>
            <w:tcW w:w="520" w:type="dxa"/>
            <w:vAlign w:val="bottom"/>
            <w:shd w:val="clear" w:color="auto" w:fill="B2B2B2"/>
          </w:tcPr>
          <w:p>
            <w:pPr>
              <w:spacing w:after="0"/>
              <w:rPr>
                <w:sz w:val="18"/>
                <w:szCs w:val="18"/>
                <w:color w:val="auto"/>
              </w:rPr>
            </w:pPr>
          </w:p>
        </w:tc>
        <w:tc>
          <w:tcPr>
            <w:tcW w:w="840" w:type="dxa"/>
            <w:vAlign w:val="bottom"/>
            <w:gridSpan w:val="2"/>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48,353</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$250 or more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16,896</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17,687</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B2B2B2"/>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557,352</w:t>
            </w:r>
          </w:p>
        </w:tc>
        <w:tc>
          <w:tcPr>
            <w:tcW w:w="520" w:type="dxa"/>
            <w:vAlign w:val="bottom"/>
            <w:tcBorders>
              <w:bottom w:val="single" w:sz="8" w:color="auto"/>
            </w:tcBorders>
            <w:shd w:val="clear" w:color="auto" w:fill="B2B2B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406,045</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interest rate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deposits consists of the following:</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6"/>
        </w:trPr>
        <w:tc>
          <w:tcPr>
            <w:tcW w:w="62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320" w:type="dxa"/>
            <w:vAlign w:val="bottom"/>
            <w:shd w:val="clear" w:color="auto" w:fill="B2B2B2"/>
          </w:tcPr>
          <w:p>
            <w:pPr>
              <w:spacing w:after="0"/>
              <w:rPr>
                <w:sz w:val="18"/>
                <w:szCs w:val="18"/>
                <w:color w:val="auto"/>
              </w:rPr>
            </w:pPr>
          </w:p>
        </w:tc>
        <w:tc>
          <w:tcPr>
            <w:tcW w:w="1040" w:type="dxa"/>
            <w:vAlign w:val="bottom"/>
            <w:gridSpan w:val="2"/>
            <w:shd w:val="clear" w:color="auto" w:fill="B2B2B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B2B2B2"/>
          </w:tcPr>
          <w:p>
            <w:pPr>
              <w:spacing w:after="0"/>
              <w:rPr>
                <w:sz w:val="18"/>
                <w:szCs w:val="18"/>
                <w:color w:val="auto"/>
              </w:rPr>
            </w:pPr>
          </w:p>
        </w:tc>
        <w:tc>
          <w:tcPr>
            <w:tcW w:w="4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93"/>
              </w:rPr>
              <w:t>1,313</w:t>
            </w:r>
          </w:p>
        </w:tc>
        <w:tc>
          <w:tcPr>
            <w:tcW w:w="40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2B2B2"/>
          </w:tcPr>
          <w:p>
            <w:pPr>
              <w:spacing w:after="0"/>
              <w:rPr>
                <w:sz w:val="18"/>
                <w:szCs w:val="18"/>
                <w:color w:val="auto"/>
              </w:rPr>
            </w:pPr>
          </w:p>
        </w:tc>
        <w:tc>
          <w:tcPr>
            <w:tcW w:w="7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500" w:type="dxa"/>
            <w:vAlign w:val="bottom"/>
            <w:shd w:val="clear" w:color="auto" w:fill="B2B2B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62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320" w:type="dxa"/>
            <w:vAlign w:val="bottom"/>
            <w:shd w:val="clear" w:color="auto" w:fill="B2B2B2"/>
          </w:tcPr>
          <w:p>
            <w:pPr>
              <w:spacing w:after="0"/>
              <w:rPr>
                <w:sz w:val="18"/>
                <w:szCs w:val="18"/>
                <w:color w:val="auto"/>
              </w:rPr>
            </w:pPr>
          </w:p>
        </w:tc>
        <w:tc>
          <w:tcPr>
            <w:tcW w:w="7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72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than $100</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628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$100 to less than $250</w:t>
            </w:r>
          </w:p>
        </w:tc>
        <w:tc>
          <w:tcPr>
            <w:tcW w:w="320" w:type="dxa"/>
            <w:vAlign w:val="bottom"/>
            <w:shd w:val="clear" w:color="auto" w:fill="B2B2B2"/>
          </w:tcPr>
          <w:p>
            <w:pPr>
              <w:spacing w:after="0"/>
              <w:rPr>
                <w:sz w:val="18"/>
                <w:szCs w:val="18"/>
                <w:color w:val="auto"/>
              </w:rPr>
            </w:pPr>
          </w:p>
        </w:tc>
        <w:tc>
          <w:tcPr>
            <w:tcW w:w="7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4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7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50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$250 or more</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auto"/>
            </w:tcBorders>
            <w:shd w:val="clear" w:color="auto" w:fill="B2B2B2"/>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gridSpan w:val="2"/>
            <w:shd w:val="clear" w:color="auto" w:fill="B2B2B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B2B2B2"/>
          </w:tcPr>
          <w:p>
            <w:pPr>
              <w:spacing w:after="0"/>
              <w:rPr>
                <w:sz w:val="18"/>
                <w:szCs w:val="18"/>
                <w:color w:val="auto"/>
              </w:rPr>
            </w:pPr>
          </w:p>
        </w:tc>
        <w:tc>
          <w:tcPr>
            <w:tcW w:w="44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2,360</w:t>
            </w:r>
          </w:p>
        </w:tc>
        <w:tc>
          <w:tcPr>
            <w:tcW w:w="400" w:type="dxa"/>
            <w:vAlign w:val="bottom"/>
            <w:tcBorders>
              <w:bottom w:val="single" w:sz="8" w:color="auto"/>
            </w:tcBorders>
            <w:shd w:val="clear" w:color="auto" w:fill="B2B2B2"/>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2B2B2"/>
          </w:tcPr>
          <w:p>
            <w:pPr>
              <w:spacing w:after="0"/>
              <w:rPr>
                <w:sz w:val="18"/>
                <w:szCs w:val="18"/>
                <w:color w:val="auto"/>
              </w:rPr>
            </w:pPr>
          </w:p>
        </w:tc>
        <w:tc>
          <w:tcPr>
            <w:tcW w:w="72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5,191</w:t>
            </w:r>
          </w:p>
        </w:tc>
        <w:tc>
          <w:tcPr>
            <w:tcW w:w="500" w:type="dxa"/>
            <w:vAlign w:val="bottom"/>
            <w:tcBorders>
              <w:bottom w:val="single" w:sz="8" w:color="auto"/>
            </w:tcBorders>
            <w:shd w:val="clear" w:color="auto" w:fill="B2B2B2"/>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293"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8"/>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The scheduled maturities of time deposits are summarized as follows:</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1"/>
        </w:trPr>
        <w:tc>
          <w:tcPr>
            <w:tcW w:w="6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60" w:type="dxa"/>
            <w:vAlign w:val="bottom"/>
            <w:tcBorders>
              <w:bottom w:val="single" w:sz="8" w:color="auto"/>
            </w:tcBorders>
          </w:tcPr>
          <w:p>
            <w:pPr>
              <w:spacing w:after="0"/>
              <w:rPr>
                <w:sz w:val="24"/>
                <w:szCs w:val="24"/>
                <w:color w:val="auto"/>
              </w:rPr>
            </w:pPr>
          </w:p>
        </w:tc>
      </w:tr>
      <w:tr>
        <w:trPr>
          <w:trHeight w:val="210"/>
        </w:trPr>
        <w:tc>
          <w:tcPr>
            <w:tcW w:w="6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860" w:type="dxa"/>
            <w:vAlign w:val="bottom"/>
            <w:tcBorders>
              <w:bottom w:val="single" w:sz="8" w:color="auto"/>
            </w:tcBorders>
          </w:tcPr>
          <w:p>
            <w:pPr>
              <w:spacing w:after="0"/>
              <w:rPr>
                <w:sz w:val="18"/>
                <w:szCs w:val="18"/>
                <w:color w:val="auto"/>
              </w:rPr>
            </w:pPr>
          </w:p>
        </w:tc>
      </w:tr>
      <w:tr>
        <w:trPr>
          <w:trHeight w:val="187"/>
        </w:trPr>
        <w:tc>
          <w:tcPr>
            <w:tcW w:w="6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of Total</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of Total</w:t>
            </w:r>
          </w:p>
        </w:tc>
      </w:tr>
      <w:tr>
        <w:trPr>
          <w:trHeight w:val="216"/>
        </w:trPr>
        <w:tc>
          <w:tcPr>
            <w:tcW w:w="68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Due within:</w:t>
            </w: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r>
      <w:tr>
        <w:trPr>
          <w:trHeight w:val="216"/>
        </w:trPr>
        <w:tc>
          <w:tcPr>
            <w:tcW w:w="6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One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39,575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47,881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16"/>
        </w:trPr>
        <w:tc>
          <w:tcPr>
            <w:tcW w:w="682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Two years</w:t>
            </w: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10,470</w:t>
            </w:r>
          </w:p>
        </w:tc>
        <w:tc>
          <w:tcPr>
            <w:tcW w:w="86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15,813</w:t>
            </w:r>
          </w:p>
        </w:tc>
        <w:tc>
          <w:tcPr>
            <w:tcW w:w="86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6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Three years</w:t>
            </w:r>
          </w:p>
        </w:tc>
        <w:tc>
          <w:tcPr>
            <w:tcW w:w="12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5,892</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5,584</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82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Four years</w:t>
            </w: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1,689</w:t>
            </w:r>
          </w:p>
        </w:tc>
        <w:tc>
          <w:tcPr>
            <w:tcW w:w="860" w:type="dxa"/>
            <w:vAlign w:val="bottom"/>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8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Five years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820" w:type="dxa"/>
            <w:vAlign w:val="bottom"/>
            <w:tcBorders>
              <w:bottom w:val="single" w:sz="8" w:color="auto"/>
            </w:tcBorders>
            <w:shd w:val="clear" w:color="auto" w:fill="B2B2B2"/>
          </w:tcPr>
          <w:p>
            <w:pPr>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B2B2B2"/>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55,985</w:t>
            </w:r>
          </w:p>
        </w:tc>
        <w:tc>
          <w:tcPr>
            <w:tcW w:w="86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bottom w:val="single" w:sz="8" w:color="auto"/>
            </w:tcBorders>
            <w:gridSpan w:val="2"/>
            <w:shd w:val="clear" w:color="auto" w:fill="B2B2B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2B2B2"/>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70,967</w:t>
            </w:r>
          </w:p>
        </w:tc>
        <w:tc>
          <w:tcPr>
            <w:tcW w:w="86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Unused Available Lines of Credit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2020, the Bank had unsecured lines of credit at correspondent banks to purchase federal funds up to a maximum of $83,000,000 at the following banks: US Bank, $20,000,000; UMB Bank $20,000,000; Wells Fargo Bank, $15,000,000; PNC Bank, $12,000,000; Frost National Bank, $10,000,000; and JPM Chase Bank, $6,000,000. As of December 31, 2020, the Bank had secured lines of credit with the Federal Home Loan Bank of $191,992,000 collateralized by commercial mortgage loans. At December 31, 2020, the Company had lines of credit from UMB Bank of $75,000,000 and First Tennessee Bank of $75,000,000 collateralized by state and political subdivision securities. Under the lines of credit discussed above, there were no amounts outstanding at December 31, 2020 and $18,000,000 outstanding at December 31, 2019. The amount outstanding at the end of the 2019 was borrowed on December 31, 2019 and repaid on January 2, 2020.</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lines of credit discussed above, as of April 21, 2020 the Bank was approved for the Federal Reserve’s Paycheck Protection Program Lending Facility. The Bank can receive non-recourse loans with the previously mentioned PPP loans pledged as collateral. The Bank can borrow an amount up to 100% of the amount of the PPP loans, which was $109,704,000 as of December 31, 2020. There was no amount outstanding at December 31, 2020 for this line of credit.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and Earnings per Share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activity in the outstanding shares of the Company’s common stock during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6"/>
        </w:trPr>
        <w:tc>
          <w:tcPr>
            <w:tcW w:w="43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Shares outstanding at January 1</w:t>
            </w:r>
          </w:p>
        </w:tc>
        <w:tc>
          <w:tcPr>
            <w:tcW w:w="23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14,514,366</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2380" w:type="dxa"/>
            <w:vAlign w:val="bottom"/>
          </w:tcPr>
          <w:p>
            <w:pPr>
              <w:spacing w:after="0"/>
              <w:rPr>
                <w:sz w:val="18"/>
                <w:szCs w:val="18"/>
                <w:color w:val="auto"/>
              </w:rPr>
            </w:pPr>
          </w:p>
        </w:tc>
      </w:tr>
      <w:tr>
        <w:trPr>
          <w:trHeight w:val="216"/>
        </w:trPr>
        <w:tc>
          <w:tcPr>
            <w:tcW w:w="436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Employee restricted stock grants</w:t>
            </w:r>
          </w:p>
        </w:tc>
        <w:tc>
          <w:tcPr>
            <w:tcW w:w="23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7,748</w:t>
            </w:r>
          </w:p>
        </w:tc>
      </w:tr>
      <w:tr>
        <w:trPr>
          <w:trHeight w:val="216"/>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Employee restricted stock unit vests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16"/>
        </w:trPr>
        <w:tc>
          <w:tcPr>
            <w:tcW w:w="436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Performance-based stock</w:t>
            </w:r>
          </w:p>
        </w:tc>
        <w:tc>
          <w:tcPr>
            <w:tcW w:w="23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20,287</w:t>
            </w:r>
          </w:p>
        </w:tc>
      </w:tr>
      <w:tr>
        <w:trPr>
          <w:trHeight w:val="216"/>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Employee SARs exercised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r>
      <w:tr>
        <w:trPr>
          <w:trHeight w:val="216"/>
        </w:trPr>
        <w:tc>
          <w:tcPr>
            <w:tcW w:w="436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Directors’ compensation</w:t>
            </w:r>
          </w:p>
        </w:tc>
        <w:tc>
          <w:tcPr>
            <w:tcW w:w="23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12,757</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(162,901)</w:t>
            </w:r>
          </w:p>
        </w:tc>
      </w:tr>
      <w:tr>
        <w:trPr>
          <w:trHeight w:val="216"/>
        </w:trPr>
        <w:tc>
          <w:tcPr>
            <w:tcW w:w="436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Shares forfeited</w:t>
            </w:r>
          </w:p>
        </w:tc>
        <w:tc>
          <w:tcPr>
            <w:tcW w:w="23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(4,962)</w:t>
            </w:r>
          </w:p>
        </w:tc>
      </w:tr>
      <w:tr>
        <w:trPr>
          <w:trHeight w:val="216"/>
        </w:trPr>
        <w:tc>
          <w:tcPr>
            <w:tcW w:w="43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Shares outstanding at December 31</w:t>
            </w:r>
          </w:p>
        </w:tc>
        <w:tc>
          <w:tcPr>
            <w:tcW w:w="2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14,392,669</w:t>
            </w:r>
          </w:p>
        </w:tc>
      </w:tr>
    </w:tbl>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common shares outstanding. Diluted earnings per share is computed by dividing net income by the sum of the weighted average number of common shares outstanding and the weighted 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 Anti-dilutive shares are those SARs with prices in excess of the current market value.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calculations of basic and diluted earnings per share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r>
        <w:trPr>
          <w:trHeight w:val="223"/>
        </w:trPr>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6"/>
        </w:trPr>
        <w:tc>
          <w:tcPr>
            <w:tcW w:w="70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25,176</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30,268</w:t>
            </w:r>
          </w:p>
        </w:tc>
      </w:tr>
      <w:tr>
        <w:trPr>
          <w:trHeight w:val="216"/>
        </w:trPr>
        <w:tc>
          <w:tcPr>
            <w:tcW w:w="708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5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14,364,406</w:t>
            </w: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14,434,445</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14,675,136</w:t>
            </w:r>
          </w:p>
        </w:tc>
      </w:tr>
      <w:tr>
        <w:trPr>
          <w:trHeight w:val="223"/>
        </w:trPr>
        <w:tc>
          <w:tcPr>
            <w:tcW w:w="7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70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25,176</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30,268</w:t>
            </w:r>
          </w:p>
        </w:tc>
      </w:tr>
      <w:tr>
        <w:trPr>
          <w:trHeight w:val="216"/>
        </w:trPr>
        <w:tc>
          <w:tcPr>
            <w:tcW w:w="708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5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14,364,406</w:t>
            </w: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14,434,445</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14,675,136</w:t>
            </w: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dilutive restricted stock, performance based restricted stock (“PBRS”), and SARs</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202,541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257,480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239,066</w:t>
            </w:r>
          </w:p>
        </w:tc>
      </w:tr>
      <w:tr>
        <w:trPr>
          <w:trHeight w:val="216"/>
        </w:trPr>
        <w:tc>
          <w:tcPr>
            <w:tcW w:w="708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Weighted average common shares outstanding assuming dilution</w:t>
            </w:r>
          </w:p>
        </w:tc>
        <w:tc>
          <w:tcPr>
            <w:tcW w:w="5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14,566,947</w:t>
            </w: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14,691,925</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14,914,202</w:t>
            </w:r>
          </w:p>
        </w:tc>
      </w:tr>
      <w:tr>
        <w:trPr>
          <w:trHeight w:val="223"/>
        </w:trPr>
        <w:tc>
          <w:tcPr>
            <w:tcW w:w="7080" w:type="dxa"/>
            <w:vAlign w:val="bottom"/>
            <w:tcBorders>
              <w:bottom w:val="single" w:sz="8" w:color="auto"/>
            </w:tcBorders>
          </w:tcPr>
          <w:p>
            <w:pPr>
              <w:ind w:left="820"/>
              <w:spacing w:after="0" w:line="202" w:lineRule="exact"/>
              <w:rPr>
                <w:sz w:val="20"/>
                <w:szCs w:val="20"/>
                <w:color w:val="auto"/>
              </w:rPr>
            </w:pPr>
            <w:r>
              <w:rPr>
                <w:rFonts w:ascii="Times New Roman" w:cs="Times New Roman" w:eastAsia="Times New Roman" w:hAnsi="Times New Roman"/>
                <w:sz w:val="18"/>
                <w:szCs w:val="18"/>
                <w:color w:val="auto"/>
              </w:rPr>
              <w:t>Diluted earnings per share</w:t>
            </w:r>
          </w:p>
        </w:tc>
        <w:tc>
          <w:tcPr>
            <w:tcW w:w="500" w:type="dxa"/>
            <w:vAlign w:val="bottom"/>
            <w:tcBorders>
              <w:bottom w:val="single" w:sz="8" w:color="auto"/>
            </w:tcBorders>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1.73</w:t>
            </w:r>
          </w:p>
        </w:tc>
        <w:tc>
          <w:tcPr>
            <w:tcW w:w="300" w:type="dxa"/>
            <w:vAlign w:val="bottom"/>
            <w:tcBorders>
              <w:bottom w:val="single" w:sz="8" w:color="auto"/>
            </w:tcBorders>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2.07</w:t>
            </w:r>
          </w:p>
        </w:tc>
        <w:tc>
          <w:tcPr>
            <w:tcW w:w="300" w:type="dxa"/>
            <w:vAlign w:val="bottom"/>
            <w:tcBorders>
              <w:bottom w:val="single" w:sz="8" w:color="auto"/>
            </w:tcBorders>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2.03</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Plan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a noncontributory defined-benefit pension plan (the “Plan”), which covers eligible employees. Effective December 31, 2016, the Plan was closed to all new participants. Additionally, prior to the end of 2020, the Company notified existing participants that benefits would be frozen as of February 28, 2021. The freezing of the benefits reduced the projected benefit obligation by $18,322,000 at December 31, 2020.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w:t>
      </w:r>
    </w:p>
    <w:p>
      <w:pPr>
        <w:spacing w:after="0" w:line="1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activity in the Plan’s projected benefit obligation, assets, funded status and amounts recognized in the Company’s consolidated balance sheets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6"/>
        </w:trPr>
        <w:tc>
          <w:tcPr>
            <w:tcW w:w="42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52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16"/>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Balance, January 1</w:t>
            </w:r>
          </w:p>
        </w:tc>
        <w:tc>
          <w:tcPr>
            <w:tcW w:w="2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119,827</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96,401</w:t>
            </w:r>
          </w:p>
        </w:tc>
      </w:tr>
      <w:tr>
        <w:trPr>
          <w:trHeight w:val="216"/>
        </w:trPr>
        <w:tc>
          <w:tcPr>
            <w:tcW w:w="424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Service cost</w:t>
            </w:r>
          </w:p>
        </w:tc>
        <w:tc>
          <w:tcPr>
            <w:tcW w:w="252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4,329</w:t>
            </w:r>
          </w:p>
        </w:tc>
        <w:tc>
          <w:tcPr>
            <w:tcW w:w="38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3,554</w:t>
            </w:r>
          </w:p>
        </w:tc>
      </w:tr>
      <w:tr>
        <w:trPr>
          <w:trHeight w:val="216"/>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cost</w:t>
            </w:r>
          </w:p>
        </w:tc>
        <w:tc>
          <w:tcPr>
            <w:tcW w:w="25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3,908</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r>
      <w:tr>
        <w:trPr>
          <w:trHeight w:val="216"/>
        </w:trPr>
        <w:tc>
          <w:tcPr>
            <w:tcW w:w="424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Actuarial loss</w:t>
            </w:r>
          </w:p>
        </w:tc>
        <w:tc>
          <w:tcPr>
            <w:tcW w:w="252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15,087</w:t>
            </w:r>
          </w:p>
        </w:tc>
        <w:tc>
          <w:tcPr>
            <w:tcW w:w="38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18,334</w:t>
            </w:r>
          </w:p>
        </w:tc>
      </w:tr>
      <w:tr>
        <w:trPr>
          <w:trHeight w:val="216"/>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Plan amendments</w:t>
            </w:r>
          </w:p>
        </w:tc>
        <w:tc>
          <w:tcPr>
            <w:tcW w:w="2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(18,322)</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Borders>
              <w:bottom w:val="single" w:sz="8" w:color="auto"/>
            </w:tcBorders>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Benefits paid</w:t>
            </w:r>
          </w:p>
        </w:tc>
        <w:tc>
          <w:tcPr>
            <w:tcW w:w="252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38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(2,565)</w:t>
            </w:r>
          </w:p>
        </w:tc>
      </w:tr>
      <w:tr>
        <w:trPr>
          <w:trHeight w:val="210"/>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December 31</w:t>
            </w:r>
          </w:p>
        </w:tc>
        <w:tc>
          <w:tcPr>
            <w:tcW w:w="2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122,035</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119,827</w:t>
            </w:r>
          </w:p>
        </w:tc>
      </w:tr>
      <w:tr>
        <w:trPr>
          <w:trHeight w:val="209"/>
        </w:trPr>
        <w:tc>
          <w:tcPr>
            <w:tcW w:w="42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Plan assets:</w:t>
            </w:r>
          </w:p>
        </w:tc>
        <w:tc>
          <w:tcPr>
            <w:tcW w:w="252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16"/>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Fair value, January 1</w:t>
            </w:r>
          </w:p>
        </w:tc>
        <w:tc>
          <w:tcPr>
            <w:tcW w:w="2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94,634</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74,580</w:t>
            </w:r>
          </w:p>
        </w:tc>
      </w:tr>
      <w:tr>
        <w:trPr>
          <w:trHeight w:val="216"/>
        </w:trPr>
        <w:tc>
          <w:tcPr>
            <w:tcW w:w="424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Actual return</w:t>
            </w:r>
          </w:p>
        </w:tc>
        <w:tc>
          <w:tcPr>
            <w:tcW w:w="252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14,827</w:t>
            </w:r>
          </w:p>
        </w:tc>
        <w:tc>
          <w:tcPr>
            <w:tcW w:w="38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15,719</w:t>
            </w:r>
          </w:p>
        </w:tc>
      </w:tr>
      <w:tr>
        <w:trPr>
          <w:trHeight w:val="216"/>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Employer contribution</w:t>
            </w:r>
          </w:p>
        </w:tc>
        <w:tc>
          <w:tcPr>
            <w:tcW w:w="25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216"/>
        </w:trPr>
        <w:tc>
          <w:tcPr>
            <w:tcW w:w="4240" w:type="dxa"/>
            <w:vAlign w:val="bottom"/>
            <w:tcBorders>
              <w:bottom w:val="single" w:sz="8" w:color="auto"/>
            </w:tcBorders>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Benefits paid</w:t>
            </w:r>
          </w:p>
        </w:tc>
        <w:tc>
          <w:tcPr>
            <w:tcW w:w="252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38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(2,565)</w:t>
            </w:r>
          </w:p>
        </w:tc>
      </w:tr>
      <w:tr>
        <w:trPr>
          <w:trHeight w:val="210"/>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Fair value, December 31</w:t>
            </w:r>
          </w:p>
        </w:tc>
        <w:tc>
          <w:tcPr>
            <w:tcW w:w="2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106,667</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94,634</w:t>
            </w:r>
          </w:p>
        </w:tc>
      </w:tr>
      <w:tr>
        <w:trPr>
          <w:trHeight w:val="209"/>
        </w:trPr>
        <w:tc>
          <w:tcPr>
            <w:tcW w:w="42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252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23"/>
        </w:trPr>
        <w:tc>
          <w:tcPr>
            <w:tcW w:w="42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Accrued pension liability</w:t>
            </w:r>
          </w:p>
        </w:tc>
        <w:tc>
          <w:tcPr>
            <w:tcW w:w="2520" w:type="dxa"/>
            <w:vAlign w:val="bottom"/>
            <w:tcBorders>
              <w:bottom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(15,368)</w:t>
            </w:r>
          </w:p>
        </w:tc>
        <w:tc>
          <w:tcPr>
            <w:tcW w:w="380" w:type="dxa"/>
            <w:vAlign w:val="bottom"/>
            <w:tcBorders>
              <w:bottom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(25,192)</w:t>
            </w:r>
          </w:p>
        </w:tc>
      </w:tr>
    </w:tbl>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represent the major assumptions used to determine the projected benefit obligation of the Plan. For 2020, 2019 and 2018, the Plan’s expected benefit cash flows were discounted using the FTSE Above Median Double-A Curve. For 2020, the Pri-2012 Mortality Table and MP-2020 Mortality Improvement Scale were used. For 2019, the Pri-2012 Mortality Table and MP-2019 Mortality Improvement Scale were used. For 2018, the RP-2014 Mortality Table and the MP-2018 Mortality Improvement Scale were used.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6"/>
        </w:trPr>
        <w:tc>
          <w:tcPr>
            <w:tcW w:w="58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7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2.55%</w:t>
            </w:r>
          </w:p>
        </w:tc>
        <w:tc>
          <w:tcPr>
            <w:tcW w:w="94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3.30%</w:t>
            </w:r>
          </w:p>
        </w:tc>
        <w:tc>
          <w:tcPr>
            <w:tcW w:w="7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3720" w:type="dxa"/>
            <w:vAlign w:val="bottom"/>
          </w:tcPr>
          <w:p>
            <w:pPr>
              <w:jc w:val="center"/>
              <w:ind w:left="2790"/>
              <w:spacing w:after="0"/>
              <w:rPr>
                <w:sz w:val="20"/>
                <w:szCs w:val="20"/>
                <w:color w:val="auto"/>
              </w:rPr>
            </w:pPr>
            <w:r>
              <w:rPr>
                <w:rFonts w:ascii="Times New Roman" w:cs="Times New Roman" w:eastAsia="Times New Roman" w:hAnsi="Times New Roman"/>
                <w:sz w:val="18"/>
                <w:szCs w:val="18"/>
                <w:color w:val="auto"/>
                <w:w w:val="99"/>
              </w:rPr>
              <w:t>(a)</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7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w:t>
            </w: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6.0% graded down to 3.25% over the first seven years of service.</w:t>
      </w:r>
    </w:p>
    <w:p>
      <w:pPr>
        <w:sectPr>
          <w:pgSz w:w="11900" w:h="16838" w:orient="portrait"/>
          <w:cols w:equalWidth="0" w:num="1">
            <w:col w:w="11240"/>
          </w:cols>
          <w:pgMar w:left="320" w:top="293"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accumulated benefit obligation was $121,095,000 and $103,736,000 as of December 31, 2020 and 2019, respectively. The Company did not make a contribution during 2020, while in 2019 a contribution of $6,900,000 was made to the Plan. The Company has not determined if it will make a contribution to the Plan in 2021. The following pension benefit payments, which reflect expected future service, as appropriate, are expected to be paid by the Plan: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00" w:type="dxa"/>
            <w:vAlign w:val="bottom"/>
          </w:tcPr>
          <w:p>
            <w:pPr>
              <w:spacing w:after="0"/>
              <w:rPr>
                <w:sz w:val="21"/>
                <w:szCs w:val="21"/>
                <w:color w:val="auto"/>
              </w:rPr>
            </w:pPr>
          </w:p>
        </w:tc>
        <w:tc>
          <w:tcPr>
            <w:tcW w:w="346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3300" w:type="dxa"/>
            <w:vAlign w:val="bottom"/>
            <w:tcBorders>
              <w:top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2021</w:t>
            </w:r>
          </w:p>
        </w:tc>
        <w:tc>
          <w:tcPr>
            <w:tcW w:w="344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$ 3,357,000</w:t>
            </w:r>
          </w:p>
        </w:tc>
        <w:tc>
          <w:tcPr>
            <w:tcW w:w="2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3,735,000</w:t>
            </w:r>
          </w:p>
        </w:tc>
        <w:tc>
          <w:tcPr>
            <w:tcW w:w="20" w:type="dxa"/>
            <w:vAlign w:val="bottom"/>
          </w:tcPr>
          <w:p>
            <w:pPr>
              <w:spacing w:after="0"/>
              <w:rPr>
                <w:sz w:val="18"/>
                <w:szCs w:val="18"/>
                <w:color w:val="auto"/>
              </w:rPr>
            </w:pPr>
          </w:p>
        </w:tc>
      </w:tr>
      <w:tr>
        <w:trPr>
          <w:trHeight w:val="216"/>
        </w:trPr>
        <w:tc>
          <w:tcPr>
            <w:tcW w:w="33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2023</w:t>
            </w:r>
          </w:p>
        </w:tc>
        <w:tc>
          <w:tcPr>
            <w:tcW w:w="34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4,118,000</w:t>
            </w:r>
          </w:p>
        </w:tc>
        <w:tc>
          <w:tcPr>
            <w:tcW w:w="2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4,340,000</w:t>
            </w:r>
          </w:p>
        </w:tc>
        <w:tc>
          <w:tcPr>
            <w:tcW w:w="20" w:type="dxa"/>
            <w:vAlign w:val="bottom"/>
          </w:tcPr>
          <w:p>
            <w:pPr>
              <w:spacing w:after="0"/>
              <w:rPr>
                <w:sz w:val="18"/>
                <w:szCs w:val="18"/>
                <w:color w:val="auto"/>
              </w:rPr>
            </w:pPr>
          </w:p>
        </w:tc>
      </w:tr>
      <w:tr>
        <w:trPr>
          <w:trHeight w:val="216"/>
        </w:trPr>
        <w:tc>
          <w:tcPr>
            <w:tcW w:w="33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2025</w:t>
            </w:r>
          </w:p>
        </w:tc>
        <w:tc>
          <w:tcPr>
            <w:tcW w:w="34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4,534,000</w:t>
            </w:r>
          </w:p>
        </w:tc>
        <w:tc>
          <w:tcPr>
            <w:tcW w:w="20" w:type="dxa"/>
            <w:vAlign w:val="bottom"/>
          </w:tcPr>
          <w:p>
            <w:pPr>
              <w:spacing w:after="0"/>
              <w:rPr>
                <w:sz w:val="18"/>
                <w:szCs w:val="18"/>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2026-2030</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25,820,000</w:t>
            </w:r>
          </w:p>
        </w:tc>
        <w:tc>
          <w:tcPr>
            <w:tcW w:w="20" w:type="dxa"/>
            <w:vAlign w:val="bottom"/>
          </w:tcPr>
          <w:p>
            <w:pPr>
              <w:spacing w:after="0"/>
              <w:rPr>
                <w:sz w:val="20"/>
                <w:szCs w:val="20"/>
                <w:color w:val="auto"/>
              </w:rPr>
            </w:pPr>
          </w:p>
        </w:tc>
      </w:tr>
    </w:tbl>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The Plan’s pension cost included the following components:</w:t>
            </w: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5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6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6"/>
        </w:trPr>
        <w:tc>
          <w:tcPr>
            <w:tcW w:w="56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1620" w:type="dxa"/>
            <w:vAlign w:val="bottom"/>
            <w:gridSpan w:val="2"/>
            <w:shd w:val="clear" w:color="auto" w:fill="B2B2B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2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3,555</w:t>
            </w:r>
          </w:p>
        </w:tc>
        <w:tc>
          <w:tcPr>
            <w:tcW w:w="32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4,017</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2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4,103</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3,703</w:t>
            </w:r>
          </w:p>
        </w:tc>
        <w:tc>
          <w:tcPr>
            <w:tcW w:w="0" w:type="dxa"/>
            <w:vAlign w:val="bottom"/>
          </w:tcPr>
          <w:p>
            <w:pPr>
              <w:spacing w:after="0"/>
              <w:rPr>
                <w:sz w:val="1"/>
                <w:szCs w:val="1"/>
                <w:color w:val="auto"/>
              </w:rPr>
            </w:pPr>
          </w:p>
        </w:tc>
      </w:tr>
      <w:tr>
        <w:trPr>
          <w:trHeight w:val="216"/>
        </w:trPr>
        <w:tc>
          <w:tcPr>
            <w:tcW w:w="56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3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240" w:type="dxa"/>
            <w:vAlign w:val="bottom"/>
            <w:shd w:val="clear" w:color="auto" w:fill="B2B2B2"/>
          </w:tcPr>
          <w:p>
            <w:pPr>
              <w:spacing w:after="0"/>
              <w:rPr>
                <w:sz w:val="18"/>
                <w:szCs w:val="18"/>
                <w:color w:val="auto"/>
              </w:rPr>
            </w:pPr>
          </w:p>
        </w:tc>
        <w:tc>
          <w:tcPr>
            <w:tcW w:w="132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(4,753)</w:t>
            </w:r>
          </w:p>
        </w:tc>
        <w:tc>
          <w:tcPr>
            <w:tcW w:w="3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1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1,559</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auto"/>
            </w:tcBorders>
            <w:shd w:val="clear" w:color="auto" w:fill="B2B2B2"/>
          </w:tcPr>
          <w:p>
            <w:pPr>
              <w:spacing w:after="0" w:line="202" w:lineRule="exact"/>
              <w:rPr>
                <w:sz w:val="20"/>
                <w:szCs w:val="20"/>
                <w:color w:val="auto"/>
              </w:rPr>
            </w:pPr>
            <w:r>
              <w:rPr>
                <w:rFonts w:ascii="Times New Roman" w:cs="Times New Roman" w:eastAsia="Times New Roman" w:hAnsi="Times New Roman"/>
                <w:sz w:val="18"/>
                <w:szCs w:val="18"/>
                <w:color w:val="auto"/>
              </w:rPr>
              <w:t>Net periodic pension cost</w:t>
            </w:r>
          </w:p>
        </w:tc>
        <w:tc>
          <w:tcPr>
            <w:tcW w:w="1620" w:type="dxa"/>
            <w:vAlign w:val="bottom"/>
            <w:tcBorders>
              <w:bottom w:val="single" w:sz="8" w:color="auto"/>
            </w:tcBorders>
            <w:gridSpan w:val="2"/>
            <w:shd w:val="clear" w:color="auto" w:fill="B2B2B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4,134</w:t>
            </w:r>
          </w:p>
        </w:tc>
        <w:tc>
          <w:tcPr>
            <w:tcW w:w="24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2B2B2"/>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4,464</w:t>
            </w:r>
          </w:p>
        </w:tc>
        <w:tc>
          <w:tcPr>
            <w:tcW w:w="320" w:type="dxa"/>
            <w:vAlign w:val="bottom"/>
            <w:tcBorders>
              <w:bottom w:val="single" w:sz="8" w:color="auto"/>
            </w:tcBorders>
            <w:shd w:val="clear" w:color="auto" w:fill="B2B2B2"/>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2B2B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4,040</w:t>
            </w: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represent the major assumptions used to determine the net pension cost of the Plan:</w:t>
            </w:r>
          </w:p>
        </w:tc>
        <w:tc>
          <w:tcPr>
            <w:tcW w:w="1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9"/>
        </w:trPr>
        <w:tc>
          <w:tcPr>
            <w:tcW w:w="77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6"/>
        </w:trPr>
        <w:tc>
          <w:tcPr>
            <w:tcW w:w="77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4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3.30%</w:t>
            </w: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4.30%</w:t>
            </w: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7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Expected long-term rate of return on assets</w:t>
            </w:r>
          </w:p>
        </w:tc>
        <w:tc>
          <w:tcPr>
            <w:tcW w:w="154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6.50%</w:t>
            </w: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6.50%</w:t>
            </w: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6.50%</w:t>
            </w: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6.0% graded down to 3.25% over the first seven years of service</w:t>
      </w: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2020, the Pri-2012 Mortality Table and the MP-2019 Mortality Improvement Table were used. For 2019, the RP-2014 Mortality Table and the MP-2018 Mortality Improvement Table were used. For 2018, the RP-2014 Mortality Table and the MP-2017 Mortality Improvement Table were used.</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investment objective for the Plan is to maximize total return with a tolerance for average risk. Asset allocation is a balance between fixed income and equity investments, with a target allocation of approximately 51% fixed income, 19% U.S. equity and 30% non-U.S. equity. Due to volatility in the market, this target allocation is not always desirable and asset allocations can fluctuate between acceptable ranges. The fixed income component is invested in pooled investment grade securities. The equity components are invested in pooled large cap, small/mid cap and non-U.S. stocks. The expected one-year nominal returns and annual standard deviations are shown by asset class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One-Year Nominal</w:t>
            </w: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Annual Standard</w:t>
            </w:r>
          </w:p>
        </w:tc>
      </w:tr>
      <w:tr>
        <w:trPr>
          <w:trHeight w:val="245"/>
        </w:trPr>
        <w:tc>
          <w:tcPr>
            <w:tcW w:w="442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 Portfolio</w:t>
            </w:r>
          </w:p>
        </w:tc>
        <w:tc>
          <w:tcPr>
            <w:tcW w:w="19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Return</w:t>
            </w:r>
          </w:p>
        </w:tc>
        <w:tc>
          <w:tcPr>
            <w:tcW w:w="17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Deviation</w:t>
            </w:r>
          </w:p>
        </w:tc>
      </w:tr>
      <w:tr>
        <w:trPr>
          <w:trHeight w:val="216"/>
        </w:trPr>
        <w:tc>
          <w:tcPr>
            <w:tcW w:w="44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Core Fixed Income</w:t>
            </w:r>
          </w:p>
        </w:tc>
        <w:tc>
          <w:tcPr>
            <w:tcW w:w="308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196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3.04%</w:t>
            </w:r>
          </w:p>
        </w:tc>
        <w:tc>
          <w:tcPr>
            <w:tcW w:w="1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Large Cap U.S. Equities</w:t>
            </w:r>
          </w:p>
        </w:tc>
        <w:tc>
          <w:tcPr>
            <w:tcW w:w="3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6.45%</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16"/>
        </w:trPr>
        <w:tc>
          <w:tcPr>
            <w:tcW w:w="44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Small Cap U.S. Equities</w:t>
            </w:r>
          </w:p>
        </w:tc>
        <w:tc>
          <w:tcPr>
            <w:tcW w:w="308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96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7.45%</w:t>
            </w:r>
          </w:p>
        </w:tc>
        <w:tc>
          <w:tcPr>
            <w:tcW w:w="1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(Developed)</w:t>
            </w:r>
          </w:p>
        </w:tc>
        <w:tc>
          <w:tcPr>
            <w:tcW w:w="3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7.95%</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r>
      <w:tr>
        <w:trPr>
          <w:trHeight w:val="216"/>
        </w:trPr>
        <w:tc>
          <w:tcPr>
            <w:tcW w:w="44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International (Emerging)</w:t>
            </w:r>
          </w:p>
        </w:tc>
        <w:tc>
          <w:tcPr>
            <w:tcW w:w="308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96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10.14%</w:t>
            </w:r>
          </w:p>
        </w:tc>
        <w:tc>
          <w:tcPr>
            <w:tcW w:w="1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25.40%</w:t>
            </w: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Applying appropriate correlation factors between each of the asset classes the long-term rate of return on assets is estimated to be 6.50%.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5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summary of the fair value measurements by type of asset is as follows: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8"/>
        </w:trPr>
        <w:tc>
          <w:tcPr>
            <w:tcW w:w="2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7"/>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4"/>
        </w:trPr>
        <w:tc>
          <w:tcPr>
            <w:tcW w:w="2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22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22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r>
      <w:tr>
        <w:trPr>
          <w:trHeight w:val="216"/>
        </w:trPr>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2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1"/>
                <w:szCs w:val="21"/>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1"/>
                <w:szCs w:val="21"/>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1"/>
                <w:szCs w:val="21"/>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220" w:type="dxa"/>
            <w:vAlign w:val="bottom"/>
          </w:tcPr>
          <w:p>
            <w:pPr>
              <w:spacing w:after="0"/>
              <w:rPr>
                <w:sz w:val="21"/>
                <w:szCs w:val="21"/>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(Level 2)</w:t>
            </w:r>
          </w:p>
        </w:tc>
      </w:tr>
      <w:tr>
        <w:trPr>
          <w:trHeight w:val="216"/>
        </w:trPr>
        <w:tc>
          <w:tcPr>
            <w:tcW w:w="2920" w:type="dxa"/>
            <w:vAlign w:val="bottom"/>
            <w:tcBorders>
              <w:top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Cash</w:t>
            </w:r>
          </w:p>
        </w:tc>
        <w:tc>
          <w:tcPr>
            <w:tcW w:w="760" w:type="dxa"/>
            <w:vAlign w:val="bottom"/>
            <w:tcBorders>
              <w:top w:val="single" w:sz="8" w:color="auto"/>
            </w:tcBorders>
            <w:gridSpan w:val="2"/>
            <w:shd w:val="clear" w:color="auto" w:fill="B2B2B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2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2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2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U.S. Small/Mid Cap Growth</w:t>
            </w:r>
          </w:p>
        </w:tc>
        <w:tc>
          <w:tcPr>
            <w:tcW w:w="5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8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22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60" w:type="dxa"/>
            <w:vAlign w:val="bottom"/>
            <w:shd w:val="clear" w:color="auto" w:fill="B2B2B2"/>
          </w:tcPr>
          <w:p>
            <w:pPr>
              <w:spacing w:after="0"/>
              <w:rPr>
                <w:sz w:val="18"/>
                <w:szCs w:val="18"/>
                <w:color w:val="auto"/>
              </w:rPr>
            </w:pPr>
          </w:p>
        </w:tc>
        <w:tc>
          <w:tcPr>
            <w:tcW w:w="1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20" w:type="dxa"/>
            <w:vAlign w:val="bottom"/>
          </w:tcPr>
          <w:p>
            <w:pPr>
              <w:spacing w:after="0"/>
              <w:rPr>
                <w:sz w:val="18"/>
                <w:szCs w:val="18"/>
                <w:color w:val="auto"/>
              </w:rPr>
            </w:pPr>
          </w:p>
        </w:tc>
      </w:tr>
      <w:tr>
        <w:trPr>
          <w:trHeight w:val="216"/>
        </w:trPr>
        <w:tc>
          <w:tcPr>
            <w:tcW w:w="2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Non-U. S. Core</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26,342</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23,975</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23,975</w:t>
            </w:r>
          </w:p>
        </w:tc>
        <w:tc>
          <w:tcPr>
            <w:tcW w:w="20" w:type="dxa"/>
            <w:vAlign w:val="bottom"/>
          </w:tcPr>
          <w:p>
            <w:pPr>
              <w:spacing w:after="0"/>
              <w:rPr>
                <w:sz w:val="18"/>
                <w:szCs w:val="18"/>
                <w:color w:val="auto"/>
              </w:rPr>
            </w:pPr>
          </w:p>
        </w:tc>
      </w:tr>
      <w:tr>
        <w:trPr>
          <w:trHeight w:val="216"/>
        </w:trPr>
        <w:tc>
          <w:tcPr>
            <w:tcW w:w="292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U.S. Large Cap Passive</w:t>
            </w:r>
          </w:p>
        </w:tc>
        <w:tc>
          <w:tcPr>
            <w:tcW w:w="5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17,520</w:t>
            </w:r>
          </w:p>
        </w:tc>
        <w:tc>
          <w:tcPr>
            <w:tcW w:w="18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17,520</w:t>
            </w:r>
          </w:p>
        </w:tc>
        <w:tc>
          <w:tcPr>
            <w:tcW w:w="22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160" w:type="dxa"/>
            <w:vAlign w:val="bottom"/>
            <w:shd w:val="clear" w:color="auto" w:fill="B2B2B2"/>
          </w:tcPr>
          <w:p>
            <w:pPr>
              <w:spacing w:after="0"/>
              <w:rPr>
                <w:sz w:val="18"/>
                <w:szCs w:val="18"/>
                <w:color w:val="auto"/>
              </w:rPr>
            </w:pPr>
          </w:p>
        </w:tc>
        <w:tc>
          <w:tcPr>
            <w:tcW w:w="1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20" w:type="dxa"/>
            <w:vAlign w:val="bottom"/>
          </w:tcPr>
          <w:p>
            <w:pPr>
              <w:spacing w:after="0"/>
              <w:rPr>
                <w:sz w:val="18"/>
                <w:szCs w:val="18"/>
                <w:color w:val="auto"/>
              </w:rPr>
            </w:pPr>
          </w:p>
        </w:tc>
      </w:tr>
      <w:tr>
        <w:trPr>
          <w:trHeight w:val="216"/>
        </w:trPr>
        <w:tc>
          <w:tcPr>
            <w:tcW w:w="2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Emerging Markets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20" w:type="dxa"/>
            <w:vAlign w:val="bottom"/>
          </w:tcPr>
          <w:p>
            <w:pPr>
              <w:spacing w:after="0"/>
              <w:rPr>
                <w:sz w:val="18"/>
                <w:szCs w:val="18"/>
                <w:color w:val="auto"/>
              </w:rPr>
            </w:pPr>
          </w:p>
        </w:tc>
      </w:tr>
      <w:tr>
        <w:trPr>
          <w:trHeight w:val="216"/>
        </w:trPr>
        <w:tc>
          <w:tcPr>
            <w:tcW w:w="29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5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3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2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Core</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23,467</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23,467</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27,046</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27,046</w:t>
            </w:r>
          </w:p>
        </w:tc>
        <w:tc>
          <w:tcPr>
            <w:tcW w:w="20" w:type="dxa"/>
            <w:vAlign w:val="bottom"/>
          </w:tcPr>
          <w:p>
            <w:pPr>
              <w:spacing w:after="0"/>
              <w:rPr>
                <w:sz w:val="18"/>
                <w:szCs w:val="18"/>
                <w:color w:val="auto"/>
              </w:rPr>
            </w:pPr>
          </w:p>
        </w:tc>
      </w:tr>
      <w:tr>
        <w:trPr>
          <w:trHeight w:val="216"/>
        </w:trPr>
        <w:tc>
          <w:tcPr>
            <w:tcW w:w="292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U.S. Passive</w:t>
            </w:r>
          </w:p>
        </w:tc>
        <w:tc>
          <w:tcPr>
            <w:tcW w:w="5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21,680</w:t>
            </w:r>
          </w:p>
        </w:tc>
        <w:tc>
          <w:tcPr>
            <w:tcW w:w="18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21,680</w:t>
            </w:r>
          </w:p>
        </w:tc>
        <w:tc>
          <w:tcPr>
            <w:tcW w:w="22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15,255</w:t>
            </w:r>
          </w:p>
        </w:tc>
        <w:tc>
          <w:tcPr>
            <w:tcW w:w="160" w:type="dxa"/>
            <w:vAlign w:val="bottom"/>
            <w:shd w:val="clear" w:color="auto" w:fill="B2B2B2"/>
          </w:tcPr>
          <w:p>
            <w:pPr>
              <w:spacing w:after="0"/>
              <w:rPr>
                <w:sz w:val="18"/>
                <w:szCs w:val="18"/>
                <w:color w:val="auto"/>
              </w:rPr>
            </w:pPr>
          </w:p>
        </w:tc>
        <w:tc>
          <w:tcPr>
            <w:tcW w:w="12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15,255</w:t>
            </w:r>
          </w:p>
        </w:tc>
        <w:tc>
          <w:tcPr>
            <w:tcW w:w="20" w:type="dxa"/>
            <w:vAlign w:val="bottom"/>
          </w:tcPr>
          <w:p>
            <w:pPr>
              <w:spacing w:after="0"/>
              <w:rPr>
                <w:sz w:val="18"/>
                <w:szCs w:val="18"/>
                <w:color w:val="auto"/>
              </w:rPr>
            </w:pPr>
          </w:p>
        </w:tc>
      </w:tr>
      <w:tr>
        <w:trPr>
          <w:trHeight w:val="216"/>
        </w:trPr>
        <w:tc>
          <w:tcPr>
            <w:tcW w:w="2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Opportunistic</w:t>
            </w: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20" w:type="dxa"/>
            <w:vAlign w:val="bottom"/>
          </w:tcPr>
          <w:p>
            <w:pPr>
              <w:spacing w:after="0"/>
              <w:rPr>
                <w:sz w:val="18"/>
                <w:szCs w:val="18"/>
                <w:color w:val="auto"/>
              </w:rPr>
            </w:pPr>
          </w:p>
        </w:tc>
      </w:tr>
      <w:tr>
        <w:trPr>
          <w:trHeight w:val="216"/>
        </w:trPr>
        <w:tc>
          <w:tcPr>
            <w:tcW w:w="2920" w:type="dxa"/>
            <w:vAlign w:val="bottom"/>
            <w:tcBorders>
              <w:bottom w:val="single" w:sz="8" w:color="auto"/>
            </w:tcBorders>
            <w:shd w:val="clear" w:color="auto" w:fill="B2B2B2"/>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gridSpan w:val="2"/>
            <w:shd w:val="clear" w:color="auto" w:fill="B2B2B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106,667</w:t>
            </w:r>
          </w:p>
        </w:tc>
        <w:tc>
          <w:tcPr>
            <w:tcW w:w="18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484</w:t>
            </w:r>
          </w:p>
        </w:tc>
        <w:tc>
          <w:tcPr>
            <w:tcW w:w="22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106,183</w:t>
            </w:r>
          </w:p>
        </w:tc>
        <w:tc>
          <w:tcPr>
            <w:tcW w:w="22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94,634</w:t>
            </w:r>
          </w:p>
        </w:tc>
        <w:tc>
          <w:tcPr>
            <w:tcW w:w="16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462</w:t>
            </w:r>
          </w:p>
        </w:tc>
        <w:tc>
          <w:tcPr>
            <w:tcW w:w="22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94,172</w:t>
            </w:r>
          </w:p>
        </w:tc>
        <w:tc>
          <w:tcPr>
            <w:tcW w:w="20" w:type="dxa"/>
            <w:vAlign w:val="bottom"/>
            <w:tcBorders>
              <w:bottom w:val="single" w:sz="8" w:color="auto"/>
            </w:tcBorders>
          </w:tcPr>
          <w:p>
            <w:pPr>
              <w:spacing w:after="0"/>
              <w:rPr>
                <w:sz w:val="18"/>
                <w:szCs w:val="18"/>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Executive Retirement Plan</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has an unfunded supplemental executive retirement plan (“SERP”) which covers key executives of the Company whose benefits are limited by the Internal Revenue Service under the Company’s qualified retirement plan. The SERP is a noncontributory plan in which the Company’s subsidiaries make accruals designed to fund normal service costs on a current basis using the same method and criteria as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SERP’s projected benefit obligation and amounts recognized in the Company’s consolidated balance sheets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7"/>
        </w:trPr>
        <w:tc>
          <w:tcPr>
            <w:tcW w:w="64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16"/>
        </w:trPr>
        <w:tc>
          <w:tcPr>
            <w:tcW w:w="64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Benefit obligation:</w:t>
            </w:r>
          </w:p>
        </w:tc>
        <w:tc>
          <w:tcPr>
            <w:tcW w:w="28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Balance, January 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11,712</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0" w:type="dxa"/>
            <w:vAlign w:val="bottom"/>
          </w:tcPr>
          <w:p>
            <w:pPr>
              <w:spacing w:after="0"/>
              <w:rPr>
                <w:sz w:val="1"/>
                <w:szCs w:val="1"/>
                <w:color w:val="auto"/>
              </w:rPr>
            </w:pPr>
          </w:p>
        </w:tc>
      </w:tr>
      <w:tr>
        <w:trPr>
          <w:trHeight w:val="216"/>
        </w:trPr>
        <w:tc>
          <w:tcPr>
            <w:tcW w:w="64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64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Benefits paid</w:t>
            </w:r>
          </w:p>
        </w:tc>
        <w:tc>
          <w:tcPr>
            <w:tcW w:w="28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Actuarial loss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1,523</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17"/>
        </w:trPr>
        <w:tc>
          <w:tcPr>
            <w:tcW w:w="6400" w:type="dxa"/>
            <w:vAlign w:val="bottom"/>
            <w:tcBorders>
              <w:bottom w:val="single" w:sz="8" w:color="auto"/>
            </w:tcBorders>
            <w:shd w:val="clear" w:color="auto" w:fill="B2B2B2"/>
          </w:tcPr>
          <w:p>
            <w:pPr>
              <w:spacing w:after="0" w:line="202" w:lineRule="exact"/>
              <w:rPr>
                <w:sz w:val="20"/>
                <w:szCs w:val="20"/>
                <w:color w:val="auto"/>
              </w:rPr>
            </w:pPr>
            <w:r>
              <w:rPr>
                <w:rFonts w:ascii="Times New Roman" w:cs="Times New Roman" w:eastAsia="Times New Roman" w:hAnsi="Times New Roman"/>
                <w:sz w:val="18"/>
                <w:szCs w:val="18"/>
                <w:color w:val="auto"/>
              </w:rPr>
              <w:t>Balance, December 31</w:t>
            </w:r>
          </w:p>
        </w:tc>
        <w:tc>
          <w:tcPr>
            <w:tcW w:w="280" w:type="dxa"/>
            <w:vAlign w:val="bottom"/>
            <w:tcBorders>
              <w:bottom w:val="single" w:sz="8" w:color="auto"/>
            </w:tcBorders>
            <w:shd w:val="clear" w:color="auto" w:fill="B2B2B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B2B2B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13,412</w:t>
            </w:r>
          </w:p>
        </w:tc>
        <w:tc>
          <w:tcPr>
            <w:tcW w:w="320" w:type="dxa"/>
            <w:vAlign w:val="bottom"/>
            <w:tcBorders>
              <w:bottom w:val="single" w:sz="8" w:color="auto"/>
            </w:tcBorders>
            <w:shd w:val="clear" w:color="auto" w:fill="B2B2B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11,712</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represent the major assumptions used to determine the projected benefit obligation of the SERP. For 2020, 2019 and 2018, the SERP’s expected benefit cash flows were discounted using the FTSE Above Median Double-A Curve.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8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6"/>
        </w:trPr>
        <w:tc>
          <w:tcPr>
            <w:tcW w:w="56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64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2.20%</w:t>
            </w:r>
          </w:p>
        </w:tc>
        <w:tc>
          <w:tcPr>
            <w:tcW w:w="10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3.00%</w:t>
            </w: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364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9"/>
              </w:rPr>
              <w:t>(a)</w:t>
            </w:r>
          </w:p>
        </w:tc>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(a)</w:t>
            </w:r>
          </w:p>
        </w:tc>
        <w:tc>
          <w:tcPr>
            <w:tcW w:w="8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(a)</w:t>
            </w: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6.00% graded down to 3.25% over the first seven years of service.</w:t>
      </w: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accumulated benefit obligation was $12,492,000 and $10,485,000 as of December 31, 2020 and 2019, respectively. Since this is an unfunded plan, there are no plan assets. Benefits paid were $291,000 in 2020, $262,000 in 2019, and $260,000 in 2018. Expected future benefits payable by the Company over the next ten years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40" w:type="dxa"/>
            <w:vAlign w:val="bottom"/>
          </w:tcPr>
          <w:p>
            <w:pPr>
              <w:spacing w:after="0"/>
              <w:rPr>
                <w:sz w:val="21"/>
                <w:szCs w:val="21"/>
                <w:color w:val="auto"/>
              </w:rPr>
            </w:pPr>
          </w:p>
        </w:tc>
        <w:tc>
          <w:tcPr>
            <w:tcW w:w="342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3340" w:type="dxa"/>
            <w:vAlign w:val="bottom"/>
            <w:tcBorders>
              <w:top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2021</w:t>
            </w:r>
          </w:p>
        </w:tc>
        <w:tc>
          <w:tcPr>
            <w:tcW w:w="3400" w:type="dxa"/>
            <w:vAlign w:val="bottom"/>
            <w:tcBorders>
              <w:top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  343,000</w:t>
            </w:r>
          </w:p>
        </w:tc>
        <w:tc>
          <w:tcPr>
            <w:tcW w:w="2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764,000</w:t>
            </w:r>
          </w:p>
        </w:tc>
        <w:tc>
          <w:tcPr>
            <w:tcW w:w="20" w:type="dxa"/>
            <w:vAlign w:val="bottom"/>
          </w:tcPr>
          <w:p>
            <w:pPr>
              <w:spacing w:after="0"/>
              <w:rPr>
                <w:sz w:val="18"/>
                <w:szCs w:val="18"/>
                <w:color w:val="auto"/>
              </w:rPr>
            </w:pPr>
          </w:p>
        </w:tc>
      </w:tr>
      <w:tr>
        <w:trPr>
          <w:trHeight w:val="216"/>
        </w:trPr>
        <w:tc>
          <w:tcPr>
            <w:tcW w:w="33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2023</w:t>
            </w:r>
          </w:p>
        </w:tc>
        <w:tc>
          <w:tcPr>
            <w:tcW w:w="34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851,000</w:t>
            </w:r>
          </w:p>
        </w:tc>
        <w:tc>
          <w:tcPr>
            <w:tcW w:w="2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849,000</w:t>
            </w:r>
          </w:p>
        </w:tc>
        <w:tc>
          <w:tcPr>
            <w:tcW w:w="20" w:type="dxa"/>
            <w:vAlign w:val="bottom"/>
          </w:tcPr>
          <w:p>
            <w:pPr>
              <w:spacing w:after="0"/>
              <w:rPr>
                <w:sz w:val="18"/>
                <w:szCs w:val="18"/>
                <w:color w:val="auto"/>
              </w:rPr>
            </w:pPr>
          </w:p>
        </w:tc>
      </w:tr>
      <w:tr>
        <w:trPr>
          <w:trHeight w:val="216"/>
        </w:trPr>
        <w:tc>
          <w:tcPr>
            <w:tcW w:w="33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2025</w:t>
            </w:r>
          </w:p>
        </w:tc>
        <w:tc>
          <w:tcPr>
            <w:tcW w:w="34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846,000</w:t>
            </w:r>
          </w:p>
        </w:tc>
        <w:tc>
          <w:tcPr>
            <w:tcW w:w="20" w:type="dxa"/>
            <w:vAlign w:val="bottom"/>
          </w:tcPr>
          <w:p>
            <w:pPr>
              <w:spacing w:after="0"/>
              <w:rPr>
                <w:sz w:val="18"/>
                <w:szCs w:val="18"/>
                <w:color w:val="auto"/>
              </w:rPr>
            </w:pPr>
          </w:p>
        </w:tc>
      </w:tr>
      <w:tr>
        <w:trPr>
          <w:trHeight w:val="223"/>
        </w:trPr>
        <w:tc>
          <w:tcPr>
            <w:tcW w:w="33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2026-2030</w:t>
            </w:r>
          </w:p>
        </w:tc>
        <w:tc>
          <w:tcPr>
            <w:tcW w:w="34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4,150,000</w:t>
            </w:r>
          </w:p>
        </w:tc>
        <w:tc>
          <w:tcPr>
            <w:tcW w:w="2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240"/>
          </w:cols>
          <w:pgMar w:left="320" w:top="293"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The SERP’s pension cost included the following components: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6"/>
        </w:trPr>
        <w:tc>
          <w:tcPr>
            <w:tcW w:w="58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1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18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Borders>
              <w:bottom w:val="single" w:sz="8" w:color="auto"/>
            </w:tcBorders>
            <w:shd w:val="clear" w:color="auto" w:fill="B2B2B2"/>
          </w:tcPr>
          <w:p>
            <w:pPr>
              <w:spacing w:after="0"/>
              <w:rPr>
                <w:sz w:val="18"/>
                <w:szCs w:val="18"/>
                <w:color w:val="auto"/>
              </w:rPr>
            </w:pPr>
          </w:p>
        </w:tc>
        <w:tc>
          <w:tcPr>
            <w:tcW w:w="8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Borders>
              <w:bottom w:val="single" w:sz="8" w:color="auto"/>
            </w:tcBorders>
            <w:shd w:val="clear" w:color="auto" w:fill="B2B2B2"/>
          </w:tcPr>
          <w:p>
            <w:pPr>
              <w:spacing w:after="0"/>
              <w:rPr>
                <w:sz w:val="18"/>
                <w:szCs w:val="18"/>
                <w:color w:val="auto"/>
              </w:rPr>
            </w:pPr>
          </w:p>
        </w:tc>
        <w:tc>
          <w:tcPr>
            <w:tcW w:w="7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7"/>
        </w:trPr>
        <w:tc>
          <w:tcPr>
            <w:tcW w:w="58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Net periodic pension cost</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580</w:t>
            </w:r>
          </w:p>
        </w:tc>
        <w:tc>
          <w:tcPr>
            <w:tcW w:w="2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781</w:t>
            </w:r>
          </w:p>
        </w:tc>
        <w:tc>
          <w:tcPr>
            <w:tcW w:w="2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pretax amounts in accumulated other comprehensive loss as of December 31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0"/>
                <w:szCs w:val="20"/>
                <w:color w:val="auto"/>
              </w:rPr>
            </w:pPr>
          </w:p>
        </w:tc>
        <w:tc>
          <w:tcPr>
            <w:tcW w:w="182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The Plan</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SERP</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140" w:type="dxa"/>
            <w:vAlign w:val="bottom"/>
            <w:tcBorders>
              <w:bottom w:val="single" w:sz="8" w:color="auto"/>
            </w:tcBorders>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180" w:type="dxa"/>
            <w:vAlign w:val="bottom"/>
            <w:shd w:val="clear" w:color="auto" w:fill="B2B2B2"/>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shd w:val="clear" w:color="auto" w:fill="B2B2B2"/>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actuarial loss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15,429</w:t>
            </w:r>
          </w:p>
        </w:tc>
        <w:tc>
          <w:tcPr>
            <w:tcW w:w="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29,387</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4,135</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tcBorders>
              <w:bottom w:val="single" w:sz="8" w:color="auto"/>
            </w:tcBorders>
            <w:shd w:val="clear" w:color="auto" w:fill="B2B2B2"/>
          </w:tcPr>
          <w:p>
            <w:pPr>
              <w:ind w:left="28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B2B2B2"/>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B2B2B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15,429 $</w:t>
            </w:r>
          </w:p>
        </w:tc>
        <w:tc>
          <w:tcPr>
            <w:tcW w:w="800" w:type="dxa"/>
            <w:vAlign w:val="bottom"/>
            <w:tcBorders>
              <w:bottom w:val="single" w:sz="8" w:color="auto"/>
            </w:tcBorders>
            <w:gridSpan w:val="2"/>
            <w:shd w:val="clear" w:color="auto" w:fill="B2B2B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29,387</w:t>
            </w:r>
          </w:p>
        </w:tc>
        <w:tc>
          <w:tcPr>
            <w:tcW w:w="180" w:type="dxa"/>
            <w:vAlign w:val="bottom"/>
            <w:tcBorders>
              <w:bottom w:val="single" w:sz="8" w:color="auto"/>
            </w:tcBorders>
            <w:shd w:val="clear" w:color="auto" w:fill="B2B2B2"/>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B2B2B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4,135 $</w:t>
            </w:r>
          </w:p>
        </w:tc>
        <w:tc>
          <w:tcPr>
            <w:tcW w:w="66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2,724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estimated pretax prior service cost and net actuarial loss in accumulated other comprehensive loss at December 31, 2020 expected to be recognized as components of net periodic benefit cost in 2021 for the Plan are $0 and $360,000, respectively. The estimated pretax prior service cost and net actuarial loss in accumulated other comprehensive loss at December 31, 2020 expected to be recognized as components of net periodic benefit cost in 2021 for the SERP are $0 and $203,000, respectively.</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maintains a noncontributory profit sharing program, which covers most of its employees. Employer contributions are calculated based upon formulas which relate to current operating results and other factors. Profit sharing expense recognized in personnel expense in the consolidated statements of income in 2020, 2019, and 2018 was $5,665,000, $6,841,000, and $6,810,000,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sponsors a defined contribution 401(k) plan to provide additional retirement benefits to substantially all employees. Contributions under the 401(k) plan for 2020, 2019 and 2018 were $1,508,000, $1,378,000, and $1,109,000,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and Restated Omnibus Stock and Performance Compensation Plan (the “Omnibus Plan”) provides incentive opportunities for key employees and non-employee directors and to align the personal financial interests of such individuals with those of the Company’s shareholders. The Omnibus Plan permits the issuance of up to 1,500,000 shares of the Company’s common stock in the form of stock options, SARs, restricted stock, restricted stock units and performance awards.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Restricted shares granted to Company employees are amortized to expense over the three-year cliff vesting period.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restricted shares outstanding for the year ended December 31, 2020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44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4460" w:type="dxa"/>
            <w:vAlign w:val="bottom"/>
          </w:tcPr>
          <w:p>
            <w:pPr>
              <w:spacing w:after="0"/>
              <w:rPr>
                <w:sz w:val="21"/>
                <w:szCs w:val="21"/>
                <w:color w:val="auto"/>
              </w:rPr>
            </w:pPr>
          </w:p>
        </w:tc>
        <w:tc>
          <w:tcPr>
            <w:tcW w:w="2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23"/>
        </w:trPr>
        <w:tc>
          <w:tcPr>
            <w:tcW w:w="4460" w:type="dxa"/>
            <w:vAlign w:val="bottom"/>
            <w:tcBorders>
              <w:top w:val="single" w:sz="8" w:color="auto"/>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980" w:type="dxa"/>
            <w:vAlign w:val="bottom"/>
            <w:tcBorders>
              <w:top w:val="single" w:sz="8" w:color="auto"/>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123,272</w:t>
            </w:r>
          </w:p>
        </w:tc>
        <w:tc>
          <w:tcPr>
            <w:tcW w:w="156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20" w:type="dxa"/>
            <w:vAlign w:val="bottom"/>
          </w:tcPr>
          <w:p>
            <w:pPr>
              <w:spacing w:after="0"/>
              <w:rPr>
                <w:sz w:val="19"/>
                <w:szCs w:val="19"/>
                <w:color w:val="auto"/>
              </w:rPr>
            </w:pPr>
          </w:p>
        </w:tc>
      </w:tr>
      <w:tr>
        <w:trPr>
          <w:trHeight w:val="216"/>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2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38,226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20" w:type="dxa"/>
            <w:vAlign w:val="bottom"/>
          </w:tcPr>
          <w:p>
            <w:pPr>
              <w:spacing w:after="0"/>
              <w:rPr>
                <w:sz w:val="18"/>
                <w:szCs w:val="18"/>
                <w:color w:val="auto"/>
              </w:rPr>
            </w:pPr>
          </w:p>
        </w:tc>
      </w:tr>
      <w:tr>
        <w:trPr>
          <w:trHeight w:val="216"/>
        </w:trPr>
        <w:tc>
          <w:tcPr>
            <w:tcW w:w="446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Vested</w:t>
            </w:r>
          </w:p>
        </w:tc>
        <w:tc>
          <w:tcPr>
            <w:tcW w:w="29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(20,369)</w:t>
            </w:r>
          </w:p>
        </w:tc>
        <w:tc>
          <w:tcPr>
            <w:tcW w:w="15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20" w:type="dxa"/>
            <w:vAlign w:val="bottom"/>
          </w:tcPr>
          <w:p>
            <w:pPr>
              <w:spacing w:after="0"/>
              <w:rPr>
                <w:sz w:val="18"/>
                <w:szCs w:val="18"/>
                <w:color w:val="auto"/>
              </w:rPr>
            </w:pPr>
          </w:p>
        </w:tc>
      </w:tr>
      <w:tr>
        <w:trPr>
          <w:trHeight w:val="223"/>
        </w:trPr>
        <w:tc>
          <w:tcPr>
            <w:tcW w:w="44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Forfeited</w:t>
            </w:r>
          </w:p>
        </w:tc>
        <w:tc>
          <w:tcPr>
            <w:tcW w:w="2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20" w:type="dxa"/>
            <w:vAlign w:val="bottom"/>
          </w:tcPr>
          <w:p>
            <w:pPr>
              <w:spacing w:after="0"/>
              <w:rPr>
                <w:sz w:val="19"/>
                <w:szCs w:val="19"/>
                <w:color w:val="auto"/>
              </w:rPr>
            </w:pPr>
          </w:p>
        </w:tc>
      </w:tr>
      <w:tr>
        <w:trPr>
          <w:trHeight w:val="223"/>
        </w:trPr>
        <w:tc>
          <w:tcPr>
            <w:tcW w:w="4460" w:type="dxa"/>
            <w:vAlign w:val="bottom"/>
            <w:tcBorders>
              <w:bottom w:val="single" w:sz="8" w:color="auto"/>
            </w:tcBorders>
            <w:shd w:val="clear" w:color="auto" w:fill="B2B2B2"/>
          </w:tcPr>
          <w:p>
            <w:pPr>
              <w:spacing w:after="0" w:line="202" w:lineRule="exact"/>
              <w:rPr>
                <w:sz w:val="20"/>
                <w:szCs w:val="20"/>
                <w:color w:val="auto"/>
              </w:rPr>
            </w:pPr>
            <w:r>
              <w:rPr>
                <w:rFonts w:ascii="Times New Roman" w:cs="Times New Roman" w:eastAsia="Times New Roman" w:hAnsi="Times New Roman"/>
                <w:sz w:val="18"/>
                <w:szCs w:val="18"/>
                <w:color w:val="auto"/>
              </w:rPr>
              <w:t>Balance at December 31, 2020</w:t>
            </w:r>
          </w:p>
        </w:tc>
        <w:tc>
          <w:tcPr>
            <w:tcW w:w="2980" w:type="dxa"/>
            <w:vAlign w:val="bottom"/>
            <w:tcBorders>
              <w:bottom w:val="single" w:sz="8" w:color="auto"/>
            </w:tcBorders>
            <w:shd w:val="clear" w:color="auto" w:fill="B2B2B2"/>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136,167</w:t>
            </w:r>
          </w:p>
        </w:tc>
        <w:tc>
          <w:tcPr>
            <w:tcW w:w="156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$46.78</w:t>
            </w:r>
          </w:p>
        </w:tc>
        <w:tc>
          <w:tcPr>
            <w:tcW w:w="20" w:type="dxa"/>
            <w:vAlign w:val="bottom"/>
            <w:tcBorders>
              <w:bottom w:val="single" w:sz="8" w:color="auto"/>
            </w:tcBorders>
          </w:tcPr>
          <w:p>
            <w:pPr>
              <w:spacing w:after="0"/>
              <w:rPr>
                <w:sz w:val="19"/>
                <w:szCs w:val="19"/>
                <w:color w:val="auto"/>
              </w:rPr>
            </w:pPr>
          </w:p>
        </w:tc>
      </w:tr>
    </w:tbl>
    <w:p>
      <w:pPr>
        <w:spacing w:after="0" w:line="3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2019 and 2018, 36,812 and 35,000 shares, respectively, were granted with weighted average per share market values at date of grant of $49.30 in 2019 and $49.79 in 2018. The fair value of such shares are based on the market price on the date of grant. Amortization of the restricted stock bonus awards totaled $1,463,000 for 2020, $1,551,000 for 2019 and $1,571,000 for 2018. As of December 31, 2020, the total unrecognized compensation expense related to non-vested restricted stock awards was $1,466,000 and the related weighted average period over which it is expected to be recognized is approximately 0.61 years. The total fair value of shares vested during the years ended December 2020, 2019, and 2018 was $1,005,000, $527,000, and $1,112,000, respectively.</w:t>
      </w:r>
    </w:p>
    <w:p>
      <w:pPr>
        <w:sectPr>
          <w:pgSz w:w="11900" w:h="16838" w:orient="portrait"/>
          <w:cols w:equalWidth="0" w:num="1">
            <w:col w:w="11240"/>
          </w:cols>
          <w:pgMar w:left="320" w:top="293"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granted three-year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Following is a summary of the activity of the PBRS, based on target value:</w:t>
            </w:r>
          </w:p>
        </w:tc>
        <w:tc>
          <w:tcPr>
            <w:tcW w:w="1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3"/>
        </w:trPr>
        <w:tc>
          <w:tcPr>
            <w:tcW w:w="6400" w:type="dxa"/>
            <w:vAlign w:val="bottom"/>
          </w:tcPr>
          <w:p>
            <w:pPr>
              <w:spacing w:after="0"/>
              <w:rPr>
                <w:sz w:val="24"/>
                <w:szCs w:val="24"/>
                <w:color w:val="auto"/>
              </w:rPr>
            </w:pPr>
          </w:p>
        </w:tc>
        <w:tc>
          <w:tcPr>
            <w:tcW w:w="26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r>
      <w:tr>
        <w:trPr>
          <w:trHeight w:val="238"/>
        </w:trPr>
        <w:tc>
          <w:tcPr>
            <w:tcW w:w="6400" w:type="dxa"/>
            <w:vAlign w:val="bottom"/>
          </w:tcPr>
          <w:p>
            <w:pPr>
              <w:spacing w:after="0"/>
              <w:rPr>
                <w:sz w:val="20"/>
                <w:szCs w:val="20"/>
                <w:color w:val="auto"/>
              </w:rPr>
            </w:pPr>
          </w:p>
        </w:tc>
        <w:tc>
          <w:tcPr>
            <w:tcW w:w="26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17"/>
        </w:trPr>
        <w:tc>
          <w:tcPr>
            <w:tcW w:w="6400" w:type="dxa"/>
            <w:vAlign w:val="bottom"/>
            <w:tcBorders>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18"/>
                <w:szCs w:val="18"/>
                <w:color w:val="auto"/>
              </w:rPr>
            </w:pPr>
          </w:p>
        </w:tc>
      </w:tr>
      <w:tr>
        <w:trPr>
          <w:trHeight w:val="216"/>
        </w:trPr>
        <w:tc>
          <w:tcPr>
            <w:tcW w:w="64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200" w:type="dxa"/>
            <w:vAlign w:val="bottom"/>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rPr>
              <w:t>102,116</w:t>
            </w:r>
          </w:p>
        </w:tc>
        <w:tc>
          <w:tcPr>
            <w:tcW w:w="14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20" w:type="dxa"/>
            <w:vAlign w:val="bottom"/>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32,910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20" w:type="dxa"/>
            <w:vAlign w:val="bottom"/>
          </w:tcPr>
          <w:p>
            <w:pPr>
              <w:spacing w:after="0"/>
              <w:rPr>
                <w:sz w:val="18"/>
                <w:szCs w:val="18"/>
                <w:color w:val="auto"/>
              </w:rPr>
            </w:pPr>
          </w:p>
        </w:tc>
      </w:tr>
      <w:tr>
        <w:trPr>
          <w:trHeight w:val="216"/>
        </w:trPr>
        <w:tc>
          <w:tcPr>
            <w:tcW w:w="64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B2B2B2"/>
          </w:tcPr>
          <w:p>
            <w:pPr>
              <w:jc w:val="right"/>
              <w:ind w:right="150"/>
              <w:spacing w:after="0"/>
              <w:rPr>
                <w:sz w:val="20"/>
                <w:szCs w:val="20"/>
                <w:color w:val="auto"/>
              </w:rPr>
            </w:pPr>
            <w:r>
              <w:rPr>
                <w:rFonts w:ascii="Times New Roman" w:cs="Times New Roman" w:eastAsia="Times New Roman" w:hAnsi="Times New Roman"/>
                <w:sz w:val="18"/>
                <w:szCs w:val="18"/>
                <w:color w:val="auto"/>
              </w:rPr>
              <w:t>(29,175)</w:t>
            </w:r>
          </w:p>
        </w:tc>
        <w:tc>
          <w:tcPr>
            <w:tcW w:w="14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20" w:type="dxa"/>
            <w:vAlign w:val="bottom"/>
          </w:tcPr>
          <w:p>
            <w:pPr>
              <w:spacing w:after="0"/>
              <w:rPr>
                <w:sz w:val="18"/>
                <w:szCs w:val="18"/>
                <w:color w:val="auto"/>
              </w:rPr>
            </w:pPr>
          </w:p>
        </w:tc>
      </w:tr>
      <w:tr>
        <w:trPr>
          <w:trHeight w:val="223"/>
        </w:trPr>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(7,441)</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20" w:type="dxa"/>
            <w:vAlign w:val="bottom"/>
          </w:tcPr>
          <w:p>
            <w:pPr>
              <w:spacing w:after="0"/>
              <w:rPr>
                <w:sz w:val="19"/>
                <w:szCs w:val="19"/>
                <w:color w:val="auto"/>
              </w:rPr>
            </w:pPr>
          </w:p>
        </w:tc>
      </w:tr>
      <w:tr>
        <w:trPr>
          <w:trHeight w:val="223"/>
        </w:trPr>
        <w:tc>
          <w:tcPr>
            <w:tcW w:w="6400" w:type="dxa"/>
            <w:vAlign w:val="bottom"/>
            <w:tcBorders>
              <w:bottom w:val="single" w:sz="8" w:color="auto"/>
            </w:tcBorders>
            <w:shd w:val="clear" w:color="auto" w:fill="B2B2B2"/>
          </w:tcPr>
          <w:p>
            <w:pPr>
              <w:spacing w:after="0" w:line="202" w:lineRule="exact"/>
              <w:rPr>
                <w:sz w:val="20"/>
                <w:szCs w:val="20"/>
                <w:color w:val="auto"/>
              </w:rPr>
            </w:pPr>
            <w:r>
              <w:rPr>
                <w:rFonts w:ascii="Times New Roman" w:cs="Times New Roman" w:eastAsia="Times New Roman" w:hAnsi="Times New Roman"/>
                <w:sz w:val="18"/>
                <w:szCs w:val="18"/>
                <w:color w:val="auto"/>
              </w:rPr>
              <w:t>Balance at December 31, 2020</w:t>
            </w:r>
          </w:p>
        </w:tc>
        <w:tc>
          <w:tcPr>
            <w:tcW w:w="1200" w:type="dxa"/>
            <w:vAlign w:val="bottom"/>
            <w:tcBorders>
              <w:bottom w:val="single" w:sz="8" w:color="auto"/>
            </w:tcBorders>
            <w:shd w:val="clear" w:color="auto" w:fill="B2B2B2"/>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98,410</w:t>
            </w:r>
          </w:p>
        </w:tc>
        <w:tc>
          <w:tcPr>
            <w:tcW w:w="140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$50.64</w:t>
            </w:r>
          </w:p>
        </w:tc>
        <w:tc>
          <w:tcPr>
            <w:tcW w:w="20" w:type="dxa"/>
            <w:vAlign w:val="bottom"/>
            <w:tcBorders>
              <w:bottom w:val="single" w:sz="8" w:color="auto"/>
            </w:tcBorders>
          </w:tcPr>
          <w:p>
            <w:pPr>
              <w:spacing w:after="0"/>
              <w:rPr>
                <w:sz w:val="19"/>
                <w:szCs w:val="19"/>
                <w:color w:val="auto"/>
              </w:rPr>
            </w:pPr>
          </w:p>
        </w:tc>
      </w:tr>
    </w:tbl>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PBRS that vested during the year ended December 31, 2020 achieved financial goals of 117.3%, resulting in the issuance of 34,222 shares of common stock. The outstanding PBRS at December 31, 2020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2020, there were no SARs granted and no expense recognized. As of December 31, 2020, there was no unrecognized compensation expense related to SARs.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SARs outstanding for the year ended December 31, 2020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20" w:type="dxa"/>
            <w:vAlign w:val="bottom"/>
          </w:tcPr>
          <w:p>
            <w:pPr>
              <w:spacing w:after="0"/>
              <w:rPr>
                <w:sz w:val="21"/>
                <w:szCs w:val="21"/>
                <w:color w:val="auto"/>
              </w:rPr>
            </w:pPr>
          </w:p>
        </w:tc>
        <w:tc>
          <w:tcPr>
            <w:tcW w:w="2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SARs</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 Average Exercise Price</w:t>
            </w:r>
          </w:p>
        </w:tc>
      </w:tr>
      <w:tr>
        <w:trPr>
          <w:trHeight w:val="216"/>
        </w:trPr>
        <w:tc>
          <w:tcPr>
            <w:tcW w:w="4020" w:type="dxa"/>
            <w:vAlign w:val="bottom"/>
            <w:tcBorders>
              <w:top w:val="single" w:sz="8" w:color="auto"/>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280" w:type="dxa"/>
            <w:vAlign w:val="bottom"/>
            <w:tcBorders>
              <w:top w:val="single" w:sz="8" w:color="auto"/>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155,292</w:t>
            </w:r>
          </w:p>
        </w:tc>
        <w:tc>
          <w:tcPr>
            <w:tcW w:w="27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20" w:type="dxa"/>
            <w:vAlign w:val="bottom"/>
          </w:tcPr>
          <w:p>
            <w:pPr>
              <w:spacing w:after="0"/>
              <w:rPr>
                <w:sz w:val="18"/>
                <w:szCs w:val="18"/>
                <w:color w:val="auto"/>
              </w:rPr>
            </w:pPr>
          </w:p>
        </w:tc>
      </w:tr>
      <w:tr>
        <w:trPr>
          <w:trHeight w:val="209"/>
        </w:trPr>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(10,293)</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20" w:type="dxa"/>
            <w:vAlign w:val="bottom"/>
          </w:tcPr>
          <w:p>
            <w:pPr>
              <w:spacing w:after="0"/>
              <w:rPr>
                <w:sz w:val="18"/>
                <w:szCs w:val="18"/>
                <w:color w:val="auto"/>
              </w:rPr>
            </w:pPr>
          </w:p>
        </w:tc>
      </w:tr>
      <w:tr>
        <w:trPr>
          <w:trHeight w:val="216"/>
        </w:trPr>
        <w:tc>
          <w:tcPr>
            <w:tcW w:w="4020" w:type="dxa"/>
            <w:vAlign w:val="bottom"/>
            <w:tcBorders>
              <w:bottom w:val="single" w:sz="8" w:color="auto"/>
            </w:tcBorders>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Forfeited</w:t>
            </w:r>
          </w:p>
        </w:tc>
        <w:tc>
          <w:tcPr>
            <w:tcW w:w="228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144,999</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20" w:type="dxa"/>
            <w:vAlign w:val="bottom"/>
          </w:tcPr>
          <w:p>
            <w:pPr>
              <w:spacing w:after="0"/>
              <w:rPr>
                <w:sz w:val="18"/>
                <w:szCs w:val="18"/>
                <w:color w:val="auto"/>
              </w:rPr>
            </w:pPr>
          </w:p>
        </w:tc>
      </w:tr>
      <w:tr>
        <w:trPr>
          <w:trHeight w:val="217"/>
        </w:trPr>
        <w:tc>
          <w:tcPr>
            <w:tcW w:w="4020" w:type="dxa"/>
            <w:vAlign w:val="bottom"/>
            <w:tcBorders>
              <w:bottom w:val="single" w:sz="8" w:color="auto"/>
            </w:tcBorders>
            <w:shd w:val="clear" w:color="auto" w:fill="B2B2B2"/>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2020</w:t>
            </w:r>
          </w:p>
        </w:tc>
        <w:tc>
          <w:tcPr>
            <w:tcW w:w="2280" w:type="dxa"/>
            <w:vAlign w:val="bottom"/>
            <w:tcBorders>
              <w:bottom w:val="single" w:sz="8" w:color="auto"/>
            </w:tcBorders>
            <w:shd w:val="clear" w:color="auto" w:fill="B2B2B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144,999</w:t>
            </w:r>
          </w:p>
        </w:tc>
        <w:tc>
          <w:tcPr>
            <w:tcW w:w="2700" w:type="dxa"/>
            <w:vAlign w:val="bottom"/>
            <w:tcBorders>
              <w:bottom w:val="single" w:sz="8" w:color="auto"/>
            </w:tcBorders>
            <w:shd w:val="clear" w:color="auto" w:fill="B2B2B2"/>
          </w:tcPr>
          <w:p>
            <w:pPr>
              <w:jc w:val="right"/>
              <w:spacing w:after="0" w:line="196" w:lineRule="exact"/>
              <w:rPr>
                <w:sz w:val="20"/>
                <w:szCs w:val="20"/>
                <w:color w:val="auto"/>
              </w:rPr>
            </w:pPr>
            <w:r>
              <w:rPr>
                <w:rFonts w:ascii="Times New Roman" w:cs="Times New Roman" w:eastAsia="Times New Roman" w:hAnsi="Times New Roman"/>
                <w:sz w:val="18"/>
                <w:szCs w:val="18"/>
                <w:color w:val="auto"/>
              </w:rPr>
              <w:t>$32.99</w:t>
            </w:r>
          </w:p>
        </w:tc>
        <w:tc>
          <w:tcPr>
            <w:tcW w:w="20" w:type="dxa"/>
            <w:vAlign w:val="bottom"/>
            <w:tcBorders>
              <w:bottom w:val="single" w:sz="8" w:color="auto"/>
            </w:tcBorders>
          </w:tcPr>
          <w:p>
            <w:pPr>
              <w:spacing w:after="0"/>
              <w:rPr>
                <w:sz w:val="18"/>
                <w:szCs w:val="18"/>
                <w:color w:val="auto"/>
              </w:rPr>
            </w:pPr>
          </w:p>
        </w:tc>
      </w:tr>
    </w:tbl>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intrinsic value of SARs exercised during 2020 and 2019 was $275,000 and $2,022,000, respectively. The average remaining contractual term for SARs outstanding as of December 31, 2020 was 1.95 years, and the aggregate intrinsic value was $1,095,000. The average remaining contractual term for SARs outstanding as of December 31, 2019 was 2.92 years, and the aggregate intrinsic value was $3,908,000.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compensation cost for share-based payment arrangements was $2,267,000, $3,144,000, and $3,006,000, in 2020, 2019, and 2018,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other operating expense are as follows:</w:t>
      </w:r>
    </w:p>
    <w:p>
      <w:pPr>
        <w:spacing w:after="0" w:line="18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6"/>
        </w:trPr>
        <w:tc>
          <w:tcPr>
            <w:tcW w:w="45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Postage and supplies</w:t>
            </w:r>
          </w:p>
        </w:tc>
        <w:tc>
          <w:tcPr>
            <w:tcW w:w="2860" w:type="dxa"/>
            <w:vAlign w:val="bottom"/>
            <w:shd w:val="clear" w:color="auto" w:fill="B2B2B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1,465</w:t>
            </w:r>
          </w:p>
        </w:tc>
        <w:tc>
          <w:tcPr>
            <w:tcW w:w="520" w:type="dxa"/>
            <w:vAlign w:val="bottom"/>
            <w:shd w:val="clear" w:color="auto" w:fill="B2B2B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1,875</w:t>
            </w:r>
          </w:p>
        </w:tc>
        <w:tc>
          <w:tcPr>
            <w:tcW w:w="520" w:type="dxa"/>
            <w:vAlign w:val="bottom"/>
            <w:shd w:val="clear" w:color="auto" w:fill="B2B2B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2,180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Promotional expense</w:t>
            </w:r>
          </w:p>
        </w:tc>
        <w:tc>
          <w:tcPr>
            <w:tcW w:w="28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2,184</w:t>
            </w:r>
          </w:p>
        </w:tc>
        <w:tc>
          <w:tcPr>
            <w:tcW w:w="5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3,838</w:t>
            </w:r>
          </w:p>
        </w:tc>
        <w:tc>
          <w:tcPr>
            <w:tcW w:w="5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3,344</w:t>
            </w:r>
          </w:p>
        </w:tc>
      </w:tr>
      <w:tr>
        <w:trPr>
          <w:trHeight w:val="216"/>
        </w:trPr>
        <w:tc>
          <w:tcPr>
            <w:tcW w:w="45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860" w:type="dxa"/>
            <w:vAlign w:val="bottom"/>
            <w:shd w:val="clear" w:color="auto" w:fill="B2B2B2"/>
          </w:tcPr>
          <w:p>
            <w:pPr>
              <w:spacing w:after="0"/>
              <w:rPr>
                <w:sz w:val="18"/>
                <w:szCs w:val="18"/>
                <w:color w:val="auto"/>
              </w:rPr>
            </w:pPr>
          </w:p>
        </w:tc>
        <w:tc>
          <w:tcPr>
            <w:tcW w:w="9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2,140</w:t>
            </w:r>
          </w:p>
        </w:tc>
        <w:tc>
          <w:tcPr>
            <w:tcW w:w="520" w:type="dxa"/>
            <w:vAlign w:val="bottom"/>
            <w:shd w:val="clear" w:color="auto" w:fill="B2B2B2"/>
          </w:tcPr>
          <w:p>
            <w:pPr>
              <w:spacing w:after="0"/>
              <w:rPr>
                <w:sz w:val="18"/>
                <w:szCs w:val="18"/>
                <w:color w:val="auto"/>
              </w:rPr>
            </w:pPr>
          </w:p>
        </w:tc>
        <w:tc>
          <w:tcPr>
            <w:tcW w:w="9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2,388</w:t>
            </w:r>
          </w:p>
        </w:tc>
        <w:tc>
          <w:tcPr>
            <w:tcW w:w="520" w:type="dxa"/>
            <w:vAlign w:val="bottom"/>
            <w:shd w:val="clear" w:color="auto" w:fill="B2B2B2"/>
          </w:tcPr>
          <w:p>
            <w:pPr>
              <w:spacing w:after="0"/>
              <w:rPr>
                <w:sz w:val="18"/>
                <w:szCs w:val="18"/>
                <w:color w:val="auto"/>
              </w:rPr>
            </w:pPr>
          </w:p>
        </w:tc>
        <w:tc>
          <w:tcPr>
            <w:tcW w:w="92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2,170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Outside service fees</w:t>
            </w:r>
          </w:p>
        </w:tc>
        <w:tc>
          <w:tcPr>
            <w:tcW w:w="28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5,845</w:t>
            </w:r>
          </w:p>
        </w:tc>
        <w:tc>
          <w:tcPr>
            <w:tcW w:w="5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5,529</w:t>
            </w:r>
          </w:p>
        </w:tc>
        <w:tc>
          <w:tcPr>
            <w:tcW w:w="5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4,909</w:t>
            </w:r>
          </w:p>
        </w:tc>
      </w:tr>
      <w:tr>
        <w:trPr>
          <w:trHeight w:val="216"/>
        </w:trPr>
        <w:tc>
          <w:tcPr>
            <w:tcW w:w="45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Data processing services</w:t>
            </w:r>
          </w:p>
        </w:tc>
        <w:tc>
          <w:tcPr>
            <w:tcW w:w="2860" w:type="dxa"/>
            <w:vAlign w:val="bottom"/>
            <w:shd w:val="clear" w:color="auto" w:fill="B2B2B2"/>
          </w:tcPr>
          <w:p>
            <w:pPr>
              <w:spacing w:after="0"/>
              <w:rPr>
                <w:sz w:val="18"/>
                <w:szCs w:val="18"/>
                <w:color w:val="auto"/>
              </w:rPr>
            </w:pPr>
          </w:p>
        </w:tc>
        <w:tc>
          <w:tcPr>
            <w:tcW w:w="9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1,900</w:t>
            </w:r>
          </w:p>
        </w:tc>
        <w:tc>
          <w:tcPr>
            <w:tcW w:w="520" w:type="dxa"/>
            <w:vAlign w:val="bottom"/>
            <w:shd w:val="clear" w:color="auto" w:fill="B2B2B2"/>
          </w:tcPr>
          <w:p>
            <w:pPr>
              <w:spacing w:after="0"/>
              <w:rPr>
                <w:sz w:val="18"/>
                <w:szCs w:val="18"/>
                <w:color w:val="auto"/>
              </w:rPr>
            </w:pPr>
          </w:p>
        </w:tc>
        <w:tc>
          <w:tcPr>
            <w:tcW w:w="9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1,283</w:t>
            </w:r>
          </w:p>
        </w:tc>
        <w:tc>
          <w:tcPr>
            <w:tcW w:w="520" w:type="dxa"/>
            <w:vAlign w:val="bottom"/>
            <w:shd w:val="clear" w:color="auto" w:fill="B2B2B2"/>
          </w:tcPr>
          <w:p>
            <w:pPr>
              <w:spacing w:after="0"/>
              <w:rPr>
                <w:sz w:val="18"/>
                <w:szCs w:val="18"/>
                <w:color w:val="auto"/>
              </w:rPr>
            </w:pPr>
          </w:p>
        </w:tc>
        <w:tc>
          <w:tcPr>
            <w:tcW w:w="92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919</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Telecommunications</w:t>
            </w:r>
          </w:p>
        </w:tc>
        <w:tc>
          <w:tcPr>
            <w:tcW w:w="28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765</w:t>
            </w:r>
          </w:p>
        </w:tc>
        <w:tc>
          <w:tcPr>
            <w:tcW w:w="5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748</w:t>
            </w:r>
          </w:p>
        </w:tc>
        <w:tc>
          <w:tcPr>
            <w:tcW w:w="5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w:t>
            </w:r>
          </w:p>
        </w:tc>
      </w:tr>
      <w:tr>
        <w:trPr>
          <w:trHeight w:val="216"/>
        </w:trPr>
        <w:tc>
          <w:tcPr>
            <w:tcW w:w="456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w:t>
            </w:r>
          </w:p>
        </w:tc>
        <w:tc>
          <w:tcPr>
            <w:tcW w:w="2860" w:type="dxa"/>
            <w:vAlign w:val="bottom"/>
            <w:tcBorders>
              <w:bottom w:val="single" w:sz="8" w:color="auto"/>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1,088</w:t>
            </w:r>
          </w:p>
        </w:tc>
        <w:tc>
          <w:tcPr>
            <w:tcW w:w="52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2,404</w:t>
            </w:r>
          </w:p>
        </w:tc>
        <w:tc>
          <w:tcPr>
            <w:tcW w:w="52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1,963</w:t>
            </w:r>
          </w:p>
        </w:tc>
      </w:tr>
      <w:tr>
        <w:trPr>
          <w:trHeight w:val="216"/>
        </w:trPr>
        <w:tc>
          <w:tcPr>
            <w:tcW w:w="45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Total other operating expense</w:t>
            </w:r>
          </w:p>
        </w:tc>
        <w:tc>
          <w:tcPr>
            <w:tcW w:w="286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15,387</w:t>
            </w:r>
          </w:p>
        </w:tc>
        <w:tc>
          <w:tcPr>
            <w:tcW w:w="52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18,065</w:t>
            </w:r>
          </w:p>
        </w:tc>
        <w:tc>
          <w:tcPr>
            <w:tcW w:w="5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16,263</w:t>
            </w:r>
          </w:p>
        </w:tc>
      </w:tr>
    </w:tbl>
    <w:p>
      <w:pPr>
        <w:spacing w:after="0" w:line="198" w:lineRule="exact"/>
        <w:rPr>
          <w:sz w:val="20"/>
          <w:szCs w:val="20"/>
          <w:color w:val="auto"/>
        </w:rPr>
      </w:pPr>
    </w:p>
    <w:p>
      <w:pPr>
        <w:sectPr>
          <w:pgSz w:w="11900" w:h="16838" w:orient="portrait"/>
          <w:cols w:equalWidth="0" w:num="1">
            <w:col w:w="11240"/>
          </w:cols>
          <w:pgMar w:left="320" w:top="293"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expense (benefit) are as follows:</w:t>
      </w:r>
    </w:p>
    <w:p>
      <w:pPr>
        <w:spacing w:after="0" w:line="18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6"/>
        </w:trPr>
        <w:tc>
          <w:tcPr>
            <w:tcW w:w="44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Current:</w:t>
            </w:r>
          </w:p>
        </w:tc>
        <w:tc>
          <w:tcPr>
            <w:tcW w:w="304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16"/>
        </w:trPr>
        <w:tc>
          <w:tcPr>
            <w:tcW w:w="4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Federal</w:t>
            </w:r>
          </w:p>
        </w:tc>
        <w:tc>
          <w:tcPr>
            <w:tcW w:w="3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5,350</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4,423</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8,557</w:t>
            </w:r>
          </w:p>
        </w:tc>
      </w:tr>
      <w:tr>
        <w:trPr>
          <w:trHeight w:val="216"/>
        </w:trPr>
        <w:tc>
          <w:tcPr>
            <w:tcW w:w="442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State</w:t>
            </w:r>
          </w:p>
        </w:tc>
        <w:tc>
          <w:tcPr>
            <w:tcW w:w="3040" w:type="dxa"/>
            <w:vAlign w:val="bottom"/>
            <w:shd w:val="clear" w:color="auto" w:fill="B2B2B2"/>
          </w:tcPr>
          <w:p>
            <w:pPr>
              <w:spacing w:after="0"/>
              <w:rPr>
                <w:sz w:val="18"/>
                <w:szCs w:val="18"/>
                <w:color w:val="auto"/>
              </w:rPr>
            </w:pPr>
          </w:p>
        </w:tc>
        <w:tc>
          <w:tcPr>
            <w:tcW w:w="92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671</w:t>
            </w:r>
          </w:p>
        </w:tc>
        <w:tc>
          <w:tcPr>
            <w:tcW w:w="54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1,392</w:t>
            </w:r>
          </w:p>
        </w:tc>
        <w:tc>
          <w:tcPr>
            <w:tcW w:w="54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1,043</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42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Federal</w:t>
            </w:r>
          </w:p>
        </w:tc>
        <w:tc>
          <w:tcPr>
            <w:tcW w:w="304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54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1,097</w:t>
            </w:r>
          </w:p>
        </w:tc>
        <w:tc>
          <w:tcPr>
            <w:tcW w:w="5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(3,404)</w:t>
            </w:r>
          </w:p>
        </w:tc>
      </w:tr>
      <w:tr>
        <w:trPr>
          <w:trHeight w:val="216"/>
        </w:trPr>
        <w:tc>
          <w:tcPr>
            <w:tcW w:w="44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State</w:t>
            </w:r>
          </w:p>
        </w:tc>
        <w:tc>
          <w:tcPr>
            <w:tcW w:w="30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7"/>
        </w:trPr>
        <w:tc>
          <w:tcPr>
            <w:tcW w:w="4420" w:type="dxa"/>
            <w:vAlign w:val="bottom"/>
            <w:tcBorders>
              <w:bottom w:val="single" w:sz="8" w:color="auto"/>
            </w:tcBorders>
            <w:shd w:val="clear" w:color="auto" w:fill="B2B2B2"/>
          </w:tcPr>
          <w:p>
            <w:pPr>
              <w:spacing w:after="0" w:line="202" w:lineRule="exact"/>
              <w:rPr>
                <w:sz w:val="20"/>
                <w:szCs w:val="20"/>
                <w:color w:val="auto"/>
              </w:rPr>
            </w:pPr>
            <w:r>
              <w:rPr>
                <w:rFonts w:ascii="Times New Roman" w:cs="Times New Roman" w:eastAsia="Times New Roman" w:hAnsi="Times New Roman"/>
                <w:sz w:val="18"/>
                <w:szCs w:val="18"/>
                <w:color w:val="auto"/>
              </w:rPr>
              <w:t>Total income tax expense</w:t>
            </w:r>
          </w:p>
        </w:tc>
        <w:tc>
          <w:tcPr>
            <w:tcW w:w="3040" w:type="dxa"/>
            <w:vAlign w:val="bottom"/>
            <w:tcBorders>
              <w:bottom w:val="single" w:sz="8" w:color="auto"/>
            </w:tcBorders>
            <w:shd w:val="clear" w:color="auto" w:fill="B2B2B2"/>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B2B2B2"/>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5,165</w:t>
            </w:r>
          </w:p>
        </w:tc>
        <w:tc>
          <w:tcPr>
            <w:tcW w:w="540" w:type="dxa"/>
            <w:vAlign w:val="bottom"/>
            <w:tcBorders>
              <w:bottom w:val="single" w:sz="8" w:color="auto"/>
            </w:tcBorders>
            <w:shd w:val="clear" w:color="auto" w:fill="B2B2B2"/>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B2B2B2"/>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7,062</w:t>
            </w:r>
          </w:p>
        </w:tc>
        <w:tc>
          <w:tcPr>
            <w:tcW w:w="540" w:type="dxa"/>
            <w:vAlign w:val="bottom"/>
            <w:tcBorders>
              <w:bottom w:val="single" w:sz="8" w:color="auto"/>
            </w:tcBorders>
            <w:shd w:val="clear" w:color="auto" w:fill="B2B2B2"/>
          </w:tcPr>
          <w:p>
            <w:pPr>
              <w:jc w:val="right"/>
              <w:ind w:right="2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2B2B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6,079</w:t>
            </w:r>
          </w:p>
        </w:tc>
      </w:tr>
    </w:tbl>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expected income tax expense (benefit), computed by applying the effective federal statutory rate of 21% for each year to income before income tax expense is as follows:</w:t>
      </w:r>
    </w:p>
    <w:p>
      <w:pPr>
        <w:spacing w:after="0" w:line="11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6"/>
        </w:trPr>
        <w:tc>
          <w:tcPr>
            <w:tcW w:w="55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Expected income tax expense</w:t>
            </w:r>
          </w:p>
        </w:tc>
        <w:tc>
          <w:tcPr>
            <w:tcW w:w="1860" w:type="dxa"/>
            <w:vAlign w:val="bottom"/>
            <w:shd w:val="clear" w:color="auto" w:fill="B2B2B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6,385</w:t>
            </w:r>
          </w:p>
        </w:tc>
        <w:tc>
          <w:tcPr>
            <w:tcW w:w="500" w:type="dxa"/>
            <w:vAlign w:val="bottom"/>
            <w:shd w:val="clear" w:color="auto" w:fill="B2B2B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7,868</w:t>
            </w:r>
          </w:p>
        </w:tc>
        <w:tc>
          <w:tcPr>
            <w:tcW w:w="520" w:type="dxa"/>
            <w:vAlign w:val="bottom"/>
            <w:shd w:val="clear" w:color="auto" w:fill="B2B2B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7,633</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(Reductions) increases resulting from:</w:t>
            </w: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56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Tax-exempt income</w:t>
            </w:r>
          </w:p>
        </w:tc>
        <w:tc>
          <w:tcPr>
            <w:tcW w:w="18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5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5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(2,009)</w:t>
            </w:r>
          </w:p>
        </w:tc>
      </w:tr>
      <w:tr>
        <w:trPr>
          <w:trHeight w:val="216"/>
        </w:trPr>
        <w:tc>
          <w:tcPr>
            <w:tcW w:w="5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8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356</w:t>
            </w:r>
          </w:p>
        </w:tc>
        <w:tc>
          <w:tcPr>
            <w:tcW w:w="5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1,218</w:t>
            </w:r>
          </w:p>
        </w:tc>
        <w:tc>
          <w:tcPr>
            <w:tcW w:w="5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r>
      <w:tr>
        <w:trPr>
          <w:trHeight w:val="216"/>
        </w:trPr>
        <w:tc>
          <w:tcPr>
            <w:tcW w:w="556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Share-based compensation adjustment</w:t>
            </w:r>
          </w:p>
        </w:tc>
        <w:tc>
          <w:tcPr>
            <w:tcW w:w="186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5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5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5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Adjustment of deferred tax asset or liability for TCJA</w:t>
            </w:r>
          </w:p>
        </w:tc>
        <w:tc>
          <w:tcPr>
            <w:tcW w:w="18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56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 net</w:t>
            </w:r>
          </w:p>
        </w:tc>
        <w:tc>
          <w:tcPr>
            <w:tcW w:w="18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00" w:type="dxa"/>
            <w:vAlign w:val="bottom"/>
            <w:tcBorders>
              <w:bottom w:val="single" w:sz="8" w:color="auto"/>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r>
      <w:tr>
        <w:trPr>
          <w:trHeight w:val="217"/>
        </w:trPr>
        <w:tc>
          <w:tcPr>
            <w:tcW w:w="55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Total income tax expense</w:t>
            </w:r>
          </w:p>
        </w:tc>
        <w:tc>
          <w:tcPr>
            <w:tcW w:w="186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5,165</w:t>
            </w:r>
          </w:p>
        </w:tc>
        <w:tc>
          <w:tcPr>
            <w:tcW w:w="50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7,062</w:t>
            </w:r>
          </w:p>
        </w:tc>
        <w:tc>
          <w:tcPr>
            <w:tcW w:w="52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6,079</w:t>
            </w:r>
          </w:p>
        </w:tc>
      </w:tr>
    </w:tbl>
    <w:p>
      <w:pPr>
        <w:spacing w:after="0" w:line="3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tax expense in 2020 totaled $5,165,000 compared to $7,062,000 and $6,079,000 in 2019 and 2018, respectively. When measured as a percent of pre-tax income, the Company’s effective tax rate was 17% in 2020, 19% in 2019, and 17% in 2018.</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which give rise to significant portions of the deferred tax assets and deferred tax liabilities are presented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16"/>
        </w:trPr>
        <w:tc>
          <w:tcPr>
            <w:tcW w:w="64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620" w:type="dxa"/>
            <w:vAlign w:val="bottom"/>
            <w:shd w:val="clear" w:color="auto" w:fill="B2B2B2"/>
          </w:tcPr>
          <w:p>
            <w:pPr>
              <w:spacing w:after="0"/>
              <w:rPr>
                <w:sz w:val="18"/>
                <w:szCs w:val="18"/>
                <w:color w:val="auto"/>
              </w:rPr>
            </w:pPr>
          </w:p>
        </w:tc>
        <w:tc>
          <w:tcPr>
            <w:tcW w:w="68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Allowance for credit/loan losses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2,858</w:t>
            </w:r>
          </w:p>
        </w:tc>
        <w:tc>
          <w:tcPr>
            <w:tcW w:w="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16"/>
        </w:trPr>
        <w:tc>
          <w:tcPr>
            <w:tcW w:w="64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ASC 715 pension funding liability</w:t>
            </w:r>
          </w:p>
        </w:tc>
        <w:tc>
          <w:tcPr>
            <w:tcW w:w="40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4,656</w:t>
            </w:r>
          </w:p>
        </w:tc>
        <w:tc>
          <w:tcPr>
            <w:tcW w:w="620" w:type="dxa"/>
            <w:vAlign w:val="bottom"/>
            <w:shd w:val="clear" w:color="auto" w:fill="B2B2B2"/>
          </w:tcPr>
          <w:p>
            <w:pPr>
              <w:spacing w:after="0"/>
              <w:rPr>
                <w:sz w:val="18"/>
                <w:szCs w:val="18"/>
                <w:color w:val="auto"/>
              </w:rPr>
            </w:pPr>
          </w:p>
        </w:tc>
        <w:tc>
          <w:tcPr>
            <w:tcW w:w="6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0" w:type="dxa"/>
            <w:vAlign w:val="bottom"/>
          </w:tcPr>
          <w:p>
            <w:pPr>
              <w:spacing w:after="0"/>
              <w:rPr>
                <w:sz w:val="1"/>
                <w:szCs w:val="1"/>
                <w:color w:val="auto"/>
              </w:rPr>
            </w:pPr>
          </w:p>
        </w:tc>
      </w:tr>
      <w:tr>
        <w:trPr>
          <w:trHeight w:val="257"/>
        </w:trPr>
        <w:tc>
          <w:tcPr>
            <w:tcW w:w="6400" w:type="dxa"/>
            <w:vAlign w:val="bottom"/>
          </w:tcPr>
          <w:p>
            <w:pPr>
              <w:ind w:left="280"/>
              <w:spacing w:after="0" w:line="256" w:lineRule="exact"/>
              <w:rPr>
                <w:sz w:val="20"/>
                <w:szCs w:val="20"/>
                <w:color w:val="auto"/>
              </w:rPr>
            </w:pPr>
            <w:r>
              <w:rPr>
                <w:rFonts w:ascii="Times New Roman" w:cs="Times New Roman" w:eastAsia="Times New Roman" w:hAnsi="Times New Roman"/>
                <w:sz w:val="18"/>
                <w:szCs w:val="18"/>
                <w:color w:val="auto"/>
              </w:rPr>
              <w:t xml:space="preserve">Net operating loss carryforward </w:t>
            </w:r>
            <w:r>
              <w:rPr>
                <w:rFonts w:ascii="Times New Roman" w:cs="Times New Roman" w:eastAsia="Times New Roman" w:hAnsi="Times New Roman"/>
                <w:sz w:val="29"/>
                <w:szCs w:val="29"/>
                <w:b w:val="1"/>
                <w:bCs w:val="1"/>
                <w:color w:val="auto"/>
                <w:vertAlign w:val="superscript"/>
              </w:rPr>
              <w:t>(1)</w:t>
            </w:r>
          </w:p>
        </w:tc>
        <w:tc>
          <w:tcPr>
            <w:tcW w:w="40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4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Supplemental executive retirement plan accrual</w:t>
            </w:r>
          </w:p>
        </w:tc>
        <w:tc>
          <w:tcPr>
            <w:tcW w:w="40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2,220</w:t>
            </w:r>
          </w:p>
        </w:tc>
        <w:tc>
          <w:tcPr>
            <w:tcW w:w="620" w:type="dxa"/>
            <w:vAlign w:val="bottom"/>
            <w:shd w:val="clear" w:color="auto" w:fill="B2B2B2"/>
          </w:tcPr>
          <w:p>
            <w:pPr>
              <w:spacing w:after="0"/>
              <w:rPr>
                <w:sz w:val="18"/>
                <w:szCs w:val="18"/>
                <w:color w:val="auto"/>
              </w:rPr>
            </w:pPr>
          </w:p>
        </w:tc>
        <w:tc>
          <w:tcPr>
            <w:tcW w:w="6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Stock compensation</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1,794</w:t>
            </w:r>
          </w:p>
        </w:tc>
        <w:tc>
          <w:tcPr>
            <w:tcW w:w="6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auto"/>
            </w:tcBorders>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00" w:type="dxa"/>
            <w:vAlign w:val="bottom"/>
            <w:tcBorders>
              <w:bottom w:val="single" w:sz="8" w:color="auto"/>
            </w:tcBorders>
            <w:shd w:val="clear" w:color="auto" w:fill="B2B2B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11,528</w:t>
            </w:r>
          </w:p>
        </w:tc>
        <w:tc>
          <w:tcPr>
            <w:tcW w:w="620" w:type="dxa"/>
            <w:vAlign w:val="bottom"/>
            <w:tcBorders>
              <w:bottom w:val="single" w:sz="8" w:color="auto"/>
            </w:tcBorders>
            <w:shd w:val="clear" w:color="auto" w:fill="B2B2B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0" w:type="dxa"/>
            <w:vAlign w:val="bottom"/>
          </w:tcPr>
          <w:p>
            <w:pPr>
              <w:spacing w:after="0"/>
              <w:rPr>
                <w:sz w:val="1"/>
                <w:szCs w:val="1"/>
                <w:color w:val="auto"/>
              </w:rPr>
            </w:pP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Premises and equipment</w:t>
            </w:r>
          </w:p>
        </w:tc>
        <w:tc>
          <w:tcPr>
            <w:tcW w:w="40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620" w:type="dxa"/>
            <w:vAlign w:val="bottom"/>
            <w:shd w:val="clear" w:color="auto" w:fill="B2B2B2"/>
          </w:tcPr>
          <w:p>
            <w:pPr>
              <w:spacing w:after="0"/>
              <w:rPr>
                <w:sz w:val="18"/>
                <w:szCs w:val="18"/>
                <w:color w:val="auto"/>
              </w:rPr>
            </w:pPr>
          </w:p>
        </w:tc>
        <w:tc>
          <w:tcPr>
            <w:tcW w:w="6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0" w:type="dxa"/>
            <w:vAlign w:val="bottom"/>
          </w:tcPr>
          <w:p>
            <w:pPr>
              <w:spacing w:after="0"/>
              <w:rPr>
                <w:sz w:val="1"/>
                <w:szCs w:val="1"/>
                <w:color w:val="auto"/>
              </w:rPr>
            </w:pPr>
          </w:p>
        </w:tc>
      </w:tr>
      <w:tr>
        <w:trPr>
          <w:trHeight w:val="216"/>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Pension</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16"/>
        </w:trPr>
        <w:tc>
          <w:tcPr>
            <w:tcW w:w="64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Intangible assets</w:t>
            </w:r>
          </w:p>
        </w:tc>
        <w:tc>
          <w:tcPr>
            <w:tcW w:w="40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620" w:type="dxa"/>
            <w:vAlign w:val="bottom"/>
            <w:shd w:val="clear" w:color="auto" w:fill="B2B2B2"/>
          </w:tcPr>
          <w:p>
            <w:pPr>
              <w:spacing w:after="0"/>
              <w:rPr>
                <w:sz w:val="18"/>
                <w:szCs w:val="18"/>
                <w:color w:val="auto"/>
              </w:rPr>
            </w:pPr>
          </w:p>
        </w:tc>
        <w:tc>
          <w:tcPr>
            <w:tcW w:w="6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16"/>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gain on investment in securities available-for-sale</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auto"/>
            </w:tcBorders>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20" w:type="dxa"/>
            <w:vAlign w:val="bottom"/>
            <w:tcBorders>
              <w:bottom w:val="single" w:sz="8" w:color="auto"/>
            </w:tcBorders>
            <w:shd w:val="clear" w:color="auto" w:fill="B2B2B2"/>
          </w:tcPr>
          <w:p>
            <w:pPr>
              <w:spacing w:after="0"/>
              <w:rPr>
                <w:sz w:val="18"/>
                <w:szCs w:val="18"/>
                <w:color w:val="auto"/>
              </w:rPr>
            </w:pPr>
          </w:p>
        </w:tc>
        <w:tc>
          <w:tcPr>
            <w:tcW w:w="6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6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auto"/>
            </w:tcBorders>
            <w:shd w:val="clear" w:color="auto" w:fill="B2B2B2"/>
          </w:tcPr>
          <w:p>
            <w:pPr>
              <w:spacing w:after="0" w:line="202" w:lineRule="exact"/>
              <w:rPr>
                <w:sz w:val="20"/>
                <w:szCs w:val="20"/>
                <w:color w:val="auto"/>
              </w:rPr>
            </w:pPr>
            <w:r>
              <w:rPr>
                <w:rFonts w:ascii="Times New Roman" w:cs="Times New Roman" w:eastAsia="Times New Roman" w:hAnsi="Times New Roman"/>
                <w:sz w:val="18"/>
                <w:szCs w:val="18"/>
                <w:color w:val="auto"/>
              </w:rPr>
              <w:t>Net deferred tax assets</w:t>
            </w:r>
          </w:p>
        </w:tc>
        <w:tc>
          <w:tcPr>
            <w:tcW w:w="400" w:type="dxa"/>
            <w:vAlign w:val="bottom"/>
            <w:tcBorders>
              <w:bottom w:val="single" w:sz="8" w:color="auto"/>
            </w:tcBorders>
            <w:shd w:val="clear" w:color="auto" w:fill="B2B2B2"/>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B2B2B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2,297</w:t>
            </w:r>
          </w:p>
        </w:tc>
        <w:tc>
          <w:tcPr>
            <w:tcW w:w="620" w:type="dxa"/>
            <w:vAlign w:val="bottom"/>
            <w:tcBorders>
              <w:bottom w:val="single" w:sz="8" w:color="auto"/>
            </w:tcBorders>
            <w:shd w:val="clear" w:color="auto" w:fill="B2B2B2"/>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5,477</w:t>
            </w:r>
          </w:p>
        </w:tc>
        <w:tc>
          <w:tcPr>
            <w:tcW w:w="0" w:type="dxa"/>
            <w:vAlign w:val="bottom"/>
          </w:tcPr>
          <w:p>
            <w:pPr>
              <w:spacing w:after="0"/>
              <w:rPr>
                <w:sz w:val="1"/>
                <w:szCs w:val="1"/>
                <w:color w:val="auto"/>
              </w:rPr>
            </w:pPr>
          </w:p>
        </w:tc>
      </w:tr>
    </w:tbl>
    <w:p>
      <w:pPr>
        <w:ind w:left="340" w:hanging="332"/>
        <w:spacing w:after="0" w:line="206" w:lineRule="auto"/>
        <w:tabs>
          <w:tab w:leader="none" w:pos="340" w:val="left"/>
        </w:tabs>
        <w:numPr>
          <w:ilvl w:val="0"/>
          <w:numId w:val="18"/>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As of December 31, 2020, the Company had no remaining net operating loss carry forwards as a result of the acquisition of Franklin Bancorp.</w:t>
      </w:r>
    </w:p>
    <w:p>
      <w:pPr>
        <w:spacing w:after="0" w:line="3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valuation allowance would be provided on deferred tax assets when it is more likely than not that some portion of the assets will not be realized. The Company has not established a valuation allowance at December 31, 2020 or 2019, due to management’s belief that it is more likely than not that the DTA is realizable.</w:t>
      </w:r>
    </w:p>
    <w:p>
      <w:pPr>
        <w:sectPr>
          <w:pgSz w:w="11900" w:h="16838" w:orient="portrait"/>
          <w:cols w:equalWidth="0" w:num="1">
            <w:col w:w="11240"/>
          </w:cols>
          <w:pgMar w:left="320" w:top="293"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beginning unrecognized tax benefits balance to the ending balance is presented in the following table: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6"/>
        </w:trPr>
        <w:tc>
          <w:tcPr>
            <w:tcW w:w="582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34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1,299</w:t>
            </w:r>
          </w:p>
        </w:tc>
        <w:tc>
          <w:tcPr>
            <w:tcW w:w="3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1,403</w:t>
            </w:r>
          </w:p>
        </w:tc>
        <w:tc>
          <w:tcPr>
            <w:tcW w:w="34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198"/>
        </w:trPr>
        <w:tc>
          <w:tcPr>
            <w:tcW w:w="582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Changes in unrecognized tax benefits as a result of tax positions taken</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4"/>
        </w:trPr>
        <w:tc>
          <w:tcPr>
            <w:tcW w:w="5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during a prior year</w:t>
            </w:r>
          </w:p>
        </w:tc>
        <w:tc>
          <w:tcPr>
            <w:tcW w:w="3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198"/>
        </w:trPr>
        <w:tc>
          <w:tcPr>
            <w:tcW w:w="5820" w:type="dxa"/>
            <w:vAlign w:val="bottom"/>
            <w:shd w:val="clear" w:color="auto" w:fill="B2B2B2"/>
          </w:tcPr>
          <w:p>
            <w:pPr>
              <w:ind w:left="280"/>
              <w:spacing w:after="0" w:line="198" w:lineRule="exact"/>
              <w:rPr>
                <w:sz w:val="20"/>
                <w:szCs w:val="20"/>
                <w:color w:val="auto"/>
              </w:rPr>
            </w:pPr>
            <w:r>
              <w:rPr>
                <w:rFonts w:ascii="Times New Roman" w:cs="Times New Roman" w:eastAsia="Times New Roman" w:hAnsi="Times New Roman"/>
                <w:sz w:val="18"/>
                <w:szCs w:val="18"/>
                <w:color w:val="auto"/>
              </w:rPr>
              <w:t>Changes in unrecognized tax benefits as a result of tax position taken</w:t>
            </w:r>
          </w:p>
        </w:tc>
        <w:tc>
          <w:tcPr>
            <w:tcW w:w="340" w:type="dxa"/>
            <w:vAlign w:val="bottom"/>
            <w:shd w:val="clear" w:color="auto" w:fill="B2B2B2"/>
          </w:tcPr>
          <w:p>
            <w:pPr>
              <w:spacing w:after="0"/>
              <w:rPr>
                <w:sz w:val="17"/>
                <w:szCs w:val="17"/>
                <w:color w:val="auto"/>
              </w:rPr>
            </w:pPr>
          </w:p>
        </w:tc>
        <w:tc>
          <w:tcPr>
            <w:tcW w:w="740" w:type="dxa"/>
            <w:vAlign w:val="bottom"/>
            <w:shd w:val="clear" w:color="auto" w:fill="B2B2B2"/>
          </w:tcPr>
          <w:p>
            <w:pPr>
              <w:spacing w:after="0"/>
              <w:rPr>
                <w:sz w:val="17"/>
                <w:szCs w:val="17"/>
                <w:color w:val="auto"/>
              </w:rPr>
            </w:pPr>
          </w:p>
        </w:tc>
        <w:tc>
          <w:tcPr>
            <w:tcW w:w="360" w:type="dxa"/>
            <w:vAlign w:val="bottom"/>
            <w:shd w:val="clear" w:color="auto" w:fill="B2B2B2"/>
          </w:tcPr>
          <w:p>
            <w:pPr>
              <w:spacing w:after="0"/>
              <w:rPr>
                <w:sz w:val="17"/>
                <w:szCs w:val="17"/>
                <w:color w:val="auto"/>
              </w:rPr>
            </w:pPr>
          </w:p>
        </w:tc>
        <w:tc>
          <w:tcPr>
            <w:tcW w:w="720" w:type="dxa"/>
            <w:vAlign w:val="bottom"/>
            <w:shd w:val="clear" w:color="auto" w:fill="B2B2B2"/>
          </w:tcPr>
          <w:p>
            <w:pPr>
              <w:spacing w:after="0"/>
              <w:rPr>
                <w:sz w:val="17"/>
                <w:szCs w:val="17"/>
                <w:color w:val="auto"/>
              </w:rPr>
            </w:pPr>
          </w:p>
        </w:tc>
        <w:tc>
          <w:tcPr>
            <w:tcW w:w="340" w:type="dxa"/>
            <w:vAlign w:val="bottom"/>
            <w:shd w:val="clear" w:color="auto" w:fill="B2B2B2"/>
          </w:tcPr>
          <w:p>
            <w:pPr>
              <w:spacing w:after="0"/>
              <w:rPr>
                <w:sz w:val="17"/>
                <w:szCs w:val="17"/>
                <w:color w:val="auto"/>
              </w:rPr>
            </w:pPr>
          </w:p>
        </w:tc>
        <w:tc>
          <w:tcPr>
            <w:tcW w:w="680" w:type="dxa"/>
            <w:vAlign w:val="bottom"/>
            <w:shd w:val="clear" w:color="auto" w:fill="B2B2B2"/>
          </w:tcPr>
          <w:p>
            <w:pPr>
              <w:spacing w:after="0"/>
              <w:rPr>
                <w:sz w:val="17"/>
                <w:szCs w:val="17"/>
                <w:color w:val="auto"/>
              </w:rPr>
            </w:pPr>
          </w:p>
        </w:tc>
      </w:tr>
      <w:tr>
        <w:trPr>
          <w:trHeight w:val="234"/>
        </w:trPr>
        <w:tc>
          <w:tcPr>
            <w:tcW w:w="582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during the current year</w:t>
            </w:r>
          </w:p>
        </w:tc>
        <w:tc>
          <w:tcPr>
            <w:tcW w:w="340" w:type="dxa"/>
            <w:vAlign w:val="bottom"/>
            <w:shd w:val="clear" w:color="auto" w:fill="B2B2B2"/>
          </w:tcPr>
          <w:p>
            <w:pPr>
              <w:spacing w:after="0"/>
              <w:rPr>
                <w:sz w:val="20"/>
                <w:szCs w:val="20"/>
                <w:color w:val="auto"/>
              </w:rPr>
            </w:pPr>
          </w:p>
        </w:tc>
        <w:tc>
          <w:tcPr>
            <w:tcW w:w="74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360" w:type="dxa"/>
            <w:vAlign w:val="bottom"/>
            <w:shd w:val="clear" w:color="auto" w:fill="B2B2B2"/>
          </w:tcPr>
          <w:p>
            <w:pPr>
              <w:spacing w:after="0"/>
              <w:rPr>
                <w:sz w:val="20"/>
                <w:szCs w:val="20"/>
                <w:color w:val="auto"/>
              </w:rPr>
            </w:pPr>
          </w:p>
        </w:tc>
        <w:tc>
          <w:tcPr>
            <w:tcW w:w="72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340" w:type="dxa"/>
            <w:vAlign w:val="bottom"/>
            <w:shd w:val="clear" w:color="auto" w:fill="B2B2B2"/>
          </w:tcPr>
          <w:p>
            <w:pPr>
              <w:spacing w:after="0"/>
              <w:rPr>
                <w:sz w:val="20"/>
                <w:szCs w:val="20"/>
                <w:color w:val="auto"/>
              </w:rPr>
            </w:pPr>
          </w:p>
        </w:tc>
        <w:tc>
          <w:tcPr>
            <w:tcW w:w="6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198"/>
        </w:trPr>
        <w:tc>
          <w:tcPr>
            <w:tcW w:w="582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Reductions to unrecognized tax benefits as a result of a lapse of the</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4"/>
        </w:trPr>
        <w:tc>
          <w:tcPr>
            <w:tcW w:w="5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applicable statute of limitations</w:t>
            </w: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198"/>
        </w:trPr>
        <w:tc>
          <w:tcPr>
            <w:tcW w:w="5820" w:type="dxa"/>
            <w:vAlign w:val="bottom"/>
            <w:shd w:val="clear" w:color="auto" w:fill="B2B2B2"/>
          </w:tcPr>
          <w:p>
            <w:pPr>
              <w:ind w:left="280"/>
              <w:spacing w:after="0" w:line="198" w:lineRule="exact"/>
              <w:rPr>
                <w:sz w:val="20"/>
                <w:szCs w:val="20"/>
                <w:color w:val="auto"/>
              </w:rPr>
            </w:pPr>
            <w:r>
              <w:rPr>
                <w:rFonts w:ascii="Times New Roman" w:cs="Times New Roman" w:eastAsia="Times New Roman" w:hAnsi="Times New Roman"/>
                <w:sz w:val="18"/>
                <w:szCs w:val="18"/>
                <w:color w:val="auto"/>
              </w:rPr>
              <w:t>Decreases in unrecognized tax benefits as a result of settlements with taxing</w:t>
            </w:r>
          </w:p>
        </w:tc>
        <w:tc>
          <w:tcPr>
            <w:tcW w:w="340" w:type="dxa"/>
            <w:vAlign w:val="bottom"/>
            <w:shd w:val="clear" w:color="auto" w:fill="B2B2B2"/>
          </w:tcPr>
          <w:p>
            <w:pPr>
              <w:spacing w:after="0"/>
              <w:rPr>
                <w:sz w:val="17"/>
                <w:szCs w:val="17"/>
                <w:color w:val="auto"/>
              </w:rPr>
            </w:pPr>
          </w:p>
        </w:tc>
        <w:tc>
          <w:tcPr>
            <w:tcW w:w="740" w:type="dxa"/>
            <w:vAlign w:val="bottom"/>
            <w:shd w:val="clear" w:color="auto" w:fill="B2B2B2"/>
          </w:tcPr>
          <w:p>
            <w:pPr>
              <w:spacing w:after="0"/>
              <w:rPr>
                <w:sz w:val="17"/>
                <w:szCs w:val="17"/>
                <w:color w:val="auto"/>
              </w:rPr>
            </w:pPr>
          </w:p>
        </w:tc>
        <w:tc>
          <w:tcPr>
            <w:tcW w:w="360" w:type="dxa"/>
            <w:vAlign w:val="bottom"/>
            <w:shd w:val="clear" w:color="auto" w:fill="B2B2B2"/>
          </w:tcPr>
          <w:p>
            <w:pPr>
              <w:spacing w:after="0"/>
              <w:rPr>
                <w:sz w:val="17"/>
                <w:szCs w:val="17"/>
                <w:color w:val="auto"/>
              </w:rPr>
            </w:pPr>
          </w:p>
        </w:tc>
        <w:tc>
          <w:tcPr>
            <w:tcW w:w="720" w:type="dxa"/>
            <w:vAlign w:val="bottom"/>
            <w:shd w:val="clear" w:color="auto" w:fill="B2B2B2"/>
          </w:tcPr>
          <w:p>
            <w:pPr>
              <w:spacing w:after="0"/>
              <w:rPr>
                <w:sz w:val="17"/>
                <w:szCs w:val="17"/>
                <w:color w:val="auto"/>
              </w:rPr>
            </w:pPr>
          </w:p>
        </w:tc>
        <w:tc>
          <w:tcPr>
            <w:tcW w:w="340" w:type="dxa"/>
            <w:vAlign w:val="bottom"/>
            <w:shd w:val="clear" w:color="auto" w:fill="B2B2B2"/>
          </w:tcPr>
          <w:p>
            <w:pPr>
              <w:spacing w:after="0"/>
              <w:rPr>
                <w:sz w:val="17"/>
                <w:szCs w:val="17"/>
                <w:color w:val="auto"/>
              </w:rPr>
            </w:pPr>
          </w:p>
        </w:tc>
        <w:tc>
          <w:tcPr>
            <w:tcW w:w="680" w:type="dxa"/>
            <w:vAlign w:val="bottom"/>
            <w:shd w:val="clear" w:color="auto" w:fill="B2B2B2"/>
          </w:tcPr>
          <w:p>
            <w:pPr>
              <w:spacing w:after="0"/>
              <w:rPr>
                <w:sz w:val="17"/>
                <w:szCs w:val="17"/>
                <w:color w:val="auto"/>
              </w:rPr>
            </w:pPr>
          </w:p>
        </w:tc>
      </w:tr>
      <w:tr>
        <w:trPr>
          <w:trHeight w:val="234"/>
        </w:trPr>
        <w:tc>
          <w:tcPr>
            <w:tcW w:w="5820" w:type="dxa"/>
            <w:vAlign w:val="bottom"/>
            <w:tcBorders>
              <w:bottom w:val="single" w:sz="8" w:color="auto"/>
            </w:tcBorders>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authorities</w:t>
            </w:r>
          </w:p>
        </w:tc>
        <w:tc>
          <w:tcPr>
            <w:tcW w:w="340" w:type="dxa"/>
            <w:vAlign w:val="bottom"/>
            <w:tcBorders>
              <w:bottom w:val="single" w:sz="8" w:color="auto"/>
            </w:tcBorders>
            <w:shd w:val="clear" w:color="auto" w:fill="B2B2B2"/>
          </w:tcPr>
          <w:p>
            <w:pPr>
              <w:spacing w:after="0"/>
              <w:rPr>
                <w:sz w:val="20"/>
                <w:szCs w:val="20"/>
                <w:color w:val="auto"/>
              </w:rPr>
            </w:pPr>
          </w:p>
        </w:tc>
        <w:tc>
          <w:tcPr>
            <w:tcW w:w="7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tcBorders>
              <w:bottom w:val="single" w:sz="8" w:color="auto"/>
            </w:tcBorders>
            <w:shd w:val="clear" w:color="auto" w:fill="B2B2B2"/>
          </w:tcPr>
          <w:p>
            <w:pPr>
              <w:spacing w:after="0"/>
              <w:rPr>
                <w:sz w:val="20"/>
                <w:szCs w:val="20"/>
                <w:color w:val="auto"/>
              </w:rPr>
            </w:pPr>
          </w:p>
        </w:tc>
        <w:tc>
          <w:tcPr>
            <w:tcW w:w="72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B2B2B2"/>
          </w:tcPr>
          <w:p>
            <w:pPr>
              <w:spacing w:after="0"/>
              <w:rPr>
                <w:sz w:val="20"/>
                <w:szCs w:val="20"/>
                <w:color w:val="auto"/>
              </w:rPr>
            </w:pPr>
          </w:p>
        </w:tc>
        <w:tc>
          <w:tcPr>
            <w:tcW w:w="6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w:t>
            </w:r>
          </w:p>
        </w:tc>
        <w:tc>
          <w:tcPr>
            <w:tcW w:w="34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1,231</w:t>
            </w:r>
          </w:p>
        </w:tc>
        <w:tc>
          <w:tcPr>
            <w:tcW w:w="36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1,299</w:t>
            </w:r>
          </w:p>
        </w:tc>
        <w:tc>
          <w:tcPr>
            <w:tcW w:w="34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1,403</w:t>
            </w:r>
          </w:p>
        </w:tc>
      </w:tr>
    </w:tbl>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2020, 2019 and 2018, the balances of the Company’s unrecognized tax benefits which would, if recognized, affect the Company’s effective tax rate were $1,096,000, $1,184,000 and $1,272,000, respectively. These amounts are net of the offsetting benefits from other taxing jurisdictions.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2019 and 2018, the Company had $114,000, $151,000 and $136,000, respectively, in accrued interest related to unrecognized tax benefits.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it is reasonably possible that the total amount of unrecognized tax benefits will decrease by approximately $230,000 over the next 12 months. The reduction primarily relates to the anticipated lapse in the statute of limitations. The unrecognized tax benefits relate primarily to apportionment of taxable income among various state tax jurisdictions.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income tax in the U.S. federal jurisdiction, numerous state jurisdictions, and a foreign jurisdiction. The Company’s federal income tax returns for tax years 2018 and 2019 remain subject to examination by the Internal Revenue Service. In addition, the Company is subject to state tax examinations for the tax years 2016 through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Disclosures about Fair Value of Financial Instruments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party to financial instruments with off-balance sheet risk in the normal course of business to meet the financing needs of its customers.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December 31, 2020, an allowance for unfunded commitments of $567,000 had been recorded compared to zero at December 31, 2019. See “Financial Statements and Supplementary Data— Note 1” for information related to CECL adoption.</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Commercial and standby letters of credit are conditional commitments issued by the Company to guarantee the performance of a customer to a third party. These off-balance sheet financial instruments generally have fixed expiration dates or other termination clauses and may require payment of a fee. The approximate remaining terms of commercial and standby letters of credit range from less than one to five years. Since these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may obtain and liquidate the collateral to recover amounts paid under its guarantees on these financial instruments.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conditional commitments to extend credit, standby letters of credit and commercial letters:</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5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56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0" w:type="dxa"/>
            <w:vAlign w:val="bottom"/>
          </w:tcPr>
          <w:p>
            <w:pPr>
              <w:spacing w:after="0"/>
              <w:rPr>
                <w:sz w:val="1"/>
                <w:szCs w:val="1"/>
                <w:color w:val="auto"/>
              </w:rPr>
            </w:pPr>
          </w:p>
        </w:tc>
      </w:tr>
      <w:tr>
        <w:trPr>
          <w:trHeight w:val="216"/>
        </w:trPr>
        <w:tc>
          <w:tcPr>
            <w:tcW w:w="85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Conditional commitments to extend credit</w:t>
            </w:r>
          </w:p>
        </w:tc>
        <w:tc>
          <w:tcPr>
            <w:tcW w:w="34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192,916</w:t>
            </w:r>
          </w:p>
        </w:tc>
        <w:tc>
          <w:tcPr>
            <w:tcW w:w="620" w:type="dxa"/>
            <w:vAlign w:val="bottom"/>
            <w:shd w:val="clear" w:color="auto" w:fill="B2B2B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197,799</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34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10,609</w:t>
            </w: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auto"/>
            </w:tcBorders>
            <w:shd w:val="clear" w:color="auto" w:fill="B2B2B2"/>
          </w:tcPr>
          <w:p>
            <w:pPr>
              <w:spacing w:after="0" w:line="202" w:lineRule="exact"/>
              <w:rPr>
                <w:sz w:val="20"/>
                <w:szCs w:val="20"/>
                <w:color w:val="auto"/>
              </w:rPr>
            </w:pPr>
            <w:r>
              <w:rPr>
                <w:rFonts w:ascii="Times New Roman" w:cs="Times New Roman" w:eastAsia="Times New Roman" w:hAnsi="Times New Roman"/>
                <w:sz w:val="18"/>
                <w:szCs w:val="18"/>
                <w:color w:val="auto"/>
              </w:rPr>
              <w:t>Commercial letters of credit</w:t>
            </w:r>
          </w:p>
        </w:tc>
        <w:tc>
          <w:tcPr>
            <w:tcW w:w="340" w:type="dxa"/>
            <w:vAlign w:val="bottom"/>
            <w:tcBorders>
              <w:bottom w:val="single" w:sz="8" w:color="auto"/>
            </w:tcBorders>
            <w:shd w:val="clear" w:color="auto" w:fill="B2B2B2"/>
          </w:tcPr>
          <w:p>
            <w:pPr>
              <w:spacing w:after="0"/>
              <w:rPr>
                <w:sz w:val="19"/>
                <w:szCs w:val="19"/>
                <w:color w:val="auto"/>
              </w:rPr>
            </w:pPr>
          </w:p>
        </w:tc>
        <w:tc>
          <w:tcPr>
            <w:tcW w:w="920" w:type="dxa"/>
            <w:vAlign w:val="bottom"/>
            <w:tcBorders>
              <w:bottom w:val="single" w:sz="8" w:color="auto"/>
            </w:tcBorders>
            <w:shd w:val="clear" w:color="auto" w:fill="B2B2B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955</w:t>
            </w:r>
          </w:p>
        </w:tc>
        <w:tc>
          <w:tcPr>
            <w:tcW w:w="620" w:type="dxa"/>
            <w:vAlign w:val="bottom"/>
            <w:tcBorders>
              <w:bottom w:val="single" w:sz="8" w:color="auto"/>
            </w:tcBorders>
            <w:shd w:val="clear" w:color="auto" w:fill="B2B2B2"/>
          </w:tcPr>
          <w:p>
            <w:pPr>
              <w:spacing w:after="0"/>
              <w:rPr>
                <w:sz w:val="19"/>
                <w:szCs w:val="19"/>
                <w:color w:val="auto"/>
              </w:rPr>
            </w:pPr>
          </w:p>
        </w:tc>
        <w:tc>
          <w:tcPr>
            <w:tcW w:w="80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293"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commitments to extend credit and standby letters of credit is estimated using the fees currently charged to enter into similar agreements, taking into account the remaining terms of the agreements, the likelihood of the counterparties drawing on such financial instruments and the present credit worthiness of such counterparties. The Company believes such commitments have been made at terms which are competitive in the markets in which it operates; however, no premium or discount is offered thereon.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carrying amounts and fair values of the Company’s financial instruments: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60" w:type="dxa"/>
            <w:vAlign w:val="bottom"/>
            <w:tcBorders>
              <w:bottom w:val="single" w:sz="8" w:color="auto"/>
            </w:tcBorders>
          </w:tcPr>
          <w:p>
            <w:pPr>
              <w:spacing w:after="0"/>
              <w:rPr>
                <w:sz w:val="18"/>
                <w:szCs w:val="18"/>
                <w:color w:val="auto"/>
              </w:rPr>
            </w:pPr>
          </w:p>
        </w:tc>
      </w:tr>
      <w:tr>
        <w:trPr>
          <w:trHeight w:val="187"/>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5"/>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6"/>
        </w:trPr>
        <w:tc>
          <w:tcPr>
            <w:tcW w:w="59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Balance sheet assets:</w:t>
            </w:r>
          </w:p>
        </w:tc>
        <w:tc>
          <w:tcPr>
            <w:tcW w:w="18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r>
      <w:tr>
        <w:trPr>
          <w:trHeight w:val="216"/>
        </w:trPr>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670,528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203,954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203,954</w:t>
            </w:r>
          </w:p>
        </w:tc>
      </w:tr>
      <w:tr>
        <w:trPr>
          <w:trHeight w:val="216"/>
        </w:trPr>
        <w:tc>
          <w:tcPr>
            <w:tcW w:w="598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Investment in securities</w:t>
            </w:r>
          </w:p>
        </w:tc>
        <w:tc>
          <w:tcPr>
            <w:tcW w:w="18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357,726</w:t>
            </w:r>
          </w:p>
        </w:tc>
        <w:tc>
          <w:tcPr>
            <w:tcW w:w="220" w:type="dxa"/>
            <w:vAlign w:val="bottom"/>
            <w:shd w:val="clear" w:color="auto" w:fill="B2B2B2"/>
          </w:tcPr>
          <w:p>
            <w:pPr>
              <w:spacing w:after="0"/>
              <w:rPr>
                <w:sz w:val="18"/>
                <w:szCs w:val="18"/>
                <w:color w:val="auto"/>
              </w:rPr>
            </w:pPr>
          </w:p>
        </w:tc>
        <w:tc>
          <w:tcPr>
            <w:tcW w:w="118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357,726</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422,665</w:t>
            </w: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422,665</w:t>
            </w:r>
          </w:p>
        </w:tc>
      </w:tr>
      <w:tr>
        <w:trPr>
          <w:trHeight w:val="216"/>
        </w:trPr>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net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879,732</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883,461</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762,082</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776,653</w:t>
            </w:r>
          </w:p>
        </w:tc>
      </w:tr>
      <w:tr>
        <w:trPr>
          <w:trHeight w:val="216"/>
        </w:trPr>
        <w:tc>
          <w:tcPr>
            <w:tcW w:w="5980" w:type="dxa"/>
            <w:vAlign w:val="bottom"/>
            <w:tcBorders>
              <w:bottom w:val="single" w:sz="8" w:color="auto"/>
            </w:tcBorders>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8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22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6,850</w:t>
            </w:r>
          </w:p>
        </w:tc>
        <w:tc>
          <w:tcPr>
            <w:tcW w:w="18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22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6,706</w:t>
            </w:r>
          </w:p>
        </w:tc>
      </w:tr>
      <w:tr>
        <w:trPr>
          <w:trHeight w:val="209"/>
        </w:trPr>
        <w:tc>
          <w:tcPr>
            <w:tcW w:w="59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1,914,836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1,918,565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1,395,407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1,409,978</w:t>
            </w:r>
          </w:p>
        </w:tc>
      </w:tr>
      <w:tr>
        <w:trPr>
          <w:trHeight w:val="209"/>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9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Balance sheet liabilities:</w:t>
            </w:r>
          </w:p>
        </w:tc>
        <w:tc>
          <w:tcPr>
            <w:tcW w:w="18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r>
      <w:tr>
        <w:trPr>
          <w:trHeight w:val="216"/>
        </w:trPr>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1,050,856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1,050,856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757,136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757,790</w:t>
            </w:r>
          </w:p>
        </w:tc>
      </w:tr>
      <w:tr>
        <w:trPr>
          <w:trHeight w:val="216"/>
        </w:trPr>
        <w:tc>
          <w:tcPr>
            <w:tcW w:w="598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18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835,386</w:t>
            </w:r>
          </w:p>
        </w:tc>
        <w:tc>
          <w:tcPr>
            <w:tcW w:w="220" w:type="dxa"/>
            <w:vAlign w:val="bottom"/>
            <w:shd w:val="clear" w:color="auto" w:fill="B2B2B2"/>
          </w:tcPr>
          <w:p>
            <w:pPr>
              <w:spacing w:after="0"/>
              <w:rPr>
                <w:sz w:val="18"/>
                <w:szCs w:val="18"/>
                <w:color w:val="auto"/>
              </w:rPr>
            </w:pPr>
          </w:p>
        </w:tc>
        <w:tc>
          <w:tcPr>
            <w:tcW w:w="118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835,386</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684,295</w:t>
            </w: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684,295</w:t>
            </w:r>
          </w:p>
        </w:tc>
      </w:tr>
      <w:tr>
        <w:trPr>
          <w:trHeight w:val="216"/>
        </w:trPr>
        <w:tc>
          <w:tcPr>
            <w:tcW w:w="59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9"/>
        </w:trPr>
        <w:tc>
          <w:tcPr>
            <w:tcW w:w="5980" w:type="dxa"/>
            <w:vAlign w:val="bottom"/>
            <w:tcBorders>
              <w:bottom w:val="single" w:sz="8" w:color="auto"/>
            </w:tcBorders>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1,886,280</w:t>
            </w:r>
          </w:p>
        </w:tc>
        <w:tc>
          <w:tcPr>
            <w:tcW w:w="2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1,886,280</w:t>
            </w:r>
          </w:p>
        </w:tc>
        <w:tc>
          <w:tcPr>
            <w:tcW w:w="1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1,441,534</w:t>
            </w:r>
          </w:p>
        </w:tc>
        <w:tc>
          <w:tcPr>
            <w:tcW w:w="2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1,442,188</w:t>
            </w:r>
          </w:p>
        </w:tc>
      </w:tr>
    </w:tbl>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 for which it is practicable to estimate that value: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The carrying amount approximates fair value.</w:t>
      </w:r>
    </w:p>
    <w:p>
      <w:pPr>
        <w:spacing w:after="0" w:line="1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 in Securities </w:t>
      </w:r>
      <w:r>
        <w:rPr>
          <w:rFonts w:ascii="Times New Roman" w:cs="Times New Roman" w:eastAsia="Times New Roman" w:hAnsi="Times New Roman"/>
          <w:sz w:val="18"/>
          <w:szCs w:val="18"/>
          <w:color w:val="auto"/>
        </w:rPr>
        <w:t>The fair value is measured on a recurring basis using Level 2 valuations. Refer to Note 3 - Investment in Securities, for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unrealized gains and losses by investment type.</w:t>
      </w:r>
    </w:p>
    <w:p>
      <w:pPr>
        <w:spacing w:after="0" w:line="14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The fair value is estimated using present values of future cash flows discounted at risk-adjusted interest rates for each loan category designated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is therefore a Level 3 valuation. Management believes that the risk factor embedded in the interest rates along with the allowance for credit losses results in a fair valuation.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Impaired loans are valued using the fair value of the collateral which is based upon an observable market price or current appraised value and therefore, the fair value is a nonrecurring Level 3 valuation.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Receivable </w:t>
      </w:r>
      <w:r>
        <w:rPr>
          <w:rFonts w:ascii="Times New Roman" w:cs="Times New Roman" w:eastAsia="Times New Roman" w:hAnsi="Times New Roman"/>
          <w:sz w:val="18"/>
          <w:szCs w:val="18"/>
          <w:color w:val="auto"/>
        </w:rPr>
        <w:t>The carrying amount approximates fair value.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Deposits </w:t>
      </w:r>
      <w:r>
        <w:rPr>
          <w:rFonts w:ascii="Times New Roman" w:cs="Times New Roman" w:eastAsia="Times New Roman" w:hAnsi="Times New Roman"/>
          <w:sz w:val="18"/>
          <w:szCs w:val="18"/>
          <w:color w:val="auto"/>
        </w:rPr>
        <w:t>The fair value of demand deposits, savings deposits and certain money market deposits is the amount payable on demand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Accounts and Drafts Payable </w:t>
      </w:r>
      <w:r>
        <w:rPr>
          <w:rFonts w:ascii="Times New Roman" w:cs="Times New Roman" w:eastAsia="Times New Roman" w:hAnsi="Times New Roman"/>
          <w:sz w:val="18"/>
          <w:szCs w:val="18"/>
          <w:color w:val="auto"/>
        </w:rPr>
        <w:t>The carrying amount approximates fair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w:t>
      </w:r>
      <w:r>
        <w:rPr>
          <w:rFonts w:ascii="Times New Roman" w:cs="Times New Roman" w:eastAsia="Times New Roman" w:hAnsi="Times New Roman"/>
          <w:sz w:val="18"/>
          <w:szCs w:val="18"/>
          <w:color w:val="auto"/>
        </w:rPr>
        <w:t>The carrying amount approximates fair value.</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Limitations </w:t>
      </w: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anticipated future business and the value of assets and liabilities that are not considered financial instruments. Other significant assets or liabilities that are not considered financial assets or liabilities include premises and equipment and the benefit that results from the low-cost funding provided by the deposit liabilities compared to the cost of borrowing funds in the market (core deposit intangible). In addition, tax ramifications related to the realization of the unrealized gains and losses can have a significant effect on fair value estimates and have not been considered in any of the estimates.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not involved in any pending proceedings other than ordinary routine litigation incidental to their businesses. Management believes none of these proceedings, if determined adversely, would have a material effect on the business or financial condition of the Company or its subsidiaries.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January 1, 2018, the Company adopted FASB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(“ASU 2014-09”) and selected the modified retrospective transition method. The adoption of this new standard did not impact the Company’s results of operations or balance sheet and there was no cumulative effect of initially applying this new revenue standard to the opening balance of retained earnings. Since interest income on loans and securities are both excluded from this topic, a significant portion of the Company’s revenues are not subject to the new guidance. The services that fall within the scope of ASU 2014-09 are presented within fee revenue and other income in the consolidated statements of income and are recognized as revenue as the performance obligation to the customer is satisfied. Services within the scope of ASU 2014-09 include invoice processing and payment fees, bank service fees, and other real estate owned (“OREO”).</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Invoice processing fees </w:t>
      </w:r>
      <w:r>
        <w:rPr>
          <w:rFonts w:ascii="Times New Roman" w:cs="Times New Roman" w:eastAsia="Times New Roman" w:hAnsi="Times New Roman"/>
          <w:sz w:val="18"/>
          <w:szCs w:val="18"/>
          <w:color w:val="auto"/>
        </w:rPr>
        <w:t>– The Company earns fees on a per-item or monthly basis for the invoice processing services rendered on behalf of customers. Per-item fees are recognized at the point in time when the performance obligation is satisfied. Monthly fees are earned over the course of a month, representing the period over which the performance obligation is satisfied. The Company also earns interest income from the balances generated during the payment cycle for the invoices processed, which is an integral component of the Company’s compensation for invoice processing services but is out-of-scope of ASU 2014-09. The contracts have no significant impact related to variable consideration and no significant financing components.</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Invoice payment fees </w:t>
      </w:r>
      <w:r>
        <w:rPr>
          <w:rFonts w:ascii="Times New Roman" w:cs="Times New Roman" w:eastAsia="Times New Roman" w:hAnsi="Times New Roman"/>
          <w:sz w:val="18"/>
          <w:szCs w:val="18"/>
          <w:color w:val="auto"/>
        </w:rPr>
        <w:t>– The Company earns fees on a transaction level basis for invoice payment services when making customer payments. Fees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at the point in time when the payment transactions are made, which is when the performance obligation is satisfied. The contracts have no significant impact related to variable consideration and no significant financing components.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Bank service fees </w:t>
      </w:r>
      <w:r>
        <w:rPr>
          <w:rFonts w:ascii="Times New Roman" w:cs="Times New Roman" w:eastAsia="Times New Roman" w:hAnsi="Times New Roman"/>
          <w:sz w:val="18"/>
          <w:szCs w:val="18"/>
          <w:color w:val="auto"/>
        </w:rPr>
        <w:t>– Revenue from service fees consists of service charges and fees on deposit accounts under depository agreements with customers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access to deposited funds. Service charges on deposit accounts are transaction based fees that are recognized at the point in time when the performance obligation is satisfied. Service charges are recognized on a monthly basis representing the period over which the performance obligation is satisfied. The contracts have no significant impact related to variable consideration and no significant financing components.</w:t>
      </w:r>
    </w:p>
    <w:p>
      <w:pPr>
        <w:spacing w:after="0" w:line="15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OREO </w:t>
      </w:r>
      <w:r>
        <w:rPr>
          <w:rFonts w:ascii="Times New Roman" w:cs="Times New Roman" w:eastAsia="Times New Roman" w:hAnsi="Times New Roman"/>
          <w:sz w:val="18"/>
          <w:szCs w:val="18"/>
          <w:color w:val="auto"/>
        </w:rPr>
        <w:t>– The Company currently does not have any OREO and has not in recent years. Net gains or losses would be recorded when other real estate is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third party and substantially all of the consideration for the transfer of property is received.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1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880" w:type="dxa"/>
            <w:vAlign w:val="bottom"/>
            <w:tcBorders>
              <w:right w:val="single" w:sz="8" w:color="B2B2B2"/>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In-scope of </w:t>
            </w:r>
            <w:r>
              <w:rPr>
                <w:rFonts w:ascii="Times New Roman" w:cs="Times New Roman" w:eastAsia="Times New Roman" w:hAnsi="Times New Roman"/>
                <w:sz w:val="18"/>
                <w:szCs w:val="18"/>
                <w:i w:val="1"/>
                <w:iCs w:val="1"/>
                <w:color w:val="auto"/>
              </w:rPr>
              <w:t>ASU 2014-09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Invoice processing fees</w:t>
            </w:r>
          </w:p>
        </w:tc>
        <w:tc>
          <w:tcPr>
            <w:tcW w:w="360" w:type="dxa"/>
            <w:vAlign w:val="bottom"/>
            <w:gridSpan w:val="2"/>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74,674</w:t>
            </w:r>
          </w:p>
        </w:tc>
        <w:tc>
          <w:tcPr>
            <w:tcW w:w="220" w:type="dxa"/>
            <w:vAlign w:val="bottom"/>
            <w:shd w:val="clear" w:color="auto" w:fill="B2B2B2"/>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81,329</w:t>
            </w:r>
          </w:p>
        </w:tc>
        <w:tc>
          <w:tcPr>
            <w:tcW w:w="220" w:type="dxa"/>
            <w:vAlign w:val="bottom"/>
            <w:shd w:val="clear" w:color="auto" w:fill="B2B2B2"/>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78,461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Invoice payment fees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26,624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shd w:val="clear" w:color="auto" w:fill="B2B2B2"/>
          </w:tcPr>
          <w:p>
            <w:pPr>
              <w:ind w:left="1080"/>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1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97,204</w:t>
            </w:r>
          </w:p>
        </w:tc>
        <w:tc>
          <w:tcPr>
            <w:tcW w:w="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107,953</w:t>
            </w:r>
          </w:p>
        </w:tc>
        <w:tc>
          <w:tcPr>
            <w:tcW w:w="220" w:type="dxa"/>
            <w:vAlign w:val="bottom"/>
            <w:shd w:val="clear" w:color="auto" w:fill="B2B2B2"/>
          </w:tcPr>
          <w:p>
            <w:pPr>
              <w:spacing w:after="0"/>
              <w:rPr>
                <w:sz w:val="18"/>
                <w:szCs w:val="18"/>
                <w:color w:val="auto"/>
              </w:rPr>
            </w:pPr>
          </w:p>
        </w:tc>
        <w:tc>
          <w:tcPr>
            <w:tcW w:w="88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102,181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Bank service fees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 xml:space="preserve">Fee revenue (in-scope of </w:t>
            </w:r>
            <w:r>
              <w:rPr>
                <w:rFonts w:ascii="Times New Roman" w:cs="Times New Roman" w:eastAsia="Times New Roman" w:hAnsi="Times New Roman"/>
                <w:sz w:val="18"/>
                <w:szCs w:val="18"/>
                <w:i w:val="1"/>
                <w:iCs w:val="1"/>
                <w:color w:val="auto"/>
              </w:rPr>
              <w:t>ASU 2014-09</w:t>
            </w:r>
            <w:r>
              <w:rPr>
                <w:rFonts w:ascii="Times New Roman" w:cs="Times New Roman" w:eastAsia="Times New Roman" w:hAnsi="Times New Roman"/>
                <w:sz w:val="18"/>
                <w:szCs w:val="18"/>
                <w:color w:val="auto"/>
              </w:rPr>
              <w:t>)</w:t>
            </w:r>
          </w:p>
        </w:tc>
        <w:tc>
          <w:tcPr>
            <w:tcW w:w="1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98,908</w:t>
            </w:r>
          </w:p>
        </w:tc>
        <w:tc>
          <w:tcPr>
            <w:tcW w:w="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109,339</w:t>
            </w:r>
          </w:p>
        </w:tc>
        <w:tc>
          <w:tcPr>
            <w:tcW w:w="220" w:type="dxa"/>
            <w:vAlign w:val="bottom"/>
            <w:shd w:val="clear" w:color="auto" w:fill="B2B2B2"/>
          </w:tcPr>
          <w:p>
            <w:pPr>
              <w:spacing w:after="0"/>
              <w:rPr>
                <w:sz w:val="18"/>
                <w:szCs w:val="18"/>
                <w:color w:val="auto"/>
              </w:rPr>
            </w:pPr>
          </w:p>
        </w:tc>
        <w:tc>
          <w:tcPr>
            <w:tcW w:w="88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103,516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Other income (out-of-scope of </w:t>
            </w:r>
            <w:r>
              <w:rPr>
                <w:rFonts w:ascii="Times New Roman" w:cs="Times New Roman" w:eastAsia="Times New Roman" w:hAnsi="Times New Roman"/>
                <w:sz w:val="18"/>
                <w:szCs w:val="18"/>
                <w:i w:val="1"/>
                <w:iCs w:val="1"/>
                <w:color w:val="auto"/>
              </w:rPr>
              <w:t>ASU 2014-09)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shd w:val="clear" w:color="auto" w:fill="B2B2B2"/>
          </w:tcPr>
          <w:p>
            <w:pPr>
              <w:ind w:left="108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1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100,441</w:t>
            </w:r>
          </w:p>
        </w:tc>
        <w:tc>
          <w:tcPr>
            <w:tcW w:w="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110,069</w:t>
            </w:r>
          </w:p>
        </w:tc>
        <w:tc>
          <w:tcPr>
            <w:tcW w:w="220" w:type="dxa"/>
            <w:vAlign w:val="bottom"/>
            <w:shd w:val="clear" w:color="auto" w:fill="B2B2B2"/>
          </w:tcPr>
          <w:p>
            <w:pPr>
              <w:spacing w:after="0"/>
              <w:rPr>
                <w:sz w:val="18"/>
                <w:szCs w:val="18"/>
                <w:color w:val="auto"/>
              </w:rPr>
            </w:pPr>
          </w:p>
        </w:tc>
        <w:tc>
          <w:tcPr>
            <w:tcW w:w="88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104,076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240" w:type="dxa"/>
            <w:vAlign w:val="bottom"/>
            <w:tcBorders>
              <w:top w:val="single" w:sz="8" w:color="auto"/>
            </w:tcBorders>
            <w:shd w:val="clear" w:color="auto" w:fill="B2B2B2"/>
          </w:tcPr>
          <w:p>
            <w:pPr>
              <w:spacing w:after="0"/>
              <w:rPr>
                <w:sz w:val="18"/>
                <w:szCs w:val="18"/>
                <w:color w:val="auto"/>
              </w:rPr>
            </w:pPr>
          </w:p>
        </w:tc>
        <w:tc>
          <w:tcPr>
            <w:tcW w:w="900" w:type="dxa"/>
            <w:vAlign w:val="bottom"/>
            <w:tcBorders>
              <w:top w:val="single" w:sz="8" w:color="auto"/>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220" w:type="dxa"/>
            <w:vAlign w:val="bottom"/>
            <w:tcBorders>
              <w:top w:val="single" w:sz="8" w:color="auto"/>
            </w:tcBorders>
            <w:shd w:val="clear" w:color="auto" w:fill="B2B2B2"/>
          </w:tcPr>
          <w:p>
            <w:pPr>
              <w:spacing w:after="0"/>
              <w:rPr>
                <w:sz w:val="18"/>
                <w:szCs w:val="18"/>
                <w:color w:val="auto"/>
              </w:rPr>
            </w:pPr>
          </w:p>
        </w:tc>
        <w:tc>
          <w:tcPr>
            <w:tcW w:w="880" w:type="dxa"/>
            <w:vAlign w:val="bottom"/>
            <w:tcBorders>
              <w:top w:val="single" w:sz="8" w:color="auto"/>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220" w:type="dxa"/>
            <w:vAlign w:val="bottom"/>
            <w:tcBorders>
              <w:top w:val="single" w:sz="8" w:color="auto"/>
            </w:tcBorders>
            <w:shd w:val="clear" w:color="auto" w:fill="B2B2B2"/>
          </w:tcPr>
          <w:p>
            <w:pPr>
              <w:spacing w:after="0"/>
              <w:rPr>
                <w:sz w:val="18"/>
                <w:szCs w:val="18"/>
                <w:color w:val="auto"/>
              </w:rPr>
            </w:pPr>
          </w:p>
        </w:tc>
        <w:tc>
          <w:tcPr>
            <w:tcW w:w="880" w:type="dxa"/>
            <w:vAlign w:val="bottom"/>
            <w:tcBorders>
              <w:top w:val="single" w:sz="8" w:color="auto"/>
              <w:right w:val="single" w:sz="8" w:color="B2B2B2"/>
            </w:tcBorders>
            <w:shd w:val="clear" w:color="auto" w:fill="B2B2B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Net interest income after provision for credit/loan losses (out-of-scope of </w:t>
            </w:r>
            <w:r>
              <w:rPr>
                <w:rFonts w:ascii="Times New Roman" w:cs="Times New Roman" w:eastAsia="Times New Roman" w:hAnsi="Times New Roman"/>
                <w:sz w:val="18"/>
                <w:szCs w:val="18"/>
                <w:i w:val="1"/>
                <w:iCs w:val="1"/>
                <w:color w:val="auto"/>
              </w:rPr>
              <w:t>ASU 2014-09</w:t>
            </w: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47,166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shd w:val="clear" w:color="auto" w:fill="B2B2B2"/>
          </w:tcPr>
          <w:p>
            <w:pPr>
              <w:ind w:left="108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shd w:val="clear" w:color="auto" w:fill="B2B2B2"/>
          </w:tcPr>
          <w:p>
            <w:pPr>
              <w:spacing w:after="0"/>
              <w:rPr>
                <w:sz w:val="21"/>
                <w:szCs w:val="21"/>
                <w:color w:val="auto"/>
              </w:rPr>
            </w:pPr>
          </w:p>
        </w:tc>
        <w:tc>
          <w:tcPr>
            <w:tcW w:w="24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144,956</w:t>
            </w:r>
          </w:p>
        </w:tc>
        <w:tc>
          <w:tcPr>
            <w:tcW w:w="120" w:type="dxa"/>
            <w:vAlign w:val="bottom"/>
            <w:shd w:val="clear" w:color="auto" w:fill="B2B2B2"/>
          </w:tcPr>
          <w:p>
            <w:pPr>
              <w:spacing w:after="0"/>
              <w:rPr>
                <w:sz w:val="21"/>
                <w:szCs w:val="21"/>
                <w:color w:val="auto"/>
              </w:rPr>
            </w:pPr>
          </w:p>
        </w:tc>
        <w:tc>
          <w:tcPr>
            <w:tcW w:w="220" w:type="dxa"/>
            <w:vAlign w:val="bottom"/>
            <w:shd w:val="clear" w:color="auto" w:fill="B2B2B2"/>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157,235</w:t>
            </w:r>
          </w:p>
        </w:tc>
        <w:tc>
          <w:tcPr>
            <w:tcW w:w="220" w:type="dxa"/>
            <w:vAlign w:val="bottom"/>
            <w:shd w:val="clear" w:color="auto" w:fill="B2B2B2"/>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148,266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7540" w:type="dxa"/>
            <w:vAlign w:val="bottom"/>
            <w:tcBorders>
              <w:top w:val="single" w:sz="8" w:color="B2B2B2"/>
            </w:tcBorders>
          </w:tcPr>
          <w:p>
            <w:pPr>
              <w:ind w:left="554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top w:val="single" w:sz="8" w:color="B2B2B2"/>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B2B2B2"/>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B2B2B2"/>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4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9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Segment Information</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Services segment provides transportation, energy, telecommunication, and environmental invoice processing and payment services to large corporations. The Banking Services segment provides banking services primarily to privately held businesses and faith-based ministries, including on-line generosity services, as well as supporting the banking needs of the Information Services segment.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policies for segments are the same as those described in Note 1 of this report. Management evaluates segment performance based on tax-equivalized (as defined in the footnote to the chart on the following table) pre-tax income after allocations for corporate expenses. Transactions between segments are accounted for at what management believes to be fair value.</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3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Funding sources represent average balances and deposits generated by Information Services and Banking Services and there is no allocation methodology used. Segment interest income is a function of the relative share of average funding sources generated by each segment multiplied by the following rates:</w:t>
      </w:r>
    </w:p>
    <w:p>
      <w:pPr>
        <w:sectPr>
          <w:pgSz w:w="11900" w:h="16838" w:orient="portrait"/>
          <w:cols w:equalWidth="0" w:num="1">
            <w:col w:w="11240"/>
          </w:cols>
          <w:pgMar w:left="320" w:top="293" w:right="339" w:bottom="1440" w:gutter="0" w:footer="0" w:header="0"/>
        </w:sectPr>
      </w:pPr>
    </w:p>
    <w:p>
      <w:pPr>
        <w:ind w:left="340"/>
        <w:spacing w:after="0" w:line="228" w:lineRule="auto"/>
        <w:rPr>
          <w:sz w:val="20"/>
          <w:szCs w:val="20"/>
          <w:color w:val="auto"/>
        </w:rPr>
      </w:pPr>
      <w:r>
        <w:rPr>
          <w:rFonts w:ascii="Times New Roman" w:cs="Times New Roman" w:eastAsia="Times New Roman" w:hAnsi="Times New Roman"/>
          <w:sz w:val="28"/>
          <w:szCs w:val="28"/>
          <w:color w:val="auto"/>
        </w:rPr>
        <w:t>•</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color w:val="auto"/>
        </w:rPr>
        <w: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2160"/>
        <w:spacing w:after="0" w:line="344" w:lineRule="auto"/>
        <w:rPr>
          <w:sz w:val="20"/>
          <w:szCs w:val="20"/>
          <w:color w:val="auto"/>
        </w:rPr>
      </w:pPr>
      <w:r>
        <w:rPr>
          <w:rFonts w:ascii="Times New Roman" w:cs="Times New Roman" w:eastAsia="Times New Roman" w:hAnsi="Times New Roman"/>
          <w:sz w:val="18"/>
          <w:szCs w:val="18"/>
          <w:color w:val="auto"/>
        </w:rPr>
        <w:t>Information Services – one or more fixed rates depending upon the specific characteristics of the funding source, and Banking Services – a variable rate that is based upon the overall performance of the Company’s earning assets.</w:t>
      </w:r>
    </w:p>
    <w:p>
      <w:pPr>
        <w:spacing w:after="0" w:line="82" w:lineRule="exact"/>
        <w:rPr>
          <w:sz w:val="20"/>
          <w:szCs w:val="20"/>
          <w:color w:val="auto"/>
        </w:rPr>
      </w:pPr>
    </w:p>
    <w:p>
      <w:pPr>
        <w:sectPr>
          <w:pgSz w:w="11900" w:h="16838" w:orient="portrait"/>
          <w:cols w:equalWidth="0" w:num="2">
            <w:col w:w="440" w:space="200"/>
            <w:col w:w="10600"/>
          </w:cols>
          <w:pgMar w:left="320" w:top="29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Any difference between total segment interest income and overall total Company interest income is included in Corporate, Eliminations, and Other.</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information about the Company’s operations in each industry segment for the years ended December 31, 2020, 2019 and 2018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34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320" w:type="dxa"/>
            <w:vAlign w:val="bottom"/>
          </w:tcPr>
          <w:p>
            <w:pPr>
              <w:spacing w:after="0"/>
              <w:rPr>
                <w:sz w:val="18"/>
                <w:szCs w:val="18"/>
                <w:color w:val="auto"/>
              </w:rPr>
            </w:pPr>
          </w:p>
        </w:tc>
        <w:tc>
          <w:tcPr>
            <w:tcW w:w="16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5"/>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7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2020</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spacing w:after="0"/>
              <w:rPr>
                <w:sz w:val="18"/>
                <w:szCs w:val="18"/>
                <w:color w:val="auto"/>
              </w:rPr>
            </w:pP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r>
      <w:tr>
        <w:trPr>
          <w:trHeight w:val="216"/>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Fee income from customers</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96,548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1,286</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100,441</w:t>
            </w:r>
          </w:p>
        </w:tc>
      </w:tr>
      <w:tr>
        <w:trPr>
          <w:trHeight w:val="216"/>
        </w:trPr>
        <w:tc>
          <w:tcPr>
            <w:tcW w:w="37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25,067</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49,576</w:t>
            </w:r>
          </w:p>
        </w:tc>
      </w:tr>
      <w:tr>
        <w:trPr>
          <w:trHeight w:val="216"/>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32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16"/>
        </w:trPr>
        <w:tc>
          <w:tcPr>
            <w:tcW w:w="37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r>
      <w:tr>
        <w:trPr>
          <w:trHeight w:val="216"/>
        </w:trPr>
        <w:tc>
          <w:tcPr>
            <w:tcW w:w="37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21,902</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14,025</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32,230</w:t>
            </w:r>
          </w:p>
        </w:tc>
      </w:tr>
      <w:tr>
        <w:trPr>
          <w:trHeight w:val="216"/>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32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14,262</w:t>
            </w:r>
          </w:p>
        </w:tc>
      </w:tr>
      <w:tr>
        <w:trPr>
          <w:trHeight w:val="216"/>
        </w:trPr>
        <w:tc>
          <w:tcPr>
            <w:tcW w:w="37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3,423</w:t>
            </w:r>
          </w:p>
        </w:tc>
      </w:tr>
      <w:tr>
        <w:trPr>
          <w:trHeight w:val="216"/>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967,702</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1,242,688</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2,203,235</w:t>
            </w:r>
          </w:p>
        </w:tc>
      </w:tr>
      <w:tr>
        <w:trPr>
          <w:trHeight w:val="223"/>
        </w:trPr>
        <w:tc>
          <w:tcPr>
            <w:tcW w:w="3700" w:type="dxa"/>
            <w:vAlign w:val="bottom"/>
            <w:tcBorders>
              <w:bottom w:val="single" w:sz="8" w:color="auto"/>
            </w:tcBorders>
            <w:shd w:val="clear" w:color="auto" w:fill="B2B2B2"/>
          </w:tcPr>
          <w:p>
            <w:pPr>
              <w:ind w:left="280"/>
              <w:spacing w:after="0" w:line="202" w:lineRule="exact"/>
              <w:rPr>
                <w:sz w:val="20"/>
                <w:szCs w:val="20"/>
                <w:color w:val="auto"/>
              </w:rPr>
            </w:pPr>
            <w:r>
              <w:rPr>
                <w:rFonts w:ascii="Times New Roman" w:cs="Times New Roman" w:eastAsia="Times New Roman" w:hAnsi="Times New Roman"/>
                <w:sz w:val="18"/>
                <w:szCs w:val="18"/>
                <w:color w:val="auto"/>
              </w:rPr>
              <w:t>Funding Sources</w:t>
            </w:r>
          </w:p>
        </w:tc>
        <w:tc>
          <w:tcPr>
            <w:tcW w:w="1280" w:type="dxa"/>
            <w:vAlign w:val="bottom"/>
            <w:tcBorders>
              <w:bottom w:val="single" w:sz="8" w:color="auto"/>
            </w:tcBorders>
            <w:shd w:val="clear" w:color="auto" w:fill="B2B2B2"/>
          </w:tcPr>
          <w:p>
            <w:pPr>
              <w:spacing w:after="0"/>
              <w:rPr>
                <w:sz w:val="19"/>
                <w:szCs w:val="19"/>
                <w:color w:val="auto"/>
              </w:rPr>
            </w:pPr>
          </w:p>
        </w:tc>
        <w:tc>
          <w:tcPr>
            <w:tcW w:w="142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734,999</w:t>
            </w:r>
          </w:p>
        </w:tc>
        <w:tc>
          <w:tcPr>
            <w:tcW w:w="340" w:type="dxa"/>
            <w:vAlign w:val="bottom"/>
            <w:tcBorders>
              <w:bottom w:val="single" w:sz="8" w:color="auto"/>
            </w:tcBorders>
            <w:shd w:val="clear" w:color="auto" w:fill="B2B2B2"/>
          </w:tcPr>
          <w:p>
            <w:pPr>
              <w:spacing w:after="0"/>
              <w:rPr>
                <w:sz w:val="19"/>
                <w:szCs w:val="19"/>
                <w:color w:val="auto"/>
              </w:rPr>
            </w:pPr>
          </w:p>
        </w:tc>
        <w:tc>
          <w:tcPr>
            <w:tcW w:w="122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738,165</w:t>
            </w:r>
          </w:p>
        </w:tc>
        <w:tc>
          <w:tcPr>
            <w:tcW w:w="320" w:type="dxa"/>
            <w:vAlign w:val="bottom"/>
            <w:tcBorders>
              <w:bottom w:val="single" w:sz="8" w:color="auto"/>
            </w:tcBorders>
            <w:shd w:val="clear" w:color="auto" w:fill="B2B2B2"/>
          </w:tcPr>
          <w:p>
            <w:pPr>
              <w:spacing w:after="0"/>
              <w:rPr>
                <w:sz w:val="19"/>
                <w:szCs w:val="19"/>
                <w:color w:val="auto"/>
              </w:rPr>
            </w:pPr>
          </w:p>
        </w:tc>
        <w:tc>
          <w:tcPr>
            <w:tcW w:w="1660" w:type="dxa"/>
            <w:vAlign w:val="bottom"/>
            <w:tcBorders>
              <w:bottom w:val="single" w:sz="8" w:color="auto"/>
            </w:tcBorders>
            <w:shd w:val="clear" w:color="auto" w:fill="B2B2B2"/>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2B2B2"/>
          </w:tcPr>
          <w:p>
            <w:pPr>
              <w:spacing w:after="0"/>
              <w:rPr>
                <w:sz w:val="19"/>
                <w:szCs w:val="19"/>
                <w:color w:val="auto"/>
              </w:rPr>
            </w:pPr>
          </w:p>
        </w:tc>
        <w:tc>
          <w:tcPr>
            <w:tcW w:w="940" w:type="dxa"/>
            <w:vAlign w:val="bottom"/>
            <w:tcBorders>
              <w:bottom w:val="single" w:sz="8" w:color="auto"/>
            </w:tcBorders>
            <w:shd w:val="clear" w:color="auto" w:fill="B2B2B2"/>
          </w:tcPr>
          <w:p>
            <w:pPr>
              <w:jc w:val="right"/>
              <w:spacing w:after="0" w:line="202" w:lineRule="exact"/>
              <w:rPr>
                <w:sz w:val="20"/>
                <w:szCs w:val="20"/>
                <w:color w:val="auto"/>
              </w:rPr>
            </w:pPr>
            <w:r>
              <w:rPr>
                <w:rFonts w:ascii="Times New Roman" w:cs="Times New Roman" w:eastAsia="Times New Roman" w:hAnsi="Times New Roman"/>
                <w:sz w:val="18"/>
                <w:szCs w:val="18"/>
                <w:color w:val="auto"/>
              </w:rPr>
              <w:t>1,473,164</w:t>
            </w:r>
          </w:p>
        </w:tc>
      </w:tr>
      <w:tr>
        <w:trPr>
          <w:trHeight w:val="175"/>
        </w:trPr>
        <w:tc>
          <w:tcPr>
            <w:tcW w:w="3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6"/>
        </w:trPr>
        <w:tc>
          <w:tcPr>
            <w:tcW w:w="37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2019</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spacing w:after="0"/>
              <w:rPr>
                <w:sz w:val="18"/>
                <w:szCs w:val="18"/>
                <w:color w:val="auto"/>
              </w:rPr>
            </w:pP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r>
      <w:tr>
        <w:trPr>
          <w:trHeight w:val="216"/>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Fee income from customers</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108,882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110,069</w:t>
            </w:r>
          </w:p>
        </w:tc>
      </w:tr>
      <w:tr>
        <w:trPr>
          <w:trHeight w:val="216"/>
        </w:trPr>
        <w:tc>
          <w:tcPr>
            <w:tcW w:w="37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30,646</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54,694</w:t>
            </w:r>
          </w:p>
        </w:tc>
      </w:tr>
      <w:tr>
        <w:trPr>
          <w:trHeight w:val="216"/>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32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w:t>
            </w:r>
          </w:p>
        </w:tc>
      </w:tr>
      <w:tr>
        <w:trPr>
          <w:trHeight w:val="216"/>
        </w:trPr>
        <w:tc>
          <w:tcPr>
            <w:tcW w:w="37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2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r>
      <w:tr>
        <w:trPr>
          <w:trHeight w:val="216"/>
        </w:trPr>
        <w:tc>
          <w:tcPr>
            <w:tcW w:w="37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28,542</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39,550</w:t>
            </w:r>
          </w:p>
        </w:tc>
      </w:tr>
      <w:tr>
        <w:trPr>
          <w:trHeight w:val="216"/>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32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14,262</w:t>
            </w:r>
          </w:p>
        </w:tc>
      </w:tr>
      <w:tr>
        <w:trPr>
          <w:trHeight w:val="216"/>
        </w:trPr>
        <w:tc>
          <w:tcPr>
            <w:tcW w:w="37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4,281</w:t>
            </w:r>
          </w:p>
        </w:tc>
      </w:tr>
      <w:tr>
        <w:trPr>
          <w:trHeight w:val="216"/>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844,483</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915,341</w:t>
            </w:r>
          </w:p>
        </w:tc>
        <w:tc>
          <w:tcPr>
            <w:tcW w:w="32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4,419</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1,764,243</w:t>
            </w:r>
          </w:p>
        </w:tc>
      </w:tr>
      <w:tr>
        <w:trPr>
          <w:trHeight w:val="223"/>
        </w:trPr>
        <w:tc>
          <w:tcPr>
            <w:tcW w:w="3700" w:type="dxa"/>
            <w:vAlign w:val="bottom"/>
            <w:tcBorders>
              <w:bottom w:val="single" w:sz="8" w:color="auto"/>
            </w:tcBorders>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Funding Sources</w:t>
            </w:r>
          </w:p>
        </w:tc>
        <w:tc>
          <w:tcPr>
            <w:tcW w:w="1280" w:type="dxa"/>
            <w:vAlign w:val="bottom"/>
            <w:tcBorders>
              <w:bottom w:val="single" w:sz="8" w:color="auto"/>
            </w:tcBorders>
            <w:shd w:val="clear" w:color="auto" w:fill="B2B2B2"/>
          </w:tcPr>
          <w:p>
            <w:pPr>
              <w:spacing w:after="0"/>
              <w:rPr>
                <w:sz w:val="19"/>
                <w:szCs w:val="19"/>
                <w:color w:val="auto"/>
              </w:rPr>
            </w:pPr>
          </w:p>
        </w:tc>
        <w:tc>
          <w:tcPr>
            <w:tcW w:w="14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676,068</w:t>
            </w:r>
          </w:p>
        </w:tc>
        <w:tc>
          <w:tcPr>
            <w:tcW w:w="340" w:type="dxa"/>
            <w:vAlign w:val="bottom"/>
            <w:tcBorders>
              <w:bottom w:val="single" w:sz="8" w:color="auto"/>
            </w:tcBorders>
            <w:shd w:val="clear" w:color="auto" w:fill="B2B2B2"/>
          </w:tcPr>
          <w:p>
            <w:pPr>
              <w:spacing w:after="0"/>
              <w:rPr>
                <w:sz w:val="19"/>
                <w:szCs w:val="19"/>
                <w:color w:val="auto"/>
              </w:rPr>
            </w:pPr>
          </w:p>
        </w:tc>
        <w:tc>
          <w:tcPr>
            <w:tcW w:w="12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592,905</w:t>
            </w:r>
          </w:p>
        </w:tc>
        <w:tc>
          <w:tcPr>
            <w:tcW w:w="320" w:type="dxa"/>
            <w:vAlign w:val="bottom"/>
            <w:tcBorders>
              <w:bottom w:val="single" w:sz="8" w:color="auto"/>
            </w:tcBorders>
            <w:shd w:val="clear" w:color="auto" w:fill="B2B2B2"/>
          </w:tcPr>
          <w:p>
            <w:pPr>
              <w:spacing w:after="0"/>
              <w:rPr>
                <w:sz w:val="19"/>
                <w:szCs w:val="19"/>
                <w:color w:val="auto"/>
              </w:rPr>
            </w:pPr>
          </w:p>
        </w:tc>
        <w:tc>
          <w:tcPr>
            <w:tcW w:w="166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2B2B2"/>
          </w:tcPr>
          <w:p>
            <w:pPr>
              <w:spacing w:after="0"/>
              <w:rPr>
                <w:sz w:val="19"/>
                <w:szCs w:val="19"/>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1,268,973</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2018</w:t>
            </w: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7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Fee income from customers</w:t>
            </w:r>
          </w:p>
        </w:tc>
        <w:tc>
          <w:tcPr>
            <w:tcW w:w="128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102,839</w:t>
            </w:r>
          </w:p>
        </w:tc>
        <w:tc>
          <w:tcPr>
            <w:tcW w:w="34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32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104,076</w:t>
            </w:r>
          </w:p>
        </w:tc>
      </w:tr>
      <w:tr>
        <w:trPr>
          <w:trHeight w:val="216"/>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25,074</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27,770</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50,348</w:t>
            </w:r>
          </w:p>
        </w:tc>
      </w:tr>
      <w:tr>
        <w:trPr>
          <w:trHeight w:val="216"/>
        </w:trPr>
        <w:tc>
          <w:tcPr>
            <w:tcW w:w="37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3,736</w:t>
            </w:r>
          </w:p>
        </w:tc>
      </w:tr>
      <w:tr>
        <w:trPr>
          <w:trHeight w:val="216"/>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4,396</w:t>
            </w:r>
          </w:p>
        </w:tc>
      </w:tr>
      <w:tr>
        <w:trPr>
          <w:trHeight w:val="216"/>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27,763</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38,768</w:t>
            </w:r>
          </w:p>
        </w:tc>
      </w:tr>
      <w:tr>
        <w:trPr>
          <w:trHeight w:val="216"/>
        </w:trPr>
        <w:tc>
          <w:tcPr>
            <w:tcW w:w="37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12,569</w:t>
            </w:r>
          </w:p>
        </w:tc>
      </w:tr>
      <w:tr>
        <w:trPr>
          <w:trHeight w:val="216"/>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16"/>
        </w:trPr>
        <w:tc>
          <w:tcPr>
            <w:tcW w:w="37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826,201</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886,291</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(17,316)</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1,695,176</w:t>
            </w:r>
          </w:p>
        </w:tc>
      </w:tr>
      <w:tr>
        <w:trPr>
          <w:trHeight w:val="223"/>
        </w:trPr>
        <w:tc>
          <w:tcPr>
            <w:tcW w:w="3700" w:type="dxa"/>
            <w:vAlign w:val="bottom"/>
            <w:tcBorders>
              <w:bottom w:val="single" w:sz="8" w:color="auto"/>
            </w:tcBorders>
          </w:tcPr>
          <w:p>
            <w:pPr>
              <w:ind w:left="280"/>
              <w:spacing w:after="0" w:line="202" w:lineRule="exact"/>
              <w:rPr>
                <w:sz w:val="20"/>
                <w:szCs w:val="20"/>
                <w:color w:val="auto"/>
              </w:rPr>
            </w:pPr>
            <w:r>
              <w:rPr>
                <w:rFonts w:ascii="Times New Roman" w:cs="Times New Roman" w:eastAsia="Times New Roman" w:hAnsi="Times New Roman"/>
                <w:sz w:val="18"/>
                <w:szCs w:val="18"/>
                <w:color w:val="auto"/>
              </w:rPr>
              <w:t>Funding Sources</w:t>
            </w:r>
          </w:p>
        </w:tc>
        <w:tc>
          <w:tcPr>
            <w:tcW w:w="1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642,733</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572,653</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1,215,386</w:t>
            </w:r>
          </w:p>
        </w:tc>
      </w:tr>
    </w:tbl>
    <w:p>
      <w:pPr>
        <w:spacing w:after="0" w:line="63" w:lineRule="exact"/>
        <w:rPr>
          <w:sz w:val="20"/>
          <w:szCs w:val="20"/>
          <w:color w:val="auto"/>
        </w:rPr>
      </w:pPr>
    </w:p>
    <w:p>
      <w:pPr>
        <w:ind w:left="220" w:hanging="212"/>
        <w:spacing w:after="0" w:line="282" w:lineRule="auto"/>
        <w:tabs>
          <w:tab w:leader="none" w:pos="2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on a tax-equivalent basis assuming a tax rate of 21% for 2020, 2019, and 2018. The tax-equivalent adjustment was approximately $1,888,000 for 2020, $2,084,000 for 2019, and $2,422,000 for 2018.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January 1, 2019, the Company adopted ASU 2016-02, </w:t>
      </w:r>
      <w:r>
        <w:rPr>
          <w:rFonts w:ascii="Times New Roman" w:cs="Times New Roman" w:eastAsia="Times New Roman" w:hAnsi="Times New Roman"/>
          <w:sz w:val="18"/>
          <w:szCs w:val="18"/>
          <w:i w:val="1"/>
          <w:iCs w:val="1"/>
          <w:color w:val="auto"/>
        </w:rPr>
        <w:t>Leases (ASC Topic 842)</w:t>
      </w:r>
      <w:r>
        <w:rPr>
          <w:rFonts w:ascii="Times New Roman" w:cs="Times New Roman" w:eastAsia="Times New Roman" w:hAnsi="Times New Roman"/>
          <w:sz w:val="18"/>
          <w:szCs w:val="18"/>
          <w:color w:val="auto"/>
        </w:rPr>
        <w:t>. The Company leases certain premises under operating leases. As of December 31, 2020, the Company had lease liabilities of $6,185,000 and right-of-use assets of $5,578,000. Lease liabilities and right-of-use assets are reflected in other liabilities and other assets, respectively. Included in occupancy expense on the consolidated statements of income for 2020 was operating lease cost of $1,677,000, short-term lease cost of $120,000, and there was no variable lease cost. The Company paid cash of $1,832,000 for operating lease amounts included in the measurement of lease liabilities for the year ended December 31, 2020. No right-of-use assets were obtained in exchange for lease liabilities during the year ended December 31, 2020.</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2020, the weighted average remaining lease term for the operating leases was 6.3 years and the weighted average discount rate used in the measurement of operating lease liabilities was 5.5%. Certain of the Company’s leases contain options to renew the lease; however, these renewal options are not included in the calculation of the lease liabilities as they are not reasonably certain to be exercised. There has been no significant change in the Company’s expected future minimum lease payments since December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 maturity analysis of operating lease liabilities and undiscounted cash flows as of December 31, 2020 was as follows:</w:t>
            </w:r>
          </w:p>
        </w:tc>
        <w:tc>
          <w:tcPr>
            <w:tcW w:w="6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69"/>
        </w:trPr>
        <w:tc>
          <w:tcPr>
            <w:tcW w:w="8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6"/>
        </w:trPr>
        <w:tc>
          <w:tcPr>
            <w:tcW w:w="890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Lease payments due</w:t>
            </w:r>
          </w:p>
        </w:tc>
        <w:tc>
          <w:tcPr>
            <w:tcW w:w="640" w:type="dxa"/>
            <w:vAlign w:val="bottom"/>
            <w:shd w:val="clear" w:color="auto" w:fill="B2B2B2"/>
          </w:tcPr>
          <w:p>
            <w:pPr>
              <w:spacing w:after="0"/>
              <w:rPr>
                <w:sz w:val="18"/>
                <w:szCs w:val="18"/>
                <w:color w:val="auto"/>
              </w:rPr>
            </w:pPr>
          </w:p>
        </w:tc>
        <w:tc>
          <w:tcPr>
            <w:tcW w:w="1700" w:type="dxa"/>
            <w:vAlign w:val="bottom"/>
            <w:shd w:val="clear" w:color="auto" w:fill="B2B2B2"/>
          </w:tcPr>
          <w:p>
            <w:pPr>
              <w:spacing w:after="0"/>
              <w:rPr>
                <w:sz w:val="18"/>
                <w:szCs w:val="18"/>
                <w:color w:val="auto"/>
              </w:rPr>
            </w:pPr>
          </w:p>
        </w:tc>
      </w:tr>
      <w:tr>
        <w:trPr>
          <w:trHeight w:val="216"/>
        </w:trPr>
        <w:tc>
          <w:tcPr>
            <w:tcW w:w="8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than 1 year</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1,767</w:t>
            </w:r>
          </w:p>
        </w:tc>
      </w:tr>
      <w:tr>
        <w:trPr>
          <w:trHeight w:val="216"/>
        </w:trPr>
        <w:tc>
          <w:tcPr>
            <w:tcW w:w="89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1-2 years</w:t>
            </w:r>
          </w:p>
        </w:tc>
        <w:tc>
          <w:tcPr>
            <w:tcW w:w="640" w:type="dxa"/>
            <w:vAlign w:val="bottom"/>
            <w:shd w:val="clear" w:color="auto" w:fill="B2B2B2"/>
          </w:tcPr>
          <w:p>
            <w:pPr>
              <w:spacing w:after="0"/>
              <w:rPr>
                <w:sz w:val="18"/>
                <w:szCs w:val="18"/>
                <w:color w:val="auto"/>
              </w:rPr>
            </w:pPr>
          </w:p>
        </w:tc>
        <w:tc>
          <w:tcPr>
            <w:tcW w:w="17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1,696</w:t>
            </w:r>
          </w:p>
        </w:tc>
      </w:tr>
      <w:tr>
        <w:trPr>
          <w:trHeight w:val="216"/>
        </w:trPr>
        <w:tc>
          <w:tcPr>
            <w:tcW w:w="8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2-3 years</w:t>
            </w:r>
          </w:p>
        </w:tc>
        <w:tc>
          <w:tcPr>
            <w:tcW w:w="64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890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3-4 years</w:t>
            </w:r>
          </w:p>
        </w:tc>
        <w:tc>
          <w:tcPr>
            <w:tcW w:w="640" w:type="dxa"/>
            <w:vAlign w:val="bottom"/>
            <w:shd w:val="clear" w:color="auto" w:fill="B2B2B2"/>
          </w:tcPr>
          <w:p>
            <w:pPr>
              <w:spacing w:after="0"/>
              <w:rPr>
                <w:sz w:val="18"/>
                <w:szCs w:val="18"/>
                <w:color w:val="auto"/>
              </w:rPr>
            </w:pPr>
          </w:p>
        </w:tc>
        <w:tc>
          <w:tcPr>
            <w:tcW w:w="17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8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4-5 years</w:t>
            </w:r>
          </w:p>
        </w:tc>
        <w:tc>
          <w:tcPr>
            <w:tcW w:w="64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w:t>
            </w:r>
          </w:p>
        </w:tc>
      </w:tr>
      <w:tr>
        <w:trPr>
          <w:trHeight w:val="216"/>
        </w:trPr>
        <w:tc>
          <w:tcPr>
            <w:tcW w:w="8900" w:type="dxa"/>
            <w:vAlign w:val="bottom"/>
            <w:tcBorders>
              <w:bottom w:val="single" w:sz="8" w:color="auto"/>
            </w:tcBorders>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Over 5 years</w:t>
            </w:r>
          </w:p>
        </w:tc>
        <w:tc>
          <w:tcPr>
            <w:tcW w:w="640" w:type="dxa"/>
            <w:vAlign w:val="bottom"/>
            <w:tcBorders>
              <w:bottom w:val="single" w:sz="8" w:color="auto"/>
            </w:tcBorders>
            <w:shd w:val="clear" w:color="auto" w:fill="B2B2B2"/>
          </w:tcPr>
          <w:p>
            <w:pPr>
              <w:spacing w:after="0"/>
              <w:rPr>
                <w:sz w:val="18"/>
                <w:szCs w:val="18"/>
                <w:color w:val="auto"/>
              </w:rPr>
            </w:pPr>
          </w:p>
        </w:tc>
        <w:tc>
          <w:tcPr>
            <w:tcW w:w="170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8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64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7,277</w:t>
            </w:r>
          </w:p>
        </w:tc>
      </w:tr>
      <w:tr>
        <w:trPr>
          <w:trHeight w:val="216"/>
        </w:trPr>
        <w:tc>
          <w:tcPr>
            <w:tcW w:w="890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Discount on cash flows</w:t>
            </w:r>
          </w:p>
        </w:tc>
        <w:tc>
          <w:tcPr>
            <w:tcW w:w="640" w:type="dxa"/>
            <w:vAlign w:val="bottom"/>
            <w:tcBorders>
              <w:bottom w:val="single" w:sz="8" w:color="auto"/>
            </w:tcBorders>
            <w:shd w:val="clear" w:color="auto" w:fill="B2B2B2"/>
          </w:tcPr>
          <w:p>
            <w:pPr>
              <w:spacing w:after="0"/>
              <w:rPr>
                <w:sz w:val="18"/>
                <w:szCs w:val="18"/>
                <w:color w:val="auto"/>
              </w:rPr>
            </w:pPr>
          </w:p>
        </w:tc>
        <w:tc>
          <w:tcPr>
            <w:tcW w:w="170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1,092</w:t>
            </w:r>
          </w:p>
        </w:tc>
      </w:tr>
      <w:tr>
        <w:trPr>
          <w:trHeight w:val="217"/>
        </w:trPr>
        <w:tc>
          <w:tcPr>
            <w:tcW w:w="8900" w:type="dxa"/>
            <w:vAlign w:val="bottom"/>
            <w:tcBorders>
              <w:bottom w:val="single" w:sz="8" w:color="auto"/>
            </w:tcBorders>
          </w:tcPr>
          <w:p>
            <w:pPr>
              <w:ind w:left="540"/>
              <w:spacing w:after="0" w:line="196" w:lineRule="exact"/>
              <w:rPr>
                <w:sz w:val="20"/>
                <w:szCs w:val="20"/>
                <w:color w:val="auto"/>
              </w:rPr>
            </w:pPr>
            <w:r>
              <w:rPr>
                <w:rFonts w:ascii="Times New Roman" w:cs="Times New Roman" w:eastAsia="Times New Roman" w:hAnsi="Times New Roman"/>
                <w:sz w:val="18"/>
                <w:szCs w:val="18"/>
                <w:color w:val="auto"/>
              </w:rPr>
              <w:t>Total lease liability</w:t>
            </w:r>
          </w:p>
        </w:tc>
        <w:tc>
          <w:tcPr>
            <w:tcW w:w="6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6,185</w:t>
            </w:r>
          </w:p>
        </w:tc>
      </w:tr>
    </w:tbl>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sale and leaseback transactions, leveraged leases, or lease transactions with related parties during the year ended December 31, 2020. At December 31, 2020, the Company did not have any leases that had not yet commenced.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has evaluated subsequent events after the consolidated balance sheet date of December 31, 2020, and there were no events identified that would require additional disclosures to prevent the Company’s consolidated financial statements from being misleading.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Financial Information of Parent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are the condensed balance sheets of the Company (parent company only) and the related condensed statements of income and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tc>
        <w:tc>
          <w:tcPr>
            <w:tcW w:w="0" w:type="dxa"/>
            <w:vAlign w:val="bottom"/>
          </w:tcPr>
          <w:p>
            <w:pPr>
              <w:spacing w:after="0"/>
              <w:rPr>
                <w:sz w:val="1"/>
                <w:szCs w:val="1"/>
                <w:color w:val="auto"/>
              </w:rPr>
            </w:pPr>
          </w:p>
        </w:tc>
      </w:tr>
      <w:tr>
        <w:trPr>
          <w:trHeight w:val="238"/>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480" w:type="dxa"/>
            <w:vAlign w:val="bottom"/>
            <w:tcBorders>
              <w:bottom w:val="single" w:sz="8" w:color="auto"/>
            </w:tcBorders>
            <w:vMerge w:val="continue"/>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280" w:type="dxa"/>
            <w:vAlign w:val="bottom"/>
            <w:tcBorders>
              <w:right w:val="single" w:sz="8" w:color="B2B2B2"/>
            </w:tcBorders>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940" w:type="dxa"/>
            <w:vAlign w:val="bottom"/>
            <w:tcBorders>
              <w:right w:val="single" w:sz="8" w:color="B2B2B2"/>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4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51,714</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7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280" w:type="dxa"/>
            <w:vAlign w:val="bottom"/>
            <w:tcBorders>
              <w:right w:val="single" w:sz="8" w:color="B2B2B2"/>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235,452</w:t>
            </w:r>
          </w:p>
        </w:tc>
        <w:tc>
          <w:tcPr>
            <w:tcW w:w="500" w:type="dxa"/>
            <w:vAlign w:val="bottom"/>
            <w:shd w:val="clear" w:color="auto" w:fill="B2B2B2"/>
          </w:tcPr>
          <w:p>
            <w:pPr>
              <w:spacing w:after="0"/>
              <w:rPr>
                <w:sz w:val="18"/>
                <w:szCs w:val="18"/>
                <w:color w:val="auto"/>
              </w:rPr>
            </w:pPr>
          </w:p>
        </w:tc>
        <w:tc>
          <w:tcPr>
            <w:tcW w:w="94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357,726</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Loans, net</w:t>
            </w:r>
          </w:p>
        </w:tc>
        <w:tc>
          <w:tcPr>
            <w:tcW w:w="37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280" w:type="dxa"/>
            <w:vAlign w:val="bottom"/>
            <w:tcBorders>
              <w:right w:val="single" w:sz="8" w:color="B2B2B2"/>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49,314</w:t>
            </w:r>
          </w:p>
        </w:tc>
        <w:tc>
          <w:tcPr>
            <w:tcW w:w="500" w:type="dxa"/>
            <w:vAlign w:val="bottom"/>
            <w:shd w:val="clear" w:color="auto" w:fill="B2B2B2"/>
          </w:tcPr>
          <w:p>
            <w:pPr>
              <w:spacing w:after="0"/>
              <w:rPr>
                <w:sz w:val="18"/>
                <w:szCs w:val="18"/>
                <w:color w:val="auto"/>
              </w:rPr>
            </w:pPr>
          </w:p>
        </w:tc>
        <w:tc>
          <w:tcPr>
            <w:tcW w:w="94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45,187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Payments in advance of funding</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194,563</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37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280" w:type="dxa"/>
            <w:vAlign w:val="bottom"/>
            <w:tcBorders>
              <w:right w:val="single" w:sz="8" w:color="B2B2B2"/>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162,444</w:t>
            </w:r>
          </w:p>
        </w:tc>
        <w:tc>
          <w:tcPr>
            <w:tcW w:w="500" w:type="dxa"/>
            <w:vAlign w:val="bottom"/>
            <w:shd w:val="clear" w:color="auto" w:fill="B2B2B2"/>
          </w:tcPr>
          <w:p>
            <w:pPr>
              <w:spacing w:after="0"/>
              <w:rPr>
                <w:sz w:val="18"/>
                <w:szCs w:val="18"/>
                <w:color w:val="auto"/>
              </w:rPr>
            </w:pPr>
          </w:p>
        </w:tc>
        <w:tc>
          <w:tcPr>
            <w:tcW w:w="94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17,459</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7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280" w:type="dxa"/>
            <w:vAlign w:val="bottom"/>
            <w:tcBorders>
              <w:right w:val="single" w:sz="8" w:color="B2B2B2"/>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69,162</w:t>
            </w:r>
          </w:p>
        </w:tc>
        <w:tc>
          <w:tcPr>
            <w:tcW w:w="500" w:type="dxa"/>
            <w:vAlign w:val="bottom"/>
            <w:shd w:val="clear" w:color="auto" w:fill="B2B2B2"/>
          </w:tcPr>
          <w:p>
            <w:pPr>
              <w:spacing w:after="0"/>
              <w:rPr>
                <w:sz w:val="18"/>
                <w:szCs w:val="18"/>
                <w:color w:val="auto"/>
              </w:rPr>
            </w:pPr>
          </w:p>
        </w:tc>
        <w:tc>
          <w:tcPr>
            <w:tcW w:w="94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137,226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B2B2B2"/>
          </w:tcPr>
          <w:p>
            <w:pPr>
              <w:spacing w:after="0" w:line="20" w:lineRule="exact"/>
              <w:rPr>
                <w:sz w:val="1"/>
                <w:szCs w:val="1"/>
                <w:color w:val="auto"/>
              </w:rPr>
            </w:pPr>
          </w:p>
        </w:tc>
        <w:tc>
          <w:tcPr>
            <w:tcW w:w="3740" w:type="dxa"/>
            <w:vAlign w:val="bottom"/>
            <w:shd w:val="clear" w:color="auto" w:fill="B2B2B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tcBorders>
              <w:right w:val="single" w:sz="8" w:color="B2B2B2"/>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37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1,137,834</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shd w:val="clear" w:color="auto" w:fill="B2B2B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740" w:type="dxa"/>
            <w:vAlign w:val="bottom"/>
            <w:shd w:val="clear" w:color="auto" w:fill="B2B2B2"/>
          </w:tcPr>
          <w:p>
            <w:pPr>
              <w:spacing w:after="0"/>
              <w:rPr>
                <w:sz w:val="17"/>
                <w:szCs w:val="17"/>
                <w:color w:val="auto"/>
              </w:rPr>
            </w:pPr>
          </w:p>
        </w:tc>
        <w:tc>
          <w:tcPr>
            <w:tcW w:w="300" w:type="dxa"/>
            <w:vAlign w:val="bottom"/>
            <w:shd w:val="clear" w:color="auto" w:fill="B2B2B2"/>
          </w:tcPr>
          <w:p>
            <w:pPr>
              <w:spacing w:after="0"/>
              <w:rPr>
                <w:sz w:val="17"/>
                <w:szCs w:val="17"/>
                <w:color w:val="auto"/>
              </w:rPr>
            </w:pPr>
          </w:p>
        </w:tc>
        <w:tc>
          <w:tcPr>
            <w:tcW w:w="1280" w:type="dxa"/>
            <w:vAlign w:val="bottom"/>
            <w:tcBorders>
              <w:right w:val="single" w:sz="8" w:color="B2B2B2"/>
            </w:tcBorders>
            <w:shd w:val="clear" w:color="auto" w:fill="B2B2B2"/>
          </w:tcPr>
          <w:p>
            <w:pPr>
              <w:spacing w:after="0"/>
              <w:rPr>
                <w:sz w:val="17"/>
                <w:szCs w:val="17"/>
                <w:color w:val="auto"/>
              </w:rPr>
            </w:pPr>
          </w:p>
        </w:tc>
        <w:tc>
          <w:tcPr>
            <w:tcW w:w="500" w:type="dxa"/>
            <w:vAlign w:val="bottom"/>
            <w:shd w:val="clear" w:color="auto" w:fill="B2B2B2"/>
          </w:tcPr>
          <w:p>
            <w:pPr>
              <w:spacing w:after="0"/>
              <w:rPr>
                <w:sz w:val="17"/>
                <w:szCs w:val="17"/>
                <w:color w:val="auto"/>
              </w:rPr>
            </w:pPr>
          </w:p>
        </w:tc>
        <w:tc>
          <w:tcPr>
            <w:tcW w:w="940" w:type="dxa"/>
            <w:vAlign w:val="bottom"/>
            <w:tcBorders>
              <w:right w:val="single" w:sz="8" w:color="B2B2B2"/>
            </w:tcBorders>
            <w:shd w:val="clear" w:color="auto" w:fill="B2B2B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4040" w:type="dxa"/>
            <w:vAlign w:val="bottom"/>
            <w:gridSpan w:val="2"/>
            <w:shd w:val="clear" w:color="auto" w:fill="B2B2B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B2B2B2"/>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832,420</w:t>
            </w:r>
          </w:p>
        </w:tc>
        <w:tc>
          <w:tcPr>
            <w:tcW w:w="500" w:type="dxa"/>
            <w:vAlign w:val="bottom"/>
            <w:shd w:val="clear" w:color="auto" w:fill="B2B2B2"/>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683,485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7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280" w:type="dxa"/>
            <w:vAlign w:val="bottom"/>
            <w:tcBorders>
              <w:right w:val="single" w:sz="8" w:color="B2B2B2"/>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44,151</w:t>
            </w:r>
          </w:p>
        </w:tc>
        <w:tc>
          <w:tcPr>
            <w:tcW w:w="500" w:type="dxa"/>
            <w:vAlign w:val="bottom"/>
            <w:shd w:val="clear" w:color="auto" w:fill="B2B2B2"/>
          </w:tcPr>
          <w:p>
            <w:pPr>
              <w:spacing w:after="0"/>
              <w:rPr>
                <w:sz w:val="18"/>
                <w:szCs w:val="18"/>
                <w:color w:val="auto"/>
              </w:rPr>
            </w:pPr>
          </w:p>
        </w:tc>
        <w:tc>
          <w:tcPr>
            <w:tcW w:w="94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50,987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B2B2B2"/>
          </w:tcPr>
          <w:p>
            <w:pPr>
              <w:spacing w:after="0" w:line="20" w:lineRule="exact"/>
              <w:rPr>
                <w:sz w:val="1"/>
                <w:szCs w:val="1"/>
                <w:color w:val="auto"/>
              </w:rPr>
            </w:pPr>
          </w:p>
        </w:tc>
        <w:tc>
          <w:tcPr>
            <w:tcW w:w="3740" w:type="dxa"/>
            <w:vAlign w:val="bottom"/>
            <w:shd w:val="clear" w:color="auto" w:fill="B2B2B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tcBorders>
              <w:right w:val="single" w:sz="8" w:color="B2B2B2"/>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876,571</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7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280" w:type="dxa"/>
            <w:vAlign w:val="bottom"/>
            <w:tcBorders>
              <w:right w:val="single" w:sz="8" w:color="B2B2B2"/>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261,263</w:t>
            </w:r>
          </w:p>
        </w:tc>
        <w:tc>
          <w:tcPr>
            <w:tcW w:w="500" w:type="dxa"/>
            <w:vAlign w:val="bottom"/>
            <w:shd w:val="clear" w:color="auto" w:fill="B2B2B2"/>
          </w:tcPr>
          <w:p>
            <w:pPr>
              <w:spacing w:after="0"/>
              <w:rPr>
                <w:sz w:val="18"/>
                <w:szCs w:val="18"/>
                <w:color w:val="auto"/>
              </w:rPr>
            </w:pPr>
          </w:p>
        </w:tc>
        <w:tc>
          <w:tcPr>
            <w:tcW w:w="94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244,359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B2B2B2"/>
          </w:tcPr>
          <w:p>
            <w:pPr>
              <w:spacing w:after="0" w:line="20" w:lineRule="exact"/>
              <w:rPr>
                <w:sz w:val="1"/>
                <w:szCs w:val="1"/>
                <w:color w:val="auto"/>
              </w:rPr>
            </w:pPr>
          </w:p>
        </w:tc>
        <w:tc>
          <w:tcPr>
            <w:tcW w:w="3740" w:type="dxa"/>
            <w:vAlign w:val="bottom"/>
            <w:shd w:val="clear" w:color="auto" w:fill="B2B2B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tcBorders>
              <w:right w:val="single" w:sz="8" w:color="B2B2B2"/>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7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1,137,834</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740" w:type="dxa"/>
            <w:vAlign w:val="bottom"/>
            <w:vMerge w:val="restart"/>
          </w:tcPr>
          <w:p>
            <w:pPr>
              <w:jc w:val="right"/>
              <w:ind w:right="2410"/>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8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EEEEEE"/>
            </w:tcBorders>
          </w:tcPr>
          <w:p>
            <w:pPr>
              <w:spacing w:after="0"/>
              <w:rPr>
                <w:sz w:val="18"/>
                <w:szCs w:val="18"/>
                <w:color w:val="auto"/>
              </w:rPr>
            </w:pPr>
          </w:p>
        </w:tc>
        <w:tc>
          <w:tcPr>
            <w:tcW w:w="3740" w:type="dxa"/>
            <w:vAlign w:val="bottom"/>
            <w:tcBorders>
              <w:bottom w:val="single" w:sz="8" w:color="EEEEEE"/>
            </w:tcBorders>
          </w:tcPr>
          <w:p>
            <w:pPr>
              <w:spacing w:after="0"/>
              <w:rPr>
                <w:sz w:val="18"/>
                <w:szCs w:val="18"/>
                <w:color w:val="auto"/>
              </w:rPr>
            </w:pPr>
          </w:p>
        </w:tc>
        <w:tc>
          <w:tcPr>
            <w:tcW w:w="300" w:type="dxa"/>
            <w:vAlign w:val="bottom"/>
            <w:tcBorders>
              <w:bottom w:val="single" w:sz="8" w:color="EEEEEE"/>
            </w:tcBorders>
          </w:tcPr>
          <w:p>
            <w:pPr>
              <w:spacing w:after="0"/>
              <w:rPr>
                <w:sz w:val="18"/>
                <w:szCs w:val="18"/>
                <w:color w:val="auto"/>
              </w:rPr>
            </w:pPr>
          </w:p>
        </w:tc>
        <w:tc>
          <w:tcPr>
            <w:tcW w:w="1280" w:type="dxa"/>
            <w:vAlign w:val="bottom"/>
            <w:tcBorders>
              <w:bottom w:val="single" w:sz="8" w:color="EEEEEE"/>
            </w:tcBorders>
          </w:tcPr>
          <w:p>
            <w:pPr>
              <w:spacing w:after="0"/>
              <w:rPr>
                <w:sz w:val="18"/>
                <w:szCs w:val="18"/>
                <w:color w:val="auto"/>
              </w:rPr>
            </w:pPr>
          </w:p>
        </w:tc>
        <w:tc>
          <w:tcPr>
            <w:tcW w:w="500" w:type="dxa"/>
            <w:vAlign w:val="bottom"/>
            <w:tcBorders>
              <w:bottom w:val="single" w:sz="8" w:color="EEEEEE"/>
            </w:tcBorders>
          </w:tcPr>
          <w:p>
            <w:pPr>
              <w:spacing w:after="0"/>
              <w:rPr>
                <w:sz w:val="18"/>
                <w:szCs w:val="18"/>
                <w:color w:val="auto"/>
              </w:rPr>
            </w:pPr>
          </w:p>
        </w:tc>
        <w:tc>
          <w:tcPr>
            <w:tcW w:w="94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9"/>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60" w:type="dxa"/>
            <w:vAlign w:val="bottom"/>
            <w:gridSpan w:val="10"/>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Condensed Statements of Income</w:t>
            </w:r>
          </w:p>
        </w:tc>
        <w:tc>
          <w:tcPr>
            <w:tcW w:w="0" w:type="dxa"/>
            <w:vAlign w:val="bottom"/>
          </w:tcPr>
          <w:p>
            <w:pPr>
              <w:spacing w:after="0"/>
              <w:rPr>
                <w:sz w:val="1"/>
                <w:szCs w:val="1"/>
                <w:color w:val="auto"/>
              </w:rPr>
            </w:pPr>
          </w:p>
        </w:tc>
      </w:tr>
      <w:tr>
        <w:trPr>
          <w:trHeight w:val="238"/>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10"/>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For the Years Ended December 31,</w:t>
            </w:r>
          </w:p>
        </w:tc>
        <w:tc>
          <w:tcPr>
            <w:tcW w:w="0" w:type="dxa"/>
            <w:vAlign w:val="bottom"/>
          </w:tcPr>
          <w:p>
            <w:pPr>
              <w:spacing w:after="0"/>
              <w:rPr>
                <w:sz w:val="1"/>
                <w:szCs w:val="1"/>
                <w:color w:val="auto"/>
              </w:rPr>
            </w:pPr>
          </w:p>
        </w:tc>
      </w:tr>
      <w:tr>
        <w:trPr>
          <w:trHeight w:val="217"/>
        </w:trPr>
        <w:tc>
          <w:tcPr>
            <w:tcW w:w="67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Income from subsidiaries – management fees</w:t>
            </w:r>
          </w:p>
        </w:tc>
        <w:tc>
          <w:tcPr>
            <w:tcW w:w="820" w:type="dxa"/>
            <w:vAlign w:val="bottom"/>
            <w:gridSpan w:val="3"/>
            <w:shd w:val="clear" w:color="auto" w:fill="B2B2B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2,854</w:t>
            </w:r>
          </w:p>
        </w:tc>
        <w:tc>
          <w:tcPr>
            <w:tcW w:w="24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440" w:type="dxa"/>
            <w:vAlign w:val="bottom"/>
            <w:tcBorders>
              <w:left w:val="single" w:sz="8" w:color="B2B2B2"/>
            </w:tcBorders>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60" w:type="dxa"/>
            <w:vAlign w:val="bottom"/>
            <w:tcBorders>
              <w:left w:val="single" w:sz="8" w:color="B2B2B2"/>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services revenue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95,078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interest income after provision</w:t>
            </w:r>
          </w:p>
        </w:tc>
        <w:tc>
          <w:tcPr>
            <w:tcW w:w="2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60" w:type="dxa"/>
            <w:vAlign w:val="bottom"/>
            <w:gridSpan w:val="3"/>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10,932</w:t>
            </w: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15,713</w:t>
            </w:r>
          </w:p>
        </w:tc>
        <w:tc>
          <w:tcPr>
            <w:tcW w:w="220" w:type="dxa"/>
            <w:vAlign w:val="bottom"/>
            <w:tcBorders>
              <w:left w:val="single" w:sz="8" w:color="B2B2B2"/>
            </w:tcBorders>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60" w:type="dxa"/>
            <w:vAlign w:val="bottom"/>
            <w:tcBorders>
              <w:left w:val="single" w:sz="8" w:color="B2B2B2"/>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sales of investment securities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60" w:type="dxa"/>
            <w:vAlign w:val="bottom"/>
            <w:gridSpan w:val="3"/>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Borders>
              <w:left w:val="single" w:sz="8" w:color="B2B2B2"/>
            </w:tcBorders>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60" w:type="dxa"/>
            <w:vAlign w:val="bottom"/>
            <w:tcBorders>
              <w:left w:val="single" w:sz="8" w:color="B2B2B2"/>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shd w:val="clear" w:color="auto" w:fill="B2B2B2"/>
          </w:tcPr>
          <w:p>
            <w:pPr>
              <w:spacing w:after="0" w:line="20" w:lineRule="exact"/>
              <w:rPr>
                <w:sz w:val="1"/>
                <w:szCs w:val="1"/>
                <w:color w:val="auto"/>
              </w:rPr>
            </w:pPr>
          </w:p>
        </w:tc>
        <w:tc>
          <w:tcPr>
            <w:tcW w:w="220" w:type="dxa"/>
            <w:vAlign w:val="bottom"/>
            <w:shd w:val="clear" w:color="auto" w:fill="B2B2B2"/>
          </w:tcPr>
          <w:p>
            <w:pPr>
              <w:spacing w:after="0" w:line="20" w:lineRule="exact"/>
              <w:rPr>
                <w:sz w:val="1"/>
                <w:szCs w:val="1"/>
                <w:color w:val="auto"/>
              </w:rPr>
            </w:pPr>
          </w:p>
        </w:tc>
        <w:tc>
          <w:tcPr>
            <w:tcW w:w="440" w:type="dxa"/>
            <w:vAlign w:val="bottom"/>
            <w:shd w:val="clear" w:color="auto" w:fill="B2B2B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B2B2B2"/>
            </w:tcBorders>
            <w:shd w:val="clear" w:color="auto" w:fill="B2B2B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Borders>
              <w:left w:val="single" w:sz="8" w:color="B2B2B2"/>
            </w:tcBorders>
            <w:shd w:val="clear" w:color="auto" w:fill="B2B2B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income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110,397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tcBorders>
              <w:right w:val="single" w:sz="8" w:color="B2B2B2"/>
            </w:tcBorders>
            <w:shd w:val="clear" w:color="auto" w:fill="B2B2B2"/>
          </w:tcPr>
          <w:p>
            <w:pPr>
              <w:spacing w:after="0"/>
              <w:rPr>
                <w:sz w:val="18"/>
                <w:szCs w:val="18"/>
                <w:color w:val="auto"/>
              </w:rPr>
            </w:pPr>
          </w:p>
        </w:tc>
        <w:tc>
          <w:tcPr>
            <w:tcW w:w="220" w:type="dxa"/>
            <w:vAlign w:val="bottom"/>
            <w:tcBorders>
              <w:left w:val="single" w:sz="8" w:color="B2B2B2"/>
            </w:tcBorders>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60" w:type="dxa"/>
            <w:vAlign w:val="bottom"/>
            <w:tcBorders>
              <w:left w:val="single" w:sz="8" w:color="B2B2B2"/>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77,577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60" w:type="dxa"/>
            <w:vAlign w:val="bottom"/>
            <w:gridSpan w:val="3"/>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25,347</w:t>
            </w: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26,136</w:t>
            </w:r>
          </w:p>
        </w:tc>
        <w:tc>
          <w:tcPr>
            <w:tcW w:w="220" w:type="dxa"/>
            <w:vAlign w:val="bottom"/>
            <w:tcBorders>
              <w:left w:val="single" w:sz="8" w:color="B2B2B2"/>
            </w:tcBorders>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23,442</w:t>
            </w:r>
          </w:p>
        </w:tc>
        <w:tc>
          <w:tcPr>
            <w:tcW w:w="60" w:type="dxa"/>
            <w:vAlign w:val="bottom"/>
            <w:tcBorders>
              <w:left w:val="single" w:sz="8" w:color="B2B2B2"/>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shd w:val="clear" w:color="auto" w:fill="B2B2B2"/>
          </w:tcPr>
          <w:p>
            <w:pPr>
              <w:spacing w:after="0" w:line="20" w:lineRule="exact"/>
              <w:rPr>
                <w:sz w:val="1"/>
                <w:szCs w:val="1"/>
                <w:color w:val="auto"/>
              </w:rPr>
            </w:pPr>
          </w:p>
        </w:tc>
        <w:tc>
          <w:tcPr>
            <w:tcW w:w="220" w:type="dxa"/>
            <w:vAlign w:val="bottom"/>
            <w:shd w:val="clear" w:color="auto" w:fill="B2B2B2"/>
          </w:tcPr>
          <w:p>
            <w:pPr>
              <w:spacing w:after="0" w:line="20" w:lineRule="exact"/>
              <w:rPr>
                <w:sz w:val="1"/>
                <w:szCs w:val="1"/>
                <w:color w:val="auto"/>
              </w:rPr>
            </w:pPr>
          </w:p>
        </w:tc>
        <w:tc>
          <w:tcPr>
            <w:tcW w:w="440" w:type="dxa"/>
            <w:vAlign w:val="bottom"/>
            <w:shd w:val="clear" w:color="auto" w:fill="B2B2B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B2B2B2"/>
            </w:tcBorders>
            <w:shd w:val="clear" w:color="auto" w:fill="B2B2B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Borders>
              <w:left w:val="single" w:sz="8" w:color="B2B2B2"/>
            </w:tcBorders>
            <w:shd w:val="clear" w:color="auto" w:fill="B2B2B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102,924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Income before income tax and equity in undistributed income of subsidiaries</w:t>
            </w:r>
          </w:p>
        </w:tc>
        <w:tc>
          <w:tcPr>
            <w:tcW w:w="2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60" w:type="dxa"/>
            <w:vAlign w:val="bottom"/>
            <w:gridSpan w:val="3"/>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7,473</w:t>
            </w: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220" w:type="dxa"/>
            <w:vAlign w:val="bottom"/>
            <w:tcBorders>
              <w:left w:val="single" w:sz="8" w:color="B2B2B2"/>
            </w:tcBorders>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60" w:type="dxa"/>
            <w:vAlign w:val="bottom"/>
            <w:tcBorders>
              <w:left w:val="single" w:sz="8" w:color="B2B2B2"/>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Income before undistributed income of subsidiaries</w:t>
            </w:r>
          </w:p>
        </w:tc>
        <w:tc>
          <w:tcPr>
            <w:tcW w:w="2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60" w:type="dxa"/>
            <w:vAlign w:val="bottom"/>
            <w:gridSpan w:val="3"/>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7,133</w:t>
            </w: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14,619</w:t>
            </w:r>
          </w:p>
        </w:tc>
        <w:tc>
          <w:tcPr>
            <w:tcW w:w="220" w:type="dxa"/>
            <w:vAlign w:val="bottom"/>
            <w:tcBorders>
              <w:left w:val="single" w:sz="8" w:color="B2B2B2"/>
            </w:tcBorders>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14,693</w:t>
            </w:r>
          </w:p>
        </w:tc>
        <w:tc>
          <w:tcPr>
            <w:tcW w:w="60" w:type="dxa"/>
            <w:vAlign w:val="bottom"/>
            <w:tcBorders>
              <w:left w:val="single" w:sz="8" w:color="B2B2B2"/>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Equity in undistributed income of subsidiaries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18,043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76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gridSpan w:val="3"/>
            <w:shd w:val="clear" w:color="auto" w:fill="B2B2B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25,176</w:t>
            </w:r>
          </w:p>
        </w:tc>
        <w:tc>
          <w:tcPr>
            <w:tcW w:w="240" w:type="dxa"/>
            <w:vAlign w:val="bottom"/>
            <w:gridSpan w:val="2"/>
            <w:shd w:val="clear" w:color="auto" w:fill="B2B2B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B2B2B2"/>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440" w:type="dxa"/>
            <w:vAlign w:val="bottom"/>
            <w:tcBorders>
              <w:left w:val="single" w:sz="8" w:color="B2B2B2"/>
            </w:tcBorders>
            <w:gridSpan w:val="2"/>
            <w:shd w:val="clear" w:color="auto" w:fill="B2B2B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60" w:type="dxa"/>
            <w:vAlign w:val="bottom"/>
            <w:tcBorders>
              <w:left w:val="single" w:sz="8" w:color="B2B2B2"/>
            </w:tcBorders>
            <w:shd w:val="clear" w:color="auto" w:fill="B2B2B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B2B2B2"/>
            </w:tcBorders>
            <w:shd w:val="clear" w:color="auto" w:fill="B2B2B2"/>
          </w:tcPr>
          <w:p>
            <w:pPr>
              <w:spacing w:after="0" w:line="20" w:lineRule="exact"/>
              <w:rPr>
                <w:sz w:val="1"/>
                <w:szCs w:val="1"/>
                <w:color w:val="auto"/>
              </w:rPr>
            </w:pPr>
          </w:p>
        </w:tc>
        <w:tc>
          <w:tcPr>
            <w:tcW w:w="220" w:type="dxa"/>
            <w:vAlign w:val="bottom"/>
            <w:tcBorders>
              <w:top w:val="single" w:sz="8" w:color="B2B2B2"/>
            </w:tcBorders>
            <w:shd w:val="clear" w:color="auto" w:fill="B2B2B2"/>
          </w:tcPr>
          <w:p>
            <w:pPr>
              <w:spacing w:after="0" w:line="20" w:lineRule="exact"/>
              <w:rPr>
                <w:sz w:val="1"/>
                <w:szCs w:val="1"/>
                <w:color w:val="auto"/>
              </w:rPr>
            </w:pPr>
          </w:p>
        </w:tc>
        <w:tc>
          <w:tcPr>
            <w:tcW w:w="440" w:type="dxa"/>
            <w:vAlign w:val="bottom"/>
            <w:tcBorders>
              <w:top w:val="single" w:sz="8" w:color="B2B2B2"/>
            </w:tcBorders>
            <w:shd w:val="clear" w:color="auto" w:fill="B2B2B2"/>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2B2B2"/>
            </w:tcBorders>
            <w:shd w:val="clear" w:color="auto" w:fill="B2B2B2"/>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B2B2B2"/>
              <w:left w:val="single" w:sz="8" w:color="B2B2B2"/>
            </w:tcBorders>
            <w:shd w:val="clear" w:color="auto" w:fill="B2B2B2"/>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B2B2B2"/>
              <w:left w:val="single" w:sz="8" w:color="B2B2B2"/>
            </w:tcBorders>
            <w:shd w:val="clear" w:color="auto" w:fill="B2B2B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60" w:type="dxa"/>
            <w:vAlign w:val="bottom"/>
            <w:gridSpan w:val="10"/>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Condensed Statements of Cash Flows</w:t>
            </w:r>
          </w:p>
        </w:tc>
        <w:tc>
          <w:tcPr>
            <w:tcW w:w="0" w:type="dxa"/>
            <w:vAlign w:val="bottom"/>
          </w:tcPr>
          <w:p>
            <w:pPr>
              <w:spacing w:after="0"/>
              <w:rPr>
                <w:sz w:val="1"/>
                <w:szCs w:val="1"/>
                <w:color w:val="auto"/>
              </w:rPr>
            </w:pPr>
          </w:p>
        </w:tc>
      </w:tr>
      <w:tr>
        <w:trPr>
          <w:trHeight w:val="238"/>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10"/>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0" w:type="dxa"/>
            <w:vAlign w:val="bottom"/>
          </w:tcPr>
          <w:p>
            <w:pPr>
              <w:spacing w:after="0"/>
              <w:rPr>
                <w:sz w:val="1"/>
                <w:szCs w:val="1"/>
                <w:color w:val="auto"/>
              </w:rPr>
            </w:pPr>
          </w:p>
        </w:tc>
      </w:tr>
      <w:tr>
        <w:trPr>
          <w:trHeight w:val="217"/>
        </w:trPr>
        <w:tc>
          <w:tcPr>
            <w:tcW w:w="67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tcBorders>
              <w:right w:val="single" w:sz="8" w:color="B2B2B2"/>
            </w:tcBorders>
            <w:shd w:val="clear" w:color="auto" w:fill="B2B2B2"/>
          </w:tcPr>
          <w:p>
            <w:pPr>
              <w:spacing w:after="0"/>
              <w:rPr>
                <w:sz w:val="18"/>
                <w:szCs w:val="18"/>
                <w:color w:val="auto"/>
              </w:rPr>
            </w:pPr>
          </w:p>
        </w:tc>
        <w:tc>
          <w:tcPr>
            <w:tcW w:w="220" w:type="dxa"/>
            <w:vAlign w:val="bottom"/>
            <w:tcBorders>
              <w:left w:val="single" w:sz="8" w:color="B2B2B2"/>
            </w:tcBorders>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60" w:type="dxa"/>
            <w:vAlign w:val="bottom"/>
            <w:tcBorders>
              <w:left w:val="single" w:sz="8" w:color="B2B2B2"/>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25,176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30,404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2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tcBorders>
              <w:right w:val="single" w:sz="8" w:color="B2B2B2"/>
            </w:tcBorders>
            <w:shd w:val="clear" w:color="auto" w:fill="B2B2B2"/>
          </w:tcPr>
          <w:p>
            <w:pPr>
              <w:spacing w:after="0"/>
              <w:rPr>
                <w:sz w:val="18"/>
                <w:szCs w:val="18"/>
                <w:color w:val="auto"/>
              </w:rPr>
            </w:pPr>
          </w:p>
        </w:tc>
        <w:tc>
          <w:tcPr>
            <w:tcW w:w="220" w:type="dxa"/>
            <w:vAlign w:val="bottom"/>
            <w:tcBorders>
              <w:left w:val="single" w:sz="8" w:color="B2B2B2"/>
            </w:tcBorders>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60" w:type="dxa"/>
            <w:vAlign w:val="bottom"/>
            <w:tcBorders>
              <w:left w:val="single" w:sz="8" w:color="B2B2B2"/>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Equity in undistributed income of subsidiaries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Net change in other assets</w:t>
            </w:r>
          </w:p>
        </w:tc>
        <w:tc>
          <w:tcPr>
            <w:tcW w:w="2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7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6,054</w:t>
            </w:r>
          </w:p>
        </w:tc>
        <w:tc>
          <w:tcPr>
            <w:tcW w:w="1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tcBorders>
              <w:right w:val="single" w:sz="8" w:color="B2B2B2"/>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(6,289)</w:t>
            </w:r>
          </w:p>
        </w:tc>
        <w:tc>
          <w:tcPr>
            <w:tcW w:w="220" w:type="dxa"/>
            <w:vAlign w:val="bottom"/>
            <w:tcBorders>
              <w:left w:val="single" w:sz="8" w:color="B2B2B2"/>
            </w:tcBorders>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60" w:type="dxa"/>
            <w:vAlign w:val="bottom"/>
            <w:tcBorders>
              <w:left w:val="single" w:sz="8" w:color="B2B2B2"/>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change in other liabilities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9,474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7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tcBorders>
              <w:right w:val="single" w:sz="8" w:color="B2B2B2"/>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3,144</w:t>
            </w:r>
          </w:p>
        </w:tc>
        <w:tc>
          <w:tcPr>
            <w:tcW w:w="220" w:type="dxa"/>
            <w:vAlign w:val="bottom"/>
            <w:tcBorders>
              <w:left w:val="single" w:sz="8" w:color="B2B2B2"/>
            </w:tcBorders>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60" w:type="dxa"/>
            <w:vAlign w:val="bottom"/>
            <w:tcBorders>
              <w:left w:val="single" w:sz="8" w:color="B2B2B2"/>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18,236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6,104</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B2B2B2"/>
            </w:tcBorders>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B2B2B2"/>
            </w:tcBorders>
            <w:shd w:val="clear" w:color="auto" w:fill="B2B2B2"/>
          </w:tcPr>
          <w:p>
            <w:pPr>
              <w:spacing w:after="0"/>
              <w:rPr>
                <w:sz w:val="18"/>
                <w:szCs w:val="18"/>
                <w:color w:val="auto"/>
              </w:rPr>
            </w:pPr>
          </w:p>
        </w:tc>
        <w:tc>
          <w:tcPr>
            <w:tcW w:w="440" w:type="dxa"/>
            <w:vAlign w:val="bottom"/>
            <w:tcBorders>
              <w:bottom w:val="single" w:sz="8" w:color="auto"/>
            </w:tcBorders>
            <w:shd w:val="clear" w:color="auto" w:fill="B2B2B2"/>
          </w:tcPr>
          <w:p>
            <w:pPr>
              <w:spacing w:after="0"/>
              <w:rPr>
                <w:sz w:val="18"/>
                <w:szCs w:val="18"/>
                <w:color w:val="auto"/>
              </w:rPr>
            </w:pPr>
          </w:p>
        </w:tc>
        <w:tc>
          <w:tcPr>
            <w:tcW w:w="160" w:type="dxa"/>
            <w:vAlign w:val="bottom"/>
            <w:tcBorders>
              <w:bottom w:val="single" w:sz="8" w:color="auto"/>
            </w:tcBorders>
            <w:shd w:val="clear" w:color="auto" w:fill="B2B2B2"/>
          </w:tcPr>
          <w:p>
            <w:pPr>
              <w:spacing w:after="0"/>
              <w:rPr>
                <w:sz w:val="18"/>
                <w:szCs w:val="18"/>
                <w:color w:val="auto"/>
              </w:rPr>
            </w:pPr>
          </w:p>
        </w:tc>
        <w:tc>
          <w:tcPr>
            <w:tcW w:w="78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27,165</w:t>
            </w:r>
          </w:p>
        </w:tc>
        <w:tc>
          <w:tcPr>
            <w:tcW w:w="100" w:type="dxa"/>
            <w:vAlign w:val="bottom"/>
            <w:tcBorders>
              <w:bottom w:val="single" w:sz="8" w:color="B2B2B2"/>
            </w:tcBorders>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right w:val="single" w:sz="8" w:color="B2B2B2"/>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27,052</w:t>
            </w:r>
          </w:p>
        </w:tc>
        <w:tc>
          <w:tcPr>
            <w:tcW w:w="220" w:type="dxa"/>
            <w:vAlign w:val="bottom"/>
            <w:tcBorders>
              <w:left w:val="single" w:sz="8" w:color="B2B2B2"/>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30,335</w:t>
            </w:r>
          </w:p>
        </w:tc>
        <w:tc>
          <w:tcPr>
            <w:tcW w:w="60" w:type="dxa"/>
            <w:vAlign w:val="bottom"/>
            <w:tcBorders>
              <w:left w:val="single" w:sz="8" w:color="B2B2B2"/>
              <w:bottom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decrease in securities</w:t>
            </w:r>
          </w:p>
        </w:tc>
        <w:tc>
          <w:tcPr>
            <w:tcW w:w="2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7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65,689</w:t>
            </w:r>
          </w:p>
        </w:tc>
        <w:tc>
          <w:tcPr>
            <w:tcW w:w="1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tcBorders>
              <w:right w:val="single" w:sz="8" w:color="B2B2B2"/>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26,150</w:t>
            </w:r>
          </w:p>
        </w:tc>
        <w:tc>
          <w:tcPr>
            <w:tcW w:w="220" w:type="dxa"/>
            <w:vAlign w:val="bottom"/>
            <w:tcBorders>
              <w:left w:val="single" w:sz="8" w:color="B2B2B2"/>
            </w:tcBorders>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14,615</w:t>
            </w:r>
          </w:p>
        </w:tc>
        <w:tc>
          <w:tcPr>
            <w:tcW w:w="60" w:type="dxa"/>
            <w:vAlign w:val="bottom"/>
            <w:tcBorders>
              <w:left w:val="single" w:sz="8" w:color="B2B2B2"/>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loans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decrease (increase) in payments in advance of funding</w:t>
            </w:r>
          </w:p>
        </w:tc>
        <w:tc>
          <w:tcPr>
            <w:tcW w:w="2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780" w:type="dxa"/>
            <w:vAlign w:val="bottom"/>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11,595</w:t>
            </w:r>
          </w:p>
        </w:tc>
        <w:tc>
          <w:tcPr>
            <w:tcW w:w="1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tcBorders>
              <w:right w:val="single" w:sz="8" w:color="B2B2B2"/>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(45,381)</w:t>
            </w:r>
          </w:p>
        </w:tc>
        <w:tc>
          <w:tcPr>
            <w:tcW w:w="220" w:type="dxa"/>
            <w:vAlign w:val="bottom"/>
            <w:tcBorders>
              <w:left w:val="single" w:sz="8" w:color="B2B2B2"/>
            </w:tcBorders>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(21,674)</w:t>
            </w:r>
          </w:p>
        </w:tc>
        <w:tc>
          <w:tcPr>
            <w:tcW w:w="60" w:type="dxa"/>
            <w:vAlign w:val="bottom"/>
            <w:tcBorders>
              <w:left w:val="single" w:sz="8" w:color="B2B2B2"/>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B2B2B2"/>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Asset acquisition of Gateway Giving, LLC</w:t>
            </w:r>
          </w:p>
        </w:tc>
        <w:tc>
          <w:tcPr>
            <w:tcW w:w="220" w:type="dxa"/>
            <w:vAlign w:val="bottom"/>
            <w:tcBorders>
              <w:bottom w:val="single" w:sz="8" w:color="B2B2B2"/>
            </w:tcBorders>
            <w:shd w:val="clear" w:color="auto" w:fill="B2B2B2"/>
          </w:tcPr>
          <w:p>
            <w:pPr>
              <w:spacing w:after="0"/>
              <w:rPr>
                <w:sz w:val="18"/>
                <w:szCs w:val="18"/>
                <w:color w:val="auto"/>
              </w:rPr>
            </w:pPr>
          </w:p>
        </w:tc>
        <w:tc>
          <w:tcPr>
            <w:tcW w:w="440" w:type="dxa"/>
            <w:vAlign w:val="bottom"/>
            <w:tcBorders>
              <w:bottom w:val="single" w:sz="8" w:color="auto"/>
            </w:tcBorders>
            <w:shd w:val="clear" w:color="auto" w:fill="B2B2B2"/>
          </w:tcPr>
          <w:p>
            <w:pPr>
              <w:spacing w:after="0"/>
              <w:rPr>
                <w:sz w:val="18"/>
                <w:szCs w:val="18"/>
                <w:color w:val="auto"/>
              </w:rPr>
            </w:pPr>
          </w:p>
        </w:tc>
        <w:tc>
          <w:tcPr>
            <w:tcW w:w="160" w:type="dxa"/>
            <w:vAlign w:val="bottom"/>
            <w:tcBorders>
              <w:bottom w:val="single" w:sz="8" w:color="auto"/>
            </w:tcBorders>
            <w:shd w:val="clear" w:color="auto" w:fill="B2B2B2"/>
          </w:tcPr>
          <w:p>
            <w:pPr>
              <w:spacing w:after="0"/>
              <w:rPr>
                <w:sz w:val="18"/>
                <w:szCs w:val="18"/>
                <w:color w:val="auto"/>
              </w:rPr>
            </w:pPr>
          </w:p>
        </w:tc>
        <w:tc>
          <w:tcPr>
            <w:tcW w:w="78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2B2B2"/>
            </w:tcBorders>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right w:val="single" w:sz="8" w:color="B2B2B2"/>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(2,833)</w:t>
            </w:r>
          </w:p>
        </w:tc>
        <w:tc>
          <w:tcPr>
            <w:tcW w:w="220" w:type="dxa"/>
            <w:vAlign w:val="bottom"/>
            <w:tcBorders>
              <w:left w:val="single" w:sz="8" w:color="B2B2B2"/>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72,929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(49,700)</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tcBorders>
              <w:right w:val="single" w:sz="8" w:color="B2B2B2"/>
            </w:tcBorders>
            <w:shd w:val="clear" w:color="auto" w:fill="B2B2B2"/>
          </w:tcPr>
          <w:p>
            <w:pPr>
              <w:spacing w:after="0"/>
              <w:rPr>
                <w:sz w:val="18"/>
                <w:szCs w:val="18"/>
                <w:color w:val="auto"/>
              </w:rPr>
            </w:pPr>
          </w:p>
        </w:tc>
        <w:tc>
          <w:tcPr>
            <w:tcW w:w="220" w:type="dxa"/>
            <w:vAlign w:val="bottom"/>
            <w:tcBorders>
              <w:left w:val="single" w:sz="8" w:color="B2B2B2"/>
            </w:tcBorders>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60" w:type="dxa"/>
            <w:vAlign w:val="bottom"/>
            <w:tcBorders>
              <w:left w:val="single" w:sz="8" w:color="B2B2B2"/>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accounts and drafts payable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208,339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tcBorders>
              <w:right w:val="single" w:sz="8" w:color="B2B2B2"/>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18,000</w:t>
            </w:r>
          </w:p>
        </w:tc>
        <w:tc>
          <w:tcPr>
            <w:tcW w:w="220" w:type="dxa"/>
            <w:vAlign w:val="bottom"/>
            <w:tcBorders>
              <w:left w:val="single" w:sz="8" w:color="B2B2B2"/>
            </w:tcBorders>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60" w:type="dxa"/>
            <w:vAlign w:val="bottom"/>
            <w:gridSpan w:val="2"/>
            <w:shd w:val="clear" w:color="auto" w:fill="B2B2B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paid</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Purchase of common shares for treasury</w:t>
            </w:r>
          </w:p>
        </w:tc>
        <w:tc>
          <w:tcPr>
            <w:tcW w:w="2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60" w:type="dxa"/>
            <w:vAlign w:val="bottom"/>
            <w:tcBorders>
              <w:right w:val="single" w:sz="8" w:color="B2B2B2"/>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(7,799)</w:t>
            </w:r>
          </w:p>
        </w:tc>
        <w:tc>
          <w:tcPr>
            <w:tcW w:w="220" w:type="dxa"/>
            <w:vAlign w:val="bottom"/>
            <w:tcBorders>
              <w:left w:val="single" w:sz="8" w:color="B2B2B2"/>
            </w:tcBorders>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60" w:type="dxa"/>
            <w:vAlign w:val="bottom"/>
            <w:tcBorders>
              <w:left w:val="single" w:sz="8" w:color="B2B2B2"/>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(1,125)</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B2B2B2"/>
            </w:tcBorders>
            <w:shd w:val="clear" w:color="auto" w:fill="B2B2B2"/>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tcBorders>
              <w:bottom w:val="single" w:sz="8" w:color="B2B2B2"/>
            </w:tcBorders>
            <w:shd w:val="clear" w:color="auto" w:fill="B2B2B2"/>
          </w:tcPr>
          <w:p>
            <w:pPr>
              <w:spacing w:after="0"/>
              <w:rPr>
                <w:sz w:val="18"/>
                <w:szCs w:val="18"/>
                <w:color w:val="auto"/>
              </w:rPr>
            </w:pPr>
          </w:p>
        </w:tc>
        <w:tc>
          <w:tcPr>
            <w:tcW w:w="440" w:type="dxa"/>
            <w:vAlign w:val="bottom"/>
            <w:tcBorders>
              <w:bottom w:val="single" w:sz="8" w:color="auto"/>
            </w:tcBorders>
            <w:shd w:val="clear" w:color="auto" w:fill="B2B2B2"/>
          </w:tcPr>
          <w:p>
            <w:pPr>
              <w:spacing w:after="0"/>
              <w:rPr>
                <w:sz w:val="18"/>
                <w:szCs w:val="18"/>
                <w:color w:val="auto"/>
              </w:rPr>
            </w:pPr>
          </w:p>
        </w:tc>
        <w:tc>
          <w:tcPr>
            <w:tcW w:w="160" w:type="dxa"/>
            <w:vAlign w:val="bottom"/>
            <w:tcBorders>
              <w:bottom w:val="single" w:sz="8" w:color="auto"/>
            </w:tcBorders>
            <w:shd w:val="clear" w:color="auto" w:fill="B2B2B2"/>
          </w:tcPr>
          <w:p>
            <w:pPr>
              <w:spacing w:after="0"/>
              <w:rPr>
                <w:sz w:val="18"/>
                <w:szCs w:val="18"/>
                <w:color w:val="auto"/>
              </w:rPr>
            </w:pPr>
          </w:p>
        </w:tc>
        <w:tc>
          <w:tcPr>
            <w:tcW w:w="78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166,817</w:t>
            </w:r>
          </w:p>
        </w:tc>
        <w:tc>
          <w:tcPr>
            <w:tcW w:w="100" w:type="dxa"/>
            <w:vAlign w:val="bottom"/>
            <w:tcBorders>
              <w:bottom w:val="single" w:sz="8" w:color="B2B2B2"/>
            </w:tcBorders>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right w:val="single" w:sz="8" w:color="B2B2B2"/>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(28,033)</w:t>
            </w:r>
          </w:p>
        </w:tc>
        <w:tc>
          <w:tcPr>
            <w:tcW w:w="220" w:type="dxa"/>
            <w:vAlign w:val="bottom"/>
            <w:tcBorders>
              <w:left w:val="single" w:sz="8" w:color="B2B2B2"/>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(44,966)</w:t>
            </w:r>
          </w:p>
        </w:tc>
        <w:tc>
          <w:tcPr>
            <w:tcW w:w="60" w:type="dxa"/>
            <w:vAlign w:val="bottom"/>
            <w:tcBorders>
              <w:left w:val="single" w:sz="8" w:color="B2B2B2"/>
              <w:bottom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266,911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B2B2B2"/>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20" w:type="dxa"/>
            <w:vAlign w:val="bottom"/>
            <w:tcBorders>
              <w:bottom w:val="single" w:sz="8" w:color="B2B2B2"/>
            </w:tcBorders>
            <w:shd w:val="clear" w:color="auto" w:fill="B2B2B2"/>
          </w:tcPr>
          <w:p>
            <w:pPr>
              <w:spacing w:after="0"/>
              <w:rPr>
                <w:sz w:val="18"/>
                <w:szCs w:val="18"/>
                <w:color w:val="auto"/>
              </w:rPr>
            </w:pPr>
          </w:p>
        </w:tc>
        <w:tc>
          <w:tcPr>
            <w:tcW w:w="440" w:type="dxa"/>
            <w:vAlign w:val="bottom"/>
            <w:tcBorders>
              <w:bottom w:val="single" w:sz="8" w:color="auto"/>
            </w:tcBorders>
            <w:shd w:val="clear" w:color="auto" w:fill="B2B2B2"/>
          </w:tcPr>
          <w:p>
            <w:pPr>
              <w:spacing w:after="0"/>
              <w:rPr>
                <w:sz w:val="18"/>
                <w:szCs w:val="18"/>
                <w:color w:val="auto"/>
              </w:rPr>
            </w:pPr>
          </w:p>
        </w:tc>
        <w:tc>
          <w:tcPr>
            <w:tcW w:w="160" w:type="dxa"/>
            <w:vAlign w:val="bottom"/>
            <w:tcBorders>
              <w:bottom w:val="single" w:sz="8" w:color="auto"/>
            </w:tcBorders>
            <w:shd w:val="clear" w:color="auto" w:fill="B2B2B2"/>
          </w:tcPr>
          <w:p>
            <w:pPr>
              <w:spacing w:after="0"/>
              <w:rPr>
                <w:sz w:val="18"/>
                <w:szCs w:val="18"/>
                <w:color w:val="auto"/>
              </w:rPr>
            </w:pPr>
          </w:p>
        </w:tc>
        <w:tc>
          <w:tcPr>
            <w:tcW w:w="78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20,255</w:t>
            </w:r>
          </w:p>
        </w:tc>
        <w:tc>
          <w:tcPr>
            <w:tcW w:w="100" w:type="dxa"/>
            <w:vAlign w:val="bottom"/>
            <w:tcBorders>
              <w:bottom w:val="single" w:sz="8" w:color="B2B2B2"/>
            </w:tcBorders>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right w:val="single" w:sz="8" w:color="B2B2B2"/>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70,936</w:t>
            </w:r>
          </w:p>
        </w:tc>
        <w:tc>
          <w:tcPr>
            <w:tcW w:w="220" w:type="dxa"/>
            <w:vAlign w:val="bottom"/>
            <w:tcBorders>
              <w:left w:val="single" w:sz="8" w:color="B2B2B2"/>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104,786</w:t>
            </w:r>
          </w:p>
        </w:tc>
        <w:tc>
          <w:tcPr>
            <w:tcW w:w="60" w:type="dxa"/>
            <w:vAlign w:val="bottom"/>
            <w:tcBorders>
              <w:left w:val="single" w:sz="8" w:color="B2B2B2"/>
              <w:bottom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6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287,166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44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78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900" w:type="dxa"/>
            <w:vAlign w:val="bottom"/>
            <w:tcBorders>
              <w:bottom w:val="single" w:sz="8" w:color="EEEEEE"/>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21</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FINANCIAL INFORMATION</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(Unaudited)</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9"/>
        </w:trPr>
        <w:tc>
          <w:tcPr>
            <w:tcW w:w="4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22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240" w:type="dxa"/>
            <w:vAlign w:val="bottom"/>
          </w:tcPr>
          <w:p>
            <w:pPr>
              <w:spacing w:after="0"/>
              <w:rPr>
                <w:sz w:val="24"/>
                <w:szCs w:val="24"/>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220" w:type="dxa"/>
            <w:vAlign w:val="bottom"/>
          </w:tcPr>
          <w:p>
            <w:pPr>
              <w:spacing w:after="0"/>
              <w:rPr>
                <w:sz w:val="24"/>
                <w:szCs w:val="24"/>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5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YTD</w:t>
            </w:r>
          </w:p>
        </w:tc>
      </w:tr>
      <w:tr>
        <w:trPr>
          <w:trHeight w:val="216"/>
        </w:trPr>
        <w:tc>
          <w:tcPr>
            <w:tcW w:w="44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2020</w:t>
            </w:r>
          </w:p>
        </w:tc>
        <w:tc>
          <w:tcPr>
            <w:tcW w:w="58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25,240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100,441</w:t>
            </w:r>
          </w:p>
        </w:tc>
        <w:tc>
          <w:tcPr>
            <w:tcW w:w="20" w:type="dxa"/>
            <w:vAlign w:val="bottom"/>
          </w:tcPr>
          <w:p>
            <w:pPr>
              <w:spacing w:after="0"/>
              <w:rPr>
                <w:sz w:val="18"/>
                <w:szCs w:val="18"/>
                <w:color w:val="auto"/>
              </w:rPr>
            </w:pPr>
          </w:p>
        </w:tc>
      </w:tr>
      <w:tr>
        <w:trPr>
          <w:trHeight w:val="216"/>
        </w:trPr>
        <w:tc>
          <w:tcPr>
            <w:tcW w:w="44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22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2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11,279</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12,428</w:t>
            </w:r>
          </w:p>
        </w:tc>
        <w:tc>
          <w:tcPr>
            <w:tcW w:w="38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47,687</w:t>
            </w:r>
          </w:p>
        </w:tc>
        <w:tc>
          <w:tcPr>
            <w:tcW w:w="20" w:type="dxa"/>
            <w:vAlign w:val="bottom"/>
            <w:shd w:val="clear" w:color="auto" w:fill="B2B2B2"/>
          </w:tcPr>
          <w:p>
            <w:pPr>
              <w:spacing w:after="0"/>
              <w:rPr>
                <w:sz w:val="18"/>
                <w:szCs w:val="18"/>
                <w:color w:val="auto"/>
              </w:rPr>
            </w:pPr>
          </w:p>
        </w:tc>
      </w:tr>
      <w:tr>
        <w:trPr>
          <w:trHeight w:val="216"/>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2,362</w:t>
            </w:r>
          </w:p>
        </w:tc>
        <w:tc>
          <w:tcPr>
            <w:tcW w:w="20" w:type="dxa"/>
            <w:vAlign w:val="bottom"/>
            <w:tcBorders>
              <w:bottom w:val="single" w:sz="8" w:color="auto"/>
            </w:tcBorders>
          </w:tcPr>
          <w:p>
            <w:pPr>
              <w:spacing w:after="0"/>
              <w:rPr>
                <w:sz w:val="18"/>
                <w:szCs w:val="18"/>
                <w:color w:val="auto"/>
              </w:rPr>
            </w:pPr>
          </w:p>
        </w:tc>
      </w:tr>
      <w:tr>
        <w:trPr>
          <w:trHeight w:val="209"/>
        </w:trPr>
        <w:tc>
          <w:tcPr>
            <w:tcW w:w="444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Net interest income</w:t>
            </w:r>
          </w:p>
        </w:tc>
        <w:tc>
          <w:tcPr>
            <w:tcW w:w="58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22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11,161</w:t>
            </w:r>
          </w:p>
        </w:tc>
        <w:tc>
          <w:tcPr>
            <w:tcW w:w="2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10,814</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11,977</w:t>
            </w:r>
          </w:p>
        </w:tc>
        <w:tc>
          <w:tcPr>
            <w:tcW w:w="38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45,325</w:t>
            </w:r>
          </w:p>
        </w:tc>
        <w:tc>
          <w:tcPr>
            <w:tcW w:w="20" w:type="dxa"/>
            <w:vAlign w:val="bottom"/>
            <w:shd w:val="clear" w:color="auto" w:fill="B2B2B2"/>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credit/loan losses</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810</w:t>
            </w:r>
          </w:p>
        </w:tc>
        <w:tc>
          <w:tcPr>
            <w:tcW w:w="20" w:type="dxa"/>
            <w:vAlign w:val="bottom"/>
          </w:tcPr>
          <w:p>
            <w:pPr>
              <w:spacing w:after="0"/>
              <w:rPr>
                <w:sz w:val="18"/>
                <w:szCs w:val="18"/>
                <w:color w:val="auto"/>
              </w:rPr>
            </w:pPr>
          </w:p>
        </w:tc>
      </w:tr>
      <w:tr>
        <w:trPr>
          <w:trHeight w:val="216"/>
        </w:trPr>
        <w:tc>
          <w:tcPr>
            <w:tcW w:w="44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58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28,929</w:t>
            </w:r>
          </w:p>
        </w:tc>
        <w:tc>
          <w:tcPr>
            <w:tcW w:w="22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27,357</w:t>
            </w:r>
          </w:p>
        </w:tc>
        <w:tc>
          <w:tcPr>
            <w:tcW w:w="2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28,680</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29,649</w:t>
            </w:r>
          </w:p>
        </w:tc>
        <w:tc>
          <w:tcPr>
            <w:tcW w:w="38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114,615</w:t>
            </w:r>
          </w:p>
        </w:tc>
        <w:tc>
          <w:tcPr>
            <w:tcW w:w="20" w:type="dxa"/>
            <w:vAlign w:val="bottom"/>
            <w:shd w:val="clear" w:color="auto" w:fill="B2B2B2"/>
          </w:tcPr>
          <w:p>
            <w:pPr>
              <w:spacing w:after="0"/>
              <w:rPr>
                <w:sz w:val="18"/>
                <w:szCs w:val="18"/>
                <w:color w:val="auto"/>
              </w:rPr>
            </w:pPr>
          </w:p>
        </w:tc>
      </w:tr>
      <w:tr>
        <w:trPr>
          <w:trHeight w:val="216"/>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1,072</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5,165</w:t>
            </w:r>
          </w:p>
        </w:tc>
        <w:tc>
          <w:tcPr>
            <w:tcW w:w="20" w:type="dxa"/>
            <w:vAlign w:val="bottom"/>
            <w:tcBorders>
              <w:bottom w:val="single" w:sz="8" w:color="auto"/>
            </w:tcBorders>
          </w:tcPr>
          <w:p>
            <w:pPr>
              <w:spacing w:after="0"/>
              <w:rPr>
                <w:sz w:val="18"/>
                <w:szCs w:val="18"/>
                <w:color w:val="auto"/>
              </w:rPr>
            </w:pPr>
          </w:p>
        </w:tc>
      </w:tr>
      <w:tr>
        <w:trPr>
          <w:trHeight w:val="217"/>
        </w:trPr>
        <w:tc>
          <w:tcPr>
            <w:tcW w:w="444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2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24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2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6,411</w:t>
            </w:r>
          </w:p>
        </w:tc>
        <w:tc>
          <w:tcPr>
            <w:tcW w:w="380" w:type="dxa"/>
            <w:vAlign w:val="bottom"/>
            <w:tcBorders>
              <w:bottom w:val="single" w:sz="8" w:color="auto"/>
            </w:tcBorders>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25,176</w:t>
            </w:r>
          </w:p>
        </w:tc>
        <w:tc>
          <w:tcPr>
            <w:tcW w:w="20" w:type="dxa"/>
            <w:vAlign w:val="bottom"/>
            <w:tcBorders>
              <w:bottom w:val="single" w:sz="8" w:color="auto"/>
            </w:tcBorders>
            <w:shd w:val="clear" w:color="auto" w:fill="B2B2B2"/>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5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shd w:val="clear" w:color="auto" w:fill="B2B2B2"/>
          </w:tcPr>
          <w:p>
            <w:pPr>
              <w:spacing w:after="0"/>
              <w:rPr>
                <w:sz w:val="18"/>
                <w:szCs w:val="18"/>
                <w:color w:val="auto"/>
              </w:rPr>
            </w:pPr>
          </w:p>
        </w:tc>
      </w:tr>
      <w:tr>
        <w:trPr>
          <w:trHeight w:val="223"/>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Borders>
              <w:bottom w:val="single" w:sz="8" w:color="auto"/>
            </w:tcBorders>
          </w:tcPr>
          <w:p>
            <w:pPr>
              <w:spacing w:after="0"/>
              <w:rPr>
                <w:sz w:val="19"/>
                <w:szCs w:val="19"/>
                <w:color w:val="auto"/>
              </w:rPr>
            </w:pPr>
          </w:p>
        </w:tc>
      </w:tr>
      <w:tr>
        <w:trPr>
          <w:trHeight w:val="216"/>
        </w:trPr>
        <w:tc>
          <w:tcPr>
            <w:tcW w:w="44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2019</w:t>
            </w:r>
          </w:p>
        </w:tc>
        <w:tc>
          <w:tcPr>
            <w:tcW w:w="58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27,372</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27,422</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110,069</w:t>
            </w:r>
          </w:p>
        </w:tc>
        <w:tc>
          <w:tcPr>
            <w:tcW w:w="20" w:type="dxa"/>
            <w:vAlign w:val="bottom"/>
          </w:tcPr>
          <w:p>
            <w:pPr>
              <w:spacing w:after="0"/>
              <w:rPr>
                <w:sz w:val="18"/>
                <w:szCs w:val="18"/>
                <w:color w:val="auto"/>
              </w:rPr>
            </w:pPr>
          </w:p>
        </w:tc>
      </w:tr>
      <w:tr>
        <w:trPr>
          <w:trHeight w:val="216"/>
        </w:trPr>
        <w:tc>
          <w:tcPr>
            <w:tcW w:w="44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22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13,327</w:t>
            </w:r>
          </w:p>
        </w:tc>
        <w:tc>
          <w:tcPr>
            <w:tcW w:w="2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12,719</w:t>
            </w:r>
          </w:p>
        </w:tc>
        <w:tc>
          <w:tcPr>
            <w:tcW w:w="38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52,609</w:t>
            </w:r>
          </w:p>
        </w:tc>
        <w:tc>
          <w:tcPr>
            <w:tcW w:w="20" w:type="dxa"/>
            <w:vAlign w:val="bottom"/>
            <w:shd w:val="clear" w:color="auto" w:fill="B2B2B2"/>
          </w:tcPr>
          <w:p>
            <w:pPr>
              <w:spacing w:after="0"/>
              <w:rPr>
                <w:sz w:val="18"/>
                <w:szCs w:val="18"/>
                <w:color w:val="auto"/>
              </w:rPr>
            </w:pPr>
          </w:p>
        </w:tc>
      </w:tr>
      <w:tr>
        <w:trPr>
          <w:trHeight w:val="216"/>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1,206</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5,193</w:t>
            </w:r>
          </w:p>
        </w:tc>
        <w:tc>
          <w:tcPr>
            <w:tcW w:w="20" w:type="dxa"/>
            <w:vAlign w:val="bottom"/>
            <w:tcBorders>
              <w:bottom w:val="single" w:sz="8" w:color="auto"/>
            </w:tcBorders>
          </w:tcPr>
          <w:p>
            <w:pPr>
              <w:spacing w:after="0"/>
              <w:rPr>
                <w:sz w:val="18"/>
                <w:szCs w:val="18"/>
                <w:color w:val="auto"/>
              </w:rPr>
            </w:pPr>
          </w:p>
        </w:tc>
      </w:tr>
      <w:tr>
        <w:trPr>
          <w:trHeight w:val="209"/>
        </w:trPr>
        <w:tc>
          <w:tcPr>
            <w:tcW w:w="4440" w:type="dxa"/>
            <w:vAlign w:val="bottom"/>
            <w:shd w:val="clear" w:color="auto" w:fill="B2B2B2"/>
          </w:tcPr>
          <w:p>
            <w:pPr>
              <w:ind w:left="280"/>
              <w:spacing w:after="0"/>
              <w:rPr>
                <w:sz w:val="20"/>
                <w:szCs w:val="20"/>
                <w:color w:val="auto"/>
              </w:rPr>
            </w:pPr>
            <w:r>
              <w:rPr>
                <w:rFonts w:ascii="Times New Roman" w:cs="Times New Roman" w:eastAsia="Times New Roman" w:hAnsi="Times New Roman"/>
                <w:sz w:val="18"/>
                <w:szCs w:val="18"/>
                <w:color w:val="auto"/>
              </w:rPr>
              <w:t>Net interest income</w:t>
            </w:r>
          </w:p>
        </w:tc>
        <w:tc>
          <w:tcPr>
            <w:tcW w:w="58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22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2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11,513</w:t>
            </w:r>
          </w:p>
        </w:tc>
        <w:tc>
          <w:tcPr>
            <w:tcW w:w="38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47,416</w:t>
            </w:r>
          </w:p>
        </w:tc>
        <w:tc>
          <w:tcPr>
            <w:tcW w:w="20" w:type="dxa"/>
            <w:vAlign w:val="bottom"/>
            <w:shd w:val="clear" w:color="auto" w:fill="B2B2B2"/>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credit/loan losses</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8"/>
                <w:szCs w:val="18"/>
                <w:color w:val="auto"/>
              </w:rPr>
            </w:pPr>
          </w:p>
        </w:tc>
      </w:tr>
      <w:tr>
        <w:trPr>
          <w:trHeight w:val="216"/>
        </w:trPr>
        <w:tc>
          <w:tcPr>
            <w:tcW w:w="44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58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28,462</w:t>
            </w:r>
          </w:p>
        </w:tc>
        <w:tc>
          <w:tcPr>
            <w:tcW w:w="22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29,971</w:t>
            </w:r>
          </w:p>
        </w:tc>
        <w:tc>
          <w:tcPr>
            <w:tcW w:w="2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30,563</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30,773</w:t>
            </w:r>
          </w:p>
        </w:tc>
        <w:tc>
          <w:tcPr>
            <w:tcW w:w="38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119,769</w:t>
            </w:r>
          </w:p>
        </w:tc>
        <w:tc>
          <w:tcPr>
            <w:tcW w:w="20" w:type="dxa"/>
            <w:vAlign w:val="bottom"/>
            <w:shd w:val="clear" w:color="auto" w:fill="B2B2B2"/>
          </w:tcPr>
          <w:p>
            <w:pPr>
              <w:spacing w:after="0"/>
              <w:rPr>
                <w:sz w:val="18"/>
                <w:szCs w:val="18"/>
                <w:color w:val="auto"/>
              </w:rPr>
            </w:pPr>
          </w:p>
        </w:tc>
      </w:tr>
      <w:tr>
        <w:trPr>
          <w:trHeight w:val="216"/>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1,791</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7,062</w:t>
            </w:r>
          </w:p>
        </w:tc>
        <w:tc>
          <w:tcPr>
            <w:tcW w:w="20" w:type="dxa"/>
            <w:vAlign w:val="bottom"/>
            <w:tcBorders>
              <w:bottom w:val="single" w:sz="8" w:color="auto"/>
            </w:tcBorders>
          </w:tcPr>
          <w:p>
            <w:pPr>
              <w:spacing w:after="0"/>
              <w:rPr>
                <w:sz w:val="18"/>
                <w:szCs w:val="18"/>
                <w:color w:val="auto"/>
              </w:rPr>
            </w:pPr>
          </w:p>
        </w:tc>
      </w:tr>
      <w:tr>
        <w:trPr>
          <w:trHeight w:val="216"/>
        </w:trPr>
        <w:tc>
          <w:tcPr>
            <w:tcW w:w="444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8,163</w:t>
            </w:r>
          </w:p>
        </w:tc>
        <w:tc>
          <w:tcPr>
            <w:tcW w:w="2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24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22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6,371</w:t>
            </w:r>
          </w:p>
        </w:tc>
        <w:tc>
          <w:tcPr>
            <w:tcW w:w="380" w:type="dxa"/>
            <w:vAlign w:val="bottom"/>
            <w:tcBorders>
              <w:bottom w:val="single" w:sz="8" w:color="auto"/>
            </w:tcBorders>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30,404</w:t>
            </w:r>
          </w:p>
        </w:tc>
        <w:tc>
          <w:tcPr>
            <w:tcW w:w="20" w:type="dxa"/>
            <w:vAlign w:val="bottom"/>
            <w:tcBorders>
              <w:bottom w:val="single" w:sz="8" w:color="auto"/>
            </w:tcBorders>
            <w:shd w:val="clear" w:color="auto" w:fill="B2B2B2"/>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40" w:type="dxa"/>
            <w:vAlign w:val="bottom"/>
            <w:shd w:val="clear" w:color="auto" w:fill="B2B2B2"/>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58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shd w:val="clear" w:color="auto" w:fill="B2B2B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2B2B2"/>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shd w:val="clear" w:color="auto" w:fill="B2B2B2"/>
          </w:tcPr>
          <w:p>
            <w:pPr>
              <w:spacing w:after="0"/>
              <w:rPr>
                <w:sz w:val="18"/>
                <w:szCs w:val="18"/>
                <w:color w:val="auto"/>
              </w:rPr>
            </w:pPr>
          </w:p>
        </w:tc>
      </w:tr>
      <w:tr>
        <w:trPr>
          <w:trHeight w:val="223"/>
        </w:trPr>
        <w:tc>
          <w:tcPr>
            <w:tcW w:w="44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Diluted earnings per share</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2.07</w:t>
            </w:r>
          </w:p>
        </w:tc>
        <w:tc>
          <w:tcPr>
            <w:tcW w:w="20" w:type="dxa"/>
            <w:vAlign w:val="bottom"/>
            <w:tcBorders>
              <w:bottom w:val="single" w:sz="8" w:color="auto"/>
            </w:tcBorders>
          </w:tcPr>
          <w:p>
            <w:pPr>
              <w:spacing w:after="0"/>
              <w:rPr>
                <w:sz w:val="19"/>
                <w:szCs w:val="19"/>
                <w:color w:val="auto"/>
              </w:rPr>
            </w:pPr>
          </w:p>
        </w:tc>
      </w:tr>
      <w:tr>
        <w:trPr>
          <w:trHeight w:val="432"/>
        </w:trPr>
        <w:tc>
          <w:tcPr>
            <w:tcW w:w="4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440" w:type="dxa"/>
            <w:vAlign w:val="bottom"/>
            <w:tcBorders>
              <w:bottom w:val="single" w:sz="8" w:color="EEEEEE"/>
            </w:tcBorders>
          </w:tcPr>
          <w:p>
            <w:pPr>
              <w:spacing w:after="0"/>
              <w:rPr>
                <w:sz w:val="18"/>
                <w:szCs w:val="18"/>
                <w:color w:val="auto"/>
              </w:rPr>
            </w:pPr>
          </w:p>
        </w:tc>
        <w:tc>
          <w:tcPr>
            <w:tcW w:w="580" w:type="dxa"/>
            <w:vAlign w:val="bottom"/>
            <w:tcBorders>
              <w:bottom w:val="single" w:sz="8" w:color="EEEEEE"/>
            </w:tcBorders>
          </w:tcPr>
          <w:p>
            <w:pPr>
              <w:spacing w:after="0"/>
              <w:rPr>
                <w:sz w:val="18"/>
                <w:szCs w:val="18"/>
                <w:color w:val="auto"/>
              </w:rPr>
            </w:pPr>
          </w:p>
        </w:tc>
        <w:tc>
          <w:tcPr>
            <w:tcW w:w="102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02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102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080" w:type="dxa"/>
            <w:vAlign w:val="bottom"/>
            <w:tcBorders>
              <w:bottom w:val="single" w:sz="8" w:color="EEEEEE"/>
            </w:tcBorders>
          </w:tcPr>
          <w:p>
            <w:pPr>
              <w:spacing w:after="0"/>
              <w:rPr>
                <w:sz w:val="18"/>
                <w:szCs w:val="18"/>
                <w:color w:val="auto"/>
              </w:rPr>
            </w:pPr>
          </w:p>
        </w:tc>
        <w:tc>
          <w:tcPr>
            <w:tcW w:w="38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Cass Information Systems,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Cass Information Systems, Inc. and subsidiaries (the Company) as of December 31, 2020 and 2019, the related consolidated statements of income, comprehensive income, cash flows, and shareholders’ equity for each of the years in the three 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 year period ended December 31, 2020, in conformity with U.S. generally accepted accounting principles.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 – Integrated Framework (2013) issued by the Committee of Sponsoring Organizations of the Treadway Commission, and our report dated February 26, 2021 expressed an unqualified opinion on the effectiveness of the Company’s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Standard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adopted ASU No. 2016-13, Financial Instruments – Credit Losses (ASC Topic 326) effective as of January 1, 2020. As explained below, auditing the Company’s allowance for credit losses on loans, including adoption of the new accounting guidance related to the estimate of allowance for credit losses on loans, was a critical audit matter.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Assessment of the allowance for credit losses on loans evaluated on a collective basis</w:t>
      </w:r>
    </w:p>
    <w:p>
      <w:pPr>
        <w:spacing w:after="0" w:line="214" w:lineRule="exact"/>
        <w:rPr>
          <w:sz w:val="20"/>
          <w:szCs w:val="20"/>
          <w:color w:val="auto"/>
        </w:rPr>
      </w:pPr>
    </w:p>
    <w:p>
      <w:pPr>
        <w:jc w:val="both"/>
        <w:ind w:left="280"/>
        <w:spacing w:after="0" w:line="254"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adopted ASU No. 2016-13, Financial Instruments — Credit Losses (ASC Topic 326) (“ASU 2016-13”), as of December 31, 2020 with an effective date of January 1, 2020. The total allowance for credit losses on loans as of January 1, 2020 was $11.3 million, of which $11.3 million related to the allowance for credit losses on loans evaluated on a collective basis (the January 1, 2020 collective ACL). As discussed in Notes 1 and 4 to the consolidated financial statements, the Company’s allowance for credit losses on loans collectively evaluated for impairment as of December 31, 2020 was $11.9 million, of which $11.4 million was related to the allowance for credit losses on loans evaluated on a collective basis (the December 31, 2020 collective ACL). The January 1, 2020 collective ACL and December 31, 2020 collective ACL (together, the “collective ACL”) include the measure of expected credit losses on a collective (pooled) basis for those loans and leases that share similar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2" w:lineRule="exact"/>
        <w:rPr>
          <w:sz w:val="20"/>
          <w:szCs w:val="20"/>
          <w:color w:val="auto"/>
        </w:rPr>
      </w:pPr>
    </w:p>
    <w:p>
      <w:pPr>
        <w:jc w:val="both"/>
        <w:ind w:left="280"/>
        <w:spacing w:after="0" w:line="255" w:lineRule="auto"/>
        <w:rPr>
          <w:sz w:val="20"/>
          <w:szCs w:val="20"/>
          <w:color w:val="auto"/>
        </w:rPr>
      </w:pPr>
      <w:r>
        <w:rPr>
          <w:rFonts w:ascii="Times New Roman" w:cs="Times New Roman" w:eastAsia="Times New Roman" w:hAnsi="Times New Roman"/>
          <w:sz w:val="18"/>
          <w:szCs w:val="18"/>
          <w:color w:val="auto"/>
        </w:rPr>
        <w:t>risk characteristics. The Company estimated the collective ACL using a weighted-average remaining maturity (“WARM”) model that utilizes an attrition analysis to determine expected annual remaining loan balance, including events such as payoffs, matured loans, and renewals in the borrowers’ control to anticipate the length of time it would take for each portfolio segment to runoff. The Company applies its historical loss rates for each portfolio segment to the resulting balances. Management then incorporates a reasonable and supportable forecast into the WARM model a one year single economic forecast scenario of GDP, and subsequent to the reasonable and supportable forecast period an immediate reversion to the Company’s historical loss rates for faith-based commercial real estate loans and to peer historical loss rates for the remaining segments. Additionally, the collective ACL includes subjective qualitative risk factors that are likely to cause estimated credit losses to differ from historical experience.</w:t>
      </w:r>
    </w:p>
    <w:p>
      <w:pPr>
        <w:spacing w:after="0" w:line="162" w:lineRule="exact"/>
        <w:rPr>
          <w:sz w:val="20"/>
          <w:szCs w:val="20"/>
          <w:color w:val="auto"/>
        </w:rPr>
      </w:pPr>
    </w:p>
    <w:p>
      <w:pPr>
        <w:jc w:val="both"/>
        <w:ind w:left="280"/>
        <w:spacing w:after="0" w:line="254" w:lineRule="auto"/>
        <w:rPr>
          <w:sz w:val="20"/>
          <w:szCs w:val="20"/>
          <w:color w:val="auto"/>
        </w:rPr>
      </w:pPr>
      <w:r>
        <w:rPr>
          <w:rFonts w:ascii="Times New Roman" w:cs="Times New Roman" w:eastAsia="Times New Roman" w:hAnsi="Times New Roman"/>
          <w:sz w:val="18"/>
          <w:szCs w:val="18"/>
          <w:color w:val="auto"/>
        </w:rPr>
        <w:t>We identified the assessment of the January 1, 2020 collective ACL and the December 31, 2020 collective ACL as a critical audit matter. A high degree of audit effort, including specialized skills and knowledge, and subjective and complex auditor judgment was involved in the assessment due to significant measurement uncertainty. Specifically, the assessment encompassed the evaluation of the collective ACL methodology, including the WARM model and its significant assumptions: portfolio segmentation, the GDP forecast scenario, the reasonable and supportable forecast period, the composition of the peer group, and the historical credit loss experience of the Company and the peer group. In addition, the assessment included the evaluation of qualitative risk factors. Such significant assumptions and qualitative risk factors are sensitive to variation, such that minor changes in the assumption can cause significant changes in the estimates. The assessment also included an evaluation of the conceptual soundness and performance of the WARM model. In addition, auditor judgment was required to evaluate the sufficiency of the audit evidence obtained.</w:t>
      </w:r>
    </w:p>
    <w:p>
      <w:pPr>
        <w:spacing w:after="0" w:line="178" w:lineRule="exact"/>
        <w:rPr>
          <w:sz w:val="20"/>
          <w:szCs w:val="20"/>
          <w:color w:val="auto"/>
        </w:rPr>
      </w:pPr>
    </w:p>
    <w:p>
      <w:pPr>
        <w:jc w:val="both"/>
        <w:ind w:left="280" w:right="20"/>
        <w:spacing w:after="0" w:line="26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measurement of the collective ACL estimates, including controls over the:</w:t>
      </w:r>
    </w:p>
    <w:p>
      <w:pPr>
        <w:ind w:left="340"/>
        <w:spacing w:after="0" w:line="180" w:lineRule="auto"/>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 xml:space="preserve">  development of the collective ACL methodology</w:t>
      </w:r>
    </w:p>
    <w:p>
      <w:pPr>
        <w:ind w:left="340"/>
        <w:spacing w:after="0"/>
        <w:rPr>
          <w:sz w:val="20"/>
          <w:szCs w:val="20"/>
          <w:color w:val="auto"/>
        </w:rPr>
      </w:pPr>
      <w:r>
        <w:rPr>
          <w:rFonts w:ascii="Times New Roman" w:cs="Times New Roman" w:eastAsia="Times New Roman" w:hAnsi="Times New Roman"/>
          <w:sz w:val="18"/>
          <w:szCs w:val="18"/>
          <w:color w:val="auto"/>
        </w:rPr>
        <w:t>–  development of the WARM model</w:t>
      </w:r>
    </w:p>
    <w:p>
      <w:pPr>
        <w:spacing w:after="0" w:line="7" w:lineRule="exact"/>
        <w:rPr>
          <w:sz w:val="20"/>
          <w:szCs w:val="20"/>
          <w:color w:val="auto"/>
        </w:rPr>
      </w:pPr>
    </w:p>
    <w:p>
      <w:pPr>
        <w:ind w:left="340"/>
        <w:spacing w:after="0" w:line="183" w:lineRule="auto"/>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identification and determination of the significant assumptions used in the WARM model</w:t>
      </w:r>
    </w:p>
    <w:p>
      <w:pPr>
        <w:ind w:left="340"/>
        <w:spacing w:after="0" w:line="181"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development of the qualitative framework, including the judgments used in the measurement of the qualitative factors</w:t>
      </w:r>
    </w:p>
    <w:p>
      <w:pPr>
        <w:ind w:left="340"/>
        <w:spacing w:after="0"/>
        <w:rPr>
          <w:sz w:val="20"/>
          <w:szCs w:val="20"/>
          <w:color w:val="auto"/>
        </w:rPr>
      </w:pPr>
      <w:r>
        <w:rPr>
          <w:rFonts w:ascii="Times New Roman" w:cs="Times New Roman" w:eastAsia="Times New Roman" w:hAnsi="Times New Roman"/>
          <w:sz w:val="18"/>
          <w:szCs w:val="18"/>
          <w:color w:val="auto"/>
        </w:rPr>
        <w:t>–  analysis of the collective ACL results, trends, and ratios.</w:t>
      </w:r>
    </w:p>
    <w:p>
      <w:pPr>
        <w:spacing w:after="0" w:line="192" w:lineRule="exact"/>
        <w:rPr>
          <w:sz w:val="20"/>
          <w:szCs w:val="20"/>
          <w:color w:val="auto"/>
        </w:rPr>
      </w:pPr>
    </w:p>
    <w:p>
      <w:pPr>
        <w:jc w:val="both"/>
        <w:ind w:left="280"/>
        <w:spacing w:after="0" w:line="257" w:lineRule="auto"/>
        <w:rPr>
          <w:sz w:val="20"/>
          <w:szCs w:val="20"/>
          <w:color w:val="auto"/>
        </w:rPr>
      </w:pPr>
      <w:r>
        <w:rPr>
          <w:rFonts w:ascii="Times New Roman" w:cs="Times New Roman" w:eastAsia="Times New Roman" w:hAnsi="Times New Roman"/>
          <w:sz w:val="18"/>
          <w:szCs w:val="18"/>
          <w:color w:val="auto"/>
        </w:rPr>
        <w:t>We evaluated the Company’s process to develop the collective ACL estimates by testing certain sources of data, factors, and assumptions that the Company used, and considered the relevance and reliability of such data, factors, and assumptions. In addition, we involved credit risk professionals with specialized skills and knowledge, who assisted in:</w:t>
      </w:r>
    </w:p>
    <w:p>
      <w:pPr>
        <w:ind w:left="340"/>
        <w:spacing w:after="0" w:line="181" w:lineRule="auto"/>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 xml:space="preserve">  evaluating the Company’s collective ACL methodology for compliance with U.S. generally accepted accounting principles</w:t>
      </w:r>
    </w:p>
    <w:p>
      <w:pPr>
        <w:ind w:left="580" w:hanging="252"/>
        <w:spacing w:after="0" w:line="249" w:lineRule="auto"/>
        <w:rPr>
          <w:sz w:val="20"/>
          <w:szCs w:val="20"/>
          <w:color w:val="auto"/>
        </w:rPr>
      </w:pPr>
      <w:r>
        <w:rPr>
          <w:rFonts w:ascii="Times New Roman" w:cs="Times New Roman" w:eastAsia="Times New Roman" w:hAnsi="Times New Roman"/>
          <w:sz w:val="18"/>
          <w:szCs w:val="18"/>
          <w:color w:val="auto"/>
        </w:rPr>
        <w:t>– evaluating judgments made by the Company relative to the development of the WARM model by comparing it to relevant Company-specific metrics and trends and the applicable industry and regulatory practices</w:t>
      </w:r>
    </w:p>
    <w:p>
      <w:pPr>
        <w:ind w:left="580" w:hanging="252"/>
        <w:spacing w:after="0" w:line="186"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assessing the conceptual soundness of the WARM model by inspecting the model documentation to determine whether the model is suitable for its intended use</w:t>
      </w:r>
    </w:p>
    <w:p>
      <w:pPr>
        <w:ind w:left="580" w:right="20" w:hanging="252"/>
        <w:spacing w:after="0" w:line="186"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evaluating the determination of the single economic forecast scenario of GDP and underlying assumptions by comparing it to the Company’s business environment and relevant industry practices</w:t>
      </w:r>
    </w:p>
    <w:p>
      <w:pPr>
        <w:ind w:left="340"/>
        <w:spacing w:after="0"/>
        <w:rPr>
          <w:sz w:val="20"/>
          <w:szCs w:val="20"/>
          <w:color w:val="auto"/>
        </w:rPr>
      </w:pPr>
      <w:r>
        <w:rPr>
          <w:rFonts w:ascii="Times New Roman" w:cs="Times New Roman" w:eastAsia="Times New Roman" w:hAnsi="Times New Roman"/>
          <w:sz w:val="18"/>
          <w:szCs w:val="18"/>
          <w:color w:val="auto"/>
        </w:rPr>
        <w:t>–  assessing the economic forecast scenario of GDP through comparison to publicly available forecasts</w:t>
      </w:r>
    </w:p>
    <w:p>
      <w:pPr>
        <w:spacing w:after="0" w:line="36" w:lineRule="exact"/>
        <w:rPr>
          <w:sz w:val="20"/>
          <w:szCs w:val="20"/>
          <w:color w:val="auto"/>
        </w:rPr>
      </w:pPr>
    </w:p>
    <w:p>
      <w:pPr>
        <w:ind w:left="580" w:hanging="252"/>
        <w:spacing w:after="0" w:line="186"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evaluating the length of the historical observation period of peer group data and reasonable and supportable forecast period by comparing them to specific portfolio risk characteristics and trends</w:t>
      </w:r>
    </w:p>
    <w:p>
      <w:pPr>
        <w:ind w:left="580" w:hanging="252"/>
        <w:spacing w:after="0" w:line="186"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determining whether the loan portfolio is segmented by similar risk characteristics by comparing to the Company’s business environment and relevant industry practices</w:t>
      </w:r>
    </w:p>
    <w:p>
      <w:pPr>
        <w:ind w:left="340"/>
        <w:spacing w:after="0"/>
        <w:rPr>
          <w:sz w:val="20"/>
          <w:szCs w:val="20"/>
          <w:color w:val="auto"/>
        </w:rPr>
      </w:pPr>
      <w:r>
        <w:rPr>
          <w:rFonts w:ascii="Times New Roman" w:cs="Times New Roman" w:eastAsia="Times New Roman" w:hAnsi="Times New Roman"/>
          <w:sz w:val="18"/>
          <w:szCs w:val="18"/>
          <w:color w:val="auto"/>
        </w:rPr>
        <w:t>–  assessing the composition of the peer group by comparing to specific portfolio risk characteristics</w:t>
      </w:r>
    </w:p>
    <w:p>
      <w:pPr>
        <w:spacing w:after="0" w:line="36" w:lineRule="exact"/>
        <w:rPr>
          <w:sz w:val="20"/>
          <w:szCs w:val="20"/>
          <w:color w:val="auto"/>
        </w:rPr>
      </w:pPr>
    </w:p>
    <w:p>
      <w:pPr>
        <w:ind w:left="580" w:hanging="252"/>
        <w:spacing w:after="0" w:line="186"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evaluating the qualitative framework used to develop the qualitative risk factors and the effect of those factors on the collective ACL compared with relevant credit risk factors and consistency with credit trends and identified limitations of the underlying quantitative models.</w:t>
      </w:r>
    </w:p>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We also assessed the sufficiency of the audit evidence obtained related to the January 1, 2020 collective ACL and the December 31, 2020 collective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ACL by evaluating the:</w:t>
      </w:r>
    </w:p>
    <w:p>
      <w:pPr>
        <w:ind w:left="340"/>
        <w:spacing w:after="0" w:line="180" w:lineRule="auto"/>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cumulative results of the audit procedures</w:t>
      </w:r>
    </w:p>
    <w:p>
      <w:pPr>
        <w:ind w:left="340"/>
        <w:spacing w:after="0"/>
        <w:rPr>
          <w:sz w:val="20"/>
          <w:szCs w:val="20"/>
          <w:color w:val="auto"/>
        </w:rPr>
      </w:pPr>
      <w:r>
        <w:rPr>
          <w:rFonts w:ascii="Times New Roman" w:cs="Times New Roman" w:eastAsia="Times New Roman" w:hAnsi="Times New Roman"/>
          <w:sz w:val="18"/>
          <w:szCs w:val="18"/>
          <w:color w:val="auto"/>
        </w:rPr>
        <w:t>–  qualitative aspects of the Company’s accounting practices</w:t>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potential bias in the accounting estimates.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2021</w:t>
      </w:r>
    </w:p>
    <w:p>
      <w:pPr>
        <w:sectPr>
          <w:pgSz w:w="11900" w:h="16838" w:orient="portrait"/>
          <w:cols w:equalWidth="0" w:num="1">
            <w:col w:w="11240"/>
          </w:cols>
          <w:pgMar w:left="320" w:top="293"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u w:val="single" w:color="auto"/>
          <w:color w:val="auto"/>
        </w:rPr>
        <w:t>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Rules 13a-15(e) and 15d-15(e) under the Securities Exchange Act of 1934, as amended (the “Exchange Act”), as of December 31, 2020. Based on this evaluation, our principal executive officer and our principal financial officer concluded that our disclosure controls and procedures were effective as of December 31,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All internal control systems, no matter how well designed, have inherent limitations. Therefore, even those systems determined to be effective can provide only reasonable assurance with respect to financial statement preparation and presentations.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Based on our evaluation under this framework,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concluded that our internal control over financial reporting was effective as of December 31, 2020.</w:t>
      </w:r>
    </w:p>
    <w:p>
      <w:pPr>
        <w:spacing w:after="0" w:line="1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not been changes in our internal control over financial reporting that occurred during our fourth fiscal quarter that have materially affected or are reasonably likely to materially affect our internal control over financial reporting.</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2020 has been audited by KPMG LLP, our independent registered public accounting firm. KPMG LLP’s report, which expresses an unqualified opinion on the effectiveness of our internal control over financial reporting as of December 31, 2020, is included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Cass Information Systems,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Cass Information Systems, Inc. and subsidiaries’ (the Company)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income, comprehensive income, cash flows, and shareholders’ equity for each of the years in the three-year period ended December 31, 2020, and the related notes (collectively, the consolidated financial statements), and our report dated February 26, 2021 expressed an unqualified opinion on those consolidated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u w:val="single" w:color="auto"/>
          <w:color w:val="auto"/>
        </w:rPr>
        <w:t>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293" w:right="1440"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u w:val="single" w:color="auto"/>
          <w:color w:val="auto"/>
        </w:rPr>
        <w:t>DIRECTORS, EXECUTIVE OFFICERS AND CORPORATE GOVERNANCE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information required by this Item 10 is incorporated herein by reference to the following sections of the Company’s definitive Proxy Statement for its 2021 Annual Meeting of Shareholders (“2021 Proxy Statement”), a copy of which will be filed with the SEC no later than 120 days after the close of the fiscal year: “Election of Directors – Proposal 1,” “Executive Compensation and Related Information,” and “Beneficial Ownership of Securities.”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a Code of Conduct and Business Ethics policy, applicable to all Company directors, executive officers and employees. The policy is publicly available and can be viewed on the Company’s website at www.cassinfo.com. The Company intends to satisfy the disclosure requirement under Item 5.05 of Form 8-K regarding the amendment to, or a waiver of, a provision of this policy that applies to the Company’s principal executive officer, principal financial officer, principal accounting officer or controller, or persons performing similar functions, and that relates to any element of the code of ethics definition enumerated in Item 406(b) of Regulation S-K by posting such information on its website.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to the procedures by which shareholders may recommend nominees to the Board during the fourth quarter of fiscal 2020.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u w:val="single" w:color="auto"/>
          <w:color w:val="auto"/>
        </w:rPr>
        <w:t>EXECUTIVE COMPENSATION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information required pursuant to this Item 11 is incorporated herein by reference to the sections entitled “Election of Directors – Proposal 1” and “Executive Compensation and Related Information” of the Company’s 2021 Proxy Statement, a copy of which will be filed with the SEC no later than 120 days after the close of the fiscal year.</w:t>
      </w:r>
    </w:p>
    <w:p>
      <w:pPr>
        <w:spacing w:after="0" w:line="64" w:lineRule="exact"/>
        <w:rPr>
          <w:sz w:val="20"/>
          <w:szCs w:val="20"/>
          <w:color w:val="auto"/>
        </w:rPr>
      </w:pPr>
    </w:p>
    <w:p>
      <w:pPr>
        <w:jc w:val="both"/>
        <w:ind w:left="860" w:hanging="84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u w:val="single" w:color="auto"/>
          <w:color w:val="auto"/>
        </w:rPr>
        <w:t>SECURITY OWNERSHIP OF CERTAIN BENEFICIAL OWNERS AND MANAGEMENT AND RELATED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MATTERS</w:t>
      </w:r>
    </w:p>
    <w:p>
      <w:pPr>
        <w:spacing w:after="0" w:line="1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required pursuant to this Item 12 is incorporated herein by reference to the section entitled “Beneficial Ownership of Securities” of the Company’s 2021 Proxy Statement, a copy of which will be filed with the SEC no later than 120 days after the close of the fiscal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information is as of December 31, 2020:</w:t>
            </w:r>
          </w:p>
        </w:tc>
        <w:tc>
          <w:tcPr>
            <w:tcW w:w="2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9"/>
        </w:trPr>
        <w:tc>
          <w:tcPr>
            <w:tcW w:w="4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4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4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future issuance under</w:t>
            </w:r>
          </w:p>
        </w:tc>
      </w:tr>
      <w:tr>
        <w:trPr>
          <w:trHeight w:val="216"/>
        </w:trPr>
        <w:tc>
          <w:tcPr>
            <w:tcW w:w="4300" w:type="dxa"/>
            <w:vAlign w:val="bottom"/>
          </w:tcPr>
          <w:p>
            <w:pPr>
              <w:spacing w:after="0"/>
              <w:rPr>
                <w:sz w:val="18"/>
                <w:szCs w:val="18"/>
                <w:color w:val="auto"/>
              </w:rPr>
            </w:pPr>
          </w:p>
        </w:tc>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 securities to</w:t>
            </w:r>
          </w:p>
        </w:tc>
        <w:tc>
          <w:tcPr>
            <w:tcW w:w="340" w:type="dxa"/>
            <w:vAlign w:val="bottom"/>
          </w:tcPr>
          <w:p>
            <w:pPr>
              <w:spacing w:after="0"/>
              <w:rPr>
                <w:sz w:val="18"/>
                <w:szCs w:val="18"/>
                <w:color w:val="auto"/>
              </w:rPr>
            </w:pPr>
          </w:p>
        </w:tc>
        <w:tc>
          <w:tcPr>
            <w:tcW w:w="20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equity compensation</w:t>
            </w:r>
          </w:p>
        </w:tc>
      </w:tr>
      <w:tr>
        <w:trPr>
          <w:trHeight w:val="216"/>
        </w:trPr>
        <w:tc>
          <w:tcPr>
            <w:tcW w:w="4300" w:type="dxa"/>
            <w:vAlign w:val="bottom"/>
          </w:tcPr>
          <w:p>
            <w:pPr>
              <w:spacing w:after="0"/>
              <w:rPr>
                <w:sz w:val="18"/>
                <w:szCs w:val="18"/>
                <w:color w:val="auto"/>
              </w:rPr>
            </w:pPr>
          </w:p>
        </w:tc>
        <w:tc>
          <w:tcPr>
            <w:tcW w:w="23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be issued upon exercise</w:t>
            </w:r>
          </w:p>
        </w:tc>
        <w:tc>
          <w:tcPr>
            <w:tcW w:w="340" w:type="dxa"/>
            <w:vAlign w:val="bottom"/>
          </w:tcPr>
          <w:p>
            <w:pPr>
              <w:spacing w:after="0"/>
              <w:rPr>
                <w:sz w:val="18"/>
                <w:szCs w:val="18"/>
                <w:color w:val="auto"/>
              </w:rPr>
            </w:pPr>
          </w:p>
        </w:tc>
        <w:tc>
          <w:tcPr>
            <w:tcW w:w="20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plans (excluding</w:t>
            </w:r>
          </w:p>
        </w:tc>
      </w:tr>
      <w:tr>
        <w:trPr>
          <w:trHeight w:val="216"/>
        </w:trPr>
        <w:tc>
          <w:tcPr>
            <w:tcW w:w="4300" w:type="dxa"/>
            <w:vAlign w:val="bottom"/>
          </w:tcPr>
          <w:p>
            <w:pPr>
              <w:spacing w:after="0"/>
              <w:rPr>
                <w:sz w:val="18"/>
                <w:szCs w:val="18"/>
                <w:color w:val="auto"/>
              </w:rPr>
            </w:pPr>
          </w:p>
        </w:tc>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 outstanding options,</w:t>
            </w:r>
          </w:p>
        </w:tc>
        <w:tc>
          <w:tcPr>
            <w:tcW w:w="340" w:type="dxa"/>
            <w:vAlign w:val="bottom"/>
          </w:tcPr>
          <w:p>
            <w:pPr>
              <w:spacing w:after="0"/>
              <w:rPr>
                <w:sz w:val="18"/>
                <w:szCs w:val="18"/>
                <w:color w:val="auto"/>
              </w:rPr>
            </w:pPr>
          </w:p>
        </w:tc>
        <w:tc>
          <w:tcPr>
            <w:tcW w:w="20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securities reflected in</w:t>
            </w:r>
          </w:p>
        </w:tc>
      </w:tr>
      <w:tr>
        <w:trPr>
          <w:trHeight w:val="216"/>
        </w:trPr>
        <w:tc>
          <w:tcPr>
            <w:tcW w:w="4300" w:type="dxa"/>
            <w:vAlign w:val="bottom"/>
          </w:tcPr>
          <w:p>
            <w:pPr>
              <w:spacing w:after="0"/>
              <w:rPr>
                <w:sz w:val="18"/>
                <w:szCs w:val="18"/>
                <w:color w:val="auto"/>
              </w:rPr>
            </w:pPr>
          </w:p>
        </w:tc>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40" w:type="dxa"/>
            <w:vAlign w:val="bottom"/>
          </w:tcPr>
          <w:p>
            <w:pPr>
              <w:spacing w:after="0"/>
              <w:rPr>
                <w:sz w:val="18"/>
                <w:szCs w:val="18"/>
                <w:color w:val="auto"/>
              </w:rPr>
            </w:pPr>
          </w:p>
        </w:tc>
        <w:tc>
          <w:tcPr>
            <w:tcW w:w="20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column (a))</w:t>
            </w:r>
          </w:p>
        </w:tc>
      </w:tr>
      <w:tr>
        <w:trPr>
          <w:trHeight w:val="245"/>
        </w:trPr>
        <w:tc>
          <w:tcPr>
            <w:tcW w:w="430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340" w:type="dxa"/>
            <w:vAlign w:val="bottom"/>
          </w:tcPr>
          <w:p>
            <w:pPr>
              <w:spacing w:after="0"/>
              <w:rPr>
                <w:sz w:val="21"/>
                <w:szCs w:val="21"/>
                <w:color w:val="auto"/>
              </w:rPr>
            </w:pPr>
          </w:p>
        </w:tc>
        <w:tc>
          <w:tcPr>
            <w:tcW w:w="20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197"/>
        </w:trPr>
        <w:tc>
          <w:tcPr>
            <w:tcW w:w="4300" w:type="dxa"/>
            <w:vAlign w:val="bottom"/>
            <w:tcBorders>
              <w:top w:val="single" w:sz="8" w:color="auto"/>
            </w:tcBorders>
            <w:shd w:val="clear" w:color="auto" w:fill="B2B2B2"/>
          </w:tcPr>
          <w:p>
            <w:pPr>
              <w:spacing w:after="0" w:line="197"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360" w:type="dxa"/>
            <w:vAlign w:val="bottom"/>
            <w:tcBorders>
              <w:top w:val="single" w:sz="8" w:color="auto"/>
            </w:tcBorders>
            <w:shd w:val="clear" w:color="auto" w:fill="B2B2B2"/>
          </w:tcPr>
          <w:p>
            <w:pPr>
              <w:jc w:val="right"/>
              <w:ind w:right="30"/>
              <w:spacing w:after="0" w:line="197" w:lineRule="exact"/>
              <w:rPr>
                <w:sz w:val="20"/>
                <w:szCs w:val="20"/>
                <w:color w:val="auto"/>
              </w:rPr>
            </w:pPr>
            <w:r>
              <w:rPr>
                <w:rFonts w:ascii="Times New Roman" w:cs="Times New Roman" w:eastAsia="Times New Roman" w:hAnsi="Times New Roman"/>
                <w:sz w:val="18"/>
                <w:szCs w:val="18"/>
                <w:color w:val="auto"/>
              </w:rPr>
              <w:t>379,576</w:t>
            </w:r>
          </w:p>
        </w:tc>
        <w:tc>
          <w:tcPr>
            <w:tcW w:w="340" w:type="dxa"/>
            <w:vAlign w:val="bottom"/>
            <w:tcBorders>
              <w:top w:val="single" w:sz="8" w:color="auto"/>
            </w:tcBorders>
            <w:shd w:val="clear" w:color="auto" w:fill="B2B2B2"/>
          </w:tcPr>
          <w:p>
            <w:pPr>
              <w:jc w:val="right"/>
              <w:ind w:right="50"/>
              <w:spacing w:after="0" w:line="197" w:lineRule="exact"/>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tcBorders>
            <w:shd w:val="clear" w:color="auto" w:fill="B2B2B2"/>
          </w:tcPr>
          <w:p>
            <w:pPr>
              <w:jc w:val="right"/>
              <w:ind w:right="70"/>
              <w:spacing w:after="0" w:line="197" w:lineRule="exact"/>
              <w:rPr>
                <w:sz w:val="20"/>
                <w:szCs w:val="20"/>
                <w:color w:val="auto"/>
              </w:rPr>
            </w:pPr>
            <w:r>
              <w:rPr>
                <w:rFonts w:ascii="Times New Roman" w:cs="Times New Roman" w:eastAsia="Times New Roman" w:hAnsi="Times New Roman"/>
                <w:sz w:val="18"/>
                <w:szCs w:val="18"/>
                <w:color w:val="auto"/>
              </w:rPr>
              <w:t>42.51</w:t>
            </w:r>
          </w:p>
        </w:tc>
        <w:tc>
          <w:tcPr>
            <w:tcW w:w="2180" w:type="dxa"/>
            <w:vAlign w:val="bottom"/>
            <w:tcBorders>
              <w:top w:val="single" w:sz="8" w:color="auto"/>
            </w:tcBorders>
            <w:shd w:val="clear" w:color="auto" w:fill="B2B2B2"/>
          </w:tcPr>
          <w:p>
            <w:pPr>
              <w:jc w:val="right"/>
              <w:spacing w:after="0" w:line="197" w:lineRule="exact"/>
              <w:rPr>
                <w:sz w:val="20"/>
                <w:szCs w:val="20"/>
                <w:color w:val="auto"/>
              </w:rPr>
            </w:pPr>
            <w:r>
              <w:rPr>
                <w:rFonts w:ascii="Times New Roman" w:cs="Times New Roman" w:eastAsia="Times New Roman" w:hAnsi="Times New Roman"/>
                <w:sz w:val="18"/>
                <w:szCs w:val="18"/>
                <w:color w:val="auto"/>
              </w:rPr>
              <w:t>352,060</w:t>
            </w:r>
          </w:p>
        </w:tc>
        <w:tc>
          <w:tcPr>
            <w:tcW w:w="20" w:type="dxa"/>
            <w:vAlign w:val="bottom"/>
          </w:tcPr>
          <w:p>
            <w:pPr>
              <w:spacing w:after="0"/>
              <w:rPr>
                <w:sz w:val="17"/>
                <w:szCs w:val="17"/>
                <w:color w:val="auto"/>
              </w:rPr>
            </w:pPr>
          </w:p>
        </w:tc>
      </w:tr>
      <w:tr>
        <w:trPr>
          <w:trHeight w:val="201"/>
        </w:trPr>
        <w:tc>
          <w:tcPr>
            <w:tcW w:w="4300" w:type="dxa"/>
            <w:vAlign w:val="bottom"/>
            <w:tcBorders>
              <w:bottom w:val="single" w:sz="8" w:color="B2B2B2"/>
            </w:tcBorders>
            <w:shd w:val="clear" w:color="auto" w:fill="B2B2B2"/>
          </w:tcPr>
          <w:p>
            <w:pPr>
              <w:spacing w:after="0"/>
              <w:rPr>
                <w:sz w:val="20"/>
                <w:szCs w:val="20"/>
                <w:color w:val="auto"/>
              </w:rPr>
            </w:pPr>
            <w:r>
              <w:rPr>
                <w:rFonts w:ascii="Times New Roman" w:cs="Times New Roman" w:eastAsia="Times New Roman" w:hAnsi="Times New Roman"/>
                <w:sz w:val="15"/>
                <w:szCs w:val="15"/>
                <w:b w:val="1"/>
                <w:bCs w:val="1"/>
                <w:color w:val="auto"/>
              </w:rPr>
              <w:t>(1)(2)</w:t>
            </w:r>
          </w:p>
        </w:tc>
        <w:tc>
          <w:tcPr>
            <w:tcW w:w="2360" w:type="dxa"/>
            <w:vAlign w:val="bottom"/>
            <w:tcBorders>
              <w:bottom w:val="single" w:sz="8" w:color="B2B2B2"/>
            </w:tcBorders>
            <w:shd w:val="clear" w:color="auto" w:fill="B2B2B2"/>
          </w:tcPr>
          <w:p>
            <w:pPr>
              <w:spacing w:after="0"/>
              <w:rPr>
                <w:sz w:val="17"/>
                <w:szCs w:val="17"/>
                <w:color w:val="auto"/>
              </w:rPr>
            </w:pPr>
          </w:p>
        </w:tc>
        <w:tc>
          <w:tcPr>
            <w:tcW w:w="340" w:type="dxa"/>
            <w:vAlign w:val="bottom"/>
            <w:tcBorders>
              <w:bottom w:val="single" w:sz="8" w:color="B2B2B2"/>
            </w:tcBorders>
            <w:shd w:val="clear" w:color="auto" w:fill="B2B2B2"/>
          </w:tcPr>
          <w:p>
            <w:pPr>
              <w:spacing w:after="0"/>
              <w:rPr>
                <w:sz w:val="17"/>
                <w:szCs w:val="17"/>
                <w:color w:val="auto"/>
              </w:rPr>
            </w:pPr>
          </w:p>
        </w:tc>
        <w:tc>
          <w:tcPr>
            <w:tcW w:w="2060" w:type="dxa"/>
            <w:vAlign w:val="bottom"/>
            <w:tcBorders>
              <w:bottom w:val="single" w:sz="8" w:color="B2B2B2"/>
            </w:tcBorders>
            <w:shd w:val="clear" w:color="auto" w:fill="B2B2B2"/>
          </w:tcPr>
          <w:p>
            <w:pPr>
              <w:spacing w:after="0"/>
              <w:rPr>
                <w:sz w:val="17"/>
                <w:szCs w:val="17"/>
                <w:color w:val="auto"/>
              </w:rPr>
            </w:pPr>
          </w:p>
        </w:tc>
        <w:tc>
          <w:tcPr>
            <w:tcW w:w="2180" w:type="dxa"/>
            <w:vAlign w:val="bottom"/>
            <w:tcBorders>
              <w:bottom w:val="single" w:sz="8" w:color="B2B2B2"/>
            </w:tcBorders>
            <w:shd w:val="clear" w:color="auto" w:fill="B2B2B2"/>
          </w:tcPr>
          <w:p>
            <w:pPr>
              <w:spacing w:after="0"/>
              <w:rPr>
                <w:sz w:val="17"/>
                <w:szCs w:val="17"/>
                <w:color w:val="auto"/>
              </w:rPr>
            </w:pPr>
          </w:p>
        </w:tc>
        <w:tc>
          <w:tcPr>
            <w:tcW w:w="20" w:type="dxa"/>
            <w:vAlign w:val="bottom"/>
          </w:tcPr>
          <w:p>
            <w:pPr>
              <w:spacing w:after="0"/>
              <w:rPr>
                <w:sz w:val="17"/>
                <w:szCs w:val="17"/>
                <w:color w:val="auto"/>
              </w:rPr>
            </w:pPr>
          </w:p>
        </w:tc>
      </w:tr>
      <w:tr>
        <w:trPr>
          <w:trHeight w:val="41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holders</w:t>
            </w:r>
          </w:p>
        </w:tc>
        <w:tc>
          <w:tcPr>
            <w:tcW w:w="2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4300" w:type="dxa"/>
            <w:vAlign w:val="bottom"/>
            <w:tcBorders>
              <w:bottom w:val="single" w:sz="8" w:color="auto"/>
            </w:tcBorders>
            <w:shd w:val="clear" w:color="auto" w:fill="B2B2B2"/>
          </w:tcPr>
          <w:p>
            <w:pPr>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Borders>
              <w:bottom w:val="single" w:sz="8" w:color="auto"/>
            </w:tcBorders>
            <w:shd w:val="clear" w:color="auto" w:fill="B2B2B2"/>
          </w:tcPr>
          <w:p>
            <w:pPr>
              <w:jc w:val="right"/>
              <w:ind w:right="30"/>
              <w:spacing w:after="0"/>
              <w:rPr>
                <w:sz w:val="20"/>
                <w:szCs w:val="20"/>
                <w:color w:val="auto"/>
              </w:rPr>
            </w:pPr>
            <w:r>
              <w:rPr>
                <w:rFonts w:ascii="Times New Roman" w:cs="Times New Roman" w:eastAsia="Times New Roman" w:hAnsi="Times New Roman"/>
                <w:sz w:val="18"/>
                <w:szCs w:val="18"/>
                <w:color w:val="auto"/>
              </w:rPr>
              <w:t>379,576</w:t>
            </w:r>
          </w:p>
        </w:tc>
        <w:tc>
          <w:tcPr>
            <w:tcW w:w="340" w:type="dxa"/>
            <w:vAlign w:val="bottom"/>
            <w:tcBorders>
              <w:bottom w:val="single" w:sz="8" w:color="auto"/>
            </w:tcBorders>
            <w:shd w:val="clear" w:color="auto" w:fill="B2B2B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shd w:val="clear" w:color="auto" w:fill="B2B2B2"/>
          </w:tcPr>
          <w:p>
            <w:pPr>
              <w:jc w:val="right"/>
              <w:ind w:right="70"/>
              <w:spacing w:after="0"/>
              <w:rPr>
                <w:sz w:val="20"/>
                <w:szCs w:val="20"/>
                <w:color w:val="auto"/>
              </w:rPr>
            </w:pPr>
            <w:r>
              <w:rPr>
                <w:rFonts w:ascii="Times New Roman" w:cs="Times New Roman" w:eastAsia="Times New Roman" w:hAnsi="Times New Roman"/>
                <w:sz w:val="18"/>
                <w:szCs w:val="18"/>
                <w:color w:val="auto"/>
              </w:rPr>
              <w:t>42.51</w:t>
            </w:r>
          </w:p>
        </w:tc>
        <w:tc>
          <w:tcPr>
            <w:tcW w:w="2180" w:type="dxa"/>
            <w:vAlign w:val="bottom"/>
            <w:tcBorders>
              <w:bottom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8"/>
                <w:szCs w:val="18"/>
                <w:color w:val="auto"/>
              </w:rPr>
              <w:t>352,060</w:t>
            </w:r>
          </w:p>
        </w:tc>
        <w:tc>
          <w:tcPr>
            <w:tcW w:w="20" w:type="dxa"/>
            <w:vAlign w:val="bottom"/>
            <w:tcBorders>
              <w:bottom w:val="single" w:sz="8" w:color="auto"/>
            </w:tcBorders>
          </w:tcPr>
          <w:p>
            <w:pPr>
              <w:spacing w:after="0"/>
              <w:rPr>
                <w:sz w:val="18"/>
                <w:szCs w:val="18"/>
                <w:color w:val="auto"/>
              </w:rPr>
            </w:pPr>
          </w:p>
        </w:tc>
      </w:tr>
    </w:tbl>
    <w:p>
      <w:pPr>
        <w:spacing w:after="0" w:line="63" w:lineRule="exact"/>
        <w:rPr>
          <w:sz w:val="20"/>
          <w:szCs w:val="20"/>
          <w:color w:val="auto"/>
        </w:rPr>
      </w:pPr>
    </w:p>
    <w:p>
      <w:pPr>
        <w:ind w:left="460" w:hanging="452"/>
        <w:spacing w:after="0" w:line="190" w:lineRule="auto"/>
        <w:tabs>
          <w:tab w:leader="none" w:pos="460" w:val="left"/>
        </w:tabs>
        <w:numPr>
          <w:ilvl w:val="0"/>
          <w:numId w:val="23"/>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Amount disclosed relates to awards issued under the Amended and Restated Omnibus Stock and Performance Compensation Plan (the “Omnibus Plan”).</w:t>
      </w:r>
    </w:p>
    <w:p>
      <w:pPr>
        <w:spacing w:after="0" w:line="1" w:lineRule="exact"/>
        <w:rPr>
          <w:rFonts w:ascii="Times New Roman" w:cs="Times New Roman" w:eastAsia="Times New Roman" w:hAnsi="Times New Roman"/>
          <w:sz w:val="30"/>
          <w:szCs w:val="30"/>
          <w:b w:val="1"/>
          <w:bCs w:val="1"/>
          <w:color w:val="auto"/>
          <w:vertAlign w:val="superscript"/>
        </w:rPr>
      </w:pPr>
    </w:p>
    <w:p>
      <w:pPr>
        <w:jc w:val="both"/>
        <w:ind w:left="460" w:hanging="452"/>
        <w:spacing w:after="0" w:line="204" w:lineRule="auto"/>
        <w:tabs>
          <w:tab w:leader="none" w:pos="460" w:val="left"/>
        </w:tabs>
        <w:numPr>
          <w:ilvl w:val="0"/>
          <w:numId w:val="23"/>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Includes restricted stock units, restricted stock, SARs, and performance-based stock. Performance-based stock is included assuming 100% attainment of the targets. The actual number of shares of performance-based stock to be awarded at the end of applicable performance periods ranges from 0% to 150% of the target amount awarded depending on the Company’s achievement of pre-established financial goals.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11 to the consolidated financial statements for information concerning the Omnibus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u w:val="single" w:color="auto"/>
          <w:color w:val="auto"/>
        </w:rPr>
        <w:t>CERTAIN RELATIONSHIPS AND RELATED TRANSACTIONS, AND DIRECTOR INDEPENDENCE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13 is incorporated herein by reference to the section entitled “Election of Directors – Proposal 1” of the Company’s 2021 Proxy Statement, a copy of which will be filed with the SEC no later than 120 days after the close of the fiscal year.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u w:val="single" w:color="auto"/>
          <w:color w:val="auto"/>
        </w:rPr>
        <w:t>PRINCIPAL ACCOUNTANT FEES AND SERVICES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concerning our principal accountant’s fees and services is incorporated herein by reference to the section entitled “Ratification of Appointment of Independent Registered Public Accounting Firm – Proposal 3” of the Company’s 2021 Proxy Statement, a copy of which will be filed with the SEC no later than 120 days after the close of the fiscal year.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u w:val="single" w:color="auto"/>
          <w:color w:val="auto"/>
        </w:rPr>
        <w:t>EXHIBITS AND FINANCIAL STATEMENT SCHEDULES</w:t>
      </w:r>
    </w:p>
    <w:p>
      <w:pPr>
        <w:spacing w:after="0" w:line="229" w:lineRule="exact"/>
        <w:rPr>
          <w:sz w:val="20"/>
          <w:szCs w:val="20"/>
          <w:color w:val="auto"/>
        </w:rPr>
      </w:pPr>
    </w:p>
    <w:p>
      <w:pPr>
        <w:ind w:left="1080" w:hanging="640"/>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incorporated by reference in or filed as an exhibit to this report:</w:t>
      </w:r>
    </w:p>
    <w:p>
      <w:pPr>
        <w:spacing w:after="0" w:line="225" w:lineRule="exact"/>
        <w:rPr>
          <w:sz w:val="20"/>
          <w:szCs w:val="20"/>
          <w:color w:val="auto"/>
        </w:rPr>
      </w:pPr>
    </w:p>
    <w:p>
      <w:pPr>
        <w:ind w:left="2340" w:right="4820" w:hanging="1252"/>
        <w:spacing w:after="0" w:line="282" w:lineRule="auto"/>
        <w:tabs>
          <w:tab w:leader="none" w:pos="133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(2)</w:t>
      </w:r>
      <w:r>
        <w:rPr>
          <w:rFonts w:ascii="Times New Roman" w:cs="Times New Roman" w:eastAsia="Times New Roman" w:hAnsi="Times New Roman"/>
          <w:sz w:val="18"/>
          <w:szCs w:val="18"/>
          <w:u w:val="single" w:color="auto"/>
          <w:color w:val="auto"/>
        </w:rPr>
        <w:t xml:space="preserve">Financial Statements and Financial Statement Schedules </w:t>
      </w:r>
      <w:r>
        <w:rPr>
          <w:rFonts w:ascii="Times New Roman" w:cs="Times New Roman" w:eastAsia="Times New Roman" w:hAnsi="Times New Roman"/>
          <w:sz w:val="18"/>
          <w:szCs w:val="18"/>
          <w:color w:val="auto"/>
        </w:rPr>
        <w:t>Included in Item 8 of this report.</w:t>
      </w:r>
    </w:p>
    <w:p>
      <w:pPr>
        <w:spacing w:after="0" w:line="161" w:lineRule="exact"/>
        <w:rPr>
          <w:rFonts w:ascii="Times New Roman" w:cs="Times New Roman" w:eastAsia="Times New Roman" w:hAnsi="Times New Roman"/>
          <w:sz w:val="18"/>
          <w:szCs w:val="18"/>
          <w:color w:val="auto"/>
        </w:rPr>
      </w:pPr>
    </w:p>
    <w:p>
      <w:pPr>
        <w:ind w:left="2340" w:hanging="645"/>
        <w:spacing w:after="0"/>
        <w:tabs>
          <w:tab w:leader="none" w:pos="23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listed under (b) of this Item 15.</w:t>
      </w:r>
    </w:p>
    <w:p>
      <w:pPr>
        <w:spacing w:after="0" w:line="225" w:lineRule="exact"/>
        <w:rPr>
          <w:rFonts w:ascii="Times New Roman" w:cs="Times New Roman" w:eastAsia="Times New Roman" w:hAnsi="Times New Roman"/>
          <w:sz w:val="18"/>
          <w:szCs w:val="18"/>
          <w:color w:val="auto"/>
        </w:rPr>
      </w:pPr>
    </w:p>
    <w:p>
      <w:pPr>
        <w:ind w:left="1080" w:hanging="640"/>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2340" w:right="640" w:hanging="647"/>
        <w:spacing w:after="0" w:line="282" w:lineRule="auto"/>
        <w:tabs>
          <w:tab w:leader="none" w:pos="2320" w:val="left"/>
        </w:tabs>
        <w:rPr>
          <w:rFonts w:ascii="Times New Roman" w:cs="Times New Roman" w:eastAsia="Times New Roman" w:hAnsi="Times New Roman"/>
          <w:sz w:val="18"/>
          <w:szCs w:val="18"/>
          <w:u w:val="single" w:color="auto"/>
          <w:color w:val="0000EE"/>
        </w:rPr>
      </w:pPr>
      <w:hyperlink r:id="rId107">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u w:val="single" w:color="auto"/>
          <w:color w:val="0000EE"/>
        </w:rPr>
        <w:tab/>
      </w:r>
      <w:hyperlink r:id="rId107">
        <w:r>
          <w:rPr>
            <w:rFonts w:ascii="Times New Roman" w:cs="Times New Roman" w:eastAsia="Times New Roman" w:hAnsi="Times New Roman"/>
            <w:sz w:val="18"/>
            <w:szCs w:val="18"/>
            <w:u w:val="single" w:color="auto"/>
            <w:color w:val="0000EE"/>
          </w:rPr>
          <w:t>Restated Articles of Incorporation of Registrant, incorporated by reference to Exhibit 4.1 to Form S-8 Registration</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Statement No. 333-44499, filed with the SEC on January 20, 1998.</w:t>
        </w:r>
      </w:hyperlink>
    </w:p>
    <w:p>
      <w:pPr>
        <w:spacing w:after="0" w:line="162" w:lineRule="exact"/>
        <w:rPr>
          <w:rFonts w:ascii="Times New Roman" w:cs="Times New Roman" w:eastAsia="Times New Roman" w:hAnsi="Times New Roman"/>
          <w:sz w:val="18"/>
          <w:szCs w:val="18"/>
          <w:u w:val="single" w:color="auto"/>
          <w:color w:val="0000EE"/>
        </w:rPr>
      </w:pPr>
    </w:p>
    <w:p>
      <w:pPr>
        <w:ind w:left="2340" w:hanging="647"/>
        <w:spacing w:after="0" w:line="282" w:lineRule="auto"/>
        <w:tabs>
          <w:tab w:leader="none" w:pos="2320" w:val="left"/>
        </w:tabs>
        <w:rPr>
          <w:rFonts w:ascii="Times New Roman" w:cs="Times New Roman" w:eastAsia="Times New Roman" w:hAnsi="Times New Roman"/>
          <w:sz w:val="18"/>
          <w:szCs w:val="18"/>
          <w:u w:val="single" w:color="auto"/>
          <w:color w:val="0000EE"/>
        </w:rPr>
      </w:pPr>
      <w:hyperlink r:id="rId108">
        <w:r>
          <w:rPr>
            <w:rFonts w:ascii="Times New Roman" w:cs="Times New Roman" w:eastAsia="Times New Roman" w:hAnsi="Times New Roman"/>
            <w:sz w:val="18"/>
            <w:szCs w:val="18"/>
            <w:u w:val="single" w:color="auto"/>
            <w:color w:val="0000EE"/>
          </w:rPr>
          <w:t>3.2</w:t>
        </w:r>
      </w:hyperlink>
      <w:r>
        <w:rPr>
          <w:rFonts w:ascii="Times New Roman" w:cs="Times New Roman" w:eastAsia="Times New Roman" w:hAnsi="Times New Roman"/>
          <w:sz w:val="18"/>
          <w:szCs w:val="18"/>
          <w:u w:val="single" w:color="auto"/>
          <w:color w:val="0000EE"/>
        </w:rPr>
        <w:tab/>
      </w:r>
      <w:hyperlink r:id="rId108">
        <w:r>
          <w:rPr>
            <w:rFonts w:ascii="Times New Roman" w:cs="Times New Roman" w:eastAsia="Times New Roman" w:hAnsi="Times New Roman"/>
            <w:sz w:val="18"/>
            <w:szCs w:val="18"/>
            <w:u w:val="single" w:color="auto"/>
            <w:color w:val="0000EE"/>
          </w:rPr>
          <w:t>Amendment to Restated Articles of Incorporation, incorporated by reference to Exhibit 3.1 to the current report on Form 8-</w:t>
        </w:r>
      </w:hyperlink>
      <w:hyperlink r:id="rId108">
        <w:r>
          <w:rPr>
            <w:rFonts w:ascii="Times New Roman" w:cs="Times New Roman" w:eastAsia="Times New Roman" w:hAnsi="Times New Roman"/>
            <w:sz w:val="18"/>
            <w:szCs w:val="18"/>
            <w:u w:val="single" w:color="auto"/>
            <w:color w:val="0000EE"/>
          </w:rPr>
          <w:t>K, filed with the SEC on April 19, 2013.</w:t>
        </w:r>
      </w:hyperlink>
    </w:p>
    <w:p>
      <w:pPr>
        <w:spacing w:after="0" w:line="162" w:lineRule="exact"/>
        <w:rPr>
          <w:rFonts w:ascii="Times New Roman" w:cs="Times New Roman" w:eastAsia="Times New Roman" w:hAnsi="Times New Roman"/>
          <w:sz w:val="18"/>
          <w:szCs w:val="18"/>
          <w:u w:val="single" w:color="auto"/>
          <w:color w:val="0000EE"/>
        </w:rPr>
      </w:pPr>
    </w:p>
    <w:p>
      <w:pPr>
        <w:ind w:left="2340" w:right="300" w:hanging="647"/>
        <w:spacing w:after="0" w:line="282" w:lineRule="auto"/>
        <w:tabs>
          <w:tab w:leader="none" w:pos="2320" w:val="left"/>
        </w:tabs>
        <w:rPr>
          <w:rFonts w:ascii="Times New Roman" w:cs="Times New Roman" w:eastAsia="Times New Roman" w:hAnsi="Times New Roman"/>
          <w:sz w:val="18"/>
          <w:szCs w:val="18"/>
          <w:u w:val="single" w:color="auto"/>
          <w:color w:val="0000EE"/>
        </w:rPr>
      </w:pPr>
      <w:hyperlink r:id="rId109">
        <w:r>
          <w:rPr>
            <w:rFonts w:ascii="Times New Roman" w:cs="Times New Roman" w:eastAsia="Times New Roman" w:hAnsi="Times New Roman"/>
            <w:sz w:val="18"/>
            <w:szCs w:val="18"/>
            <w:u w:val="single" w:color="auto"/>
            <w:color w:val="0000EE"/>
          </w:rPr>
          <w:t>3.3</w:t>
        </w:r>
      </w:hyperlink>
      <w:r>
        <w:rPr>
          <w:rFonts w:ascii="Times New Roman" w:cs="Times New Roman" w:eastAsia="Times New Roman" w:hAnsi="Times New Roman"/>
          <w:sz w:val="18"/>
          <w:szCs w:val="18"/>
          <w:u w:val="single" w:color="auto"/>
          <w:color w:val="0000EE"/>
        </w:rPr>
        <w:tab/>
      </w:r>
      <w:hyperlink r:id="rId109">
        <w:r>
          <w:rPr>
            <w:rFonts w:ascii="Times New Roman" w:cs="Times New Roman" w:eastAsia="Times New Roman" w:hAnsi="Times New Roman"/>
            <w:sz w:val="18"/>
            <w:szCs w:val="18"/>
            <w:u w:val="single" w:color="auto"/>
            <w:color w:val="0000EE"/>
          </w:rPr>
          <w:t>Articles of Merger of Cass Commercial Corporation, incorporated by reference to Exhibit 3.1 to the quarterly report on</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Form 10-Q for the quarter ended September 30, 2006.</w:t>
        </w:r>
      </w:hyperlink>
    </w:p>
    <w:p>
      <w:pPr>
        <w:spacing w:after="0" w:line="162" w:lineRule="exact"/>
        <w:rPr>
          <w:rFonts w:ascii="Times New Roman" w:cs="Times New Roman" w:eastAsia="Times New Roman" w:hAnsi="Times New Roman"/>
          <w:sz w:val="18"/>
          <w:szCs w:val="18"/>
          <w:u w:val="single" w:color="auto"/>
          <w:color w:val="0000EE"/>
        </w:rPr>
      </w:pPr>
    </w:p>
    <w:p>
      <w:pPr>
        <w:ind w:left="2340" w:right="400" w:hanging="647"/>
        <w:spacing w:after="0" w:line="282" w:lineRule="auto"/>
        <w:tabs>
          <w:tab w:leader="none" w:pos="2320" w:val="left"/>
        </w:tabs>
        <w:rPr>
          <w:rFonts w:ascii="Times New Roman" w:cs="Times New Roman" w:eastAsia="Times New Roman" w:hAnsi="Times New Roman"/>
          <w:sz w:val="18"/>
          <w:szCs w:val="18"/>
          <w:u w:val="single" w:color="auto"/>
          <w:color w:val="0000EE"/>
        </w:rPr>
      </w:pPr>
      <w:hyperlink r:id="rId110">
        <w:r>
          <w:rPr>
            <w:rFonts w:ascii="Times New Roman" w:cs="Times New Roman" w:eastAsia="Times New Roman" w:hAnsi="Times New Roman"/>
            <w:sz w:val="18"/>
            <w:szCs w:val="18"/>
            <w:u w:val="single" w:color="auto"/>
            <w:color w:val="0000EE"/>
          </w:rPr>
          <w:t>3.4</w:t>
        </w:r>
      </w:hyperlink>
      <w:r>
        <w:rPr>
          <w:rFonts w:ascii="Times New Roman" w:cs="Times New Roman" w:eastAsia="Times New Roman" w:hAnsi="Times New Roman"/>
          <w:sz w:val="18"/>
          <w:szCs w:val="18"/>
          <w:u w:val="single" w:color="auto"/>
          <w:color w:val="0000EE"/>
        </w:rPr>
        <w:tab/>
      </w:r>
      <w:hyperlink r:id="rId110">
        <w:r>
          <w:rPr>
            <w:rFonts w:ascii="Times New Roman" w:cs="Times New Roman" w:eastAsia="Times New Roman" w:hAnsi="Times New Roman"/>
            <w:sz w:val="18"/>
            <w:szCs w:val="18"/>
            <w:u w:val="single" w:color="auto"/>
            <w:color w:val="0000EE"/>
          </w:rPr>
          <w:t>Second Amended and Restated Bylaws of Registrant, incorporated by reference to Exhibit 3.1 to the current report on</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Form 8-K, filed with the SEC on July 21, 2016.</w:t>
        </w:r>
      </w:hyperlink>
    </w:p>
    <w:p>
      <w:pPr>
        <w:spacing w:after="0" w:line="162" w:lineRule="exact"/>
        <w:rPr>
          <w:rFonts w:ascii="Times New Roman" w:cs="Times New Roman" w:eastAsia="Times New Roman" w:hAnsi="Times New Roman"/>
          <w:sz w:val="18"/>
          <w:szCs w:val="18"/>
          <w:u w:val="single" w:color="auto"/>
          <w:color w:val="0000EE"/>
        </w:rPr>
      </w:pPr>
    </w:p>
    <w:p>
      <w:pPr>
        <w:ind w:left="2340" w:right="40" w:hanging="647"/>
        <w:spacing w:after="0" w:line="282" w:lineRule="auto"/>
        <w:tabs>
          <w:tab w:leader="none" w:pos="2320" w:val="left"/>
        </w:tabs>
        <w:rPr>
          <w:rFonts w:ascii="Times New Roman" w:cs="Times New Roman" w:eastAsia="Times New Roman" w:hAnsi="Times New Roman"/>
          <w:sz w:val="18"/>
          <w:szCs w:val="18"/>
          <w:u w:val="single" w:color="auto"/>
          <w:color w:val="0000EE"/>
        </w:rPr>
      </w:pPr>
      <w:hyperlink r:id="rId111">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111">
        <w:r>
          <w:rPr>
            <w:rFonts w:ascii="Times New Roman" w:cs="Times New Roman" w:eastAsia="Times New Roman" w:hAnsi="Times New Roman"/>
            <w:sz w:val="18"/>
            <w:szCs w:val="18"/>
            <w:u w:val="single" w:color="auto"/>
            <w:color w:val="0000EE"/>
          </w:rPr>
          <w:t>Description of the Registrant’s securities, incorporated by reference to Exhibit 4.1 to the Annual report on Form 10-K filed</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with the SEC on February 28, 2020.</w:t>
        </w:r>
      </w:hyperlink>
    </w:p>
    <w:p>
      <w:pPr>
        <w:spacing w:after="0" w:line="162" w:lineRule="exact"/>
        <w:rPr>
          <w:rFonts w:ascii="Times New Roman" w:cs="Times New Roman" w:eastAsia="Times New Roman" w:hAnsi="Times New Roman"/>
          <w:sz w:val="18"/>
          <w:szCs w:val="18"/>
          <w:u w:val="single" w:color="auto"/>
          <w:color w:val="0000EE"/>
        </w:rPr>
      </w:pPr>
    </w:p>
    <w:p>
      <w:pPr>
        <w:ind w:left="1700"/>
        <w:spacing w:after="0"/>
        <w:tabs>
          <w:tab w:leader="none" w:pos="2320" w:val="left"/>
        </w:tabs>
        <w:rPr>
          <w:rFonts w:ascii="Times New Roman" w:cs="Times New Roman" w:eastAsia="Times New Roman" w:hAnsi="Times New Roman"/>
          <w:sz w:val="18"/>
          <w:szCs w:val="18"/>
          <w:u w:val="single" w:color="auto"/>
          <w:color w:val="0000EE"/>
        </w:rPr>
      </w:pPr>
      <w:hyperlink r:id="rId112">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u w:val="single" w:color="auto"/>
          <w:color w:val="0000EE"/>
        </w:rPr>
        <w:tab/>
      </w:r>
      <w:hyperlink r:id="rId112">
        <w:r>
          <w:rPr>
            <w:rFonts w:ascii="Times New Roman" w:cs="Times New Roman" w:eastAsia="Times New Roman" w:hAnsi="Times New Roman"/>
            <w:sz w:val="18"/>
            <w:szCs w:val="18"/>
            <w:u w:val="single" w:color="auto"/>
            <w:color w:val="0000EE"/>
          </w:rPr>
          <w:t>Form of Directors’ Indemnification Agreement, incorporated by reference to Exhibit 10.1 to the quarterly report on Form</w:t>
        </w:r>
      </w:hyperlink>
    </w:p>
    <w:p>
      <w:pPr>
        <w:spacing w:after="0" w:line="27" w:lineRule="exact"/>
        <w:rPr>
          <w:sz w:val="20"/>
          <w:szCs w:val="20"/>
          <w:color w:val="auto"/>
        </w:rPr>
      </w:pPr>
    </w:p>
    <w:p>
      <w:pPr>
        <w:ind w:left="2340"/>
        <w:spacing w:after="0"/>
        <w:rPr>
          <w:rFonts w:ascii="Times New Roman" w:cs="Times New Roman" w:eastAsia="Times New Roman" w:hAnsi="Times New Roman"/>
          <w:sz w:val="18"/>
          <w:szCs w:val="18"/>
          <w:u w:val="single" w:color="auto"/>
          <w:color w:val="0000EE"/>
        </w:rPr>
      </w:pPr>
      <w:hyperlink r:id="rId112">
        <w:r>
          <w:rPr>
            <w:rFonts w:ascii="Times New Roman" w:cs="Times New Roman" w:eastAsia="Times New Roman" w:hAnsi="Times New Roman"/>
            <w:sz w:val="18"/>
            <w:szCs w:val="18"/>
            <w:u w:val="single" w:color="auto"/>
            <w:color w:val="0000EE"/>
          </w:rPr>
          <w:t>10-Q for the quarter ended March 31, 2003.*</w:t>
        </w:r>
      </w:hyperlink>
    </w:p>
    <w:p>
      <w:pPr>
        <w:spacing w:after="0" w:line="207" w:lineRule="exact"/>
        <w:rPr>
          <w:sz w:val="20"/>
          <w:szCs w:val="20"/>
          <w:color w:val="auto"/>
        </w:rPr>
      </w:pPr>
    </w:p>
    <w:p>
      <w:pPr>
        <w:ind w:left="2340" w:right="80" w:hanging="647"/>
        <w:spacing w:after="0" w:line="282" w:lineRule="auto"/>
        <w:tabs>
          <w:tab w:leader="none" w:pos="2320" w:val="left"/>
        </w:tabs>
        <w:rPr>
          <w:rFonts w:ascii="Times New Roman" w:cs="Times New Roman" w:eastAsia="Times New Roman" w:hAnsi="Times New Roman"/>
          <w:sz w:val="18"/>
          <w:szCs w:val="18"/>
          <w:u w:val="single" w:color="auto"/>
          <w:color w:val="0000EE"/>
        </w:rPr>
      </w:pPr>
      <w:hyperlink r:id="rId113">
        <w:r>
          <w:rPr>
            <w:rFonts w:ascii="Times New Roman" w:cs="Times New Roman" w:eastAsia="Times New Roman" w:hAnsi="Times New Roman"/>
            <w:sz w:val="18"/>
            <w:szCs w:val="18"/>
            <w:u w:val="single" w:color="auto"/>
            <w:color w:val="0000EE"/>
          </w:rPr>
          <w:t>10.2</w:t>
        </w:r>
      </w:hyperlink>
      <w:r>
        <w:rPr>
          <w:rFonts w:ascii="Times New Roman" w:cs="Times New Roman" w:eastAsia="Times New Roman" w:hAnsi="Times New Roman"/>
          <w:sz w:val="18"/>
          <w:szCs w:val="18"/>
          <w:u w:val="single" w:color="auto"/>
          <w:color w:val="0000EE"/>
        </w:rPr>
        <w:tab/>
      </w:r>
      <w:hyperlink r:id="rId113">
        <w:r>
          <w:rPr>
            <w:rFonts w:ascii="Times New Roman" w:cs="Times New Roman" w:eastAsia="Times New Roman" w:hAnsi="Times New Roman"/>
            <w:sz w:val="18"/>
            <w:szCs w:val="18"/>
            <w:u w:val="single" w:color="auto"/>
            <w:color w:val="0000EE"/>
          </w:rPr>
          <w:t>Amended and Restated Omnibus Stock and Performance Compensation Plan, incorporated by reference to Exhibit 10.1 to</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the current report on Form 8-K, filed with the SEC on April 19, 2013.*</w:t>
        </w:r>
      </w:hyperlink>
    </w:p>
    <w:p>
      <w:pPr>
        <w:spacing w:after="0" w:line="162" w:lineRule="exact"/>
        <w:rPr>
          <w:rFonts w:ascii="Times New Roman" w:cs="Times New Roman" w:eastAsia="Times New Roman" w:hAnsi="Times New Roman"/>
          <w:sz w:val="18"/>
          <w:szCs w:val="18"/>
          <w:u w:val="single" w:color="auto"/>
          <w:color w:val="0000EE"/>
        </w:rPr>
      </w:pPr>
    </w:p>
    <w:p>
      <w:pPr>
        <w:ind w:left="2340" w:right="40" w:hanging="647"/>
        <w:spacing w:after="0" w:line="282" w:lineRule="auto"/>
        <w:tabs>
          <w:tab w:leader="none" w:pos="2320" w:val="left"/>
        </w:tabs>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10.3</w:t>
        </w:r>
      </w:hyperlink>
      <w:r>
        <w:rPr>
          <w:rFonts w:ascii="Times New Roman" w:cs="Times New Roman" w:eastAsia="Times New Roman" w:hAnsi="Times New Roman"/>
          <w:sz w:val="18"/>
          <w:szCs w:val="18"/>
          <w:u w:val="single" w:color="auto"/>
          <w:color w:val="0000EE"/>
        </w:rPr>
        <w:tab/>
      </w:r>
      <w:hyperlink r:id="rId114">
        <w:r>
          <w:rPr>
            <w:rFonts w:ascii="Times New Roman" w:cs="Times New Roman" w:eastAsia="Times New Roman" w:hAnsi="Times New Roman"/>
            <w:sz w:val="18"/>
            <w:szCs w:val="18"/>
            <w:u w:val="single" w:color="auto"/>
            <w:color w:val="0000EE"/>
          </w:rPr>
          <w:t>Amendment and Restatement of the Supplemental Executive Retirement Plan, incorporated by reference to Exhibit 10.2 to</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the quarterly report on Form 10-Q for the quarter ended September 30, 2007.*</w:t>
        </w:r>
      </w:hyperlink>
    </w:p>
    <w:p>
      <w:pPr>
        <w:spacing w:after="0" w:line="162" w:lineRule="exact"/>
        <w:rPr>
          <w:rFonts w:ascii="Times New Roman" w:cs="Times New Roman" w:eastAsia="Times New Roman" w:hAnsi="Times New Roman"/>
          <w:sz w:val="18"/>
          <w:szCs w:val="18"/>
          <w:u w:val="single" w:color="auto"/>
          <w:color w:val="0000EE"/>
        </w:rPr>
      </w:pPr>
    </w:p>
    <w:p>
      <w:pPr>
        <w:ind w:left="2340" w:right="80" w:hanging="647"/>
        <w:spacing w:after="0" w:line="282" w:lineRule="auto"/>
        <w:tabs>
          <w:tab w:leader="none" w:pos="2320" w:val="left"/>
        </w:tabs>
        <w:rPr>
          <w:rFonts w:ascii="Times New Roman" w:cs="Times New Roman" w:eastAsia="Times New Roman" w:hAnsi="Times New Roman"/>
          <w:sz w:val="18"/>
          <w:szCs w:val="18"/>
          <w:u w:val="single" w:color="auto"/>
          <w:color w:val="0000EE"/>
        </w:rPr>
      </w:pPr>
      <w:hyperlink r:id="rId115">
        <w:r>
          <w:rPr>
            <w:rFonts w:ascii="Times New Roman" w:cs="Times New Roman" w:eastAsia="Times New Roman" w:hAnsi="Times New Roman"/>
            <w:sz w:val="18"/>
            <w:szCs w:val="18"/>
            <w:u w:val="single" w:color="auto"/>
            <w:color w:val="0000EE"/>
          </w:rPr>
          <w:t>10.4</w:t>
        </w:r>
      </w:hyperlink>
      <w:r>
        <w:rPr>
          <w:rFonts w:ascii="Times New Roman" w:cs="Times New Roman" w:eastAsia="Times New Roman" w:hAnsi="Times New Roman"/>
          <w:sz w:val="18"/>
          <w:szCs w:val="18"/>
          <w:u w:val="single" w:color="auto"/>
          <w:color w:val="0000EE"/>
        </w:rPr>
        <w:tab/>
      </w:r>
      <w:hyperlink r:id="rId115">
        <w:r>
          <w:rPr>
            <w:rFonts w:ascii="Times New Roman" w:cs="Times New Roman" w:eastAsia="Times New Roman" w:hAnsi="Times New Roman"/>
            <w:sz w:val="18"/>
            <w:szCs w:val="18"/>
            <w:u w:val="single" w:color="auto"/>
            <w:color w:val="0000EE"/>
          </w:rPr>
          <w:t>Form of Stock Appreciation Rights Award Agreement, incorporated by reference to Exhibit 10.4 to the quarterly report on</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Form 10-Q for the quarter ended September 30, 2007.*</w:t>
        </w:r>
      </w:hyperlink>
    </w:p>
    <w:p>
      <w:pPr>
        <w:spacing w:after="0" w:line="162" w:lineRule="exact"/>
        <w:rPr>
          <w:rFonts w:ascii="Times New Roman" w:cs="Times New Roman" w:eastAsia="Times New Roman" w:hAnsi="Times New Roman"/>
          <w:sz w:val="18"/>
          <w:szCs w:val="18"/>
          <w:u w:val="single" w:color="auto"/>
          <w:color w:val="0000EE"/>
        </w:rPr>
      </w:pPr>
    </w:p>
    <w:p>
      <w:pPr>
        <w:ind w:left="2340" w:right="120" w:hanging="647"/>
        <w:spacing w:after="0" w:line="282" w:lineRule="auto"/>
        <w:tabs>
          <w:tab w:leader="none" w:pos="2320" w:val="left"/>
        </w:tabs>
        <w:rPr>
          <w:rFonts w:ascii="Times New Roman" w:cs="Times New Roman" w:eastAsia="Times New Roman" w:hAnsi="Times New Roman"/>
          <w:sz w:val="18"/>
          <w:szCs w:val="18"/>
          <w:u w:val="single" w:color="auto"/>
          <w:color w:val="0000EE"/>
        </w:rPr>
      </w:pPr>
      <w:hyperlink r:id="rId116">
        <w:r>
          <w:rPr>
            <w:rFonts w:ascii="Times New Roman" w:cs="Times New Roman" w:eastAsia="Times New Roman" w:hAnsi="Times New Roman"/>
            <w:sz w:val="18"/>
            <w:szCs w:val="18"/>
            <w:u w:val="single" w:color="auto"/>
            <w:color w:val="0000EE"/>
          </w:rPr>
          <w:t>10.5</w:t>
        </w:r>
      </w:hyperlink>
      <w:r>
        <w:rPr>
          <w:rFonts w:ascii="Times New Roman" w:cs="Times New Roman" w:eastAsia="Times New Roman" w:hAnsi="Times New Roman"/>
          <w:sz w:val="18"/>
          <w:szCs w:val="18"/>
          <w:u w:val="single" w:color="auto"/>
          <w:color w:val="0000EE"/>
        </w:rPr>
        <w:tab/>
      </w:r>
      <w:hyperlink r:id="rId116">
        <w:r>
          <w:rPr>
            <w:rFonts w:ascii="Times New Roman" w:cs="Times New Roman" w:eastAsia="Times New Roman" w:hAnsi="Times New Roman"/>
            <w:sz w:val="18"/>
            <w:szCs w:val="18"/>
            <w:u w:val="single" w:color="auto"/>
            <w:color w:val="0000EE"/>
          </w:rPr>
          <w:t>Form of Restricted Stock Award Agreement, incorporated by reference to Exhibit 10.8 to the annual report on Form 10-K</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for the year ended December 31, 2016.*</w:t>
        </w:r>
      </w:hyperlink>
    </w:p>
    <w:p>
      <w:pPr>
        <w:spacing w:after="0" w:line="162" w:lineRule="exact"/>
        <w:rPr>
          <w:rFonts w:ascii="Times New Roman" w:cs="Times New Roman" w:eastAsia="Times New Roman" w:hAnsi="Times New Roman"/>
          <w:sz w:val="18"/>
          <w:szCs w:val="18"/>
          <w:u w:val="single" w:color="auto"/>
          <w:color w:val="0000EE"/>
        </w:rPr>
      </w:pPr>
    </w:p>
    <w:p>
      <w:pPr>
        <w:ind w:left="2340" w:right="20" w:hanging="647"/>
        <w:spacing w:after="0" w:line="282" w:lineRule="auto"/>
        <w:tabs>
          <w:tab w:leader="none" w:pos="2320" w:val="left"/>
        </w:tabs>
        <w:rPr>
          <w:rFonts w:ascii="Times New Roman" w:cs="Times New Roman" w:eastAsia="Times New Roman" w:hAnsi="Times New Roman"/>
          <w:sz w:val="18"/>
          <w:szCs w:val="18"/>
          <w:u w:val="single" w:color="auto"/>
          <w:color w:val="0000EE"/>
        </w:rPr>
      </w:pPr>
      <w:hyperlink r:id="rId117">
        <w:r>
          <w:rPr>
            <w:rFonts w:ascii="Times New Roman" w:cs="Times New Roman" w:eastAsia="Times New Roman" w:hAnsi="Times New Roman"/>
            <w:sz w:val="18"/>
            <w:szCs w:val="18"/>
            <w:u w:val="single" w:color="auto"/>
            <w:color w:val="0000EE"/>
          </w:rPr>
          <w:t>10.6</w:t>
        </w:r>
      </w:hyperlink>
      <w:r>
        <w:rPr>
          <w:rFonts w:ascii="Times New Roman" w:cs="Times New Roman" w:eastAsia="Times New Roman" w:hAnsi="Times New Roman"/>
          <w:sz w:val="18"/>
          <w:szCs w:val="18"/>
          <w:u w:val="single" w:color="auto"/>
          <w:color w:val="0000EE"/>
        </w:rPr>
        <w:tab/>
      </w:r>
      <w:hyperlink r:id="rId117">
        <w:r>
          <w:rPr>
            <w:rFonts w:ascii="Times New Roman" w:cs="Times New Roman" w:eastAsia="Times New Roman" w:hAnsi="Times New Roman"/>
            <w:sz w:val="18"/>
            <w:szCs w:val="18"/>
            <w:u w:val="single" w:color="auto"/>
            <w:color w:val="0000EE"/>
          </w:rPr>
          <w:t>Form of Restricted Stock Unit Agreement, incorporated by reference to Exhibit 10.9 to the annual report on Form 10-K for</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the year ended December 31, 2016.*</w:t>
        </w:r>
      </w:hyperlink>
    </w:p>
    <w:p>
      <w:pPr>
        <w:spacing w:after="0" w:line="162" w:lineRule="exact"/>
        <w:rPr>
          <w:rFonts w:ascii="Times New Roman" w:cs="Times New Roman" w:eastAsia="Times New Roman" w:hAnsi="Times New Roman"/>
          <w:sz w:val="18"/>
          <w:szCs w:val="18"/>
          <w:u w:val="single" w:color="auto"/>
          <w:color w:val="0000EE"/>
        </w:rPr>
      </w:pPr>
    </w:p>
    <w:p>
      <w:pPr>
        <w:ind w:left="2340" w:right="320" w:hanging="647"/>
        <w:spacing w:after="0" w:line="282" w:lineRule="auto"/>
        <w:tabs>
          <w:tab w:leader="none" w:pos="2320" w:val="left"/>
        </w:tabs>
        <w:rPr>
          <w:rFonts w:ascii="Times New Roman" w:cs="Times New Roman" w:eastAsia="Times New Roman" w:hAnsi="Times New Roman"/>
          <w:sz w:val="18"/>
          <w:szCs w:val="18"/>
          <w:u w:val="single" w:color="auto"/>
          <w:color w:val="0000EE"/>
        </w:rPr>
      </w:pPr>
      <w:hyperlink r:id="rId118">
        <w:r>
          <w:rPr>
            <w:rFonts w:ascii="Times New Roman" w:cs="Times New Roman" w:eastAsia="Times New Roman" w:hAnsi="Times New Roman"/>
            <w:sz w:val="18"/>
            <w:szCs w:val="18"/>
            <w:u w:val="single" w:color="auto"/>
            <w:color w:val="0000EE"/>
          </w:rPr>
          <w:t>10.7</w:t>
        </w:r>
      </w:hyperlink>
      <w:r>
        <w:rPr>
          <w:rFonts w:ascii="Times New Roman" w:cs="Times New Roman" w:eastAsia="Times New Roman" w:hAnsi="Times New Roman"/>
          <w:sz w:val="18"/>
          <w:szCs w:val="18"/>
          <w:u w:val="single" w:color="auto"/>
          <w:color w:val="0000EE"/>
        </w:rPr>
        <w:tab/>
      </w:r>
      <w:hyperlink r:id="rId118">
        <w:r>
          <w:rPr>
            <w:rFonts w:ascii="Times New Roman" w:cs="Times New Roman" w:eastAsia="Times New Roman" w:hAnsi="Times New Roman"/>
            <w:sz w:val="18"/>
            <w:szCs w:val="18"/>
            <w:u w:val="single" w:color="auto"/>
            <w:color w:val="0000EE"/>
          </w:rPr>
          <w:t>Description of Cass Information Systems, Inc. Profit Sharing Program, incorporated by reference to Exhibit 10.7 to the</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annual report on For 10-K for the year ended December 31, 2018.*</w:t>
        </w:r>
      </w:hyperlink>
    </w:p>
    <w:p>
      <w:pPr>
        <w:spacing w:after="0" w:line="162" w:lineRule="exact"/>
        <w:rPr>
          <w:rFonts w:ascii="Times New Roman" w:cs="Times New Roman" w:eastAsia="Times New Roman" w:hAnsi="Times New Roman"/>
          <w:sz w:val="18"/>
          <w:szCs w:val="18"/>
          <w:u w:val="single" w:color="auto"/>
          <w:color w:val="0000EE"/>
        </w:rPr>
      </w:pPr>
    </w:p>
    <w:p>
      <w:pPr>
        <w:ind w:left="1700"/>
        <w:spacing w:after="0"/>
        <w:tabs>
          <w:tab w:leader="none" w:pos="23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21</w:t>
      </w:r>
      <w:r>
        <w:rPr>
          <w:sz w:val="20"/>
          <w:szCs w:val="20"/>
          <w:color w:val="auto"/>
        </w:rPr>
        <w:tab/>
      </w:r>
      <w:hyperlink w:anchor="page81">
        <w:r>
          <w:rPr>
            <w:rFonts w:ascii="Times New Roman" w:cs="Times New Roman" w:eastAsia="Times New Roman" w:hAnsi="Times New Roman"/>
            <w:sz w:val="18"/>
            <w:szCs w:val="18"/>
            <w:u w:val="single" w:color="auto"/>
            <w:color w:val="0000EE"/>
          </w:rPr>
          <w:t>Subsidiaries of registrant.</w:t>
        </w:r>
      </w:hyperlink>
    </w:p>
    <w:p>
      <w:pPr>
        <w:spacing w:after="0" w:line="225" w:lineRule="exact"/>
        <w:rPr>
          <w:rFonts w:ascii="Times New Roman" w:cs="Times New Roman" w:eastAsia="Times New Roman" w:hAnsi="Times New Roman"/>
          <w:sz w:val="18"/>
          <w:szCs w:val="18"/>
          <w:u w:val="single" w:color="auto"/>
          <w:color w:val="0000EE"/>
        </w:rPr>
      </w:pPr>
    </w:p>
    <w:p>
      <w:pPr>
        <w:ind w:left="1700"/>
        <w:spacing w:after="0"/>
        <w:tabs>
          <w:tab w:leader="none" w:pos="23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23</w:t>
      </w:r>
      <w:r>
        <w:rPr>
          <w:sz w:val="20"/>
          <w:szCs w:val="20"/>
          <w:color w:val="auto"/>
        </w:rPr>
        <w:tab/>
      </w:r>
      <w:hyperlink w:anchor="page82">
        <w:r>
          <w:rPr>
            <w:rFonts w:ascii="Times New Roman" w:cs="Times New Roman" w:eastAsia="Times New Roman" w:hAnsi="Times New Roman"/>
            <w:sz w:val="18"/>
            <w:szCs w:val="18"/>
            <w:u w:val="single" w:color="auto"/>
            <w:color w:val="0000EE"/>
          </w:rPr>
          <w:t>Consent of Independent Registered Public Accounting Firm.</w:t>
        </w:r>
      </w:hyperlink>
    </w:p>
    <w:p>
      <w:pPr>
        <w:spacing w:after="0" w:line="225" w:lineRule="exact"/>
        <w:rPr>
          <w:rFonts w:ascii="Times New Roman" w:cs="Times New Roman" w:eastAsia="Times New Roman" w:hAnsi="Times New Roman"/>
          <w:sz w:val="18"/>
          <w:szCs w:val="18"/>
          <w:u w:val="single" w:color="auto"/>
          <w:color w:val="0000EE"/>
        </w:rPr>
      </w:pPr>
    </w:p>
    <w:p>
      <w:pPr>
        <w:ind w:left="1700"/>
        <w:spacing w:after="0"/>
        <w:tabs>
          <w:tab w:leader="none" w:pos="2320" w:val="left"/>
        </w:tabs>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31.1</w:t>
        </w:r>
      </w:hyperlink>
      <w:r>
        <w:rPr>
          <w:rFonts w:ascii="Times New Roman" w:cs="Times New Roman" w:eastAsia="Times New Roman" w:hAnsi="Times New Roman"/>
          <w:sz w:val="18"/>
          <w:szCs w:val="18"/>
          <w:u w:val="single" w:color="auto"/>
          <w:color w:val="0000EE"/>
        </w:rPr>
        <w:tab/>
      </w:r>
      <w:hyperlink w:anchor="page83">
        <w:r>
          <w:rPr>
            <w:rFonts w:ascii="Times New Roman" w:cs="Times New Roman" w:eastAsia="Times New Roman" w:hAnsi="Times New Roman"/>
            <w:sz w:val="18"/>
            <w:szCs w:val="18"/>
            <w:u w:val="single" w:color="auto"/>
            <w:color w:val="0000EE"/>
          </w:rPr>
          <w:t>Certification Pursuant to Section 302 of the Sarbanes-Oxley Act of 2002.</w:t>
        </w:r>
      </w:hyperlink>
    </w:p>
    <w:p>
      <w:pPr>
        <w:spacing w:after="0" w:line="225" w:lineRule="exact"/>
        <w:rPr>
          <w:sz w:val="20"/>
          <w:szCs w:val="20"/>
          <w:color w:val="auto"/>
        </w:rPr>
      </w:pPr>
    </w:p>
    <w:p>
      <w:pPr>
        <w:ind w:left="1700"/>
        <w:spacing w:after="0"/>
        <w:tabs>
          <w:tab w:leader="none" w:pos="2320" w:val="left"/>
        </w:tabs>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31.2</w:t>
        </w:r>
      </w:hyperlink>
      <w:r>
        <w:rPr>
          <w:rFonts w:ascii="Times New Roman" w:cs="Times New Roman" w:eastAsia="Times New Roman" w:hAnsi="Times New Roman"/>
          <w:sz w:val="18"/>
          <w:szCs w:val="18"/>
          <w:u w:val="single" w:color="auto"/>
          <w:color w:val="0000EE"/>
        </w:rPr>
        <w:tab/>
      </w:r>
      <w:hyperlink w:anchor="page84">
        <w:r>
          <w:rPr>
            <w:rFonts w:ascii="Times New Roman" w:cs="Times New Roman" w:eastAsia="Times New Roman" w:hAnsi="Times New Roman"/>
            <w:sz w:val="18"/>
            <w:szCs w:val="18"/>
            <w:u w:val="single" w:color="auto"/>
            <w:color w:val="0000EE"/>
          </w:rPr>
          <w:t>Certification Pursuant to Section 302 of the Sarbanes-Oxley Act of 2002.</w:t>
        </w:r>
      </w:hyperlink>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6"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32.1</w:t>
              </w:r>
            </w:hyperlink>
          </w:p>
        </w:tc>
        <w:tc>
          <w:tcPr>
            <w:tcW w:w="8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Certification Pursuant to 18 U.S.C. Section 1350, as Adopted Pursuant to Section 906 of the Sarbanes-Oxley Act of</w:t>
              </w:r>
            </w:hyperlink>
          </w:p>
        </w:tc>
      </w:tr>
      <w:tr>
        <w:trPr>
          <w:trHeight w:val="196"/>
        </w:trPr>
        <w:tc>
          <w:tcPr>
            <w:tcW w:w="100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w:anchor="page85">
              <w:r>
                <w:rPr>
                  <w:rFonts w:ascii="Times New Roman" w:cs="Times New Roman" w:eastAsia="Times New Roman" w:hAnsi="Times New Roman"/>
                  <w:sz w:val="18"/>
                  <w:szCs w:val="18"/>
                  <w:color w:val="0000EE"/>
                  <w:w w:val="93"/>
                </w:rPr>
                <w:t>2002.</w:t>
              </w:r>
            </w:hyperlink>
          </w:p>
        </w:tc>
        <w:tc>
          <w:tcPr>
            <w:tcW w:w="7920" w:type="dxa"/>
            <w:vAlign w:val="bottom"/>
          </w:tcPr>
          <w:p>
            <w:pPr>
              <w:spacing w:after="0"/>
              <w:rPr>
                <w:sz w:val="17"/>
                <w:szCs w:val="17"/>
                <w:color w:val="auto"/>
              </w:rPr>
            </w:pPr>
          </w:p>
        </w:tc>
      </w:tr>
      <w:tr>
        <w:trPr>
          <w:trHeight w:val="412"/>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32.2</w:t>
              </w:r>
            </w:hyperlink>
          </w:p>
        </w:tc>
        <w:tc>
          <w:tcPr>
            <w:tcW w:w="8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Certification Pursuant to 18 U.S.C. Section 1350, as Adopted Pursuant to Section 906 of the Sarbanes-Oxley Act of</w:t>
              </w:r>
            </w:hyperlink>
          </w:p>
        </w:tc>
      </w:tr>
      <w:tr>
        <w:trPr>
          <w:trHeight w:val="196"/>
        </w:trPr>
        <w:tc>
          <w:tcPr>
            <w:tcW w:w="100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w:anchor="page86">
              <w:r>
                <w:rPr>
                  <w:rFonts w:ascii="Times New Roman" w:cs="Times New Roman" w:eastAsia="Times New Roman" w:hAnsi="Times New Roman"/>
                  <w:sz w:val="18"/>
                  <w:szCs w:val="18"/>
                  <w:color w:val="0000EE"/>
                  <w:w w:val="93"/>
                </w:rPr>
                <w:t>2002.</w:t>
              </w:r>
            </w:hyperlink>
          </w:p>
        </w:tc>
        <w:tc>
          <w:tcPr>
            <w:tcW w:w="7920" w:type="dxa"/>
            <w:vAlign w:val="bottom"/>
          </w:tcPr>
          <w:p>
            <w:pPr>
              <w:spacing w:after="0"/>
              <w:rPr>
                <w:sz w:val="17"/>
                <w:szCs w:val="17"/>
                <w:color w:val="auto"/>
              </w:rPr>
            </w:pPr>
          </w:p>
        </w:tc>
      </w:tr>
      <w:tr>
        <w:trPr>
          <w:trHeight w:val="45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198" w:lineRule="exact"/>
        <w:rPr>
          <w:sz w:val="20"/>
          <w:szCs w:val="20"/>
          <w:color w:val="auto"/>
        </w:rPr>
      </w:pPr>
    </w:p>
    <w:p>
      <w:pPr>
        <w:ind w:left="2480" w:hanging="1001"/>
        <w:spacing w:after="0"/>
        <w:tabs>
          <w:tab w:leader="none" w:pos="2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w:t>
      </w:r>
    </w:p>
    <w:p>
      <w:pPr>
        <w:spacing w:after="0" w:line="38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contract or compensatory plan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10883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u w:val="single" w:color="auto"/>
          <w:color w:val="auto"/>
        </w:rPr>
        <w:t>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800"/>
          </w:cols>
          <w:pgMar w:left="320" w:top="293" w:right="7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696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CASS INFORMATION SYSTEMS, INC.</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2021</w:t>
            </w:r>
          </w:p>
        </w:tc>
        <w:tc>
          <w:tcPr>
            <w:tcW w:w="20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H. Brunngraber</w:t>
            </w:r>
          </w:p>
        </w:tc>
      </w:tr>
      <w:tr>
        <w:trPr>
          <w:trHeight w:val="191"/>
        </w:trPr>
        <w:tc>
          <w:tcPr>
            <w:tcW w:w="33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9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Eric H. Brunngraber</w:t>
            </w:r>
          </w:p>
        </w:tc>
      </w:tr>
      <w:tr>
        <w:trPr>
          <w:trHeight w:val="216"/>
        </w:trPr>
        <w:tc>
          <w:tcPr>
            <w:tcW w:w="33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3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2021</w:t>
            </w:r>
          </w:p>
        </w:tc>
        <w:tc>
          <w:tcPr>
            <w:tcW w:w="20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P. Stephen Appelbaum</w:t>
            </w:r>
          </w:p>
        </w:tc>
      </w:tr>
      <w:tr>
        <w:trPr>
          <w:trHeight w:val="211"/>
        </w:trPr>
        <w:tc>
          <w:tcPr>
            <w:tcW w:w="33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 Stephen Appelbaum</w:t>
            </w:r>
          </w:p>
        </w:tc>
      </w:tr>
    </w:tbl>
    <w:p>
      <w:pPr>
        <w:jc w:val="center"/>
        <w:ind w:left="45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7"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the dates indicated by the following persons on behalf of the registrant and in their capacity as a member of the Board of Directors of the Company.</w:t>
      </w:r>
    </w:p>
    <w:p>
      <w:pPr>
        <w:sectPr>
          <w:pgSz w:w="11900" w:h="16838" w:orient="portrait"/>
          <w:cols w:equalWidth="0" w:num="1">
            <w:col w:w="11240"/>
          </w:cols>
          <w:pgMar w:left="320" w:top="2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Date: February 26, 2021</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55"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Date: February 26, 2021</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55"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Date: February 26, 2021</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55"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Date: February 26, 2021</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55"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Date: February 26, 2021</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55"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Date: February 26, 2021</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55"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Date: February 26, 2021</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55"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Date: February 26, 2021</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55"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Date: February 26, 2021</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31375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H. Brunngraber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Ralph W. Clermont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31375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Ralph W. Clermont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A. 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31375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Ebel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Benjamin F. Edwards,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31375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F. Edwards, IV</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J. Lindemann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31375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J. Lindemann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Sally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31375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Sally H. Roth</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D. Rupp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31375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D. Rupp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Randall L. Schilling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31375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Randall L. Schilling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Franklin D. Wicks,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31375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Franklin D. Wicks, Jr.</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137160</wp:posOffset>
            </wp:positionV>
            <wp:extent cx="71323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2">
            <w:col w:w="5260" w:space="240"/>
            <w:col w:w="5740"/>
          </w:cols>
          <w:pgMar w:left="320" w:top="293" w:right="339" w:bottom="1440" w:gutter="0" w:footer="0" w:header="0"/>
          <w:type w:val="continuous"/>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SUBSIDIARIES OF CASS INFORMATION SYSTEMS, INC.*</w:t>
            </w: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w w:val="99"/>
              </w:rPr>
              <w:t>Name &amp; Address</w:t>
            </w: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State of Incorporation</w:t>
            </w:r>
          </w:p>
        </w:tc>
        <w:tc>
          <w:tcPr>
            <w:tcW w:w="80" w:type="dxa"/>
            <w:vAlign w:val="bottom"/>
          </w:tcPr>
          <w:p>
            <w:pPr>
              <w:spacing w:after="0"/>
              <w:rPr>
                <w:sz w:val="24"/>
                <w:szCs w:val="24"/>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34"/>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Cass Commercial Bank</w:t>
            </w: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Missouri</w:t>
            </w: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12412 Powerscourt Drive</w:t>
            </w: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Louis, Missouri 63131</w:t>
            </w:r>
          </w:p>
        </w:tc>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Cass International LLC</w:t>
            </w: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Missouri</w:t>
            </w: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12444 Powerscourt Drive</w:t>
            </w: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Louis, Missouri 63131</w:t>
            </w:r>
          </w:p>
        </w:tc>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Item 601(b)(21)(ii) of Regulation S-K, the names of particular subsidiaries may be omitted if the unnamed subsidiaries, considered in the aggregate as a single subsidiary, would not constitute a significant subsidiary (as such term is defined in Rule 1-02(w) of Regulation S-X) as of the end of the year covered by this annual report on Form 10-K.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Cass Information Systems, Inc.:</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333-44497, 333-44499, 033-91456, 033-91568, 333-143411, 333-181772, and 333-188504) on Form S-8 of Cass Information Systems, Inc. of our reports dated February 26, 2021, with respect to the consolidated balance sheets of Cass Information Systems, Inc. as of December 31, 2020 and 2019, the related consolidated statements of income, comprehensive income, cash flows, and shareholders’ equity for each of the years in the three-year period ended December 31, 2020, and the related notes (collectively, the consolidated financial statements), and the effectiveness of internal control over financial reporting as of December 31, 2020, which reports appear in the December 31, 2020 annual report on Form 10 K of Cass Information Systems, Inc.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H. Brunngraber, certify that:</w:t>
      </w:r>
    </w:p>
    <w:p>
      <w:pPr>
        <w:spacing w:after="0" w:line="225"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Cass Information Systems, Inc.;</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2021</w:t>
      </w:r>
    </w:p>
    <w:p>
      <w:pPr>
        <w:spacing w:after="0" w:line="200" w:lineRule="exact"/>
        <w:rPr>
          <w:sz w:val="20"/>
          <w:szCs w:val="20"/>
          <w:color w:val="auto"/>
        </w:rPr>
      </w:pPr>
    </w:p>
    <w:p>
      <w:pPr>
        <w:spacing w:after="0" w:line="30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Eric H. Brunngraber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 Stephen Appelbaum, certify that:</w:t>
      </w:r>
    </w:p>
    <w:p>
      <w:pPr>
        <w:spacing w:after="0" w:line="225"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Cass Information Systems, Inc.;</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2021</w:t>
      </w:r>
    </w:p>
    <w:p>
      <w:pPr>
        <w:spacing w:after="0" w:line="200" w:lineRule="exact"/>
        <w:rPr>
          <w:sz w:val="20"/>
          <w:szCs w:val="20"/>
          <w:color w:val="auto"/>
        </w:rPr>
      </w:pPr>
    </w:p>
    <w:p>
      <w:pPr>
        <w:spacing w:after="0" w:line="30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 Stephen Appelbaum</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Cass Information Systems, Inc. (“the Company”) on Form 10-K for the period ended December 31, 2020,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spacing w:after="0" w:line="176" w:lineRule="exact"/>
        <w:rPr>
          <w:sz w:val="20"/>
          <w:szCs w:val="20"/>
          <w:color w:val="auto"/>
        </w:rPr>
      </w:pPr>
    </w:p>
    <w:p>
      <w:pPr>
        <w:ind w:left="680" w:hanging="443"/>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80" w:hanging="443"/>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Eric H. Brunngraber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February 26, 2021</w:t>
      </w:r>
    </w:p>
    <w:p>
      <w:pPr>
        <w:spacing w:after="0" w:line="3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Cass Information Systems, Inc. (“the Company”) on Form 10-K for the period ended December 31, 2020 as filed with the Securities and Exchange Commission on the date hereof (the “Report”), I, P. Stephen Appelbaum, Executive Vice President and Chief Financial Officer of the Company, certify, pursuant to 18 U.S.C. § 1350, as adopted pursuant to § 906 of the Sarbanes-Oxley Act of 2002, that:</w:t>
      </w:r>
    </w:p>
    <w:p>
      <w:pPr>
        <w:spacing w:after="0" w:line="176" w:lineRule="exact"/>
        <w:rPr>
          <w:sz w:val="20"/>
          <w:szCs w:val="20"/>
          <w:color w:val="auto"/>
        </w:rPr>
      </w:pPr>
    </w:p>
    <w:p>
      <w:pPr>
        <w:ind w:left="680" w:hanging="443"/>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80" w:hanging="443"/>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 Stephen Appelbaum</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February 26, 2021</w:t>
      </w:r>
    </w:p>
    <w:p>
      <w:pPr>
        <w:spacing w:after="0" w:line="3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endash "/>
      <w:numFmt w:val="bullet"/>
      <w:start w:val="1"/>
    </w:lvl>
  </w:abstractNum>
  <w:abstractNum w:abstractNumId="20">
    <w:nsid w:val="B03E0C6"/>
    <w:multiLevelType w:val="hybridMultilevel"/>
    <w:lvl w:ilvl="0">
      <w:lvlJc w:val="left"/>
      <w:lvlText w:val="\endash "/>
      <w:numFmt w:val="bullet"/>
      <w:start w:val="1"/>
    </w:lvl>
  </w:abstractNum>
  <w:abstractNum w:abstractNumId="21">
    <w:nsid w:val="189A769B"/>
    <w:multiLevelType w:val="hybridMultilevel"/>
    <w:lvl w:ilvl="0">
      <w:lvlJc w:val="left"/>
      <w:lvlText w:val="\endash "/>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1"/>
    </w:lvl>
    <w:lvl w:ilvl="1">
      <w:lvlJc w:val="left"/>
      <w:lvlText w:val="(%2)"/>
      <w:numFmt w:val="decimal"/>
      <w:start w:val="1"/>
    </w:lvl>
    <w:lvl w:ilvl="2">
      <w:lvlJc w:val="left"/>
      <w:lvlText w:val="(%3)"/>
      <w:numFmt w:val="decimal"/>
      <w:start w:val="3"/>
    </w:lvl>
  </w:abstractNum>
  <w:abstractNum w:abstractNumId="25">
    <w:nsid w:val="836C40E"/>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26">
    <w:nsid w:val="2901D82"/>
    <w:multiLevelType w:val="hybridMultilevel"/>
    <w:lvl w:ilvl="0">
      <w:lvlJc w:val="left"/>
      <w:lvlText w:val="*"/>
      <w:numFmt w:val="bullet"/>
      <w:start w:val="1"/>
    </w:lvl>
    <w:lvl w:ilvl="1">
      <w:lvlJc w:val="left"/>
      <w:lvlText w:val="%2"/>
      <w:numFmt w:val="decimal"/>
      <w:start w:val="104"/>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07" Type="http://schemas.openxmlformats.org/officeDocument/2006/relationships/hyperlink" Target="http://www.sec.gov/Archives/edgar/data/708781/0000950114-98-000012.txt" TargetMode="External"/><Relationship Id="rId108" Type="http://schemas.openxmlformats.org/officeDocument/2006/relationships/hyperlink" Target="http://www.sec.gov/Archives/edgar/data/708781/000119312513162285/d522876dex31.htm" TargetMode="External"/><Relationship Id="rId109" Type="http://schemas.openxmlformats.org/officeDocument/2006/relationships/hyperlink" Target="http://www.sec.gov/Archives/edgar/data/708781/000119380506002677/e601185_ex3-1.txt" TargetMode="External"/><Relationship Id="rId110" Type="http://schemas.openxmlformats.org/officeDocument/2006/relationships/hyperlink" Target="http://www.sec.gov/Archives/edgar/data/708781/000119312516653705/d202430dex31.htm" TargetMode="External"/><Relationship Id="rId111" Type="http://schemas.openxmlformats.org/officeDocument/2006/relationships/hyperlink" Target="https://www.sec.gov/Archives/edgar/data/708781/000120677420000650/cass3589044-ex41.htm" TargetMode="External"/><Relationship Id="rId112" Type="http://schemas.openxmlformats.org/officeDocument/2006/relationships/hyperlink" Target="http://www.sec.gov/Archives/edgar/data/708781/000119380503000382/e300379_ex10-1.txt" TargetMode="External"/><Relationship Id="rId113" Type="http://schemas.openxmlformats.org/officeDocument/2006/relationships/hyperlink" Target="http://www.sec.gov/Archives/edgar/data/708781/000119312513162285/d522876dex101.htm" TargetMode="External"/><Relationship Id="rId114" Type="http://schemas.openxmlformats.org/officeDocument/2006/relationships/hyperlink" Target="http://www.sec.gov/Archives/edgar/data/708781/000119380507002783/e602795_ex10-2.txt" TargetMode="External"/><Relationship Id="rId115" Type="http://schemas.openxmlformats.org/officeDocument/2006/relationships/hyperlink" Target="http://www.sec.gov/Archives/edgar/data/708781/000119380507002783/e602795_ex10-4.txt" TargetMode="External"/><Relationship Id="rId116" Type="http://schemas.openxmlformats.org/officeDocument/2006/relationships/hyperlink" Target="http://www.sec.gov/Archives/edgar/data/708781/000120677417000734/cass3073843-ex108.htm" TargetMode="External"/><Relationship Id="rId117" Type="http://schemas.openxmlformats.org/officeDocument/2006/relationships/hyperlink" Target="http://www.sec.gov/Archives/edgar/data/708781/000120677417000734/cass3073843-ex109.htm" TargetMode="External"/><Relationship Id="rId118" Type="http://schemas.openxmlformats.org/officeDocument/2006/relationships/hyperlink" Target="http://www.sec.gov/Archives/edgar/data/708781/000120677418000614/cass3253864-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2021-02-26T12:44:50Z</dcterms:created>
  <dcterms:modified xsi:type="dcterms:W3CDTF">2021-02-26T12:44:50Z</dcterms:modified>
</cp:coreProperties>
</file>