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270510</wp:posOffset>
            </wp:positionV>
            <wp:extent cx="73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78" w:lineRule="exact"/>
        <w:rPr>
          <w:sz w:val="24"/>
          <w:szCs w:val="24"/>
          <w:color w:val="auto"/>
        </w:rPr>
      </w:pPr>
    </w:p>
    <w:p>
      <w:pPr>
        <w:ind w:left="340" w:right="2340" w:hanging="332"/>
        <w:spacing w:after="0" w:line="499"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284480</wp:posOffset>
            </wp:positionV>
            <wp:extent cx="73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CASS INFORMATION SYSTEMS, INC.</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2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1940" w:type="dxa"/>
            <w:vAlign w:val="bottom"/>
          </w:tcPr>
          <w:p>
            <w:pPr>
              <w:spacing w:after="0"/>
              <w:rPr>
                <w:sz w:val="19"/>
                <w:szCs w:val="19"/>
                <w:color w:val="auto"/>
              </w:rPr>
            </w:pPr>
          </w:p>
        </w:tc>
        <w:tc>
          <w:tcPr>
            <w:tcW w:w="4780" w:type="dxa"/>
            <w:vAlign w:val="bottom"/>
            <w:gridSpan w:val="2"/>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15"/>
        </w:trPr>
        <w:tc>
          <w:tcPr>
            <w:tcW w:w="646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20" w:type="dxa"/>
            <w:vAlign w:val="bottom"/>
          </w:tcPr>
          <w:p>
            <w:pPr>
              <w:spacing w:after="0"/>
              <w:rPr>
                <w:sz w:val="18"/>
                <w:szCs w:val="18"/>
                <w:color w:val="auto"/>
              </w:rPr>
            </w:pPr>
          </w:p>
        </w:tc>
        <w:tc>
          <w:tcPr>
            <w:tcW w:w="45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1"/>
        </w:trPr>
        <w:tc>
          <w:tcPr>
            <w:tcW w:w="452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7"/>
              </w:rPr>
              <w:t>organization)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5"/>
        </w:trPr>
        <w:tc>
          <w:tcPr>
            <w:tcW w:w="452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9"/>
        </w:trPr>
        <w:tc>
          <w:tcPr>
            <w:tcW w:w="452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St. Louis, Missouri</w:t>
            </w:r>
          </w:p>
        </w:tc>
        <w:tc>
          <w:tcPr>
            <w:tcW w:w="1940" w:type="dxa"/>
            <w:vAlign w:val="bottom"/>
          </w:tcPr>
          <w:p>
            <w:pPr>
              <w:spacing w:after="0"/>
              <w:rPr>
                <w:sz w:val="19"/>
                <w:szCs w:val="19"/>
                <w:color w:val="auto"/>
              </w:rPr>
            </w:pPr>
          </w:p>
        </w:tc>
        <w:tc>
          <w:tcPr>
            <w:tcW w:w="4780" w:type="dxa"/>
            <w:vAlign w:val="bottom"/>
            <w:gridSpan w:val="2"/>
          </w:tcPr>
          <w:p>
            <w:pPr>
              <w:jc w:val="right"/>
              <w:ind w:right="267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34"/>
        </w:trPr>
        <w:tc>
          <w:tcPr>
            <w:tcW w:w="452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05"/>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(314) 506-5500</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32"/>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45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9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$.50</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CASS</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253365</wp:posOffset>
            </wp:positionV>
            <wp:extent cx="735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both"/>
        <w:ind w:firstLine="21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8"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jc w:val="both"/>
        <w:ind w:firstLine="215"/>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33"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jc w:val="both"/>
        <w:ind w:firstLine="21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21" w:lineRule="exact"/>
        <w:rPr>
          <w:sz w:val="24"/>
          <w:szCs w:val="24"/>
          <w:color w:val="auto"/>
        </w:rPr>
      </w:pPr>
    </w:p>
    <w:p>
      <w:pPr>
        <w:ind w:left="3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940" w:space="720"/>
            <w:col w:w="7580"/>
          </w:cols>
          <w:pgMar w:left="320" w:top="229" w:right="339" w:bottom="1440" w:gutter="0" w:footer="0" w:header="0"/>
          <w:type w:val="continuous"/>
        </w:sectPr>
      </w:pPr>
    </w:p>
    <w:p>
      <w:pPr>
        <w:spacing w:after="0" w:line="36" w:lineRule="exact"/>
        <w:rPr>
          <w:sz w:val="24"/>
          <w:szCs w:val="24"/>
          <w:color w:val="auto"/>
        </w:rPr>
      </w:pPr>
    </w:p>
    <w:p>
      <w:pPr>
        <w:ind w:left="3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6" w:lineRule="exact"/>
        <w:rPr>
          <w:sz w:val="24"/>
          <w:szCs w:val="24"/>
          <w:color w:val="auto"/>
        </w:rPr>
      </w:pPr>
    </w:p>
    <w:p>
      <w:pPr>
        <w:sectPr>
          <w:pgSz w:w="11900" w:h="16838" w:orient="portrait"/>
          <w:cols w:equalWidth="0" w:num="3">
            <w:col w:w="2940" w:space="720"/>
            <w:col w:w="2680" w:space="720"/>
            <w:col w:w="4180"/>
          </w:cols>
          <w:pgMar w:left="320" w:top="229" w:right="339" w:bottom="1440" w:gutter="0" w:footer="0" w:header="0"/>
          <w:type w:val="continuous"/>
        </w:sectPr>
      </w:pPr>
    </w:p>
    <w:p>
      <w:pPr>
        <w:ind w:firstLine="21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95"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ind w:firstLine="215"/>
        <w:spacing w:after="0" w:line="281"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October 26, 2020: Common stock, par value $.50 per share – 14,422,133 shares outstanding.</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955" cy="28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480" w:type="dxa"/>
            <w:vAlign w:val="bottom"/>
          </w:tcPr>
          <w:p>
            <w:pPr>
              <w:spacing w:after="0"/>
              <w:rPr>
                <w:sz w:val="20"/>
                <w:szCs w:val="20"/>
                <w:color w:val="auto"/>
              </w:rPr>
            </w:pPr>
          </w:p>
        </w:tc>
      </w:tr>
      <w:tr>
        <w:trPr>
          <w:trHeight w:val="229"/>
        </w:trPr>
        <w:tc>
          <w:tcPr>
            <w:tcW w:w="9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197"/>
        </w:trPr>
        <w:tc>
          <w:tcPr>
            <w:tcW w:w="920" w:type="dxa"/>
            <w:vAlign w:val="bottom"/>
            <w:shd w:val="clear" w:color="auto" w:fill="B2B2B2"/>
          </w:tcPr>
          <w:p>
            <w:pPr>
              <w:spacing w:after="0"/>
              <w:rPr>
                <w:sz w:val="17"/>
                <w:szCs w:val="17"/>
                <w:color w:val="auto"/>
              </w:rPr>
            </w:pPr>
          </w:p>
        </w:tc>
        <w:tc>
          <w:tcPr>
            <w:tcW w:w="7840" w:type="dxa"/>
            <w:vAlign w:val="bottom"/>
            <w:shd w:val="clear" w:color="auto" w:fill="B2B2B2"/>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Balance Sheets</w:t>
            </w:r>
          </w:p>
        </w:tc>
        <w:tc>
          <w:tcPr>
            <w:tcW w:w="2480" w:type="dxa"/>
            <w:vAlign w:val="bottom"/>
            <w:shd w:val="clear" w:color="auto" w:fill="B2B2B2"/>
          </w:tcPr>
          <w:p>
            <w:pPr>
              <w:spacing w:after="0"/>
              <w:rPr>
                <w:sz w:val="17"/>
                <w:szCs w:val="17"/>
                <w:color w:val="auto"/>
              </w:rPr>
            </w:pPr>
          </w:p>
        </w:tc>
      </w:tr>
      <w:tr>
        <w:trPr>
          <w:trHeight w:val="234"/>
        </w:trPr>
        <w:tc>
          <w:tcPr>
            <w:tcW w:w="920" w:type="dxa"/>
            <w:vAlign w:val="bottom"/>
            <w:shd w:val="clear" w:color="auto" w:fill="B2B2B2"/>
          </w:tcPr>
          <w:p>
            <w:pPr>
              <w:spacing w:after="0"/>
              <w:rPr>
                <w:sz w:val="20"/>
                <w:szCs w:val="20"/>
                <w:color w:val="auto"/>
              </w:rPr>
            </w:pPr>
          </w:p>
        </w:tc>
        <w:tc>
          <w:tcPr>
            <w:tcW w:w="7840" w:type="dxa"/>
            <w:vAlign w:val="bottom"/>
            <w:shd w:val="clear" w:color="auto" w:fill="B2B2B2"/>
          </w:tcPr>
          <w:p>
            <w:pPr>
              <w:ind w:left="440"/>
              <w:spacing w:after="0"/>
              <w:rPr>
                <w:sz w:val="20"/>
                <w:szCs w:val="20"/>
                <w:color w:val="auto"/>
              </w:rPr>
            </w:pPr>
            <w:r>
              <w:rPr>
                <w:rFonts w:ascii="Times New Roman" w:cs="Times New Roman" w:eastAsia="Times New Roman" w:hAnsi="Times New Roman"/>
                <w:sz w:val="18"/>
                <w:szCs w:val="18"/>
                <w:color w:val="auto"/>
              </w:rPr>
              <w:t>September 30, 2020 (unaudited) and December 31, 2019</w:t>
            </w:r>
          </w:p>
        </w:tc>
        <w:tc>
          <w:tcPr>
            <w:tcW w:w="24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20" w:type="dxa"/>
            <w:vAlign w:val="bottom"/>
            <w:shd w:val="clear" w:color="auto" w:fill="B2B2B2"/>
          </w:tcPr>
          <w:p>
            <w:pPr>
              <w:spacing w:after="0"/>
              <w:rPr>
                <w:sz w:val="19"/>
                <w:szCs w:val="19"/>
                <w:color w:val="auto"/>
              </w:rPr>
            </w:pPr>
          </w:p>
        </w:tc>
        <w:tc>
          <w:tcPr>
            <w:tcW w:w="7840" w:type="dxa"/>
            <w:vAlign w:val="bottom"/>
            <w:shd w:val="clear" w:color="auto" w:fill="B2B2B2"/>
          </w:tcPr>
          <w:p>
            <w:pPr>
              <w:spacing w:after="0"/>
              <w:rPr>
                <w:sz w:val="19"/>
                <w:szCs w:val="19"/>
                <w:color w:val="auto"/>
              </w:rPr>
            </w:pPr>
          </w:p>
        </w:tc>
        <w:tc>
          <w:tcPr>
            <w:tcW w:w="2480" w:type="dxa"/>
            <w:vAlign w:val="bottom"/>
            <w:shd w:val="clear" w:color="auto" w:fill="B2B2B2"/>
          </w:tcPr>
          <w:p>
            <w:pPr>
              <w:spacing w:after="0"/>
              <w:rPr>
                <w:sz w:val="19"/>
                <w:szCs w:val="19"/>
                <w:color w:val="auto"/>
              </w:rPr>
            </w:pPr>
          </w:p>
        </w:tc>
      </w:tr>
      <w:tr>
        <w:trPr>
          <w:trHeight w:val="197"/>
        </w:trPr>
        <w:tc>
          <w:tcPr>
            <w:tcW w:w="920" w:type="dxa"/>
            <w:vAlign w:val="bottom"/>
          </w:tcPr>
          <w:p>
            <w:pPr>
              <w:spacing w:after="0"/>
              <w:rPr>
                <w:sz w:val="17"/>
                <w:szCs w:val="17"/>
                <w:color w:val="auto"/>
              </w:rPr>
            </w:pPr>
          </w:p>
        </w:tc>
        <w:tc>
          <w:tcPr>
            <w:tcW w:w="78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Income</w:t>
            </w:r>
          </w:p>
        </w:tc>
        <w:tc>
          <w:tcPr>
            <w:tcW w:w="248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Three and nine months ended September 30, 2020 and 2019 (unaudited)</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197"/>
        </w:trPr>
        <w:tc>
          <w:tcPr>
            <w:tcW w:w="920" w:type="dxa"/>
            <w:vAlign w:val="bottom"/>
            <w:shd w:val="clear" w:color="auto" w:fill="B2B2B2"/>
          </w:tcPr>
          <w:p>
            <w:pPr>
              <w:spacing w:after="0"/>
              <w:rPr>
                <w:sz w:val="17"/>
                <w:szCs w:val="17"/>
                <w:color w:val="auto"/>
              </w:rPr>
            </w:pPr>
          </w:p>
        </w:tc>
        <w:tc>
          <w:tcPr>
            <w:tcW w:w="7840" w:type="dxa"/>
            <w:vAlign w:val="bottom"/>
            <w:shd w:val="clear" w:color="auto" w:fill="B2B2B2"/>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480" w:type="dxa"/>
            <w:vAlign w:val="bottom"/>
            <w:shd w:val="clear" w:color="auto" w:fill="B2B2B2"/>
          </w:tcPr>
          <w:p>
            <w:pPr>
              <w:spacing w:after="0"/>
              <w:rPr>
                <w:sz w:val="17"/>
                <w:szCs w:val="17"/>
                <w:color w:val="auto"/>
              </w:rPr>
            </w:pPr>
          </w:p>
        </w:tc>
      </w:tr>
      <w:tr>
        <w:trPr>
          <w:trHeight w:val="234"/>
        </w:trPr>
        <w:tc>
          <w:tcPr>
            <w:tcW w:w="920" w:type="dxa"/>
            <w:vAlign w:val="bottom"/>
            <w:shd w:val="clear" w:color="auto" w:fill="B2B2B2"/>
          </w:tcPr>
          <w:p>
            <w:pPr>
              <w:spacing w:after="0"/>
              <w:rPr>
                <w:sz w:val="20"/>
                <w:szCs w:val="20"/>
                <w:color w:val="auto"/>
              </w:rPr>
            </w:pPr>
          </w:p>
        </w:tc>
        <w:tc>
          <w:tcPr>
            <w:tcW w:w="7840" w:type="dxa"/>
            <w:vAlign w:val="bottom"/>
            <w:shd w:val="clear" w:color="auto" w:fill="B2B2B2"/>
          </w:tcPr>
          <w:p>
            <w:pPr>
              <w:ind w:left="440"/>
              <w:spacing w:after="0"/>
              <w:rPr>
                <w:sz w:val="20"/>
                <w:szCs w:val="20"/>
                <w:color w:val="auto"/>
              </w:rPr>
            </w:pPr>
            <w:r>
              <w:rPr>
                <w:rFonts w:ascii="Times New Roman" w:cs="Times New Roman" w:eastAsia="Times New Roman" w:hAnsi="Times New Roman"/>
                <w:sz w:val="18"/>
                <w:szCs w:val="18"/>
                <w:color w:val="auto"/>
              </w:rPr>
              <w:t>Three and nine months ended September 30, 2020 and 2019 (unaudited)</w:t>
            </w:r>
          </w:p>
        </w:tc>
        <w:tc>
          <w:tcPr>
            <w:tcW w:w="24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20" w:type="dxa"/>
            <w:vAlign w:val="bottom"/>
            <w:shd w:val="clear" w:color="auto" w:fill="B2B2B2"/>
          </w:tcPr>
          <w:p>
            <w:pPr>
              <w:spacing w:after="0"/>
              <w:rPr>
                <w:sz w:val="19"/>
                <w:szCs w:val="19"/>
                <w:color w:val="auto"/>
              </w:rPr>
            </w:pPr>
          </w:p>
        </w:tc>
        <w:tc>
          <w:tcPr>
            <w:tcW w:w="7840" w:type="dxa"/>
            <w:vAlign w:val="bottom"/>
            <w:shd w:val="clear" w:color="auto" w:fill="B2B2B2"/>
          </w:tcPr>
          <w:p>
            <w:pPr>
              <w:spacing w:after="0"/>
              <w:rPr>
                <w:sz w:val="19"/>
                <w:szCs w:val="19"/>
                <w:color w:val="auto"/>
              </w:rPr>
            </w:pPr>
          </w:p>
        </w:tc>
        <w:tc>
          <w:tcPr>
            <w:tcW w:w="2480" w:type="dxa"/>
            <w:vAlign w:val="bottom"/>
            <w:shd w:val="clear" w:color="auto" w:fill="B2B2B2"/>
          </w:tcPr>
          <w:p>
            <w:pPr>
              <w:spacing w:after="0"/>
              <w:rPr>
                <w:sz w:val="19"/>
                <w:szCs w:val="19"/>
                <w:color w:val="auto"/>
              </w:rPr>
            </w:pPr>
          </w:p>
        </w:tc>
      </w:tr>
      <w:tr>
        <w:trPr>
          <w:trHeight w:val="197"/>
        </w:trPr>
        <w:tc>
          <w:tcPr>
            <w:tcW w:w="920" w:type="dxa"/>
            <w:vAlign w:val="bottom"/>
          </w:tcPr>
          <w:p>
            <w:pPr>
              <w:spacing w:after="0"/>
              <w:rPr>
                <w:sz w:val="17"/>
                <w:szCs w:val="17"/>
                <w:color w:val="auto"/>
              </w:rPr>
            </w:pPr>
          </w:p>
        </w:tc>
        <w:tc>
          <w:tcPr>
            <w:tcW w:w="78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248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Nine months ended September 30, 2020 and 2019 (unaudited)</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bl>
    <w:p>
      <w:pPr>
        <w:spacing w:after="0" w:line="200" w:lineRule="exact"/>
        <w:rPr>
          <w:sz w:val="20"/>
          <w:szCs w:val="20"/>
          <w:color w:val="auto"/>
        </w:rPr>
      </w:pPr>
    </w:p>
    <w:p>
      <w:pPr>
        <w:sectPr>
          <w:pgSz w:w="11900" w:h="16838" w:orient="portrait"/>
          <w:cols w:equalWidth="0" w:num="1">
            <w:col w:w="11240"/>
          </w:cols>
          <w:pgMar w:left="320" w:top="319" w:right="339" w:bottom="1440" w:gutter="0" w:footer="0" w:header="0"/>
        </w:sectPr>
      </w:pPr>
    </w:p>
    <w:p>
      <w:pPr>
        <w:spacing w:after="0" w:line="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419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41910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Three and nine months ended September 30, 2020 and 2019 (unaudited)</w:t>
      </w:r>
    </w:p>
    <w:p>
      <w:pPr>
        <w:spacing w:after="0" w:line="2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37" w:lineRule="exact"/>
        <w:rPr>
          <w:sz w:val="20"/>
          <w:szCs w:val="20"/>
          <w:color w:val="auto"/>
        </w:rPr>
      </w:pPr>
    </w:p>
    <w:p>
      <w:pPr>
        <w:ind w:left="280"/>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28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17" w:lineRule="exact"/>
        <w:rPr>
          <w:sz w:val="20"/>
          <w:szCs w:val="20"/>
          <w:color w:val="auto"/>
        </w:rPr>
      </w:pPr>
    </w:p>
    <w:p>
      <w:pPr>
        <w:ind w:left="280"/>
        <w:spacing w:after="0"/>
        <w:tabs>
          <w:tab w:leader="none" w:pos="10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ectPr>
          <w:pgSz w:w="11900" w:h="16838" w:orient="portrait"/>
          <w:cols w:equalWidth="0" w:num="2">
            <w:col w:w="10200" w:space="720"/>
            <w:col w:w="320"/>
          </w:cols>
          <w:pgMar w:left="320" w:top="319"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9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r>
      <w:tr>
        <w:trPr>
          <w:trHeight w:val="190"/>
        </w:trPr>
        <w:tc>
          <w:tcPr>
            <w:tcW w:w="7300" w:type="dxa"/>
            <w:vAlign w:val="bottom"/>
            <w:shd w:val="clear" w:color="auto" w:fill="B2B2B2"/>
          </w:tcPr>
          <w:p>
            <w:pPr>
              <w:spacing w:after="0"/>
              <w:rPr>
                <w:sz w:val="16"/>
                <w:szCs w:val="16"/>
                <w:color w:val="auto"/>
              </w:rPr>
            </w:pPr>
          </w:p>
        </w:tc>
        <w:tc>
          <w:tcPr>
            <w:tcW w:w="3940" w:type="dxa"/>
            <w:vAlign w:val="bottom"/>
            <w:shd w:val="clear" w:color="auto" w:fill="B2B2B2"/>
          </w:tcPr>
          <w:p>
            <w:pPr>
              <w:spacing w:after="0"/>
              <w:rPr>
                <w:sz w:val="16"/>
                <w:szCs w:val="16"/>
                <w:color w:val="auto"/>
              </w:rPr>
            </w:pPr>
          </w:p>
        </w:tc>
      </w:t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PART II – Other Information </w:t>
            </w:r>
            <w:r>
              <w:rPr>
                <w:rFonts w:ascii="Times New Roman" w:cs="Times New Roman" w:eastAsia="Times New Roman" w:hAnsi="Times New Roman"/>
                <w:sz w:val="18"/>
                <w:szCs w:val="18"/>
                <w:color w:val="auto"/>
              </w:rPr>
              <w:t>– Items 1. – 6.</w:t>
            </w:r>
          </w:p>
        </w:tc>
        <w:tc>
          <w:tcPr>
            <w:tcW w:w="3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r>
      <w:tr>
        <w:trPr>
          <w:trHeight w:val="206"/>
        </w:trPr>
        <w:tc>
          <w:tcPr>
            <w:tcW w:w="73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34"/>
        </w:trPr>
        <w:tc>
          <w:tcPr>
            <w:tcW w:w="73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SIGNATURES</w:t>
            </w:r>
          </w:p>
        </w:tc>
        <w:tc>
          <w:tcPr>
            <w:tcW w:w="39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7300" w:type="dxa"/>
            <w:vAlign w:val="bottom"/>
            <w:shd w:val="clear" w:color="auto" w:fill="B2B2B2"/>
          </w:tcPr>
          <w:p>
            <w:pPr>
              <w:spacing w:after="0"/>
              <w:rPr>
                <w:sz w:val="18"/>
                <w:szCs w:val="18"/>
                <w:color w:val="auto"/>
              </w:rPr>
            </w:pPr>
          </w:p>
        </w:tc>
        <w:tc>
          <w:tcPr>
            <w:tcW w:w="3940" w:type="dxa"/>
            <w:vAlign w:val="bottom"/>
            <w:shd w:val="clear" w:color="auto" w:fill="B2B2B2"/>
          </w:tcPr>
          <w:p>
            <w:pPr>
              <w:spacing w:after="0"/>
              <w:rPr>
                <w:sz w:val="18"/>
                <w:szCs w:val="18"/>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2019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10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6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w w:val="99"/>
              </w:rPr>
              <w:t>(Dollars in Thousands except Share and Per Share Data)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8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208,783</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214,718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8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439,451</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shd w:val="clear" w:color="auto" w:fill="B2B2B2"/>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365,165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240"/>
          </w:cols>
          <w:pgMar w:left="320" w:top="31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Loans, net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in excess of 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944,557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772,638</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10,556</w:t>
            </w:r>
          </w:p>
        </w:tc>
      </w:tr>
      <w:tr>
        <w:trPr>
          <w:trHeight w:val="209"/>
        </w:trPr>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933,259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762,082</w:t>
            </w:r>
          </w:p>
        </w:tc>
        <w:tc>
          <w:tcPr>
            <w:tcW w:w="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161,392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206,158</w:t>
            </w: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18,890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20,527</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17,942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17,599</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14,262</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4,281</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46,465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112,715</w:t>
            </w:r>
          </w:p>
        </w:tc>
      </w:tr>
      <w:tr>
        <w:trPr>
          <w:trHeight w:val="209"/>
        </w:trPr>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1,764,243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-1419225</wp:posOffset>
            </wp:positionV>
            <wp:extent cx="7132955"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-1136650</wp:posOffset>
            </wp:positionV>
            <wp:extent cx="713295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-854710</wp:posOffset>
            </wp:positionV>
            <wp:extent cx="7132955"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-581025</wp:posOffset>
            </wp:positionV>
            <wp:extent cx="713295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-307340</wp:posOffset>
            </wp:positionV>
            <wp:extent cx="713295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360"/>
          </w:cols>
          <w:pgMar w:left="320" w:top="319"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Borders>
              <w:top w:val="single" w:sz="8" w:color="auto"/>
            </w:tcBorders>
            <w:shd w:val="clear" w:color="auto" w:fill="B2B2B2"/>
          </w:tcPr>
          <w:p>
            <w:pPr>
              <w:spacing w:after="0" w:line="195" w:lineRule="exact"/>
              <w:rPr>
                <w:sz w:val="20"/>
                <w:szCs w:val="20"/>
                <w:color w:val="auto"/>
              </w:rPr>
            </w:pPr>
            <w:r>
              <w:rPr>
                <w:rFonts w:ascii="Times New Roman" w:cs="Times New Roman" w:eastAsia="Times New Roman" w:hAnsi="Times New Roman"/>
                <w:sz w:val="18"/>
                <w:szCs w:val="18"/>
                <w:color w:val="auto"/>
              </w:rPr>
              <w:t>Deposits:</w:t>
            </w:r>
          </w:p>
        </w:tc>
        <w:tc>
          <w:tcPr>
            <w:tcW w:w="800" w:type="dxa"/>
            <w:vAlign w:val="bottom"/>
            <w:tcBorders>
              <w:top w:val="single" w:sz="8" w:color="B2B2B2"/>
            </w:tcBorders>
            <w:shd w:val="clear" w:color="auto" w:fill="B2B2B2"/>
          </w:tcPr>
          <w:p>
            <w:pPr>
              <w:spacing w:after="0"/>
              <w:rPr>
                <w:sz w:val="17"/>
                <w:szCs w:val="17"/>
                <w:color w:val="auto"/>
              </w:rPr>
            </w:pPr>
          </w:p>
        </w:tc>
        <w:tc>
          <w:tcPr>
            <w:tcW w:w="6080" w:type="dxa"/>
            <w:vAlign w:val="bottom"/>
            <w:tcBorders>
              <w:top w:val="single" w:sz="8" w:color="B2B2B2"/>
            </w:tcBorders>
            <w:shd w:val="clear" w:color="auto" w:fill="B2B2B2"/>
          </w:tcPr>
          <w:p>
            <w:pPr>
              <w:spacing w:after="0"/>
              <w:rPr>
                <w:sz w:val="17"/>
                <w:szCs w:val="17"/>
                <w:color w:val="auto"/>
              </w:rPr>
            </w:pPr>
          </w:p>
        </w:tc>
        <w:tc>
          <w:tcPr>
            <w:tcW w:w="220" w:type="dxa"/>
            <w:vAlign w:val="bottom"/>
            <w:tcBorders>
              <w:top w:val="single" w:sz="8" w:color="B2B2B2"/>
            </w:tcBorders>
            <w:shd w:val="clear" w:color="auto" w:fill="B2B2B2"/>
          </w:tcPr>
          <w:p>
            <w:pPr>
              <w:spacing w:after="0"/>
              <w:rPr>
                <w:sz w:val="17"/>
                <w:szCs w:val="17"/>
                <w:color w:val="auto"/>
              </w:rPr>
            </w:pPr>
          </w:p>
        </w:tc>
        <w:tc>
          <w:tcPr>
            <w:tcW w:w="480" w:type="dxa"/>
            <w:vAlign w:val="bottom"/>
            <w:tcBorders>
              <w:top w:val="single" w:sz="8" w:color="B2B2B2"/>
            </w:tcBorders>
            <w:shd w:val="clear" w:color="auto" w:fill="B2B2B2"/>
          </w:tcPr>
          <w:p>
            <w:pPr>
              <w:spacing w:after="0"/>
              <w:rPr>
                <w:sz w:val="17"/>
                <w:szCs w:val="17"/>
                <w:color w:val="auto"/>
              </w:rPr>
            </w:pPr>
          </w:p>
        </w:tc>
        <w:tc>
          <w:tcPr>
            <w:tcW w:w="1100" w:type="dxa"/>
            <w:vAlign w:val="bottom"/>
            <w:tcBorders>
              <w:top w:val="single" w:sz="8" w:color="B2B2B2"/>
            </w:tcBorders>
            <w:shd w:val="clear" w:color="auto" w:fill="B2B2B2"/>
          </w:tcPr>
          <w:p>
            <w:pPr>
              <w:spacing w:after="0"/>
              <w:rPr>
                <w:sz w:val="17"/>
                <w:szCs w:val="17"/>
                <w:color w:val="auto"/>
              </w:rPr>
            </w:pPr>
          </w:p>
        </w:tc>
        <w:tc>
          <w:tcPr>
            <w:tcW w:w="220" w:type="dxa"/>
            <w:vAlign w:val="bottom"/>
            <w:tcBorders>
              <w:top w:val="single" w:sz="8" w:color="B2B2B2"/>
            </w:tcBorders>
            <w:shd w:val="clear" w:color="auto" w:fill="B2B2B2"/>
          </w:tcPr>
          <w:p>
            <w:pPr>
              <w:spacing w:after="0"/>
              <w:rPr>
                <w:sz w:val="17"/>
                <w:szCs w:val="17"/>
                <w:color w:val="auto"/>
              </w:rPr>
            </w:pPr>
          </w:p>
        </w:tc>
        <w:tc>
          <w:tcPr>
            <w:tcW w:w="460" w:type="dxa"/>
            <w:vAlign w:val="bottom"/>
            <w:tcBorders>
              <w:top w:val="single" w:sz="8" w:color="B2B2B2"/>
            </w:tcBorders>
            <w:shd w:val="clear" w:color="auto" w:fill="B2B2B2"/>
          </w:tcPr>
          <w:p>
            <w:pPr>
              <w:spacing w:after="0"/>
              <w:rPr>
                <w:sz w:val="17"/>
                <w:szCs w:val="17"/>
                <w:color w:val="auto"/>
              </w:rPr>
            </w:pPr>
          </w:p>
        </w:tc>
        <w:tc>
          <w:tcPr>
            <w:tcW w:w="1100" w:type="dxa"/>
            <w:vAlign w:val="bottom"/>
            <w:tcBorders>
              <w:top w:val="single" w:sz="8" w:color="B2B2B2"/>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374,382</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536,803</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406,045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B2B2B2"/>
          </w:tcPr>
          <w:p>
            <w:pPr>
              <w:spacing w:after="0" w:line="20" w:lineRule="exact"/>
              <w:rPr>
                <w:sz w:val="1"/>
                <w:szCs w:val="1"/>
                <w:color w:val="auto"/>
              </w:rPr>
            </w:pPr>
          </w:p>
        </w:tc>
        <w:tc>
          <w:tcPr>
            <w:tcW w:w="800" w:type="dxa"/>
            <w:vAlign w:val="bottom"/>
            <w:shd w:val="clear" w:color="auto" w:fill="B2B2B2"/>
          </w:tcPr>
          <w:p>
            <w:pPr>
              <w:spacing w:after="0" w:line="20" w:lineRule="exact"/>
              <w:rPr>
                <w:sz w:val="1"/>
                <w:szCs w:val="1"/>
                <w:color w:val="auto"/>
              </w:rPr>
            </w:pPr>
          </w:p>
        </w:tc>
        <w:tc>
          <w:tcPr>
            <w:tcW w:w="6080" w:type="dxa"/>
            <w:vAlign w:val="bottom"/>
            <w:shd w:val="clear" w:color="auto" w:fill="B2B2B2"/>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911,185</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771,607</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684,295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66,180</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B2B2B2"/>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B2B2B2"/>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1,748,972</w:t>
            </w:r>
          </w:p>
        </w:tc>
        <w:tc>
          <w:tcPr>
            <w:tcW w:w="220" w:type="dxa"/>
            <w:vAlign w:val="bottom"/>
            <w:tcBorders>
              <w:top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80" w:type="dxa"/>
            <w:vAlign w:val="bottom"/>
            <w:tcBorders>
              <w:bottom w:val="single" w:sz="8" w:color="auto"/>
            </w:tcBorders>
            <w:gridSpan w:val="2"/>
            <w:shd w:val="clear" w:color="auto" w:fill="B2B2B2"/>
          </w:tcPr>
          <w:p>
            <w:pPr>
              <w:spacing w:after="0"/>
              <w:rPr>
                <w:sz w:val="20"/>
                <w:szCs w:val="20"/>
                <w:color w:val="auto"/>
              </w:rPr>
            </w:pPr>
            <w:r>
              <w:rPr>
                <w:rFonts w:ascii="Times New Roman" w:cs="Times New Roman" w:eastAsia="Times New Roman" w:hAnsi="Times New Roman"/>
                <w:sz w:val="18"/>
                <w:szCs w:val="18"/>
                <w:color w:val="auto"/>
                <w:w w:val="99"/>
              </w:rPr>
              <w:t>Shareholders’ Equity:</w:t>
            </w:r>
          </w:p>
        </w:tc>
        <w:tc>
          <w:tcPr>
            <w:tcW w:w="60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60" w:type="dxa"/>
            <w:vAlign w:val="bottom"/>
            <w:gridSpan w:val="3"/>
            <w:shd w:val="clear" w:color="auto" w:fill="B2B2B2"/>
          </w:tcPr>
          <w:p>
            <w:pPr>
              <w:spacing w:after="0" w:line="197" w:lineRule="exact"/>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220" w:type="dxa"/>
            <w:vAlign w:val="bottom"/>
            <w:shd w:val="clear" w:color="auto" w:fill="B2B2B2"/>
          </w:tcPr>
          <w:p>
            <w:pPr>
              <w:spacing w:after="0"/>
              <w:rPr>
                <w:sz w:val="17"/>
                <w:szCs w:val="17"/>
                <w:color w:val="auto"/>
              </w:rPr>
            </w:pPr>
          </w:p>
        </w:tc>
        <w:tc>
          <w:tcPr>
            <w:tcW w:w="48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3"/>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w:t>
            </w:r>
          </w:p>
        </w:tc>
        <w:tc>
          <w:tcPr>
            <w:tcW w:w="220" w:type="dxa"/>
            <w:vAlign w:val="bottom"/>
            <w:shd w:val="clear" w:color="auto" w:fill="B2B2B2"/>
          </w:tcPr>
          <w:p>
            <w:pPr>
              <w:spacing w:after="0"/>
              <w:rPr>
                <w:sz w:val="20"/>
                <w:szCs w:val="20"/>
                <w:color w:val="auto"/>
              </w:rPr>
            </w:pPr>
          </w:p>
        </w:tc>
        <w:tc>
          <w:tcPr>
            <w:tcW w:w="480" w:type="dxa"/>
            <w:vAlign w:val="bottom"/>
            <w:shd w:val="clear" w:color="auto" w:fill="B2B2B2"/>
          </w:tcPr>
          <w:p>
            <w:pPr>
              <w:spacing w:after="0"/>
              <w:rPr>
                <w:sz w:val="20"/>
                <w:szCs w:val="20"/>
                <w:color w:val="auto"/>
              </w:rPr>
            </w:pPr>
          </w:p>
        </w:tc>
        <w:tc>
          <w:tcPr>
            <w:tcW w:w="13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7,753</w:t>
            </w:r>
          </w:p>
        </w:tc>
        <w:tc>
          <w:tcPr>
            <w:tcW w:w="460" w:type="dxa"/>
            <w:vAlign w:val="bottom"/>
            <w:shd w:val="clear" w:color="auto" w:fill="B2B2B2"/>
          </w:tcPr>
          <w:p>
            <w:pPr>
              <w:spacing w:after="0"/>
              <w:rPr>
                <w:sz w:val="20"/>
                <w:szCs w:val="20"/>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205,053</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97,402</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6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Common shares in treasury, at cost (1,083,639 shares at September 30, 2020 and 991,406 shares at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(49,410)</w:t>
            </w:r>
          </w:p>
        </w:tc>
        <w:tc>
          <w:tcPr>
            <w:tcW w:w="4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(45,381)</w:t>
            </w: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(9,307)</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B2B2B2"/>
          </w:tcPr>
          <w:p>
            <w:pPr>
              <w:spacing w:after="0" w:line="20" w:lineRule="exact"/>
              <w:rPr>
                <w:sz w:val="1"/>
                <w:szCs w:val="1"/>
                <w:color w:val="auto"/>
              </w:rPr>
            </w:pPr>
          </w:p>
        </w:tc>
        <w:tc>
          <w:tcPr>
            <w:tcW w:w="800" w:type="dxa"/>
            <w:vAlign w:val="bottom"/>
            <w:shd w:val="clear" w:color="auto" w:fill="B2B2B2"/>
          </w:tcPr>
          <w:p>
            <w:pPr>
              <w:spacing w:after="0" w:line="20" w:lineRule="exact"/>
              <w:rPr>
                <w:sz w:val="1"/>
                <w:szCs w:val="1"/>
                <w:color w:val="auto"/>
              </w:rPr>
            </w:pPr>
          </w:p>
        </w:tc>
        <w:tc>
          <w:tcPr>
            <w:tcW w:w="6080" w:type="dxa"/>
            <w:vAlign w:val="bottom"/>
            <w:shd w:val="clear" w:color="auto" w:fill="B2B2B2"/>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251,491</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B2B2B2"/>
            </w:tcBorders>
            <w:gridSpan w:val="3"/>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B2B2B2"/>
            </w:tcBorders>
            <w:shd w:val="clear" w:color="auto" w:fill="B2B2B2"/>
          </w:tcPr>
          <w:p>
            <w:pPr>
              <w:spacing w:after="0"/>
              <w:rPr>
                <w:sz w:val="21"/>
                <w:szCs w:val="21"/>
                <w:color w:val="auto"/>
              </w:rPr>
            </w:pPr>
          </w:p>
        </w:tc>
        <w:tc>
          <w:tcPr>
            <w:tcW w:w="480" w:type="dxa"/>
            <w:vAlign w:val="bottom"/>
            <w:tcBorders>
              <w:top w:val="single" w:sz="8" w:color="auto"/>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2,000,463</w:t>
            </w:r>
          </w:p>
        </w:tc>
        <w:tc>
          <w:tcPr>
            <w:tcW w:w="220" w:type="dxa"/>
            <w:vAlign w:val="bottom"/>
            <w:tcBorders>
              <w:bottom w:val="single" w:sz="8" w:color="B2B2B2"/>
            </w:tcBorders>
            <w:shd w:val="clear" w:color="auto" w:fill="B2B2B2"/>
          </w:tcPr>
          <w:p>
            <w:pPr>
              <w:spacing w:after="0"/>
              <w:rPr>
                <w:sz w:val="21"/>
                <w:szCs w:val="21"/>
                <w:color w:val="auto"/>
              </w:rPr>
            </w:pPr>
          </w:p>
        </w:tc>
        <w:tc>
          <w:tcPr>
            <w:tcW w:w="460" w:type="dxa"/>
            <w:vAlign w:val="bottom"/>
            <w:tcBorders>
              <w:top w:val="single" w:sz="8" w:color="auto"/>
              <w:bottom w:val="single" w:sz="8" w:color="auto"/>
            </w:tcBorders>
            <w:shd w:val="clear" w:color="auto" w:fill="B2B2B2"/>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1,764,243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24,376</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27,741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72,540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Bank service fees</w:t>
            </w:r>
          </w:p>
        </w:tc>
        <w:tc>
          <w:tcPr>
            <w:tcW w:w="860" w:type="dxa"/>
            <w:vAlign w:val="bottom"/>
            <w:shd w:val="clear" w:color="auto" w:fill="B2B2B2"/>
          </w:tcPr>
          <w:p>
            <w:pPr>
              <w:spacing w:after="0"/>
              <w:rPr>
                <w:sz w:val="18"/>
                <w:szCs w:val="18"/>
                <w:color w:val="auto"/>
              </w:rPr>
            </w:pPr>
          </w:p>
        </w:tc>
        <w:tc>
          <w:tcPr>
            <w:tcW w:w="7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8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B2B2B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24,932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28,262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8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9,067</w:t>
            </w: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8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860" w:type="dxa"/>
            <w:vAlign w:val="bottom"/>
            <w:shd w:val="clear" w:color="auto" w:fill="B2B2B2"/>
          </w:tcPr>
          <w:p>
            <w:pPr>
              <w:spacing w:after="0"/>
              <w:rPr>
                <w:sz w:val="18"/>
                <w:szCs w:val="18"/>
                <w:color w:val="auto"/>
              </w:rPr>
            </w:pPr>
          </w:p>
        </w:tc>
        <w:tc>
          <w:tcPr>
            <w:tcW w:w="7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11,279</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w w:val="92"/>
              </w:rPr>
              <w:t>13,666</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35,259</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B2B2B2"/>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50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spacing w:after="0"/>
              <w:rPr>
                <w:sz w:val="18"/>
                <w:szCs w:val="18"/>
                <w:color w:val="auto"/>
              </w:rPr>
            </w:pPr>
          </w:p>
        </w:tc>
        <w:tc>
          <w:tcPr>
            <w:tcW w:w="48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48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on deposits</w:t>
            </w:r>
          </w:p>
        </w:tc>
        <w:tc>
          <w:tcPr>
            <w:tcW w:w="860" w:type="dxa"/>
            <w:vAlign w:val="bottom"/>
            <w:shd w:val="clear" w:color="auto" w:fill="B2B2B2"/>
          </w:tcPr>
          <w:p>
            <w:pPr>
              <w:spacing w:after="0"/>
              <w:rPr>
                <w:sz w:val="18"/>
                <w:szCs w:val="18"/>
                <w:color w:val="auto"/>
              </w:rPr>
            </w:pPr>
          </w:p>
        </w:tc>
        <w:tc>
          <w:tcPr>
            <w:tcW w:w="7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short-term borrowings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interest expense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B2B2B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interest income</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10,814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12,274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B2B2B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10,814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12,274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net revenue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35,746</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w w:val="92"/>
              </w:rPr>
              <w:t>40,536</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107,824</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Personnel</w:t>
            </w:r>
          </w:p>
        </w:tc>
        <w:tc>
          <w:tcPr>
            <w:tcW w:w="860" w:type="dxa"/>
            <w:vAlign w:val="bottom"/>
            <w:shd w:val="clear" w:color="auto" w:fill="B2B2B2"/>
          </w:tcPr>
          <w:p>
            <w:pPr>
              <w:spacing w:after="0"/>
              <w:rPr>
                <w:sz w:val="18"/>
                <w:szCs w:val="18"/>
                <w:color w:val="auto"/>
              </w:rPr>
            </w:pPr>
          </w:p>
        </w:tc>
        <w:tc>
          <w:tcPr>
            <w:tcW w:w="7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w w:val="96"/>
              </w:rPr>
              <w:t>22,521</w:t>
            </w: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w w:val="92"/>
              </w:rPr>
              <w:t>23,514</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65,839</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8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w:t>
            </w: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Equipment</w:t>
            </w:r>
          </w:p>
        </w:tc>
        <w:tc>
          <w:tcPr>
            <w:tcW w:w="860" w:type="dxa"/>
            <w:vAlign w:val="bottom"/>
            <w:shd w:val="clear" w:color="auto" w:fill="B2B2B2"/>
          </w:tcPr>
          <w:p>
            <w:pPr>
              <w:spacing w:after="0"/>
              <w:rPr>
                <w:sz w:val="18"/>
                <w:szCs w:val="18"/>
                <w:color w:val="auto"/>
              </w:rPr>
            </w:pPr>
          </w:p>
        </w:tc>
        <w:tc>
          <w:tcPr>
            <w:tcW w:w="7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1,648</w:t>
            </w: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B2B2B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28,680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30,563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860" w:type="dxa"/>
            <w:vAlign w:val="bottom"/>
            <w:shd w:val="clear" w:color="auto" w:fill="B2B2B2"/>
          </w:tcPr>
          <w:p>
            <w:pPr>
              <w:spacing w:after="0"/>
              <w:rPr>
                <w:sz w:val="18"/>
                <w:szCs w:val="18"/>
                <w:color w:val="auto"/>
              </w:rPr>
            </w:pP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9,973</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22,858</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B2B2B2"/>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20" w:type="dxa"/>
            <w:vAlign w:val="bottom"/>
            <w:shd w:val="clear" w:color="auto" w:fill="B2B2B2"/>
          </w:tcPr>
          <w:p>
            <w:pPr>
              <w:spacing w:after="0"/>
              <w:rPr>
                <w:sz w:val="21"/>
                <w:szCs w:val="21"/>
                <w:color w:val="auto"/>
              </w:rPr>
            </w:pPr>
          </w:p>
        </w:tc>
        <w:tc>
          <w:tcPr>
            <w:tcW w:w="880" w:type="dxa"/>
            <w:vAlign w:val="bottom"/>
            <w:shd w:val="clear" w:color="auto" w:fill="B2B2B2"/>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8,186</w:t>
            </w:r>
          </w:p>
        </w:tc>
        <w:tc>
          <w:tcPr>
            <w:tcW w:w="40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18,765</w:t>
            </w:r>
          </w:p>
        </w:tc>
        <w:tc>
          <w:tcPr>
            <w:tcW w:w="580" w:type="dxa"/>
            <w:vAlign w:val="bottom"/>
            <w:gridSpan w:val="2"/>
            <w:shd w:val="clear" w:color="auto" w:fill="B2B2B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80" w:type="dxa"/>
            <w:vAlign w:val="bottom"/>
            <w:tcBorders>
              <w:top w:val="single" w:sz="8" w:color="B2B2B2"/>
            </w:tcBorders>
            <w:shd w:val="clear" w:color="auto" w:fill="B2B2B2"/>
          </w:tcPr>
          <w:p>
            <w:pPr>
              <w:spacing w:after="0"/>
              <w:rPr>
                <w:sz w:val="17"/>
                <w:szCs w:val="17"/>
                <w:color w:val="auto"/>
              </w:rPr>
            </w:pPr>
          </w:p>
        </w:tc>
        <w:tc>
          <w:tcPr>
            <w:tcW w:w="860" w:type="dxa"/>
            <w:vAlign w:val="bottom"/>
            <w:tcBorders>
              <w:top w:val="single" w:sz="8" w:color="auto"/>
            </w:tcBorders>
            <w:shd w:val="clear" w:color="auto" w:fill="B2B2B2"/>
          </w:tcPr>
          <w:p>
            <w:pPr>
              <w:spacing w:after="0"/>
              <w:rPr>
                <w:sz w:val="17"/>
                <w:szCs w:val="17"/>
                <w:color w:val="auto"/>
              </w:rPr>
            </w:pPr>
          </w:p>
        </w:tc>
        <w:tc>
          <w:tcPr>
            <w:tcW w:w="500" w:type="dxa"/>
            <w:vAlign w:val="bottom"/>
            <w:tcBorders>
              <w:top w:val="single" w:sz="8" w:color="auto"/>
            </w:tcBorders>
            <w:shd w:val="clear" w:color="auto" w:fill="B2B2B2"/>
          </w:tcPr>
          <w:p>
            <w:pPr>
              <w:spacing w:after="0"/>
              <w:rPr>
                <w:sz w:val="17"/>
                <w:szCs w:val="17"/>
                <w:color w:val="auto"/>
              </w:rPr>
            </w:pPr>
          </w:p>
        </w:tc>
        <w:tc>
          <w:tcPr>
            <w:tcW w:w="220" w:type="dxa"/>
            <w:vAlign w:val="bottom"/>
            <w:tcBorders>
              <w:top w:val="single" w:sz="8" w:color="B2B2B2"/>
            </w:tcBorders>
            <w:shd w:val="clear" w:color="auto" w:fill="B2B2B2"/>
          </w:tcPr>
          <w:p>
            <w:pPr>
              <w:spacing w:after="0"/>
              <w:rPr>
                <w:sz w:val="17"/>
                <w:szCs w:val="17"/>
                <w:color w:val="auto"/>
              </w:rPr>
            </w:pPr>
          </w:p>
        </w:tc>
        <w:tc>
          <w:tcPr>
            <w:tcW w:w="880" w:type="dxa"/>
            <w:vAlign w:val="bottom"/>
            <w:tcBorders>
              <w:top w:val="single" w:sz="8" w:color="auto"/>
            </w:tcBorders>
            <w:shd w:val="clear" w:color="auto" w:fill="B2B2B2"/>
          </w:tcPr>
          <w:p>
            <w:pPr>
              <w:spacing w:after="0"/>
              <w:rPr>
                <w:sz w:val="17"/>
                <w:szCs w:val="17"/>
                <w:color w:val="auto"/>
              </w:rPr>
            </w:pPr>
          </w:p>
        </w:tc>
        <w:tc>
          <w:tcPr>
            <w:tcW w:w="480" w:type="dxa"/>
            <w:vAlign w:val="bottom"/>
            <w:tcBorders>
              <w:top w:val="single" w:sz="8" w:color="auto"/>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280" w:type="dxa"/>
            <w:vAlign w:val="bottom"/>
            <w:tcBorders>
              <w:top w:val="single" w:sz="8" w:color="auto"/>
            </w:tcBorders>
            <w:shd w:val="clear" w:color="auto" w:fill="B2B2B2"/>
          </w:tcPr>
          <w:p>
            <w:pPr>
              <w:spacing w:after="0"/>
              <w:rPr>
                <w:sz w:val="17"/>
                <w:szCs w:val="17"/>
                <w:color w:val="auto"/>
              </w:rPr>
            </w:pPr>
          </w:p>
        </w:tc>
        <w:tc>
          <w:tcPr>
            <w:tcW w:w="1060" w:type="dxa"/>
            <w:vAlign w:val="bottom"/>
            <w:tcBorders>
              <w:top w:val="single" w:sz="8" w:color="auto"/>
            </w:tcBorders>
            <w:shd w:val="clear" w:color="auto" w:fill="B2B2B2"/>
          </w:tcPr>
          <w:p>
            <w:pPr>
              <w:spacing w:after="0"/>
              <w:rPr>
                <w:sz w:val="17"/>
                <w:szCs w:val="17"/>
                <w:color w:val="auto"/>
              </w:rPr>
            </w:pPr>
          </w:p>
        </w:tc>
        <w:tc>
          <w:tcPr>
            <w:tcW w:w="100" w:type="dxa"/>
            <w:vAlign w:val="bottom"/>
            <w:tcBorders>
              <w:top w:val="single" w:sz="8" w:color="B2B2B2"/>
            </w:tcBorders>
            <w:shd w:val="clear" w:color="auto" w:fill="B2B2B2"/>
          </w:tcPr>
          <w:p>
            <w:pPr>
              <w:spacing w:after="0"/>
              <w:rPr>
                <w:sz w:val="17"/>
                <w:szCs w:val="17"/>
                <w:color w:val="auto"/>
              </w:rPr>
            </w:pPr>
          </w:p>
        </w:tc>
        <w:tc>
          <w:tcPr>
            <w:tcW w:w="100" w:type="dxa"/>
            <w:vAlign w:val="bottom"/>
            <w:tcBorders>
              <w:top w:val="single" w:sz="8" w:color="B2B2B2"/>
            </w:tcBorders>
            <w:shd w:val="clear" w:color="auto" w:fill="B2B2B2"/>
          </w:tcPr>
          <w:p>
            <w:pPr>
              <w:spacing w:after="0"/>
              <w:rPr>
                <w:sz w:val="17"/>
                <w:szCs w:val="17"/>
                <w:color w:val="auto"/>
              </w:rPr>
            </w:pPr>
          </w:p>
        </w:tc>
        <w:tc>
          <w:tcPr>
            <w:tcW w:w="480" w:type="dxa"/>
            <w:vAlign w:val="bottom"/>
            <w:tcBorders>
              <w:top w:val="single" w:sz="8" w:color="auto"/>
            </w:tcBorders>
            <w:shd w:val="clear" w:color="auto" w:fill="B2B2B2"/>
          </w:tcPr>
          <w:p>
            <w:pPr>
              <w:spacing w:after="0"/>
              <w:rPr>
                <w:sz w:val="17"/>
                <w:szCs w:val="17"/>
                <w:color w:val="auto"/>
              </w:rPr>
            </w:pPr>
          </w:p>
        </w:tc>
        <w:tc>
          <w:tcPr>
            <w:tcW w:w="860" w:type="dxa"/>
            <w:vAlign w:val="bottom"/>
            <w:tcBorders>
              <w:top w:val="single" w:sz="8" w:color="auto"/>
            </w:tcBorders>
            <w:shd w:val="clear" w:color="auto" w:fill="B2B2B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60" w:type="dxa"/>
            <w:vAlign w:val="bottom"/>
            <w:shd w:val="clear" w:color="auto" w:fill="B2B2B2"/>
          </w:tcPr>
          <w:p>
            <w:pPr>
              <w:spacing w:after="0"/>
              <w:rPr>
                <w:sz w:val="18"/>
                <w:szCs w:val="18"/>
                <w:color w:val="auto"/>
              </w:rPr>
            </w:pPr>
          </w:p>
        </w:tc>
        <w:tc>
          <w:tcPr>
            <w:tcW w:w="7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25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9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5,781</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on securities available-for-sale</w:t>
            </w: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900" w:type="dxa"/>
            <w:vAlign w:val="bottom"/>
            <w:shd w:val="clear" w:color="auto" w:fill="B2B2B2"/>
          </w:tcPr>
          <w:p>
            <w:pPr>
              <w:spacing w:after="0"/>
              <w:rPr>
                <w:sz w:val="18"/>
                <w:szCs w:val="18"/>
                <w:color w:val="auto"/>
              </w:rPr>
            </w:pPr>
          </w:p>
        </w:tc>
        <w:tc>
          <w:tcPr>
            <w:tcW w:w="4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for gains included in net income</w:t>
            </w: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90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spacing w:after="0"/>
              <w:rPr>
                <w:sz w:val="18"/>
                <w:szCs w:val="18"/>
                <w:color w:val="auto"/>
              </w:rPr>
            </w:pPr>
          </w:p>
        </w:tc>
        <w:tc>
          <w:tcPr>
            <w:tcW w:w="5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shd w:val="clear" w:color="auto" w:fill="B2B2B2"/>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220" w:type="dxa"/>
            <w:vAlign w:val="bottom"/>
            <w:shd w:val="clear" w:color="auto" w:fill="B2B2B2"/>
          </w:tcPr>
          <w:p>
            <w:pPr>
              <w:spacing w:after="0"/>
              <w:rPr>
                <w:sz w:val="19"/>
                <w:szCs w:val="19"/>
                <w:color w:val="auto"/>
              </w:rPr>
            </w:pPr>
          </w:p>
        </w:tc>
        <w:tc>
          <w:tcPr>
            <w:tcW w:w="920" w:type="dxa"/>
            <w:vAlign w:val="bottom"/>
            <w:shd w:val="clear" w:color="auto" w:fill="B2B2B2"/>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9,305</w:t>
            </w:r>
          </w:p>
        </w:tc>
        <w:tc>
          <w:tcPr>
            <w:tcW w:w="40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23,378</w:t>
            </w:r>
          </w:p>
        </w:tc>
        <w:tc>
          <w:tcPr>
            <w:tcW w:w="580" w:type="dxa"/>
            <w:vAlign w:val="bottom"/>
            <w:gridSpan w:val="2"/>
            <w:shd w:val="clear" w:color="auto" w:fill="B2B2B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B2B2B2"/>
            </w:tcBorders>
            <w:shd w:val="clear" w:color="auto" w:fill="B2B2B2"/>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B2B2B2"/>
            </w:tcBorders>
            <w:shd w:val="clear" w:color="auto" w:fill="B2B2B2"/>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2B2B2"/>
            </w:tcBorders>
            <w:shd w:val="clear" w:color="auto" w:fill="B2B2B2"/>
          </w:tcPr>
          <w:p>
            <w:pPr>
              <w:spacing w:after="0" w:line="20" w:lineRule="exact"/>
              <w:rPr>
                <w:sz w:val="1"/>
                <w:szCs w:val="1"/>
                <w:color w:val="auto"/>
              </w:rPr>
            </w:pPr>
          </w:p>
        </w:tc>
        <w:tc>
          <w:tcPr>
            <w:tcW w:w="120" w:type="dxa"/>
            <w:vAlign w:val="bottom"/>
            <w:tcBorders>
              <w:top w:val="single" w:sz="8" w:color="B2B2B2"/>
            </w:tcBorders>
            <w:shd w:val="clear" w:color="auto" w:fill="B2B2B2"/>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2B2B2"/>
            </w:tcBorders>
            <w:shd w:val="clear" w:color="auto" w:fill="B2B2B2"/>
          </w:tcPr>
          <w:p>
            <w:pPr>
              <w:spacing w:after="0" w:line="20" w:lineRule="exact"/>
              <w:rPr>
                <w:sz w:val="1"/>
                <w:szCs w:val="1"/>
                <w:color w:val="auto"/>
              </w:rPr>
            </w:pPr>
          </w:p>
        </w:tc>
        <w:tc>
          <w:tcPr>
            <w:tcW w:w="100" w:type="dxa"/>
            <w:vAlign w:val="bottom"/>
            <w:tcBorders>
              <w:top w:val="single" w:sz="8" w:color="B2B2B2"/>
            </w:tcBorders>
            <w:shd w:val="clear" w:color="auto" w:fill="B2B2B2"/>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8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8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18,765</w:t>
            </w:r>
          </w:p>
        </w:tc>
        <w:tc>
          <w:tcPr>
            <w:tcW w:w="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8,391</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income tax liability</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Increase in pension liability</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3,315</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8"/>
                <w:szCs w:val="18"/>
                <w:color w:val="auto"/>
              </w:rPr>
            </w:pPr>
          </w:p>
        </w:tc>
      </w:tr>
      <w:tr>
        <w:trPr>
          <w:trHeight w:val="215"/>
        </w:trPr>
        <w:tc>
          <w:tcPr>
            <w:tcW w:w="8220" w:type="dxa"/>
            <w:vAlign w:val="bottom"/>
            <w:tcBorders>
              <w:bottom w:val="single" w:sz="8" w:color="B2B2B2"/>
            </w:tcBorders>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60" w:type="dxa"/>
            <w:vAlign w:val="bottom"/>
            <w:tcBorders>
              <w:bottom w:val="single" w:sz="8" w:color="B2B2B2"/>
            </w:tcBorders>
            <w:shd w:val="clear" w:color="auto" w:fill="B2B2B2"/>
          </w:tcPr>
          <w:p>
            <w:pPr>
              <w:spacing w:after="0"/>
              <w:rPr>
                <w:sz w:val="18"/>
                <w:szCs w:val="18"/>
                <w:color w:val="auto"/>
              </w:rPr>
            </w:pPr>
          </w:p>
        </w:tc>
        <w:tc>
          <w:tcPr>
            <w:tcW w:w="40" w:type="dxa"/>
            <w:vAlign w:val="bottom"/>
            <w:tcBorders>
              <w:bottom w:val="single" w:sz="8" w:color="B2B2B2"/>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Pr>
          <w:p>
            <w:pPr>
              <w:spacing w:after="0"/>
              <w:rPr>
                <w:sz w:val="18"/>
                <w:szCs w:val="18"/>
                <w:color w:val="auto"/>
              </w:rPr>
            </w:pPr>
          </w:p>
        </w:tc>
      </w:tr>
      <w:tr>
        <w:trPr>
          <w:trHeight w:val="20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40,061</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39,774</w:t>
            </w:r>
          </w:p>
        </w:tc>
        <w:tc>
          <w:tcPr>
            <w:tcW w:w="20" w:type="dxa"/>
            <w:vAlign w:val="bottom"/>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19,629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43,605</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(2,931)</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increase in loans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(171,902)</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(45,763)</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payments in excess of funding</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(47,448)</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(1,705)</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Gateway Giving, LLC</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r>
      <w:tr>
        <w:trPr>
          <w:trHeight w:val="209"/>
        </w:trPr>
        <w:tc>
          <w:tcPr>
            <w:tcW w:w="8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(68,538)</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(75,439)</w:t>
            </w:r>
          </w:p>
        </w:tc>
        <w:tc>
          <w:tcPr>
            <w:tcW w:w="20" w:type="dxa"/>
            <w:vAlign w:val="bottom"/>
          </w:tcPr>
          <w:p>
            <w:pPr>
              <w:spacing w:after="0"/>
              <w:rPr>
                <w:sz w:val="18"/>
                <w:szCs w:val="18"/>
                <w:color w:val="auto"/>
              </w:rPr>
            </w:pPr>
          </w:p>
        </w:tc>
      </w:tr>
      <w:tr>
        <w:trPr>
          <w:trHeight w:val="209"/>
        </w:trPr>
        <w:tc>
          <w:tcPr>
            <w:tcW w:w="8220" w:type="dxa"/>
            <w:vAlign w:val="bottom"/>
            <w:tcBorders>
              <w:top w:val="single" w:sz="8" w:color="B2B2B2"/>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520" w:type="dxa"/>
            <w:vAlign w:val="bottom"/>
            <w:tcBorders>
              <w:top w:val="single" w:sz="8" w:color="auto"/>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increase (decrease) in noninterest-bearing demand deposits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23,290</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interest-bearing demand and savings deposits</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136,639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(decrease) increase in time deposits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(5,881)</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accounts and drafts payable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146,280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57,772</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decrease in short-term borrowings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(18,000)</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(11,704)</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(5,508)</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0" w:type="dxa"/>
            <w:vAlign w:val="bottom"/>
          </w:tcPr>
          <w:p>
            <w:pPr>
              <w:spacing w:after="0"/>
              <w:rPr>
                <w:sz w:val="18"/>
                <w:szCs w:val="18"/>
                <w:color w:val="auto"/>
              </w:rPr>
            </w:pPr>
          </w:p>
        </w:tc>
      </w:tr>
      <w:tr>
        <w:trPr>
          <w:trHeight w:val="21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r>
      <w:tr>
        <w:trPr>
          <w:trHeight w:val="209"/>
        </w:trPr>
        <w:tc>
          <w:tcPr>
            <w:tcW w:w="822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263,974</w:t>
            </w:r>
          </w:p>
        </w:tc>
        <w:tc>
          <w:tcPr>
            <w:tcW w:w="60" w:type="dxa"/>
            <w:vAlign w:val="bottom"/>
            <w:tcBorders>
              <w:bottom w:val="single" w:sz="8" w:color="B2B2B2"/>
            </w:tcBorders>
            <w:shd w:val="clear" w:color="auto" w:fill="B2B2B2"/>
          </w:tcPr>
          <w:p>
            <w:pPr>
              <w:spacing w:after="0"/>
              <w:rPr>
                <w:sz w:val="18"/>
                <w:szCs w:val="18"/>
                <w:color w:val="auto"/>
              </w:rPr>
            </w:pPr>
          </w:p>
        </w:tc>
        <w:tc>
          <w:tcPr>
            <w:tcW w:w="40" w:type="dxa"/>
            <w:vAlign w:val="bottom"/>
            <w:tcBorders>
              <w:bottom w:val="single" w:sz="8" w:color="B2B2B2"/>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20" w:type="dxa"/>
            <w:vAlign w:val="bottom"/>
          </w:tcPr>
          <w:p>
            <w:pPr>
              <w:spacing w:after="0"/>
              <w:rPr>
                <w:sz w:val="18"/>
                <w:szCs w:val="18"/>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235,497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 w:type="dxa"/>
            <w:vAlign w:val="bottom"/>
          </w:tcPr>
          <w:p>
            <w:pPr>
              <w:spacing w:after="0"/>
              <w:rPr>
                <w:sz w:val="18"/>
                <w:szCs w:val="18"/>
                <w:color w:val="auto"/>
              </w:rPr>
            </w:pPr>
          </w:p>
        </w:tc>
      </w:tr>
      <w:tr>
        <w:trPr>
          <w:trHeight w:val="215"/>
        </w:trPr>
        <w:tc>
          <w:tcPr>
            <w:tcW w:w="822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60" w:type="dxa"/>
            <w:vAlign w:val="bottom"/>
            <w:tcBorders>
              <w:bottom w:val="single" w:sz="8" w:color="B2B2B2"/>
            </w:tcBorders>
            <w:shd w:val="clear" w:color="auto" w:fill="B2B2B2"/>
          </w:tcPr>
          <w:p>
            <w:pPr>
              <w:spacing w:after="0"/>
              <w:rPr>
                <w:sz w:val="18"/>
                <w:szCs w:val="18"/>
                <w:color w:val="auto"/>
              </w:rPr>
            </w:pPr>
          </w:p>
        </w:tc>
        <w:tc>
          <w:tcPr>
            <w:tcW w:w="40" w:type="dxa"/>
            <w:vAlign w:val="bottom"/>
            <w:tcBorders>
              <w:bottom w:val="single" w:sz="8" w:color="B2B2B2"/>
            </w:tcBorders>
            <w:shd w:val="clear" w:color="auto" w:fill="B2B2B2"/>
          </w:tcPr>
          <w:p>
            <w:pPr>
              <w:spacing w:after="0"/>
              <w:rPr>
                <w:sz w:val="18"/>
                <w:szCs w:val="18"/>
                <w:color w:val="auto"/>
              </w:rPr>
            </w:pPr>
          </w:p>
        </w:tc>
        <w:tc>
          <w:tcPr>
            <w:tcW w:w="52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20" w:type="dxa"/>
            <w:vAlign w:val="bottom"/>
          </w:tcPr>
          <w:p>
            <w:pPr>
              <w:spacing w:after="0"/>
              <w:rPr>
                <w:sz w:val="18"/>
                <w:szCs w:val="18"/>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439,451</w:t>
            </w:r>
          </w:p>
        </w:tc>
        <w:tc>
          <w:tcPr>
            <w:tcW w:w="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222,738</w:t>
            </w:r>
          </w:p>
        </w:tc>
        <w:tc>
          <w:tcPr>
            <w:tcW w:w="20" w:type="dxa"/>
            <w:vAlign w:val="bottom"/>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8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w:t>
            </w:r>
          </w:p>
        </w:tc>
        <w:tc>
          <w:tcPr>
            <w:tcW w:w="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0" w:type="dxa"/>
            <w:vAlign w:val="bottom"/>
          </w:tcPr>
          <w:p>
            <w:pPr>
              <w:spacing w:after="0"/>
              <w:rPr>
                <w:sz w:val="18"/>
                <w:szCs w:val="18"/>
                <w:color w:val="auto"/>
              </w:rPr>
            </w:pPr>
          </w:p>
        </w:tc>
      </w:tr>
      <w:tr>
        <w:trPr>
          <w:trHeight w:val="215"/>
        </w:trPr>
        <w:tc>
          <w:tcPr>
            <w:tcW w:w="8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3,567</w:t>
            </w:r>
          </w:p>
        </w:tc>
        <w:tc>
          <w:tcPr>
            <w:tcW w:w="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0" w:type="dxa"/>
            <w:vAlign w:val="bottom"/>
          </w:tcPr>
          <w:p>
            <w:pPr>
              <w:spacing w:after="0"/>
              <w:rPr>
                <w:sz w:val="18"/>
                <w:szCs w:val="18"/>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10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Balance, June 30, 2019</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205,463</w:t>
            </w:r>
          </w:p>
        </w:tc>
        <w:tc>
          <w:tcPr>
            <w:tcW w:w="200" w:type="dxa"/>
            <w:vAlign w:val="bottom"/>
            <w:shd w:val="clear" w:color="auto" w:fill="B2B2B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4"/>
                <w:szCs w:val="14"/>
                <w:color w:val="auto"/>
              </w:rPr>
              <w:t>83,470</w:t>
            </w:r>
          </w:p>
        </w:tc>
        <w:tc>
          <w:tcPr>
            <w:tcW w:w="220" w:type="dxa"/>
            <w:vAlign w:val="bottom"/>
            <w:shd w:val="clear" w:color="auto" w:fill="B2B2B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(46,333)</w:t>
            </w: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(9,932)</w:t>
            </w: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240,421</w:t>
            </w:r>
          </w:p>
        </w:tc>
        <w:tc>
          <w:tcPr>
            <w:tcW w:w="0" w:type="dxa"/>
            <w:vAlign w:val="bottom"/>
          </w:tcPr>
          <w:p>
            <w:pPr>
              <w:spacing w:after="0"/>
              <w:rPr>
                <w:sz w:val="1"/>
                <w:szCs w:val="1"/>
                <w:color w:val="auto"/>
              </w:rPr>
            </w:pPr>
          </w:p>
        </w:tc>
      </w:tr>
      <w:tr>
        <w:trPr>
          <w:trHeight w:val="162"/>
        </w:trPr>
        <w:tc>
          <w:tcPr>
            <w:tcW w:w="3120" w:type="dxa"/>
            <w:vAlign w:val="bottom"/>
            <w:shd w:val="clear" w:color="auto" w:fill="B2B2B2"/>
          </w:tcPr>
          <w:p>
            <w:pPr>
              <w:spacing w:after="0"/>
              <w:rPr>
                <w:sz w:val="14"/>
                <w:szCs w:val="14"/>
                <w:color w:val="auto"/>
              </w:rPr>
            </w:pPr>
          </w:p>
        </w:tc>
        <w:tc>
          <w:tcPr>
            <w:tcW w:w="14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1140" w:type="dxa"/>
            <w:vAlign w:val="bottom"/>
            <w:shd w:val="clear" w:color="auto" w:fill="B2B2B2"/>
          </w:tcPr>
          <w:p>
            <w:pPr>
              <w:spacing w:after="0"/>
              <w:rPr>
                <w:sz w:val="14"/>
                <w:szCs w:val="14"/>
                <w:color w:val="auto"/>
              </w:rPr>
            </w:pPr>
          </w:p>
        </w:tc>
        <w:tc>
          <w:tcPr>
            <w:tcW w:w="120" w:type="dxa"/>
            <w:vAlign w:val="bottom"/>
            <w:tcBorders>
              <w:left w:val="single" w:sz="8" w:color="B2B2B2"/>
            </w:tcBorders>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1120" w:type="dxa"/>
            <w:vAlign w:val="bottom"/>
            <w:gridSpan w:val="2"/>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1020" w:type="dxa"/>
            <w:vAlign w:val="bottom"/>
            <w:shd w:val="clear" w:color="auto" w:fill="B2B2B2"/>
          </w:tcPr>
          <w:p>
            <w:pPr>
              <w:spacing w:after="0"/>
              <w:rPr>
                <w:sz w:val="14"/>
                <w:szCs w:val="14"/>
                <w:color w:val="auto"/>
              </w:rPr>
            </w:pPr>
          </w:p>
        </w:tc>
        <w:tc>
          <w:tcPr>
            <w:tcW w:w="100" w:type="dxa"/>
            <w:vAlign w:val="bottom"/>
            <w:tcBorders>
              <w:left w:val="single" w:sz="8" w:color="B2B2B2"/>
            </w:tcBorders>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1120" w:type="dxa"/>
            <w:vAlign w:val="bottom"/>
            <w:shd w:val="clear" w:color="auto" w:fill="B2B2B2"/>
          </w:tcPr>
          <w:p>
            <w:pPr>
              <w:spacing w:after="0"/>
              <w:rPr>
                <w:sz w:val="14"/>
                <w:szCs w:val="14"/>
                <w:color w:val="auto"/>
              </w:rPr>
            </w:pPr>
          </w:p>
        </w:tc>
        <w:tc>
          <w:tcPr>
            <w:tcW w:w="120" w:type="dxa"/>
            <w:vAlign w:val="bottom"/>
            <w:tcBorders>
              <w:left w:val="single" w:sz="8" w:color="B2B2B2"/>
            </w:tcBorders>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960" w:type="dxa"/>
            <w:vAlign w:val="bottom"/>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8,186</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Cash dividends ($.26 per share)</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4"/>
                <w:szCs w:val="14"/>
                <w:color w:val="auto"/>
              </w:rPr>
              <w:t>(3,769)</w:t>
            </w: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8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795 common shares pursuant to</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plan,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Exercise of SARs</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(552)</w:t>
            </w: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869</w:t>
            </w: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20"/>
        </w:trPr>
        <w:tc>
          <w:tcPr>
            <w:tcW w:w="3120" w:type="dxa"/>
            <w:vAlign w:val="bottom"/>
            <w:shd w:val="clear" w:color="auto" w:fill="B2B2B2"/>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shd w:val="clear" w:color="auto" w:fill="B2B2B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205,775</w:t>
            </w:r>
          </w:p>
        </w:tc>
        <w:tc>
          <w:tcPr>
            <w:tcW w:w="1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87,887</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246,617</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Balance, June 30, 2020</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320" w:type="dxa"/>
            <w:vAlign w:val="bottom"/>
            <w:tcBorders>
              <w:left w:val="single" w:sz="8" w:color="B2B2B2"/>
            </w:tcBorders>
            <w:gridSpan w:val="2"/>
            <w:shd w:val="clear" w:color="auto" w:fill="B2B2B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204,258</w:t>
            </w:r>
          </w:p>
        </w:tc>
        <w:tc>
          <w:tcPr>
            <w:tcW w:w="200" w:type="dxa"/>
            <w:vAlign w:val="bottom"/>
            <w:shd w:val="clear" w:color="auto" w:fill="B2B2B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4"/>
                <w:szCs w:val="14"/>
                <w:color w:val="auto"/>
              </w:rPr>
              <w:t>95,514</w:t>
            </w:r>
          </w:p>
        </w:tc>
        <w:tc>
          <w:tcPr>
            <w:tcW w:w="220" w:type="dxa"/>
            <w:vAlign w:val="bottom"/>
            <w:shd w:val="clear" w:color="auto" w:fill="B2B2B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(49,457)</w:t>
            </w:r>
          </w:p>
        </w:tc>
        <w:tc>
          <w:tcPr>
            <w:tcW w:w="200" w:type="dxa"/>
            <w:vAlign w:val="bottom"/>
            <w:tcBorders>
              <w:left w:val="single" w:sz="8" w:color="B2B2B2"/>
            </w:tcBorders>
            <w:gridSpan w:val="2"/>
            <w:shd w:val="clear" w:color="auto" w:fill="B2B2B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380" w:type="dxa"/>
            <w:vAlign w:val="bottom"/>
            <w:tcBorders>
              <w:left w:val="single" w:sz="8" w:color="B2B2B2"/>
            </w:tcBorders>
            <w:gridSpan w:val="2"/>
            <w:shd w:val="clear" w:color="auto" w:fill="B2B2B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248,527</w:t>
            </w:r>
          </w:p>
        </w:tc>
        <w:tc>
          <w:tcPr>
            <w:tcW w:w="0" w:type="dxa"/>
            <w:vAlign w:val="bottom"/>
          </w:tcPr>
          <w:p>
            <w:pPr>
              <w:spacing w:after="0"/>
              <w:rPr>
                <w:sz w:val="1"/>
                <w:szCs w:val="1"/>
                <w:color w:val="auto"/>
              </w:rPr>
            </w:pPr>
          </w:p>
        </w:tc>
      </w:tr>
      <w:tr>
        <w:trPr>
          <w:trHeight w:val="162"/>
        </w:trPr>
        <w:tc>
          <w:tcPr>
            <w:tcW w:w="3120" w:type="dxa"/>
            <w:vAlign w:val="bottom"/>
            <w:shd w:val="clear" w:color="auto" w:fill="B2B2B2"/>
          </w:tcPr>
          <w:p>
            <w:pPr>
              <w:spacing w:after="0"/>
              <w:rPr>
                <w:sz w:val="14"/>
                <w:szCs w:val="14"/>
                <w:color w:val="auto"/>
              </w:rPr>
            </w:pPr>
          </w:p>
        </w:tc>
        <w:tc>
          <w:tcPr>
            <w:tcW w:w="14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1140" w:type="dxa"/>
            <w:vAlign w:val="bottom"/>
            <w:shd w:val="clear" w:color="auto" w:fill="B2B2B2"/>
          </w:tcPr>
          <w:p>
            <w:pPr>
              <w:spacing w:after="0"/>
              <w:rPr>
                <w:sz w:val="14"/>
                <w:szCs w:val="14"/>
                <w:color w:val="auto"/>
              </w:rPr>
            </w:pPr>
          </w:p>
        </w:tc>
        <w:tc>
          <w:tcPr>
            <w:tcW w:w="120" w:type="dxa"/>
            <w:vAlign w:val="bottom"/>
            <w:tcBorders>
              <w:left w:val="single" w:sz="8" w:color="B2B2B2"/>
            </w:tcBorders>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1120" w:type="dxa"/>
            <w:vAlign w:val="bottom"/>
            <w:gridSpan w:val="2"/>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1020" w:type="dxa"/>
            <w:vAlign w:val="bottom"/>
            <w:shd w:val="clear" w:color="auto" w:fill="B2B2B2"/>
          </w:tcPr>
          <w:p>
            <w:pPr>
              <w:spacing w:after="0"/>
              <w:rPr>
                <w:sz w:val="14"/>
                <w:szCs w:val="14"/>
                <w:color w:val="auto"/>
              </w:rPr>
            </w:pPr>
          </w:p>
        </w:tc>
        <w:tc>
          <w:tcPr>
            <w:tcW w:w="100" w:type="dxa"/>
            <w:vAlign w:val="bottom"/>
            <w:tcBorders>
              <w:left w:val="single" w:sz="8" w:color="B2B2B2"/>
            </w:tcBorders>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1120" w:type="dxa"/>
            <w:vAlign w:val="bottom"/>
            <w:shd w:val="clear" w:color="auto" w:fill="B2B2B2"/>
          </w:tcPr>
          <w:p>
            <w:pPr>
              <w:spacing w:after="0"/>
              <w:rPr>
                <w:sz w:val="14"/>
                <w:szCs w:val="14"/>
                <w:color w:val="auto"/>
              </w:rPr>
            </w:pPr>
          </w:p>
        </w:tc>
        <w:tc>
          <w:tcPr>
            <w:tcW w:w="120" w:type="dxa"/>
            <w:vAlign w:val="bottom"/>
            <w:tcBorders>
              <w:left w:val="single" w:sz="8" w:color="B2B2B2"/>
            </w:tcBorders>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960" w:type="dxa"/>
            <w:vAlign w:val="bottom"/>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5,781</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Cash dividends ($.27 per share)</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4"/>
                <w:szCs w:val="14"/>
                <w:color w:val="auto"/>
              </w:rPr>
              <w:t>(3,893)</w:t>
            </w: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0" w:type="dxa"/>
            <w:vAlign w:val="bottom"/>
          </w:tcPr>
          <w:p>
            <w:pPr>
              <w:spacing w:after="0"/>
              <w:rPr>
                <w:sz w:val="1"/>
                <w:szCs w:val="1"/>
                <w:color w:val="auto"/>
              </w:rPr>
            </w:pPr>
          </w:p>
        </w:tc>
      </w:tr>
      <w:tr>
        <w:trPr>
          <w:trHeight w:val="18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1,165 common shares pursuant to</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plan,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2"/>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799</w:t>
            </w: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02"/>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2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Balance, September 30, 2020</w:t>
            </w:r>
          </w:p>
        </w:tc>
        <w:tc>
          <w:tcPr>
            <w:tcW w:w="140" w:type="dxa"/>
            <w:vAlign w:val="bottom"/>
            <w:shd w:val="clear" w:color="auto" w:fill="B2B2B2"/>
          </w:tcPr>
          <w:p>
            <w:pPr>
              <w:spacing w:after="0"/>
              <w:rPr>
                <w:sz w:val="17"/>
                <w:szCs w:val="17"/>
                <w:color w:val="auto"/>
              </w:rPr>
            </w:pPr>
          </w:p>
        </w:tc>
        <w:tc>
          <w:tcPr>
            <w:tcW w:w="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205,053</w:t>
            </w: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4"/>
                <w:szCs w:val="14"/>
                <w:color w:val="auto"/>
              </w:rPr>
              <w:t>97,402</w:t>
            </w:r>
          </w:p>
        </w:tc>
        <w:tc>
          <w:tcPr>
            <w:tcW w:w="220" w:type="dxa"/>
            <w:vAlign w:val="bottom"/>
            <w:shd w:val="clear" w:color="auto" w:fill="B2B2B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(49,410)</w:t>
            </w:r>
          </w:p>
        </w:tc>
        <w:tc>
          <w:tcPr>
            <w:tcW w:w="200" w:type="dxa"/>
            <w:vAlign w:val="bottom"/>
            <w:tcBorders>
              <w:left w:val="single" w:sz="8" w:color="B2B2B2"/>
            </w:tcBorders>
            <w:gridSpan w:val="2"/>
            <w:shd w:val="clear" w:color="auto" w:fill="B2B2B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(9,307)</w:t>
            </w:r>
          </w:p>
        </w:tc>
        <w:tc>
          <w:tcPr>
            <w:tcW w:w="380" w:type="dxa"/>
            <w:vAlign w:val="bottom"/>
            <w:tcBorders>
              <w:left w:val="single" w:sz="8" w:color="B2B2B2"/>
            </w:tcBorders>
            <w:gridSpan w:val="2"/>
            <w:shd w:val="clear" w:color="auto" w:fill="B2B2B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251,491</w:t>
            </w:r>
          </w:p>
        </w:tc>
        <w:tc>
          <w:tcPr>
            <w:tcW w:w="0" w:type="dxa"/>
            <w:vAlign w:val="bottom"/>
          </w:tcPr>
          <w:p>
            <w:pPr>
              <w:spacing w:after="0"/>
              <w:rPr>
                <w:sz w:val="1"/>
                <w:szCs w:val="1"/>
                <w:color w:val="auto"/>
              </w:rPr>
            </w:pPr>
          </w:p>
        </w:tc>
      </w:tr>
      <w:tr>
        <w:trPr>
          <w:trHeight w:val="279"/>
        </w:trPr>
        <w:tc>
          <w:tcPr>
            <w:tcW w:w="3120" w:type="dxa"/>
            <w:vAlign w:val="bottom"/>
            <w:tcBorders>
              <w:top w:val="single" w:sz="8" w:color="B2B2B2"/>
            </w:tcBorders>
          </w:tcPr>
          <w:p>
            <w:pPr>
              <w:spacing w:after="0"/>
              <w:rPr>
                <w:sz w:val="24"/>
                <w:szCs w:val="24"/>
                <w:color w:val="auto"/>
              </w:rPr>
            </w:pPr>
          </w:p>
        </w:tc>
        <w:tc>
          <w:tcPr>
            <w:tcW w:w="140" w:type="dxa"/>
            <w:vAlign w:val="bottom"/>
            <w:tcBorders>
              <w:top w:val="single" w:sz="8" w:color="B2B2B2"/>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B2B2B2"/>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B2B2B2"/>
            </w:tcBorders>
            <w:vMerge w:val="restart"/>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B2B2B2"/>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B2B2B2"/>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B2B2B2"/>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10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23114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ind w:left="40"/>
        <w:spacing w:after="0"/>
        <w:tabs>
          <w:tab w:leader="none" w:pos="3240" w:val="left"/>
        </w:tabs>
        <w:rPr>
          <w:sz w:val="20"/>
          <w:szCs w:val="20"/>
          <w:color w:val="auto"/>
        </w:rPr>
      </w:pPr>
      <w:r>
        <w:rPr>
          <w:rFonts w:ascii="Times New Roman" w:cs="Times New Roman" w:eastAsia="Times New Roman" w:hAnsi="Times New Roman"/>
          <w:sz w:val="16"/>
          <w:szCs w:val="16"/>
          <w:color w:val="auto"/>
        </w:rPr>
        <w:t>Balance, December 31, 2018</w:t>
      </w:r>
      <w:r>
        <w:rPr>
          <w:sz w:val="20"/>
          <w:szCs w:val="20"/>
          <w:color w:val="auto"/>
        </w:rPr>
        <w:tab/>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dividends ($.26 per share)</w:t>
      </w:r>
    </w:p>
    <w:p>
      <w:pPr>
        <w:spacing w:after="0" w:line="18" w:lineRule="exact"/>
        <w:rPr>
          <w:sz w:val="20"/>
          <w:szCs w:val="20"/>
          <w:color w:val="auto"/>
        </w:rPr>
      </w:pPr>
    </w:p>
    <w:p>
      <w:pPr>
        <w:ind w:left="220" w:right="400" w:hanging="178"/>
        <w:spacing w:after="0" w:line="263" w:lineRule="auto"/>
        <w:rPr>
          <w:sz w:val="20"/>
          <w:szCs w:val="20"/>
          <w:color w:val="auto"/>
        </w:rPr>
      </w:pPr>
      <w:r>
        <w:rPr>
          <w:rFonts w:ascii="Times New Roman" w:cs="Times New Roman" w:eastAsia="Times New Roman" w:hAnsi="Times New Roman"/>
          <w:sz w:val="16"/>
          <w:szCs w:val="16"/>
          <w:color w:val="auto"/>
        </w:rPr>
        <w:t>Issuance of 36,062 common shares pursuant to stock-based compensation plan, net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Exercise of SARs</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Purchase of 154,593 common shares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26" w:lineRule="exact"/>
        <w:rPr>
          <w:sz w:val="20"/>
          <w:szCs w:val="20"/>
          <w:color w:val="auto"/>
        </w:rPr>
      </w:pPr>
    </w:p>
    <w:p>
      <w:pPr>
        <w:ind w:left="40"/>
        <w:spacing w:after="0"/>
        <w:tabs>
          <w:tab w:leader="none" w:pos="3240" w:val="left"/>
        </w:tabs>
        <w:rPr>
          <w:sz w:val="20"/>
          <w:szCs w:val="20"/>
          <w:color w:val="auto"/>
        </w:rPr>
      </w:pPr>
      <w:r>
        <w:rPr>
          <w:rFonts w:ascii="Times New Roman" w:cs="Times New Roman" w:eastAsia="Times New Roman" w:hAnsi="Times New Roman"/>
          <w:sz w:val="16"/>
          <w:szCs w:val="16"/>
          <w:color w:val="auto"/>
        </w:rPr>
        <w:t>Balance, September 30, 2019</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5"/>
              </w:rPr>
              <w:t>7,753</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205,770</w:t>
            </w:r>
          </w:p>
        </w:tc>
        <w:tc>
          <w:tcPr>
            <w:tcW w:w="1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75,171</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(39,974)</w:t>
            </w:r>
          </w:p>
        </w:tc>
        <w:tc>
          <w:tcPr>
            <w:tcW w:w="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(18,872)</w:t>
            </w:r>
          </w:p>
        </w:tc>
        <w:tc>
          <w:tcPr>
            <w:tcW w:w="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229,848</w:t>
            </w: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24,033</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24,033</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(11,317)</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0" w:type="dxa"/>
            <w:vAlign w:val="bottom"/>
          </w:tcPr>
          <w:p>
            <w:pPr>
              <w:spacing w:after="0"/>
              <w:rPr>
                <w:sz w:val="1"/>
                <w:szCs w:val="1"/>
                <w:color w:val="auto"/>
              </w:rPr>
            </w:pPr>
          </w:p>
        </w:tc>
      </w:tr>
      <w:tr>
        <w:trPr>
          <w:trHeight w:val="40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(1,426)</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(7,799)</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(7,799)</w:t>
            </w: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10,059</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5"/>
              </w:rPr>
              <w:t>7,753</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205,775</w:t>
            </w:r>
          </w:p>
        </w:tc>
        <w:tc>
          <w:tcPr>
            <w:tcW w:w="120" w:type="dxa"/>
            <w:vAlign w:val="bottom"/>
          </w:tcPr>
          <w:p>
            <w:pPr>
              <w:spacing w:after="0"/>
              <w:rPr>
                <w:sz w:val="17"/>
                <w:szCs w:val="17"/>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87,887</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(45,985)</w:t>
            </w:r>
          </w:p>
        </w:tc>
        <w:tc>
          <w:tcPr>
            <w:tcW w:w="60" w:type="dxa"/>
            <w:vAlign w:val="bottom"/>
            <w:vMerge w:val="continue"/>
          </w:tcPr>
          <w:p>
            <w:pPr>
              <w:spacing w:after="0"/>
              <w:rPr>
                <w:sz w:val="17"/>
                <w:szCs w:val="17"/>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(8,813)</w:t>
            </w:r>
          </w:p>
        </w:tc>
        <w:tc>
          <w:tcPr>
            <w:tcW w:w="60" w:type="dxa"/>
            <w:vAlign w:val="bottom"/>
            <w:vMerge w:val="continue"/>
          </w:tcPr>
          <w:p>
            <w:pPr>
              <w:spacing w:after="0"/>
              <w:rPr>
                <w:sz w:val="17"/>
                <w:szCs w:val="17"/>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246,617</w:t>
            </w: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-1042670</wp:posOffset>
            </wp:positionV>
            <wp:extent cx="713295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-657860</wp:posOffset>
            </wp:positionV>
            <wp:extent cx="713295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-401320</wp:posOffset>
            </wp:positionV>
            <wp:extent cx="713295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-144780</wp:posOffset>
            </wp:positionV>
            <wp:extent cx="7132955" cy="256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80" w:space="720"/>
            <w:col w:w="7040"/>
          </w:cols>
          <w:pgMar w:left="320" w:top="319"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32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shd w:val="clear" w:color="auto" w:fill="B2B2B2"/>
          </w:tcPr>
          <w:p>
            <w:pPr>
              <w:spacing w:after="0"/>
              <w:rPr>
                <w:sz w:val="12"/>
                <w:szCs w:val="12"/>
                <w:color w:val="auto"/>
              </w:rPr>
            </w:pPr>
          </w:p>
        </w:tc>
        <w:tc>
          <w:tcPr>
            <w:tcW w:w="740" w:type="dxa"/>
            <w:vAlign w:val="bottom"/>
            <w:tcBorders>
              <w:top w:val="single" w:sz="8" w:color="auto"/>
              <w:bottom w:val="single" w:sz="8" w:color="auto"/>
            </w:tcBorders>
            <w:shd w:val="clear" w:color="auto" w:fill="B2B2B2"/>
          </w:tcPr>
          <w:p>
            <w:pPr>
              <w:spacing w:after="0"/>
              <w:rPr>
                <w:sz w:val="12"/>
                <w:szCs w:val="12"/>
                <w:color w:val="auto"/>
              </w:rPr>
            </w:pPr>
          </w:p>
        </w:tc>
        <w:tc>
          <w:tcPr>
            <w:tcW w:w="120" w:type="dxa"/>
            <w:vAlign w:val="bottom"/>
            <w:tcBorders>
              <w:bottom w:val="single" w:sz="8" w:color="auto"/>
            </w:tcBorders>
            <w:shd w:val="clear" w:color="auto" w:fill="B2B2B2"/>
          </w:tcPr>
          <w:p>
            <w:pPr>
              <w:spacing w:after="0"/>
              <w:rPr>
                <w:sz w:val="12"/>
                <w:szCs w:val="12"/>
                <w:color w:val="auto"/>
              </w:rPr>
            </w:pPr>
          </w:p>
        </w:tc>
        <w:tc>
          <w:tcPr>
            <w:tcW w:w="440" w:type="dxa"/>
            <w:vAlign w:val="bottom"/>
            <w:tcBorders>
              <w:bottom w:val="single" w:sz="8" w:color="auto"/>
            </w:tcBorders>
            <w:shd w:val="clear" w:color="auto" w:fill="B2B2B2"/>
          </w:tcPr>
          <w:p>
            <w:pPr>
              <w:spacing w:after="0"/>
              <w:rPr>
                <w:sz w:val="12"/>
                <w:szCs w:val="12"/>
                <w:color w:val="auto"/>
              </w:rPr>
            </w:pPr>
          </w:p>
        </w:tc>
        <w:tc>
          <w:tcPr>
            <w:tcW w:w="820" w:type="dxa"/>
            <w:vAlign w:val="bottom"/>
            <w:tcBorders>
              <w:bottom w:val="single" w:sz="8" w:color="auto"/>
            </w:tcBorders>
            <w:shd w:val="clear" w:color="auto" w:fill="B2B2B2"/>
          </w:tcPr>
          <w:p>
            <w:pPr>
              <w:spacing w:after="0"/>
              <w:rPr>
                <w:sz w:val="12"/>
                <w:szCs w:val="12"/>
                <w:color w:val="auto"/>
              </w:rPr>
            </w:pPr>
          </w:p>
        </w:tc>
        <w:tc>
          <w:tcPr>
            <w:tcW w:w="120" w:type="dxa"/>
            <w:vAlign w:val="bottom"/>
            <w:tcBorders>
              <w:bottom w:val="single" w:sz="8" w:color="auto"/>
            </w:tcBorders>
            <w:shd w:val="clear" w:color="auto" w:fill="B2B2B2"/>
          </w:tcPr>
          <w:p>
            <w:pPr>
              <w:spacing w:after="0"/>
              <w:rPr>
                <w:sz w:val="12"/>
                <w:szCs w:val="12"/>
                <w:color w:val="auto"/>
              </w:rPr>
            </w:pPr>
          </w:p>
        </w:tc>
        <w:tc>
          <w:tcPr>
            <w:tcW w:w="400" w:type="dxa"/>
            <w:vAlign w:val="bottom"/>
            <w:tcBorders>
              <w:bottom w:val="single" w:sz="8" w:color="auto"/>
            </w:tcBorders>
            <w:shd w:val="clear" w:color="auto" w:fill="B2B2B2"/>
          </w:tcPr>
          <w:p>
            <w:pPr>
              <w:spacing w:after="0"/>
              <w:rPr>
                <w:sz w:val="12"/>
                <w:szCs w:val="12"/>
                <w:color w:val="auto"/>
              </w:rPr>
            </w:pPr>
          </w:p>
        </w:tc>
        <w:tc>
          <w:tcPr>
            <w:tcW w:w="820" w:type="dxa"/>
            <w:vAlign w:val="bottom"/>
            <w:tcBorders>
              <w:bottom w:val="single" w:sz="8" w:color="auto"/>
            </w:tcBorders>
            <w:shd w:val="clear" w:color="auto" w:fill="B2B2B2"/>
          </w:tcPr>
          <w:p>
            <w:pPr>
              <w:spacing w:after="0"/>
              <w:rPr>
                <w:sz w:val="12"/>
                <w:szCs w:val="12"/>
                <w:color w:val="auto"/>
              </w:rPr>
            </w:pPr>
          </w:p>
        </w:tc>
        <w:tc>
          <w:tcPr>
            <w:tcW w:w="100" w:type="dxa"/>
            <w:vAlign w:val="bottom"/>
            <w:tcBorders>
              <w:bottom w:val="single" w:sz="8" w:color="auto"/>
            </w:tcBorders>
            <w:shd w:val="clear" w:color="auto" w:fill="B2B2B2"/>
          </w:tcPr>
          <w:p>
            <w:pPr>
              <w:spacing w:after="0"/>
              <w:rPr>
                <w:sz w:val="12"/>
                <w:szCs w:val="12"/>
                <w:color w:val="auto"/>
              </w:rPr>
            </w:pPr>
          </w:p>
        </w:tc>
        <w:tc>
          <w:tcPr>
            <w:tcW w:w="420" w:type="dxa"/>
            <w:vAlign w:val="bottom"/>
            <w:tcBorders>
              <w:bottom w:val="single" w:sz="8" w:color="auto"/>
            </w:tcBorders>
            <w:shd w:val="clear" w:color="auto" w:fill="B2B2B2"/>
          </w:tcPr>
          <w:p>
            <w:pPr>
              <w:spacing w:after="0"/>
              <w:rPr>
                <w:sz w:val="12"/>
                <w:szCs w:val="12"/>
                <w:color w:val="auto"/>
              </w:rPr>
            </w:pPr>
          </w:p>
        </w:tc>
        <w:tc>
          <w:tcPr>
            <w:tcW w:w="820" w:type="dxa"/>
            <w:vAlign w:val="bottom"/>
            <w:tcBorders>
              <w:bottom w:val="single" w:sz="8" w:color="auto"/>
            </w:tcBorders>
            <w:shd w:val="clear" w:color="auto" w:fill="B2B2B2"/>
          </w:tcPr>
          <w:p>
            <w:pPr>
              <w:spacing w:after="0"/>
              <w:rPr>
                <w:sz w:val="12"/>
                <w:szCs w:val="12"/>
                <w:color w:val="auto"/>
              </w:rPr>
            </w:pPr>
          </w:p>
        </w:tc>
        <w:tc>
          <w:tcPr>
            <w:tcW w:w="100" w:type="dxa"/>
            <w:vAlign w:val="bottom"/>
            <w:tcBorders>
              <w:left w:val="single" w:sz="8" w:color="B2B2B2"/>
              <w:bottom w:val="single" w:sz="8" w:color="auto"/>
            </w:tcBorders>
            <w:shd w:val="clear" w:color="auto" w:fill="B2B2B2"/>
          </w:tcPr>
          <w:p>
            <w:pPr>
              <w:spacing w:after="0"/>
              <w:rPr>
                <w:sz w:val="12"/>
                <w:szCs w:val="12"/>
                <w:color w:val="auto"/>
              </w:rPr>
            </w:pPr>
          </w:p>
        </w:tc>
        <w:tc>
          <w:tcPr>
            <w:tcW w:w="400" w:type="dxa"/>
            <w:vAlign w:val="bottom"/>
            <w:tcBorders>
              <w:bottom w:val="single" w:sz="8" w:color="auto"/>
            </w:tcBorders>
            <w:shd w:val="clear" w:color="auto" w:fill="B2B2B2"/>
          </w:tcPr>
          <w:p>
            <w:pPr>
              <w:spacing w:after="0"/>
              <w:rPr>
                <w:sz w:val="12"/>
                <w:szCs w:val="12"/>
                <w:color w:val="auto"/>
              </w:rPr>
            </w:pPr>
          </w:p>
        </w:tc>
        <w:tc>
          <w:tcPr>
            <w:tcW w:w="820" w:type="dxa"/>
            <w:vAlign w:val="bottom"/>
            <w:tcBorders>
              <w:bottom w:val="single" w:sz="8" w:color="auto"/>
            </w:tcBorders>
            <w:shd w:val="clear" w:color="auto" w:fill="B2B2B2"/>
          </w:tcPr>
          <w:p>
            <w:pPr>
              <w:spacing w:after="0"/>
              <w:rPr>
                <w:sz w:val="12"/>
                <w:szCs w:val="12"/>
                <w:color w:val="auto"/>
              </w:rPr>
            </w:pPr>
          </w:p>
        </w:tc>
        <w:tc>
          <w:tcPr>
            <w:tcW w:w="120" w:type="dxa"/>
            <w:vAlign w:val="bottom"/>
            <w:tcBorders>
              <w:left w:val="single" w:sz="8" w:color="B2B2B2"/>
              <w:bottom w:val="single" w:sz="8" w:color="auto"/>
            </w:tcBorders>
            <w:shd w:val="clear" w:color="auto" w:fill="B2B2B2"/>
          </w:tcPr>
          <w:p>
            <w:pPr>
              <w:spacing w:after="0"/>
              <w:rPr>
                <w:sz w:val="12"/>
                <w:szCs w:val="12"/>
                <w:color w:val="auto"/>
              </w:rPr>
            </w:pPr>
          </w:p>
        </w:tc>
        <w:tc>
          <w:tcPr>
            <w:tcW w:w="400" w:type="dxa"/>
            <w:vAlign w:val="bottom"/>
            <w:tcBorders>
              <w:bottom w:val="single" w:sz="8" w:color="auto"/>
            </w:tcBorders>
            <w:shd w:val="clear" w:color="auto" w:fill="B2B2B2"/>
          </w:tcPr>
          <w:p>
            <w:pPr>
              <w:spacing w:after="0"/>
              <w:rPr>
                <w:sz w:val="12"/>
                <w:szCs w:val="12"/>
                <w:color w:val="auto"/>
              </w:rPr>
            </w:pPr>
          </w:p>
        </w:tc>
        <w:tc>
          <w:tcPr>
            <w:tcW w:w="820" w:type="dxa"/>
            <w:vAlign w:val="bottom"/>
            <w:tcBorders>
              <w:bottom w:val="single" w:sz="8" w:color="auto"/>
            </w:tcBorders>
            <w:shd w:val="clear" w:color="auto" w:fill="B2B2B2"/>
          </w:tcPr>
          <w:p>
            <w:pPr>
              <w:spacing w:after="0"/>
              <w:rPr>
                <w:sz w:val="12"/>
                <w:szCs w:val="12"/>
                <w:color w:val="auto"/>
              </w:rPr>
            </w:pPr>
          </w:p>
        </w:tc>
      </w:tr>
      <w:tr>
        <w:trPr>
          <w:trHeight w:val="211"/>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December 31, 2019</w:t>
            </w: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205,397</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90,341</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(45,381)</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244,190</w:t>
            </w:r>
          </w:p>
        </w:tc>
      </w:tr>
      <w:tr>
        <w:trPr>
          <w:trHeight w:val="147"/>
        </w:trPr>
        <w:tc>
          <w:tcPr>
            <w:tcW w:w="3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2"/>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4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92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4"/>
                <w:szCs w:val="14"/>
                <w:color w:val="auto"/>
              </w:rPr>
              <w:t>18,765</w:t>
            </w:r>
          </w:p>
        </w:tc>
        <w:tc>
          <w:tcPr>
            <w:tcW w:w="42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18,765</w:t>
            </w:r>
          </w:p>
        </w:tc>
      </w:tr>
      <w:tr>
        <w:trPr>
          <w:trHeight w:val="202"/>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($.27 per share)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(11,704)</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r>
      <w:tr>
        <w:trPr>
          <w:trHeight w:val="188"/>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Issuance of 67,790 common shares pursuant to</w:t>
            </w:r>
          </w:p>
        </w:tc>
        <w:tc>
          <w:tcPr>
            <w:tcW w:w="520" w:type="dxa"/>
            <w:vAlign w:val="bottom"/>
            <w:shd w:val="clear" w:color="auto" w:fill="B2B2B2"/>
          </w:tcPr>
          <w:p>
            <w:pPr>
              <w:spacing w:after="0"/>
              <w:rPr>
                <w:sz w:val="16"/>
                <w:szCs w:val="16"/>
                <w:color w:val="auto"/>
              </w:rPr>
            </w:pPr>
          </w:p>
        </w:tc>
        <w:tc>
          <w:tcPr>
            <w:tcW w:w="74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44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42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c>
          <w:tcPr>
            <w:tcW w:w="100" w:type="dxa"/>
            <w:vAlign w:val="bottom"/>
            <w:tcBorders>
              <w:left w:val="single" w:sz="8" w:color="B2B2B2"/>
            </w:tcBorders>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c>
          <w:tcPr>
            <w:tcW w:w="120" w:type="dxa"/>
            <w:vAlign w:val="bottom"/>
            <w:tcBorders>
              <w:left w:val="single" w:sz="8" w:color="B2B2B2"/>
            </w:tcBorders>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r>
      <w:tr>
        <w:trPr>
          <w:trHeight w:val="216"/>
        </w:trPr>
        <w:tc>
          <w:tcPr>
            <w:tcW w:w="3260" w:type="dxa"/>
            <w:vAlign w:val="bottom"/>
            <w:shd w:val="clear" w:color="auto" w:fill="B2B2B2"/>
          </w:tcPr>
          <w:p>
            <w:pPr>
              <w:ind w:left="220"/>
              <w:spacing w:after="0"/>
              <w:rPr>
                <w:sz w:val="20"/>
                <w:szCs w:val="20"/>
                <w:color w:val="auto"/>
              </w:rPr>
            </w:pPr>
            <w:r>
              <w:rPr>
                <w:rFonts w:ascii="Times New Roman" w:cs="Times New Roman" w:eastAsia="Times New Roman" w:hAnsi="Times New Roman"/>
                <w:sz w:val="16"/>
                <w:szCs w:val="16"/>
                <w:color w:val="auto"/>
              </w:rPr>
              <w:t>stock-based compensation plan, net</w:t>
            </w:r>
          </w:p>
        </w:tc>
        <w:tc>
          <w:tcPr>
            <w:tcW w:w="5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(2,378)</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Borders>
              <w:left w:val="single" w:sz="8" w:color="B2B2B2"/>
            </w:tcBorders>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202"/>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SARs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02"/>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40" w:type="dxa"/>
            <w:vAlign w:val="bottom"/>
            <w:shd w:val="clear" w:color="auto" w:fill="B2B2B2"/>
          </w:tcPr>
          <w:p>
            <w:pPr>
              <w:spacing w:after="0"/>
              <w:rPr>
                <w:sz w:val="17"/>
                <w:szCs w:val="17"/>
                <w:color w:val="auto"/>
              </w:rPr>
            </w:pPr>
          </w:p>
        </w:tc>
        <w:tc>
          <w:tcPr>
            <w:tcW w:w="94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4"/>
                <w:szCs w:val="14"/>
                <w:color w:val="auto"/>
              </w:rPr>
              <w:t>2,277</w:t>
            </w: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42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2,277</w:t>
            </w:r>
          </w:p>
        </w:tc>
      </w:tr>
      <w:tr>
        <w:trPr>
          <w:trHeight w:val="202"/>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128,779 common shares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r>
      <w:tr>
        <w:trPr>
          <w:trHeight w:val="202"/>
        </w:trPr>
        <w:tc>
          <w:tcPr>
            <w:tcW w:w="3260" w:type="dxa"/>
            <w:vAlign w:val="bottom"/>
            <w:shd w:val="clear" w:color="auto" w:fill="B2B2B2"/>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4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42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120" w:type="dxa"/>
            <w:vAlign w:val="bottom"/>
            <w:tcBorders>
              <w:left w:val="single" w:sz="8" w:color="B2B2B2"/>
            </w:tcBorders>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4"/>
                <w:szCs w:val="14"/>
                <w:color w:val="auto"/>
              </w:rPr>
              <w:t>4,613</w:t>
            </w:r>
          </w:p>
        </w:tc>
      </w:tr>
      <w:tr>
        <w:trPr>
          <w:trHeight w:val="20"/>
        </w:trPr>
        <w:tc>
          <w:tcPr>
            <w:tcW w:w="3260" w:type="dxa"/>
            <w:vAlign w:val="bottom"/>
            <w:shd w:val="clear" w:color="auto" w:fill="B2B2B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shd w:val="clear" w:color="auto" w:fill="B2B2B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95"/>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2020</w:t>
            </w: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20" w:type="dxa"/>
            <w:vAlign w:val="bottom"/>
          </w:tcPr>
          <w:p>
            <w:pPr>
              <w:spacing w:after="0"/>
              <w:rPr>
                <w:sz w:val="17"/>
                <w:szCs w:val="17"/>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205,053</w:t>
            </w:r>
          </w:p>
        </w:tc>
        <w:tc>
          <w:tcPr>
            <w:tcW w:w="120" w:type="dxa"/>
            <w:vAlign w:val="bottom"/>
          </w:tcPr>
          <w:p>
            <w:pPr>
              <w:spacing w:after="0"/>
              <w:rPr>
                <w:sz w:val="17"/>
                <w:szCs w:val="17"/>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97,402</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251,491</w:t>
            </w:r>
          </w:p>
        </w:tc>
      </w:tr>
      <w:tr>
        <w:trPr>
          <w:trHeight w:val="20"/>
        </w:trPr>
        <w:tc>
          <w:tcPr>
            <w:tcW w:w="3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(“COVID-19”) as a global pandemic, which continues to spread throughout the United States and around the world. The declaration of a global pandemic indicates that almost all public commerce and related business activities must be, to varying degrees, curtailed with the goal of decreasing the rate of new infections. This response to the COVID-19 pandemic has resulted in an unprecedented slow-down in economic activity and a related increase in unemployment.</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evaluated subsequent events after the consolidated balance sheet date of September 30, 2020 and the breadth of the impact of the global presence of COVID-19 on the Company’s business is currently unknown. Cass is closely monitoring developments related to COVID-19 checking regularly for updated information and recommendations from the World Health Organization and the U.S. Centers for Disease Control and Prevention, from national, state, and local governments, and evaluating courses of action being taken by peers. The duration and severity of the effect of COVID-19 on economic, market and business conditions remain uncertain. At this time, the Company remains subject to heightened business, operational, market, credit and other risks related to the COVID-19 pandemic, including, but not limited to, those discussed below, which may have an adverse effect on business, financial condition and results of operations.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position and results of operations - </w:t>
      </w:r>
      <w:r>
        <w:rPr>
          <w:rFonts w:ascii="Times New Roman" w:cs="Times New Roman" w:eastAsia="Times New Roman" w:hAnsi="Times New Roman"/>
          <w:sz w:val="18"/>
          <w:szCs w:val="18"/>
          <w:color w:val="auto"/>
        </w:rPr>
        <w:t>The global health crisis caused by COVID-19 has and will continue to negatively impact business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world. The COVID-19 outbreak and associated counter-acting measures implemented by governments around the world, as well as increased business uncertainty, are having an adverse impact on the Company’s financial results and are discussed in more detail below. Although in various locations certain activity restrictions have been relaxed with some success, many states and localities are experiencing significant increases in the number of COVID-19 cases, prompting a reinstatement of prior activity restrictions in some locations and the need for additional aid and other forms of relief for affected individuals, businesses and other entities.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aggregate impact that COVID-19 could have on the Company’s financial condition and operating results remains highly uncertain.</w:t>
      </w:r>
    </w:p>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response to COVID-19, the Federal Reserve has taken action to lower the Federal Funds rate, which has adversely affected interest income and therefore, the Company’s results of operations and financial condition. The Federal Reserve has continued its commitment to this approach, indicating that the target Federal Funds rate would remain at current levels until the economy is in a more stable employment and price-stability position.</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the extent the business disruption continues for an extended period, additional cost management actions will be considered. Future asset impairment charges, increases in allowance for loan losses, or restructuring charges could be more likely and will be dependent on the severity and duration of this crisis and its effect on the Company’s borrowers.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payment processing services, business closures, including constrictions in the manufacturing sector, have led to a decrease in the number of transactions and dollars processed due to the decline in customers’ business activity. In addition, the dampened demand for oil and resulting plummet in oil prices has had, and can continue to have, a negative effect on both the number of freight transactions processed and the dollar amount of invoices processed. Other financial impact could occur though such potential impact is unknown at this time.</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Capital and liquidity - </w:t>
      </w:r>
      <w:r>
        <w:rPr>
          <w:rFonts w:ascii="Times New Roman" w:cs="Times New Roman" w:eastAsia="Times New Roman" w:hAnsi="Times New Roman"/>
          <w:sz w:val="18"/>
          <w:szCs w:val="18"/>
          <w:color w:val="auto"/>
        </w:rPr>
        <w:t>While the Company believes that it has sufficient capital to withstand an extended economic recession brought about by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reported and regulatory capital ratios could be adversely impacted by future financial losses.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maintains access to multiple sources of liquidity. If funding costs are elevated for an extended period of time, it could have an adverse effect on the Company’s net interest margin. If an extended recession caused large numbers of the Bank’s customers to draw down deposits, the Company might become more reliant on more expensive sources of funding.</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valuation - </w:t>
      </w:r>
      <w:r>
        <w:rPr>
          <w:rFonts w:ascii="Times New Roman" w:cs="Times New Roman" w:eastAsia="Times New Roman" w:hAnsi="Times New Roman"/>
          <w:sz w:val="18"/>
          <w:szCs w:val="18"/>
          <w:color w:val="auto"/>
        </w:rPr>
        <w:t>Currently, the Company does not expect COVID-19 to affect its ability to fairly value the assets on its balance sheet; however, this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economic slowdown as a result of COVID-19 could cause a further and sustained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Processes, controls and business continuity - </w:t>
      </w:r>
      <w:r>
        <w:rPr>
          <w:rFonts w:ascii="Times New Roman" w:cs="Times New Roman" w:eastAsia="Times New Roman" w:hAnsi="Times New Roman"/>
          <w:sz w:val="18"/>
          <w:szCs w:val="18"/>
          <w:color w:val="auto"/>
        </w:rPr>
        <w:t>In accord with its federally mandated Pandemic Plan and Business Continuity Plan, Cass has deployed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workforce program. Most Cass employees around the globe are now working and conducting business remotely. Employees necessary to oversee certain business coordination activities or to conduct essential physical activities such as mail handling and scanning operations, remain in offices. In addition, employees are now being permitted to return to the offices on a voluntary basis. Employees are required to report any exposure or diagnosis and must adhere to the defined safety protocol to enter the offices.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In the past several years, Cass has invested in sophisticated technology initiatives that enable employees to operate remotely with full system(s) access along with unified and transparent voice and electronic communications capabilities, ensuring seamless service delivery.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(“FASB ASC 350”), which requires that intangibles with indefinite useful lives be tested annually for impairment, or when management deems there is a triggering event, and those with finite useful lives be amortized over their useful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1"/>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4"/>
                <w:szCs w:val="24"/>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93"/>
        </w:trPr>
        <w:tc>
          <w:tcPr>
            <w:tcW w:w="6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9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5"/>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1"/>
                <w:szCs w:val="21"/>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5"/>
        </w:trPr>
        <w:tc>
          <w:tcPr>
            <w:tcW w:w="632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26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40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40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 w:type="dxa"/>
            <w:vAlign w:val="bottom"/>
          </w:tcPr>
          <w:p>
            <w:pPr>
              <w:spacing w:after="0"/>
              <w:rPr>
                <w:sz w:val="18"/>
                <w:szCs w:val="18"/>
                <w:color w:val="auto"/>
              </w:rPr>
            </w:pPr>
          </w:p>
        </w:tc>
      </w:tr>
      <w:tr>
        <w:trPr>
          <w:trHeight w:val="215"/>
        </w:trPr>
        <w:tc>
          <w:tcPr>
            <w:tcW w:w="63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15"/>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8"/>
                <w:szCs w:val="18"/>
                <w:color w:val="auto"/>
              </w:rPr>
            </w:pPr>
          </w:p>
        </w:tc>
      </w:tr>
      <w:tr>
        <w:trPr>
          <w:trHeight w:val="215"/>
        </w:trPr>
        <w:tc>
          <w:tcPr>
            <w:tcW w:w="63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r>
      <w:tr>
        <w:trPr>
          <w:trHeight w:val="215"/>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5"/>
        </w:trPr>
        <w:tc>
          <w:tcPr>
            <w:tcW w:w="63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r>
      <w:tr>
        <w:trPr>
          <w:trHeight w:val="21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6320" w:type="dxa"/>
            <w:vAlign w:val="bottom"/>
            <w:tcBorders>
              <w:bottom w:val="single" w:sz="8" w:color="auto"/>
            </w:tcBorders>
            <w:shd w:val="clear" w:color="auto" w:fill="B2B2B2"/>
          </w:tcPr>
          <w:p>
            <w:pPr>
              <w:ind w:left="180"/>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1</w:t>
            </w:r>
          </w:p>
        </w:tc>
        <w:tc>
          <w:tcPr>
            <w:tcW w:w="260" w:type="dxa"/>
            <w:vAlign w:val="bottom"/>
            <w:tcBorders>
              <w:bottom w:val="single" w:sz="8" w:color="auto"/>
            </w:tcBorders>
            <w:shd w:val="clear" w:color="auto" w:fill="B2B2B2"/>
          </w:tcPr>
          <w:p>
            <w:pPr>
              <w:spacing w:after="0"/>
              <w:rPr>
                <w:sz w:val="22"/>
                <w:szCs w:val="22"/>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400" w:type="dxa"/>
            <w:vAlign w:val="bottom"/>
            <w:tcBorders>
              <w:bottom w:val="single" w:sz="8" w:color="auto"/>
            </w:tcBorders>
            <w:shd w:val="clear" w:color="auto" w:fill="B2B2B2"/>
          </w:tcPr>
          <w:p>
            <w:pPr>
              <w:spacing w:after="0"/>
              <w:rPr>
                <w:sz w:val="22"/>
                <w:szCs w:val="22"/>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400" w:type="dxa"/>
            <w:vAlign w:val="bottom"/>
            <w:tcBorders>
              <w:bottom w:val="single" w:sz="8" w:color="auto"/>
            </w:tcBorders>
            <w:shd w:val="clear" w:color="auto" w:fill="B2B2B2"/>
          </w:tcPr>
          <w:p>
            <w:pPr>
              <w:spacing w:after="0"/>
              <w:rPr>
                <w:sz w:val="22"/>
                <w:szCs w:val="22"/>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22"/>
                <w:szCs w:val="22"/>
                <w:color w:val="auto"/>
              </w:rPr>
            </w:pPr>
          </w:p>
        </w:tc>
      </w:tr>
      <w:tr>
        <w:trPr>
          <w:trHeight w:val="216"/>
        </w:trPr>
        <w:tc>
          <w:tcPr>
            <w:tcW w:w="632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23,205</w:t>
            </w:r>
          </w:p>
        </w:tc>
        <w:tc>
          <w:tcPr>
            <w:tcW w:w="400" w:type="dxa"/>
            <w:vAlign w:val="bottom"/>
            <w:tcBorders>
              <w:bottom w:val="single" w:sz="8" w:color="auto"/>
            </w:tcBorders>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(5,306)</w:t>
            </w:r>
          </w:p>
        </w:tc>
        <w:tc>
          <w:tcPr>
            <w:tcW w:w="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23,205</w:t>
            </w:r>
          </w:p>
        </w:tc>
        <w:tc>
          <w:tcPr>
            <w:tcW w:w="400" w:type="dxa"/>
            <w:vAlign w:val="bottom"/>
            <w:tcBorders>
              <w:bottom w:val="single" w:sz="8" w:color="auto"/>
            </w:tcBorders>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(4,662)</w:t>
            </w:r>
          </w:p>
        </w:tc>
        <w:tc>
          <w:tcPr>
            <w:tcW w:w="20" w:type="dxa"/>
            <w:vAlign w:val="bottom"/>
            <w:tcBorders>
              <w:bottom w:val="single" w:sz="8" w:color="auto"/>
            </w:tcBorders>
          </w:tcPr>
          <w:p>
            <w:pPr>
              <w:spacing w:after="0"/>
              <w:rPr>
                <w:sz w:val="18"/>
                <w:szCs w:val="18"/>
                <w:color w:val="auto"/>
              </w:rPr>
            </w:pPr>
          </w:p>
        </w:tc>
      </w:tr>
    </w:tbl>
    <w:p>
      <w:pPr>
        <w:ind w:left="100" w:hanging="92"/>
        <w:spacing w:after="0" w:line="184" w:lineRule="auto"/>
        <w:tabs>
          <w:tab w:leader="none" w:pos="1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Amortization through December 31, 2001 prior to adoption of FASB ASC 350.</w:t>
      </w: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customer lists are amortized over 7 and 10 years; the patents over 18 years; the non-compete agreements over 2 and 5 years; software over 3 years and 7 years, the trade name over 20 years and other intangible assets over 15 years. Amortization of intangible assets amounted to $644,000 and $359,000 for the nine-month periods ended September 30, 2020 and 2019, respectively. Estimated future amortization of intangibles is $859,000 in both 2020 and 2021, $540,000 in both 2022 and 2023, and $498,000 in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25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0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5"/>
        </w:trPr>
        <w:tc>
          <w:tcPr>
            <w:tcW w:w="50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5,781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8,186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18,765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w:t>
            </w:r>
          </w:p>
        </w:tc>
      </w:tr>
      <w:tr>
        <w:trPr>
          <w:trHeight w:val="215"/>
        </w:trPr>
        <w:tc>
          <w:tcPr>
            <w:tcW w:w="50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2B2B2"/>
          </w:tcPr>
          <w:p>
            <w:pPr>
              <w:spacing w:after="0"/>
              <w:rPr>
                <w:sz w:val="18"/>
                <w:szCs w:val="18"/>
                <w:color w:val="auto"/>
              </w:rPr>
            </w:pPr>
          </w:p>
        </w:tc>
        <w:tc>
          <w:tcPr>
            <w:tcW w:w="13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14,348,151</w:t>
            </w:r>
          </w:p>
        </w:tc>
        <w:tc>
          <w:tcPr>
            <w:tcW w:w="4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14,417,725</w:t>
            </w:r>
          </w:p>
        </w:tc>
        <w:tc>
          <w:tcPr>
            <w:tcW w:w="40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14,373,243</w:t>
            </w:r>
          </w:p>
        </w:tc>
        <w:tc>
          <w:tcPr>
            <w:tcW w:w="4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14,435,670</w:t>
            </w:r>
          </w:p>
        </w:tc>
      </w:tr>
      <w:tr>
        <w:trPr>
          <w:trHeight w:val="215"/>
        </w:trPr>
        <w:tc>
          <w:tcPr>
            <w:tcW w:w="5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9"/>
        </w:trPr>
        <w:tc>
          <w:tcPr>
            <w:tcW w:w="508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spacing w:after="0"/>
              <w:rPr>
                <w:sz w:val="18"/>
                <w:szCs w:val="18"/>
                <w:color w:val="auto"/>
              </w:rPr>
            </w:pPr>
          </w:p>
        </w:tc>
        <w:tc>
          <w:tcPr>
            <w:tcW w:w="40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50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5,781</w:t>
            </w:r>
          </w:p>
        </w:tc>
        <w:tc>
          <w:tcPr>
            <w:tcW w:w="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8,186</w:t>
            </w:r>
          </w:p>
        </w:tc>
        <w:tc>
          <w:tcPr>
            <w:tcW w:w="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18,765</w:t>
            </w:r>
          </w:p>
        </w:tc>
        <w:tc>
          <w:tcPr>
            <w:tcW w:w="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24,033</w:t>
            </w:r>
          </w:p>
        </w:tc>
      </w:tr>
      <w:tr>
        <w:trPr>
          <w:trHeight w:val="215"/>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14,348,151</w:t>
            </w:r>
          </w:p>
        </w:tc>
        <w:tc>
          <w:tcPr>
            <w:tcW w:w="4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14,417,725</w:t>
            </w:r>
          </w:p>
        </w:tc>
        <w:tc>
          <w:tcPr>
            <w:tcW w:w="4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14,373,243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14,435,670</w:t>
            </w:r>
          </w:p>
        </w:tc>
      </w:tr>
      <w:tr>
        <w:trPr>
          <w:trHeight w:val="215"/>
        </w:trPr>
        <w:tc>
          <w:tcPr>
            <w:tcW w:w="508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198,336</w:t>
            </w:r>
          </w:p>
        </w:tc>
        <w:tc>
          <w:tcPr>
            <w:tcW w:w="4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262,917</w:t>
            </w:r>
          </w:p>
        </w:tc>
        <w:tc>
          <w:tcPr>
            <w:tcW w:w="40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200,723</w:t>
            </w:r>
          </w:p>
        </w:tc>
        <w:tc>
          <w:tcPr>
            <w:tcW w:w="4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258,123</w:t>
            </w:r>
          </w:p>
        </w:tc>
      </w:tr>
      <w:tr>
        <w:trPr>
          <w:trHeight w:val="191"/>
        </w:trPr>
        <w:tc>
          <w:tcPr>
            <w:tcW w:w="50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assuming</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dilution</w:t>
            </w:r>
          </w:p>
        </w:tc>
        <w:tc>
          <w:tcPr>
            <w:tcW w:w="34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14,546,487</w:t>
            </w:r>
          </w:p>
        </w:tc>
        <w:tc>
          <w:tcPr>
            <w:tcW w:w="42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14,680,642</w:t>
            </w:r>
          </w:p>
        </w:tc>
        <w:tc>
          <w:tcPr>
            <w:tcW w:w="4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14,573,966</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14,693,793</w:t>
            </w:r>
          </w:p>
        </w:tc>
      </w:tr>
      <w:tr>
        <w:trPr>
          <w:trHeight w:val="222"/>
        </w:trPr>
        <w:tc>
          <w:tcPr>
            <w:tcW w:w="5080" w:type="dxa"/>
            <w:vAlign w:val="bottom"/>
            <w:tcBorders>
              <w:bottom w:val="single" w:sz="8" w:color="auto"/>
            </w:tcBorders>
            <w:shd w:val="clear" w:color="auto" w:fill="B2B2B2"/>
          </w:tcPr>
          <w:p>
            <w:pPr>
              <w:ind w:left="540"/>
              <w:spacing w:after="0" w:line="202" w:lineRule="exact"/>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shd w:val="clear" w:color="auto" w:fill="B2B2B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2B2B2"/>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4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2B2B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4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2B2B2"/>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4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1.64</w:t>
            </w: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the Board of Directors has authorized the repurchase of up to 500,000 shares of the Company’s common stock. The program provides that the Company may repurchase up to an aggregate of 500,000 shares of common stock and has no expiration date. The Company did not repurchase shares during the three-month periods ended September 30, 2020 and 2019 and repurchased 128,779 and 154,593 during the nine-month periods ended September 30, 2020 and 2019, respectively. As of September 30, 2020, 371,221 shares remained available for repurchase under the program. Repurchases may be made in the open market or through negotiated transactions from time to time depending on market conditions.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16, 2020, the Company has temporarily suspended the treasury stock buyback program.</w:t>
      </w:r>
    </w:p>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October 20, 2020, the Board of Directors restored the treasury stock buyback program which authorizes the Company to repurchase up to an aggregate of 500,000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2019.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ind w:left="560" w:hanging="229"/>
        <w:spacing w:after="0"/>
        <w:tabs>
          <w:tab w:leader="none" w:pos="560" w:val="left"/>
        </w:tabs>
        <w:numPr>
          <w:ilvl w:val="0"/>
          <w:numId w:val="4"/>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Information Services – one or more fixed rates depending upon the specific characteristics of the funding source, and</w:t>
      </w:r>
    </w:p>
    <w:p>
      <w:pPr>
        <w:spacing w:after="0" w:line="68" w:lineRule="exact"/>
        <w:rPr>
          <w:rFonts w:ascii="Times New Roman" w:cs="Times New Roman" w:eastAsia="Times New Roman" w:hAnsi="Times New Roman"/>
          <w:sz w:val="32"/>
          <w:szCs w:val="32"/>
          <w:color w:val="auto"/>
        </w:rPr>
      </w:pPr>
    </w:p>
    <w:p>
      <w:pPr>
        <w:ind w:left="560" w:hanging="229"/>
        <w:spacing w:after="0" w:line="186" w:lineRule="auto"/>
        <w:tabs>
          <w:tab w:leader="none" w:pos="5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15"/>
          <w:szCs w:val="15"/>
          <w:color w:val="auto"/>
        </w:rPr>
        <w:t>Banking Services – a variable rate that is based upon the overall performance of the Company’s earning assets.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4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6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905,158</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1,105,845</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2,000,463</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751,010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780,217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1,531,227</w:t>
            </w:r>
          </w:p>
        </w:tc>
      </w:tr>
      <w:tr>
        <w:trPr>
          <w:trHeight w:val="215"/>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2019</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14,177</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15,894</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908,946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862,142</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1,781,010</w:t>
            </w:r>
          </w:p>
        </w:tc>
      </w:tr>
      <w:tr>
        <w:trPr>
          <w:trHeight w:val="222"/>
        </w:trPr>
        <w:tc>
          <w:tcPr>
            <w:tcW w:w="4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704,772</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588,226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1,292,998</w:t>
            </w:r>
          </w:p>
        </w:tc>
      </w:tr>
      <w:tr>
        <w:trPr>
          <w:trHeight w:val="215"/>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2020:</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75,201</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21,097</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36,683</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905,158</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1,105,845</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2,000,463</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703,142</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712,903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1,416,045</w:t>
            </w:r>
          </w:p>
        </w:tc>
      </w:tr>
      <w:tr>
        <w:trPr>
          <w:trHeight w:val="215"/>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2019</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82,647</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41,472</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15,894</w:t>
            </w:r>
          </w:p>
        </w:tc>
      </w:tr>
      <w:tr>
        <w:trPr>
          <w:trHeight w:val="21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15"/>
        </w:trPr>
        <w:tc>
          <w:tcPr>
            <w:tcW w:w="44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908,946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862,142</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1,781,010</w:t>
            </w: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1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667,741</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583,458</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9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firstLine="8"/>
        <w:spacing w:after="0" w:line="238" w:lineRule="auto"/>
        <w:tabs>
          <w:tab w:leader="none" w:pos="1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2020 and 2019. The tax-equivalent adjustment was approximately $466,000 and $511,000 for the Three Months Ended 2020 and 2019, respectively, and $1,424,000 and $1,583,000 for the Nine Months Ended 2020 and 2019, respectively.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Note 6 – Loans by Type</w:t>
            </w:r>
          </w:p>
        </w:tc>
        <w:tc>
          <w:tcPr>
            <w:tcW w:w="3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loan categories is as follows:</w:t>
            </w:r>
          </w:p>
        </w:tc>
        <w:tc>
          <w:tcPr>
            <w:tcW w:w="3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2"/>
        </w:trPr>
        <w:tc>
          <w:tcPr>
            <w:tcW w:w="4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7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15"/>
        </w:trPr>
        <w:tc>
          <w:tcPr>
            <w:tcW w:w="43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7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301,886</w:t>
            </w:r>
          </w:p>
        </w:tc>
        <w:tc>
          <w:tcPr>
            <w:tcW w:w="2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20" w:type="dxa"/>
            <w:vAlign w:val="bottom"/>
          </w:tcPr>
          <w:p>
            <w:pPr>
              <w:spacing w:after="0"/>
              <w:rPr>
                <w:sz w:val="18"/>
                <w:szCs w:val="18"/>
                <w:color w:val="auto"/>
              </w:rPr>
            </w:pPr>
          </w:p>
        </w:tc>
      </w:tr>
      <w:tr>
        <w:trPr>
          <w:trHeight w:val="21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37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172,211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740" w:type="dxa"/>
            <w:vAlign w:val="bottom"/>
            <w:shd w:val="clear" w:color="auto" w:fill="B2B2B2"/>
          </w:tcPr>
          <w:p>
            <w:pPr>
              <w:spacing w:after="0"/>
              <w:rPr>
                <w:sz w:val="18"/>
                <w:szCs w:val="18"/>
                <w:color w:val="auto"/>
              </w:rPr>
            </w:pPr>
          </w:p>
        </w:tc>
        <w:tc>
          <w:tcPr>
            <w:tcW w:w="15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3740" w:type="dxa"/>
            <w:vAlign w:val="bottom"/>
            <w:shd w:val="clear" w:color="auto" w:fill="B2B2B2"/>
          </w:tcPr>
          <w:p>
            <w:pPr>
              <w:spacing w:after="0"/>
              <w:rPr>
                <w:sz w:val="18"/>
                <w:szCs w:val="18"/>
                <w:color w:val="auto"/>
              </w:rPr>
            </w:pPr>
          </w:p>
        </w:tc>
        <w:tc>
          <w:tcPr>
            <w:tcW w:w="15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94,792</w:t>
            </w:r>
          </w:p>
        </w:tc>
        <w:tc>
          <w:tcPr>
            <w:tcW w:w="28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20" w:type="dxa"/>
            <w:vAlign w:val="bottom"/>
          </w:tcPr>
          <w:p>
            <w:pPr>
              <w:spacing w:after="0"/>
              <w:rPr>
                <w:sz w:val="18"/>
                <w:szCs w:val="18"/>
                <w:color w:val="auto"/>
              </w:rPr>
            </w:pPr>
          </w:p>
        </w:tc>
      </w:tr>
      <w:tr>
        <w:trPr>
          <w:trHeight w:val="215"/>
        </w:trPr>
        <w:tc>
          <w:tcPr>
            <w:tcW w:w="4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37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23,795</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3740" w:type="dxa"/>
            <w:vAlign w:val="bottom"/>
            <w:shd w:val="clear" w:color="auto" w:fill="B2B2B2"/>
          </w:tcPr>
          <w:p>
            <w:pPr>
              <w:spacing w:after="0"/>
              <w:rPr>
                <w:sz w:val="18"/>
                <w:szCs w:val="18"/>
                <w:color w:val="auto"/>
              </w:rPr>
            </w:pPr>
          </w:p>
        </w:tc>
        <w:tc>
          <w:tcPr>
            <w:tcW w:w="15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37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331,419</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3740" w:type="dxa"/>
            <w:vAlign w:val="bottom"/>
            <w:shd w:val="clear" w:color="auto" w:fill="B2B2B2"/>
          </w:tcPr>
          <w:p>
            <w:pPr>
              <w:spacing w:after="0"/>
              <w:rPr>
                <w:sz w:val="18"/>
                <w:szCs w:val="18"/>
                <w:color w:val="auto"/>
              </w:rPr>
            </w:pPr>
          </w:p>
        </w:tc>
        <w:tc>
          <w:tcPr>
            <w:tcW w:w="15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20,452</w:t>
            </w:r>
          </w:p>
        </w:tc>
        <w:tc>
          <w:tcPr>
            <w:tcW w:w="28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0" w:type="dxa"/>
            <w:vAlign w:val="bottom"/>
          </w:tcPr>
          <w:p>
            <w:pPr>
              <w:spacing w:after="0"/>
              <w:rPr>
                <w:sz w:val="18"/>
                <w:szCs w:val="18"/>
                <w:color w:val="auto"/>
              </w:rPr>
            </w:pPr>
          </w:p>
        </w:tc>
      </w:tr>
      <w:tr>
        <w:trPr>
          <w:trHeight w:val="21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7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16"/>
        </w:trPr>
        <w:tc>
          <w:tcPr>
            <w:tcW w:w="4320" w:type="dxa"/>
            <w:vAlign w:val="bottom"/>
            <w:tcBorders>
              <w:bottom w:val="single" w:sz="8" w:color="auto"/>
            </w:tcBorders>
            <w:shd w:val="clear" w:color="auto" w:fill="B2B2B2"/>
          </w:tcPr>
          <w:p>
            <w:pPr>
              <w:ind w:left="360"/>
              <w:spacing w:after="0" w:line="202" w:lineRule="exact"/>
              <w:rPr>
                <w:sz w:val="20"/>
                <w:szCs w:val="20"/>
                <w:color w:val="auto"/>
              </w:rPr>
            </w:pPr>
            <w:r>
              <w:rPr>
                <w:rFonts w:ascii="Times New Roman" w:cs="Times New Roman" w:eastAsia="Times New Roman" w:hAnsi="Times New Roman"/>
                <w:sz w:val="18"/>
                <w:szCs w:val="18"/>
                <w:color w:val="auto"/>
              </w:rPr>
              <w:t>Total loans</w:t>
            </w:r>
          </w:p>
        </w:tc>
        <w:tc>
          <w:tcPr>
            <w:tcW w:w="37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944,557</w:t>
            </w:r>
          </w:p>
        </w:tc>
        <w:tc>
          <w:tcPr>
            <w:tcW w:w="28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B2B2B2"/>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772,638</w:t>
            </w:r>
          </w:p>
        </w:tc>
        <w:tc>
          <w:tcPr>
            <w:tcW w:w="20" w:type="dxa"/>
            <w:vAlign w:val="bottom"/>
          </w:tcPr>
          <w:p>
            <w:pPr>
              <w:spacing w:after="0"/>
              <w:rPr>
                <w:sz w:val="18"/>
                <w:szCs w:val="18"/>
                <w:color w:val="auto"/>
              </w:rPr>
            </w:pPr>
          </w:p>
        </w:tc>
      </w:tr>
      <w:tr>
        <w:trPr>
          <w:trHeight w:val="431"/>
        </w:trPr>
        <w:tc>
          <w:tcPr>
            <w:tcW w:w="4320" w:type="dxa"/>
            <w:vAlign w:val="bottom"/>
          </w:tcPr>
          <w:p>
            <w:pPr>
              <w:spacing w:after="0"/>
              <w:rPr>
                <w:sz w:val="24"/>
                <w:szCs w:val="24"/>
                <w:color w:val="auto"/>
              </w:rPr>
            </w:pPr>
          </w:p>
        </w:tc>
        <w:tc>
          <w:tcPr>
            <w:tcW w:w="37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320" w:type="dxa"/>
            <w:vAlign w:val="bottom"/>
            <w:tcBorders>
              <w:bottom w:val="single" w:sz="8" w:color="EEEEEE"/>
            </w:tcBorders>
          </w:tcPr>
          <w:p>
            <w:pPr>
              <w:spacing w:after="0"/>
              <w:rPr>
                <w:sz w:val="18"/>
                <w:szCs w:val="18"/>
                <w:color w:val="auto"/>
              </w:rPr>
            </w:pPr>
          </w:p>
        </w:tc>
        <w:tc>
          <w:tcPr>
            <w:tcW w:w="3740" w:type="dxa"/>
            <w:vAlign w:val="bottom"/>
            <w:tcBorders>
              <w:bottom w:val="single" w:sz="8" w:color="EEEEEE"/>
            </w:tcBorders>
          </w:tcPr>
          <w:p>
            <w:pPr>
              <w:spacing w:after="0"/>
              <w:rPr>
                <w:sz w:val="18"/>
                <w:szCs w:val="18"/>
                <w:color w:val="auto"/>
              </w:rPr>
            </w:pPr>
          </w:p>
        </w:tc>
        <w:tc>
          <w:tcPr>
            <w:tcW w:w="15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3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95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49" w:right="339" w:bottom="93" w:gutter="0" w:footer="0" w:header="0"/>
        </w:sectPr>
      </w:pPr>
    </w:p>
    <w:bookmarkStart w:id="11" w:name="page12"/>
    <w:bookmarkEnd w:id="11"/>
    <w:p>
      <w:pPr>
        <w:jc w:val="both"/>
        <w:spacing w:after="0" w:line="260" w:lineRule="auto"/>
        <w:rPr>
          <w:sz w:val="20"/>
          <w:szCs w:val="20"/>
          <w:color w:val="auto"/>
        </w:rPr>
      </w:pPr>
      <w:r>
        <w:rPr>
          <w:rFonts w:ascii="Times New Roman" w:cs="Times New Roman" w:eastAsia="Times New Roman" w:hAnsi="Times New Roman"/>
          <w:sz w:val="18"/>
          <w:szCs w:val="18"/>
          <w:color w:val="auto"/>
        </w:rPr>
        <w:t>In support of the Coronavirus, Aid, Relief, and Economic Security Act (the “CARES Act”), the Bank had processed nearly 350 applications for PPP loans of approximately $170,000,000 to provide much-needed cash to small business and self-employed taxpayers during the COVID-19 crisis. The loans were primarily made to existing bank customers and are 100% guaranteed by the Small Business Administration and no allowance for loan loss was recorded for these loans.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September 30, 2020 and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2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3"/>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90"/>
              <w:spacing w:after="0" w:line="193"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30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4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1"/>
                <w:szCs w:val="21"/>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300" w:type="dxa"/>
            <w:vAlign w:val="bottom"/>
          </w:tcPr>
          <w:p>
            <w:pPr>
              <w:spacing w:after="0"/>
              <w:rPr>
                <w:sz w:val="21"/>
                <w:szCs w:val="21"/>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60" w:type="dxa"/>
            <w:vAlign w:val="bottom"/>
          </w:tcPr>
          <w:p>
            <w:pPr>
              <w:spacing w:after="0"/>
              <w:rPr>
                <w:sz w:val="21"/>
                <w:szCs w:val="21"/>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Loans</w:t>
            </w:r>
          </w:p>
        </w:tc>
      </w:tr>
      <w:tr>
        <w:trPr>
          <w:trHeight w:val="215"/>
        </w:trPr>
        <w:tc>
          <w:tcPr>
            <w:tcW w:w="328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September 30, 2020</w:t>
            </w:r>
          </w:p>
        </w:tc>
        <w:tc>
          <w:tcPr>
            <w:tcW w:w="200" w:type="dxa"/>
            <w:vAlign w:val="bottom"/>
            <w:tcBorders>
              <w:top w:val="single" w:sz="8" w:color="auto"/>
            </w:tcBorders>
            <w:shd w:val="clear" w:color="auto" w:fill="B2B2B2"/>
          </w:tcPr>
          <w:p>
            <w:pPr>
              <w:spacing w:after="0"/>
              <w:rPr>
                <w:sz w:val="18"/>
                <w:szCs w:val="18"/>
                <w:color w:val="auto"/>
              </w:rPr>
            </w:pPr>
          </w:p>
        </w:tc>
        <w:tc>
          <w:tcPr>
            <w:tcW w:w="1120" w:type="dxa"/>
            <w:vAlign w:val="bottom"/>
            <w:tcBorders>
              <w:top w:val="single" w:sz="8" w:color="auto"/>
            </w:tcBorders>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spacing w:after="0"/>
              <w:rPr>
                <w:sz w:val="18"/>
                <w:szCs w:val="18"/>
                <w:color w:val="auto"/>
              </w:rPr>
            </w:pPr>
          </w:p>
        </w:tc>
        <w:tc>
          <w:tcPr>
            <w:tcW w:w="1180" w:type="dxa"/>
            <w:vAlign w:val="bottom"/>
            <w:tcBorders>
              <w:top w:val="single" w:sz="8" w:color="auto"/>
            </w:tcBorders>
            <w:shd w:val="clear" w:color="auto" w:fill="B2B2B2"/>
          </w:tcPr>
          <w:p>
            <w:pPr>
              <w:spacing w:after="0"/>
              <w:rPr>
                <w:sz w:val="18"/>
                <w:szCs w:val="18"/>
                <w:color w:val="auto"/>
              </w:rPr>
            </w:pPr>
          </w:p>
        </w:tc>
        <w:tc>
          <w:tcPr>
            <w:tcW w:w="300" w:type="dxa"/>
            <w:vAlign w:val="bottom"/>
            <w:tcBorders>
              <w:top w:val="single" w:sz="8" w:color="auto"/>
            </w:tcBorders>
            <w:shd w:val="clear" w:color="auto" w:fill="B2B2B2"/>
          </w:tcPr>
          <w:p>
            <w:pPr>
              <w:spacing w:after="0"/>
              <w:rPr>
                <w:sz w:val="18"/>
                <w:szCs w:val="18"/>
                <w:color w:val="auto"/>
              </w:rPr>
            </w:pPr>
          </w:p>
        </w:tc>
        <w:tc>
          <w:tcPr>
            <w:tcW w:w="98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60" w:type="dxa"/>
            <w:vAlign w:val="bottom"/>
            <w:tcBorders>
              <w:top w:val="single" w:sz="8" w:color="auto"/>
            </w:tcBorders>
            <w:shd w:val="clear" w:color="auto" w:fill="B2B2B2"/>
          </w:tcPr>
          <w:p>
            <w:pPr>
              <w:spacing w:after="0"/>
              <w:rPr>
                <w:sz w:val="18"/>
                <w:szCs w:val="18"/>
                <w:color w:val="auto"/>
              </w:rPr>
            </w:pPr>
          </w:p>
        </w:tc>
        <w:tc>
          <w:tcPr>
            <w:tcW w:w="280" w:type="dxa"/>
            <w:vAlign w:val="bottom"/>
            <w:tcBorders>
              <w:top w:val="single" w:sz="8" w:color="auto"/>
            </w:tcBorders>
            <w:shd w:val="clear" w:color="auto" w:fill="B2B2B2"/>
          </w:tcPr>
          <w:p>
            <w:pPr>
              <w:spacing w:after="0"/>
              <w:rPr>
                <w:sz w:val="18"/>
                <w:szCs w:val="18"/>
                <w:color w:val="auto"/>
              </w:rPr>
            </w:pPr>
          </w:p>
        </w:tc>
        <w:tc>
          <w:tcPr>
            <w:tcW w:w="100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301,886</w:t>
            </w: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20" w:type="dxa"/>
            <w:vAlign w:val="bottom"/>
          </w:tcPr>
          <w:p>
            <w:pPr>
              <w:spacing w:after="0"/>
              <w:rPr>
                <w:sz w:val="18"/>
                <w:szCs w:val="18"/>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94,792</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94,792</w:t>
            </w: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0" w:type="dxa"/>
            <w:vAlign w:val="bottom"/>
          </w:tcPr>
          <w:p>
            <w:pPr>
              <w:spacing w:after="0"/>
              <w:rPr>
                <w:sz w:val="18"/>
                <w:szCs w:val="18"/>
                <w:color w:val="auto"/>
              </w:rPr>
            </w:pPr>
          </w:p>
        </w:tc>
      </w:tr>
      <w:tr>
        <w:trPr>
          <w:trHeight w:val="21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331,419</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331,419</w:t>
            </w:r>
          </w:p>
        </w:tc>
        <w:tc>
          <w:tcPr>
            <w:tcW w:w="20" w:type="dxa"/>
            <w:vAlign w:val="bottom"/>
          </w:tcPr>
          <w:p>
            <w:pPr>
              <w:spacing w:after="0"/>
              <w:rPr>
                <w:sz w:val="18"/>
                <w:szCs w:val="18"/>
                <w:color w:val="auto"/>
              </w:rPr>
            </w:pPr>
          </w:p>
        </w:tc>
      </w:tr>
      <w:tr>
        <w:trPr>
          <w:trHeight w:val="21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20" w:type="dxa"/>
            <w:vAlign w:val="bottom"/>
          </w:tcPr>
          <w:p>
            <w:pPr>
              <w:spacing w:after="0"/>
              <w:rPr>
                <w:sz w:val="18"/>
                <w:szCs w:val="18"/>
                <w:color w:val="auto"/>
              </w:rPr>
            </w:pPr>
          </w:p>
        </w:tc>
      </w:tr>
      <w:tr>
        <w:trPr>
          <w:trHeight w:val="215"/>
        </w:trPr>
        <w:tc>
          <w:tcPr>
            <w:tcW w:w="328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gridSpan w:val="2"/>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spacing w:after="0"/>
              <w:rPr>
                <w:sz w:val="18"/>
                <w:szCs w:val="18"/>
                <w:color w:val="auto"/>
              </w:rPr>
            </w:pPr>
          </w:p>
        </w:tc>
        <w:tc>
          <w:tcPr>
            <w:tcW w:w="300" w:type="dxa"/>
            <w:vAlign w:val="bottom"/>
            <w:tcBorders>
              <w:bottom w:val="single" w:sz="8" w:color="auto"/>
            </w:tcBorders>
            <w:gridSpan w:val="2"/>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0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944,557</w:t>
            </w:r>
          </w:p>
        </w:tc>
        <w:tc>
          <w:tcPr>
            <w:tcW w:w="20" w:type="dxa"/>
            <w:vAlign w:val="bottom"/>
          </w:tcPr>
          <w:p>
            <w:pPr>
              <w:spacing w:after="0"/>
              <w:rPr>
                <w:sz w:val="18"/>
                <w:szCs w:val="18"/>
                <w:color w:val="auto"/>
              </w:rPr>
            </w:pPr>
          </w:p>
        </w:tc>
      </w:tr>
      <w:tr>
        <w:trPr>
          <w:trHeight w:val="209"/>
        </w:trPr>
        <w:tc>
          <w:tcPr>
            <w:tcW w:w="3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December 31, 2019</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20" w:type="dxa"/>
            <w:vAlign w:val="bottom"/>
          </w:tcPr>
          <w:p>
            <w:pPr>
              <w:spacing w:after="0"/>
              <w:rPr>
                <w:sz w:val="18"/>
                <w:szCs w:val="18"/>
                <w:color w:val="auto"/>
              </w:rPr>
            </w:pPr>
          </w:p>
        </w:tc>
      </w:tr>
      <w:tr>
        <w:trPr>
          <w:trHeight w:val="21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20" w:type="dxa"/>
            <w:vAlign w:val="bottom"/>
          </w:tcPr>
          <w:p>
            <w:pPr>
              <w:spacing w:after="0"/>
              <w:rPr>
                <w:sz w:val="18"/>
                <w:szCs w:val="18"/>
                <w:color w:val="auto"/>
              </w:rPr>
            </w:pPr>
          </w:p>
        </w:tc>
      </w:tr>
      <w:tr>
        <w:trPr>
          <w:trHeight w:val="215"/>
        </w:trPr>
        <w:tc>
          <w:tcPr>
            <w:tcW w:w="328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0" w:type="dxa"/>
            <w:vAlign w:val="bottom"/>
          </w:tcPr>
          <w:p>
            <w:pPr>
              <w:spacing w:after="0"/>
              <w:rPr>
                <w:sz w:val="18"/>
                <w:szCs w:val="18"/>
                <w:color w:val="auto"/>
              </w:rPr>
            </w:pPr>
          </w:p>
        </w:tc>
      </w:tr>
      <w:tr>
        <w:trPr>
          <w:trHeight w:val="21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16"/>
        </w:trPr>
        <w:tc>
          <w:tcPr>
            <w:tcW w:w="3280" w:type="dxa"/>
            <w:vAlign w:val="bottom"/>
            <w:tcBorders>
              <w:bottom w:val="single" w:sz="8" w:color="auto"/>
            </w:tcBorders>
            <w:shd w:val="clear" w:color="auto" w:fill="B2B2B2"/>
          </w:tcPr>
          <w:p>
            <w:pPr>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B2B2B2"/>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772,638</w:t>
            </w:r>
          </w:p>
        </w:tc>
        <w:tc>
          <w:tcPr>
            <w:tcW w:w="18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2B2B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2B2B2"/>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B2B2B2"/>
          </w:tcPr>
          <w:p>
            <w:pPr>
              <w:ind w:left="8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B2B2B2"/>
          </w:tcPr>
          <w:p>
            <w:pPr>
              <w:ind w:left="8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ind w:right="7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gridSpan w:val="2"/>
            <w:shd w:val="clear" w:color="auto" w:fill="B2B2B2"/>
          </w:tcPr>
          <w:p>
            <w:pPr>
              <w:ind w:lef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2B2B2"/>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772,638</w:t>
            </w:r>
          </w:p>
        </w:tc>
        <w:tc>
          <w:tcPr>
            <w:tcW w:w="20" w:type="dxa"/>
            <w:vAlign w:val="bottom"/>
            <w:tcBorders>
              <w:bottom w:val="single" w:sz="8" w:color="auto"/>
            </w:tcBorders>
          </w:tcPr>
          <w:p>
            <w:pPr>
              <w:spacing w:after="0"/>
              <w:rPr>
                <w:sz w:val="18"/>
                <w:szCs w:val="18"/>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September 30, 2020 and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Subject to</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Loans Subject</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39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Normal</w:t>
            </w:r>
          </w:p>
        </w:tc>
        <w:tc>
          <w:tcPr>
            <w:tcW w:w="18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to Special</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1"/>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140" w:type="dxa"/>
            <w:vAlign w:val="bottom"/>
          </w:tcPr>
          <w:p>
            <w:pPr>
              <w:spacing w:after="0"/>
              <w:rPr>
                <w:sz w:val="24"/>
                <w:szCs w:val="24"/>
                <w:color w:val="auto"/>
              </w:rPr>
            </w:pPr>
          </w:p>
        </w:tc>
        <w:tc>
          <w:tcPr>
            <w:tcW w:w="1200" w:type="dxa"/>
            <w:vAlign w:val="bottom"/>
          </w:tcPr>
          <w:p>
            <w:pPr>
              <w:jc w:val="center"/>
              <w:ind w:right="110"/>
              <w:spacing w:after="0" w:line="274"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9"/>
                <w:szCs w:val="29"/>
                <w:b w:val="1"/>
                <w:bCs w:val="1"/>
                <w:color w:val="auto"/>
                <w:w w:val="98"/>
                <w:vertAlign w:val="superscript"/>
              </w:rPr>
              <w:t>1</w:t>
            </w:r>
          </w:p>
        </w:tc>
        <w:tc>
          <w:tcPr>
            <w:tcW w:w="180" w:type="dxa"/>
            <w:vAlign w:val="bottom"/>
          </w:tcPr>
          <w:p>
            <w:pPr>
              <w:spacing w:after="0"/>
              <w:rPr>
                <w:sz w:val="24"/>
                <w:szCs w:val="24"/>
                <w:color w:val="auto"/>
              </w:rPr>
            </w:pPr>
          </w:p>
        </w:tc>
        <w:tc>
          <w:tcPr>
            <w:tcW w:w="1160" w:type="dxa"/>
            <w:vAlign w:val="bottom"/>
          </w:tcPr>
          <w:p>
            <w:pPr>
              <w:jc w:val="center"/>
              <w:ind w:right="110"/>
              <w:spacing w:after="0" w:line="274"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9"/>
                <w:szCs w:val="29"/>
                <w:b w:val="1"/>
                <w:bCs w:val="1"/>
                <w:color w:val="auto"/>
                <w:w w:val="98"/>
                <w:vertAlign w:val="superscript"/>
              </w:rPr>
              <w:t>2</w:t>
            </w:r>
          </w:p>
        </w:tc>
        <w:tc>
          <w:tcPr>
            <w:tcW w:w="160" w:type="dxa"/>
            <w:vAlign w:val="bottom"/>
          </w:tcPr>
          <w:p>
            <w:pPr>
              <w:spacing w:after="0"/>
              <w:rPr>
                <w:sz w:val="24"/>
                <w:szCs w:val="24"/>
                <w:color w:val="auto"/>
              </w:rPr>
            </w:pPr>
          </w:p>
        </w:tc>
        <w:tc>
          <w:tcPr>
            <w:tcW w:w="1160" w:type="dxa"/>
            <w:vAlign w:val="bottom"/>
          </w:tcPr>
          <w:p>
            <w:pPr>
              <w:jc w:val="center"/>
              <w:ind w:right="70"/>
              <w:spacing w:after="0" w:line="274"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9"/>
                <w:szCs w:val="29"/>
                <w:b w:val="1"/>
                <w:bCs w:val="1"/>
                <w:color w:val="auto"/>
                <w:w w:val="98"/>
                <w:vertAlign w:val="superscript"/>
              </w:rPr>
              <w:t>2</w:t>
            </w:r>
          </w:p>
        </w:tc>
        <w:tc>
          <w:tcPr>
            <w:tcW w:w="1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15"/>
        </w:trPr>
        <w:tc>
          <w:tcPr>
            <w:tcW w:w="396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September 30, 2020</w:t>
            </w:r>
          </w:p>
        </w:tc>
        <w:tc>
          <w:tcPr>
            <w:tcW w:w="2140" w:type="dxa"/>
            <w:vAlign w:val="bottom"/>
            <w:tcBorders>
              <w:top w:val="single" w:sz="8" w:color="auto"/>
            </w:tcBorders>
            <w:shd w:val="clear" w:color="auto" w:fill="B2B2B2"/>
          </w:tcPr>
          <w:p>
            <w:pPr>
              <w:spacing w:after="0"/>
              <w:rPr>
                <w:sz w:val="18"/>
                <w:szCs w:val="18"/>
                <w:color w:val="auto"/>
              </w:rPr>
            </w:pPr>
          </w:p>
        </w:tc>
        <w:tc>
          <w:tcPr>
            <w:tcW w:w="1200" w:type="dxa"/>
            <w:vAlign w:val="bottom"/>
            <w:tcBorders>
              <w:top w:val="single" w:sz="8" w:color="auto"/>
            </w:tcBorders>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spacing w:after="0"/>
              <w:rPr>
                <w:sz w:val="18"/>
                <w:szCs w:val="18"/>
                <w:color w:val="auto"/>
              </w:rPr>
            </w:pPr>
          </w:p>
        </w:tc>
        <w:tc>
          <w:tcPr>
            <w:tcW w:w="116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1160" w:type="dxa"/>
            <w:vAlign w:val="bottom"/>
            <w:tcBorders>
              <w:top w:val="single" w:sz="8" w:color="auto"/>
            </w:tcBorders>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spacing w:after="0"/>
              <w:rPr>
                <w:sz w:val="18"/>
                <w:szCs w:val="18"/>
                <w:color w:val="auto"/>
              </w:rPr>
            </w:pPr>
          </w:p>
        </w:tc>
        <w:tc>
          <w:tcPr>
            <w:tcW w:w="110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301,886</w:t>
            </w: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20" w:type="dxa"/>
            <w:vAlign w:val="bottom"/>
          </w:tcPr>
          <w:p>
            <w:pPr>
              <w:spacing w:after="0"/>
              <w:rPr>
                <w:sz w:val="18"/>
                <w:szCs w:val="18"/>
                <w:color w:val="auto"/>
              </w:rPr>
            </w:pP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94,792</w:t>
            </w: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0" w:type="dxa"/>
            <w:vAlign w:val="bottom"/>
          </w:tcPr>
          <w:p>
            <w:pPr>
              <w:spacing w:after="0"/>
              <w:rPr>
                <w:sz w:val="18"/>
                <w:szCs w:val="18"/>
                <w:color w:val="auto"/>
              </w:rPr>
            </w:pPr>
          </w:p>
        </w:tc>
      </w:tr>
      <w:tr>
        <w:trPr>
          <w:trHeight w:val="215"/>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328,285</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331,419</w:t>
            </w:r>
          </w:p>
        </w:tc>
        <w:tc>
          <w:tcPr>
            <w:tcW w:w="20" w:type="dxa"/>
            <w:vAlign w:val="bottom"/>
          </w:tcPr>
          <w:p>
            <w:pPr>
              <w:spacing w:after="0"/>
              <w:rPr>
                <w:sz w:val="18"/>
                <w:szCs w:val="18"/>
                <w:color w:val="auto"/>
              </w:rPr>
            </w:pPr>
          </w:p>
        </w:tc>
      </w:tr>
      <w:tr>
        <w:trPr>
          <w:trHeight w:val="215"/>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20" w:type="dxa"/>
            <w:vAlign w:val="bottom"/>
          </w:tcPr>
          <w:p>
            <w:pPr>
              <w:spacing w:after="0"/>
              <w:rPr>
                <w:sz w:val="18"/>
                <w:szCs w:val="18"/>
                <w:color w:val="auto"/>
              </w:rPr>
            </w:pPr>
          </w:p>
        </w:tc>
      </w:tr>
      <w:tr>
        <w:trPr>
          <w:trHeight w:val="215"/>
        </w:trPr>
        <w:tc>
          <w:tcPr>
            <w:tcW w:w="39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09"/>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926,175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944,557</w:t>
            </w:r>
          </w:p>
        </w:tc>
        <w:tc>
          <w:tcPr>
            <w:tcW w:w="20" w:type="dxa"/>
            <w:vAlign w:val="bottom"/>
          </w:tcPr>
          <w:p>
            <w:pPr>
              <w:spacing w:after="0"/>
              <w:rPr>
                <w:sz w:val="18"/>
                <w:szCs w:val="18"/>
                <w:color w:val="auto"/>
              </w:rPr>
            </w:pPr>
          </w:p>
        </w:tc>
      </w:tr>
      <w:tr>
        <w:trPr>
          <w:trHeight w:val="209"/>
        </w:trPr>
        <w:tc>
          <w:tcPr>
            <w:tcW w:w="39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i w:val="1"/>
                <w:iCs w:val="1"/>
                <w:color w:val="auto"/>
              </w:rPr>
              <w:t>December 31, 2019</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100,346</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20" w:type="dxa"/>
            <w:vAlign w:val="bottom"/>
          </w:tcPr>
          <w:p>
            <w:pPr>
              <w:spacing w:after="0"/>
              <w:rPr>
                <w:sz w:val="18"/>
                <w:szCs w:val="18"/>
                <w:color w:val="auto"/>
              </w:rPr>
            </w:pPr>
          </w:p>
        </w:tc>
      </w:tr>
      <w:tr>
        <w:trPr>
          <w:trHeight w:val="215"/>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20" w:type="dxa"/>
            <w:vAlign w:val="bottom"/>
          </w:tcPr>
          <w:p>
            <w:pPr>
              <w:spacing w:after="0"/>
              <w:rPr>
                <w:sz w:val="18"/>
                <w:szCs w:val="18"/>
                <w:color w:val="auto"/>
              </w:rPr>
            </w:pPr>
          </w:p>
        </w:tc>
      </w:tr>
      <w:tr>
        <w:trPr>
          <w:trHeight w:val="215"/>
        </w:trPr>
        <w:tc>
          <w:tcPr>
            <w:tcW w:w="39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0" w:type="dxa"/>
            <w:vAlign w:val="bottom"/>
          </w:tcPr>
          <w:p>
            <w:pPr>
              <w:spacing w:after="0"/>
              <w:rPr>
                <w:sz w:val="18"/>
                <w:szCs w:val="18"/>
                <w:color w:val="auto"/>
              </w:rPr>
            </w:pPr>
          </w:p>
        </w:tc>
      </w:tr>
      <w:tr>
        <w:trPr>
          <w:trHeight w:val="21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09"/>
        </w:trPr>
        <w:tc>
          <w:tcPr>
            <w:tcW w:w="39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767,714</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6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2B2B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772,638</w:t>
            </w:r>
          </w:p>
        </w:tc>
        <w:tc>
          <w:tcPr>
            <w:tcW w:w="20" w:type="dxa"/>
            <w:vAlign w:val="bottom"/>
          </w:tcPr>
          <w:p>
            <w:pPr>
              <w:spacing w:after="0"/>
              <w:rPr>
                <w:sz w:val="18"/>
                <w:szCs w:val="18"/>
                <w:color w:val="auto"/>
              </w:rPr>
            </w:pPr>
          </w:p>
        </w:tc>
      </w:tr>
    </w:tbl>
    <w:p>
      <w:pPr>
        <w:ind w:left="100" w:hanging="92"/>
        <w:spacing w:after="0" w:line="184" w:lineRule="auto"/>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Loans subject to normal monitoring involve borrowers of acceptable-to-strong credit quality and risk, who have the apparent ability to satisfy their loan obligations.</w:t>
      </w:r>
    </w:p>
    <w:p>
      <w:pPr>
        <w:spacing w:after="0" w:line="19"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Loans subject to special monitoring possess some credit deficiency or potential weakness which requires a high level of management attention.</w:t>
      </w:r>
    </w:p>
    <w:p>
      <w:pPr>
        <w:sectPr>
          <w:pgSz w:w="11900" w:h="16838" w:orient="portrait"/>
          <w:cols w:equalWidth="0" w:num="1">
            <w:col w:w="11240"/>
          </w:cols>
          <w:pgMar w:left="320" w:top="323" w:right="339" w:bottom="859" w:gutter="0" w:footer="0" w:header="0"/>
        </w:sectPr>
      </w:pP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95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859" w:gutter="0" w:footer="0" w:header="0"/>
          <w:type w:val="continuous"/>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A loan is considered impaired when it is probable that a creditor will be unable to collect all amounts due, both principal and interest, according to the contractual terms of the loan agreement. When measuring impairment, the expected future cash flows of an impaired loan are discounted at the loan's effective interest rate. Alternatively, impairment could be measured by reference to an observable market price, if one exists, or the fair value of the collateral for a collateral-dependent loan. Regardless of the historical measurement method used, the Company measures impairment based on the fair value of the collateral when the Company determines foreclosure is probable. Additionally, impairment of a restructured loan is measured by discounting the total expected future cash flows at the loan's effective rate of interest as stated in the original loan agreement. To measure impairment at September 30, 2020, the optional use of the practical expedient to use the fair value of collateral was utilized. The Company uses its nonaccrual methods as discussed in greater detail in the Company’s 2019 Annual Report on Form 10-K.</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The fair value of the collateral is based upon an observable market price or current appraised value and therefore, the Company classifies these assets as nonrecurring Level 3. There were no non-accrual loans or loans delinquent 90 days or more and still accruing interest at September 30, 2020 or December 31, 2019. There were two loans classified as troubled debt restructurings totaling $10,320,000 and one loan that was considered impaired totaling $2,500,000 at September 30, 2020 and none at December 31, 2019. There were no foreclosed loans recorded as other real estate owned (included in other assets) as of September 30, 2020 or December 31, 2019.</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recorded investment and unpaid principal balance for impaired loans at September 30, 2020. There were no impaired loans at December 31, 2019 or September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Unpaid Principal</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Related Allowance for</w:t>
            </w:r>
          </w:p>
        </w:tc>
      </w:tr>
      <w:tr>
        <w:trPr>
          <w:trHeight w:val="245"/>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32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320" w:type="dxa"/>
            <w:vAlign w:val="bottom"/>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4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 Losses</w:t>
            </w:r>
          </w:p>
        </w:tc>
      </w:tr>
      <w:tr>
        <w:trPr>
          <w:trHeight w:val="215"/>
        </w:trPr>
        <w:tc>
          <w:tcPr>
            <w:tcW w:w="408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20" w:type="dxa"/>
            <w:vAlign w:val="bottom"/>
            <w:tcBorders>
              <w:top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320" w:type="dxa"/>
            <w:vAlign w:val="bottom"/>
            <w:tcBorders>
              <w:top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340" w:type="dxa"/>
            <w:vAlign w:val="bottom"/>
            <w:tcBorders>
              <w:top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r>
      <w:tr>
        <w:trPr>
          <w:trHeight w:val="21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8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23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5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2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080" w:type="dxa"/>
            <w:vAlign w:val="bottom"/>
            <w:tcBorders>
              <w:bottom w:val="single" w:sz="8" w:color="auto"/>
            </w:tcBorders>
            <w:shd w:val="clear" w:color="auto" w:fill="B2B2B2"/>
          </w:tcPr>
          <w:p>
            <w:pPr>
              <w:spacing w:after="0" w:line="195" w:lineRule="exact"/>
              <w:rPr>
                <w:sz w:val="20"/>
                <w:szCs w:val="20"/>
                <w:color w:val="auto"/>
              </w:rPr>
            </w:pPr>
            <w:r>
              <w:rPr>
                <w:rFonts w:ascii="Times New Roman" w:cs="Times New Roman" w:eastAsia="Times New Roman" w:hAnsi="Times New Roman"/>
                <w:sz w:val="18"/>
                <w:szCs w:val="18"/>
                <w:color w:val="auto"/>
              </w:rPr>
              <w:t>Total impaired loans</w:t>
            </w:r>
          </w:p>
        </w:tc>
        <w:tc>
          <w:tcPr>
            <w:tcW w:w="2320" w:type="dxa"/>
            <w:vAlign w:val="bottom"/>
            <w:tcBorders>
              <w:bottom w:val="single" w:sz="8" w:color="auto"/>
            </w:tcBorders>
            <w:shd w:val="clear" w:color="auto" w:fill="B2B2B2"/>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12,820</w:t>
            </w:r>
          </w:p>
        </w:tc>
        <w:tc>
          <w:tcPr>
            <w:tcW w:w="320" w:type="dxa"/>
            <w:vAlign w:val="bottom"/>
            <w:tcBorders>
              <w:bottom w:val="single" w:sz="8" w:color="auto"/>
            </w:tcBorders>
            <w:shd w:val="clear" w:color="auto" w:fill="B2B2B2"/>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12,820</w:t>
            </w:r>
          </w:p>
        </w:tc>
        <w:tc>
          <w:tcPr>
            <w:tcW w:w="340" w:type="dxa"/>
            <w:vAlign w:val="bottom"/>
            <w:tcBorders>
              <w:bottom w:val="single" w:sz="8" w:color="auto"/>
            </w:tcBorders>
            <w:shd w:val="clear" w:color="auto" w:fill="B2B2B2"/>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bottom w:val="single" w:sz="8" w:color="auto"/>
            </w:tcBorders>
          </w:tcPr>
          <w:p>
            <w:pPr>
              <w:spacing w:after="0"/>
              <w:rPr>
                <w:sz w:val="18"/>
                <w:szCs w:val="18"/>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2019 to September 30, 2020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Offs</w:t>
            </w: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Recoveries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r>
      <w:tr>
        <w:trPr>
          <w:trHeight w:val="215"/>
        </w:trPr>
        <w:tc>
          <w:tcPr>
            <w:tcW w:w="3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140" w:type="dxa"/>
            <w:vAlign w:val="bottom"/>
            <w:shd w:val="clear" w:color="auto" w:fill="B2B2B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0" w:type="dxa"/>
            <w:vAlign w:val="bottom"/>
          </w:tcPr>
          <w:p>
            <w:pPr>
              <w:spacing w:after="0"/>
              <w:rPr>
                <w:sz w:val="18"/>
                <w:szCs w:val="18"/>
                <w:color w:val="auto"/>
              </w:rPr>
            </w:pPr>
          </w:p>
        </w:tc>
      </w:tr>
      <w:tr>
        <w:trPr>
          <w:trHeight w:val="21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 w:type="dxa"/>
            <w:vAlign w:val="bottom"/>
          </w:tcPr>
          <w:p>
            <w:pPr>
              <w:spacing w:after="0"/>
              <w:rPr>
                <w:sz w:val="18"/>
                <w:szCs w:val="18"/>
                <w:color w:val="auto"/>
              </w:rPr>
            </w:pPr>
          </w:p>
        </w:tc>
      </w:tr>
      <w:tr>
        <w:trPr>
          <w:trHeight w:val="215"/>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r>
      <w:tr>
        <w:trPr>
          <w:trHeight w:val="216"/>
        </w:trPr>
        <w:tc>
          <w:tcPr>
            <w:tcW w:w="322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10,556</w:t>
            </w:r>
          </w:p>
        </w:tc>
        <w:tc>
          <w:tcPr>
            <w:tcW w:w="1140" w:type="dxa"/>
            <w:vAlign w:val="bottom"/>
            <w:tcBorders>
              <w:bottom w:val="single" w:sz="8" w:color="auto"/>
            </w:tcBorders>
            <w:shd w:val="clear" w:color="auto" w:fill="B2B2B2"/>
          </w:tcPr>
          <w:p>
            <w:pPr>
              <w:jc w:val="right"/>
              <w:ind w:right="8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2B2B2"/>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725</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11,298</w:t>
            </w:r>
          </w:p>
        </w:tc>
        <w:tc>
          <w:tcPr>
            <w:tcW w:w="20" w:type="dxa"/>
            <w:vAlign w:val="bottom"/>
          </w:tcPr>
          <w:p>
            <w:pPr>
              <w:spacing w:after="0"/>
              <w:rPr>
                <w:sz w:val="18"/>
                <w:szCs w:val="18"/>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from December 31, 2018 to September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Offs</w:t>
            </w: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Recoveries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15"/>
        </w:trPr>
        <w:tc>
          <w:tcPr>
            <w:tcW w:w="3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140" w:type="dxa"/>
            <w:vAlign w:val="bottom"/>
            <w:shd w:val="clear" w:color="auto" w:fill="B2B2B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0" w:type="dxa"/>
            <w:vAlign w:val="bottom"/>
          </w:tcPr>
          <w:p>
            <w:pPr>
              <w:spacing w:after="0"/>
              <w:rPr>
                <w:sz w:val="18"/>
                <w:szCs w:val="18"/>
                <w:color w:val="auto"/>
              </w:rPr>
            </w:pPr>
          </w:p>
        </w:tc>
      </w:tr>
      <w:tr>
        <w:trPr>
          <w:trHeight w:val="21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Faith-based:</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Mortgage</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 w:type="dxa"/>
            <w:vAlign w:val="bottom"/>
          </w:tcPr>
          <w:p>
            <w:pPr>
              <w:spacing w:after="0"/>
              <w:rPr>
                <w:sz w:val="18"/>
                <w:szCs w:val="18"/>
                <w:color w:val="auto"/>
              </w:rPr>
            </w:pPr>
          </w:p>
        </w:tc>
      </w:tr>
      <w:tr>
        <w:trPr>
          <w:trHeight w:val="215"/>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Construction</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r>
      <w:tr>
        <w:trPr>
          <w:trHeight w:val="209"/>
        </w:trPr>
        <w:tc>
          <w:tcPr>
            <w:tcW w:w="32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140" w:type="dxa"/>
            <w:vAlign w:val="bottom"/>
            <w:tcBorders>
              <w:bottom w:val="single" w:sz="8" w:color="auto"/>
            </w:tcBorders>
            <w:shd w:val="clear" w:color="auto" w:fill="B2B2B2"/>
          </w:tcPr>
          <w:p>
            <w:pPr>
              <w:spacing w:after="0"/>
              <w:rPr>
                <w:sz w:val="18"/>
                <w:szCs w:val="18"/>
                <w:color w:val="auto"/>
              </w:rPr>
            </w:pPr>
          </w:p>
        </w:tc>
        <w:tc>
          <w:tcPr>
            <w:tcW w:w="320" w:type="dxa"/>
            <w:vAlign w:val="bottom"/>
            <w:tcBorders>
              <w:bottom w:val="single" w:sz="8" w:color="auto"/>
            </w:tcBorders>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Borders>
              <w:bottom w:val="single" w:sz="8" w:color="auto"/>
            </w:tcBorders>
            <w:shd w:val="clear" w:color="auto" w:fill="B2B2B2"/>
          </w:tcPr>
          <w:p>
            <w:pPr>
              <w:spacing w:after="0"/>
              <w:rPr>
                <w:sz w:val="18"/>
                <w:szCs w:val="18"/>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r>
      <w:tr>
        <w:trPr>
          <w:trHeight w:val="216"/>
        </w:trPr>
        <w:tc>
          <w:tcPr>
            <w:tcW w:w="322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10,225</w:t>
            </w:r>
          </w:p>
        </w:tc>
        <w:tc>
          <w:tcPr>
            <w:tcW w:w="1140" w:type="dxa"/>
            <w:vAlign w:val="bottom"/>
            <w:tcBorders>
              <w:bottom w:val="single" w:sz="8" w:color="auto"/>
            </w:tcBorders>
          </w:tcPr>
          <w:p>
            <w:pPr>
              <w:jc w:val="right"/>
              <w:ind w:right="8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10,509</w:t>
            </w:r>
          </w:p>
        </w:tc>
        <w:tc>
          <w:tcPr>
            <w:tcW w:w="20" w:type="dxa"/>
            <w:vAlign w:val="bottom"/>
            <w:tcBorders>
              <w:bottom w:val="single" w:sz="8" w:color="auto"/>
            </w:tcBorders>
          </w:tcPr>
          <w:p>
            <w:pPr>
              <w:spacing w:after="0"/>
              <w:rPr>
                <w:sz w:val="18"/>
                <w:szCs w:val="18"/>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September 30, 2020 and December 31, 2019, no amounts have been accrued for any estimated losses for these instruments.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September 30, 2020, the balance of unused loan commitments and standby and commercial letters of credit were $193,272,000, $10,337,000, and $1,015,000,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w:t>
      </w:r>
    </w:p>
    <w:p>
      <w:pPr>
        <w:sectPr>
          <w:pgSz w:w="11900" w:h="16838" w:orient="portrait"/>
          <w:cols w:equalWidth="0" w:num="1">
            <w:col w:w="11240"/>
          </w:cols>
          <w:pgMar w:left="320" w:top="323" w:right="339" w:bottom="0" w:gutter="0" w:footer="0" w:header="0"/>
        </w:sectPr>
      </w:pPr>
    </w:p>
    <w:bookmarkStart w:id="13" w:name="page14"/>
    <w:bookmarkEnd w:id="13"/>
    <w:p>
      <w:pPr>
        <w:jc w:val="both"/>
        <w:spacing w:after="0" w:line="260" w:lineRule="auto"/>
        <w:rPr>
          <w:sz w:val="20"/>
          <w:szCs w:val="20"/>
          <w:color w:val="auto"/>
        </w:rPr>
      </w:pPr>
      <w:r>
        <w:rPr>
          <w:rFonts w:ascii="Times New Roman" w:cs="Times New Roman" w:eastAsia="Times New Roman" w:hAnsi="Times New Roman"/>
          <w:sz w:val="18"/>
          <w:szCs w:val="18"/>
          <w:color w:val="auto"/>
        </w:rPr>
        <w:t>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table summarizes contractual cash obligations of the Company related to time deposits at September 30,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Amount of Commitment Expiration per Period</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193"/>
        </w:trPr>
        <w:tc>
          <w:tcPr>
            <w:tcW w:w="3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50"/>
              <w:spacing w:after="0" w:line="193"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6"/>
                <w:szCs w:val="16"/>
                <w:color w:val="auto"/>
              </w:rPr>
            </w:pPr>
          </w:p>
        </w:tc>
        <w:tc>
          <w:tcPr>
            <w:tcW w:w="860" w:type="dxa"/>
            <w:vAlign w:val="bottom"/>
          </w:tcPr>
          <w:p>
            <w:pPr>
              <w:jc w:val="right"/>
              <w:ind w:right="330"/>
              <w:spacing w:after="0" w:line="193" w:lineRule="exact"/>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Pr>
          <w:p>
            <w:pPr>
              <w:spacing w:after="0"/>
              <w:rPr>
                <w:sz w:val="16"/>
                <w:szCs w:val="16"/>
                <w:color w:val="auto"/>
              </w:rPr>
            </w:pPr>
          </w:p>
        </w:tc>
        <w:tc>
          <w:tcPr>
            <w:tcW w:w="900" w:type="dxa"/>
            <w:vAlign w:val="bottom"/>
          </w:tcPr>
          <w:p>
            <w:pPr>
              <w:jc w:val="right"/>
              <w:ind w:right="370"/>
              <w:spacing w:after="0" w:line="193" w:lineRule="exact"/>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6"/>
                <w:szCs w:val="16"/>
                <w:color w:val="auto"/>
              </w:rPr>
            </w:pPr>
          </w:p>
        </w:tc>
        <w:tc>
          <w:tcPr>
            <w:tcW w:w="840" w:type="dxa"/>
            <w:vAlign w:val="bottom"/>
          </w:tcPr>
          <w:p>
            <w:pPr>
              <w:jc w:val="center"/>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8"/>
              </w:rPr>
              <w:t>Over 5</w:t>
            </w:r>
          </w:p>
        </w:tc>
      </w:tr>
      <w:tr>
        <w:trPr>
          <w:trHeight w:val="245"/>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5"/>
        </w:trPr>
        <w:tc>
          <w:tcPr>
            <w:tcW w:w="33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42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3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nine months ended September 30, 2020, 33,568 restricted shares, 32,910 performance-based restricted shares, and no SARs were granted under the Omnibus Plan. Stock-based compensation expense for the three months ended September 30, 2020 and 2019 was $800,000 and $869,000, respectively, and $2,277,000 and $2,286,000 for the nine months ended September 30, 2020 and 2019,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4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of September 30, 2020, the total unrecognized compensation expense related to non-vested restricted shares was $1,674,000, and the related weighted-average period over which it is expected to be recognized is approximately 0.69 years.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the activity of the restricted stock:</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8"/>
        </w:trPr>
        <w:tc>
          <w:tcPr>
            <w:tcW w:w="7000" w:type="dxa"/>
            <w:vAlign w:val="bottom"/>
          </w:tcPr>
          <w:p>
            <w:pPr>
              <w:spacing w:after="0"/>
              <w:rPr>
                <w:sz w:val="24"/>
                <w:szCs w:val="24"/>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7000" w:type="dxa"/>
            <w:vAlign w:val="bottom"/>
          </w:tcPr>
          <w:p>
            <w:pPr>
              <w:spacing w:after="0"/>
              <w:rPr>
                <w:sz w:val="21"/>
                <w:szCs w:val="21"/>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5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123,272</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33,568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20" w:type="dxa"/>
            <w:vAlign w:val="bottom"/>
          </w:tcPr>
          <w:p>
            <w:pPr>
              <w:spacing w:after="0"/>
              <w:rPr>
                <w:sz w:val="18"/>
                <w:szCs w:val="18"/>
                <w:color w:val="auto"/>
              </w:rPr>
            </w:pPr>
          </w:p>
        </w:tc>
      </w:tr>
      <w:tr>
        <w:trPr>
          <w:trHeight w:val="215"/>
        </w:trPr>
        <w:tc>
          <w:tcPr>
            <w:tcW w:w="7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(20,369)</w:t>
            </w:r>
          </w:p>
        </w:tc>
        <w:tc>
          <w:tcPr>
            <w:tcW w:w="2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(4,962)</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8"/>
                <w:szCs w:val="18"/>
                <w:color w:val="auto"/>
              </w:rPr>
            </w:pPr>
          </w:p>
        </w:tc>
      </w:tr>
      <w:tr>
        <w:trPr>
          <w:trHeight w:val="209"/>
        </w:trPr>
        <w:tc>
          <w:tcPr>
            <w:tcW w:w="7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5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131,509</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20" w:type="dxa"/>
            <w:vAlign w:val="bottom"/>
          </w:tcPr>
          <w:p>
            <w:pPr>
              <w:spacing w:after="0"/>
              <w:rPr>
                <w:sz w:val="18"/>
                <w:szCs w:val="18"/>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1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has granted three-year performance 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based on target value:</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8"/>
        </w:trPr>
        <w:tc>
          <w:tcPr>
            <w:tcW w:w="7000" w:type="dxa"/>
            <w:vAlign w:val="bottom"/>
          </w:tcPr>
          <w:p>
            <w:pPr>
              <w:spacing w:after="0"/>
              <w:rPr>
                <w:sz w:val="24"/>
                <w:szCs w:val="24"/>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7000" w:type="dxa"/>
            <w:vAlign w:val="bottom"/>
          </w:tcPr>
          <w:p>
            <w:pPr>
              <w:spacing w:after="0"/>
              <w:rPr>
                <w:sz w:val="21"/>
                <w:szCs w:val="21"/>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5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102,116</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0" w:type="dxa"/>
            <w:vAlign w:val="bottom"/>
          </w:tcPr>
          <w:p>
            <w:pPr>
              <w:spacing w:after="0"/>
              <w:rPr>
                <w:sz w:val="18"/>
                <w:szCs w:val="18"/>
                <w:color w:val="auto"/>
              </w:rPr>
            </w:pPr>
          </w:p>
        </w:tc>
      </w:tr>
      <w:tr>
        <w:trPr>
          <w:trHeight w:val="215"/>
        </w:trPr>
        <w:tc>
          <w:tcPr>
            <w:tcW w:w="7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(29,175)</w:t>
            </w:r>
          </w:p>
        </w:tc>
        <w:tc>
          <w:tcPr>
            <w:tcW w:w="2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(7,441)</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8"/>
                <w:szCs w:val="18"/>
                <w:color w:val="auto"/>
              </w:rPr>
            </w:pPr>
          </w:p>
        </w:tc>
      </w:tr>
      <w:tr>
        <w:trPr>
          <w:trHeight w:val="209"/>
        </w:trPr>
        <w:tc>
          <w:tcPr>
            <w:tcW w:w="7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5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98,410</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0" w:type="dxa"/>
            <w:vAlign w:val="bottom"/>
          </w:tcPr>
          <w:p>
            <w:pPr>
              <w:spacing w:after="0"/>
              <w:rPr>
                <w:sz w:val="18"/>
                <w:szCs w:val="18"/>
                <w:color w:val="auto"/>
              </w:rPr>
            </w:pPr>
          </w:p>
        </w:tc>
      </w:tr>
    </w:tbl>
    <w:p>
      <w:pPr>
        <w:spacing w:after="0" w:line="3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PBRS that vested during the nine months ended September 30, 2020 achieved financial goals of 117.3%, resulting in the issuance of 34,222 shares of common stock. The outstanding PBRS at September 30, 2020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three months ended September 30, 2020.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nine-month period ended September 30,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45"/>
        </w:trPr>
        <w:tc>
          <w:tcPr>
            <w:tcW w:w="654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6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r>
      <w:tr>
        <w:trPr>
          <w:trHeight w:val="215"/>
        </w:trPr>
        <w:tc>
          <w:tcPr>
            <w:tcW w:w="654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155,292</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1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0" w:type="dxa"/>
            <w:vAlign w:val="bottom"/>
          </w:tcPr>
          <w:p>
            <w:pPr>
              <w:spacing w:after="0"/>
              <w:rPr>
                <w:sz w:val="18"/>
                <w:szCs w:val="18"/>
                <w:color w:val="auto"/>
              </w:rPr>
            </w:pPr>
          </w:p>
        </w:tc>
      </w:tr>
      <w:tr>
        <w:trPr>
          <w:trHeight w:val="21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B2B2B2"/>
          </w:tcPr>
          <w:p>
            <w:pPr>
              <w:spacing w:after="0" w:line="195" w:lineRule="exact"/>
              <w:rPr>
                <w:sz w:val="20"/>
                <w:szCs w:val="20"/>
                <w:color w:val="auto"/>
              </w:rPr>
            </w:pPr>
            <w:r>
              <w:rPr>
                <w:rFonts w:ascii="Times New Roman" w:cs="Times New Roman" w:eastAsia="Times New Roman" w:hAnsi="Times New Roman"/>
                <w:sz w:val="18"/>
                <w:szCs w:val="18"/>
                <w:color w:val="auto"/>
              </w:rPr>
              <w:t>Exercisable at September 30, 2020</w:t>
            </w:r>
          </w:p>
        </w:tc>
        <w:tc>
          <w:tcPr>
            <w:tcW w:w="98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144,999</w:t>
            </w:r>
          </w:p>
        </w:tc>
        <w:tc>
          <w:tcPr>
            <w:tcW w:w="18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32.99</w:t>
            </w:r>
          </w:p>
        </w:tc>
        <w:tc>
          <w:tcPr>
            <w:tcW w:w="110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1,247</w:t>
            </w:r>
          </w:p>
        </w:tc>
        <w:tc>
          <w:tcPr>
            <w:tcW w:w="20" w:type="dxa"/>
            <w:vAlign w:val="bottom"/>
            <w:tcBorders>
              <w:bottom w:val="single" w:sz="8" w:color="auto"/>
            </w:tcBorders>
          </w:tcPr>
          <w:p>
            <w:pPr>
              <w:spacing w:after="0"/>
              <w:rPr>
                <w:sz w:val="18"/>
                <w:szCs w:val="18"/>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September 30, 2020.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which covers eligible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45"/>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7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15"/>
        </w:trPr>
        <w:tc>
          <w:tcPr>
            <w:tcW w:w="58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3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0" w:type="dxa"/>
            <w:vAlign w:val="bottom"/>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0" w:type="dxa"/>
            <w:vAlign w:val="bottom"/>
          </w:tcPr>
          <w:p>
            <w:pPr>
              <w:spacing w:after="0"/>
              <w:rPr>
                <w:sz w:val="18"/>
                <w:szCs w:val="18"/>
                <w:color w:val="auto"/>
              </w:rPr>
            </w:pPr>
          </w:p>
        </w:tc>
      </w:tr>
      <w:tr>
        <w:trPr>
          <w:trHeight w:val="215"/>
        </w:trPr>
        <w:tc>
          <w:tcPr>
            <w:tcW w:w="58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7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0" w:type="dxa"/>
            <w:vAlign w:val="bottom"/>
          </w:tcPr>
          <w:p>
            <w:pPr>
              <w:spacing w:after="0"/>
              <w:rPr>
                <w:sz w:val="18"/>
                <w:szCs w:val="18"/>
                <w:color w:val="auto"/>
              </w:rPr>
            </w:pPr>
          </w:p>
        </w:tc>
      </w:tr>
      <w:tr>
        <w:trPr>
          <w:trHeight w:val="215"/>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2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auto"/>
            </w:tcBorders>
            <w:shd w:val="clear" w:color="auto" w:fill="B2B2B2"/>
          </w:tcPr>
          <w:p>
            <w:pPr>
              <w:ind w:left="180"/>
              <w:spacing w:after="0" w:line="195" w:lineRule="exact"/>
              <w:rPr>
                <w:sz w:val="20"/>
                <w:szCs w:val="20"/>
                <w:color w:val="auto"/>
              </w:rPr>
            </w:pPr>
            <w:r>
              <w:rPr>
                <w:rFonts w:ascii="Times New Roman" w:cs="Times New Roman" w:eastAsia="Times New Roman" w:hAnsi="Times New Roman"/>
                <w:sz w:val="18"/>
                <w:szCs w:val="18"/>
                <w:color w:val="auto"/>
              </w:rPr>
              <w:t>Net periodic pension cost</w:t>
            </w:r>
          </w:p>
        </w:tc>
        <w:tc>
          <w:tcPr>
            <w:tcW w:w="278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4,134</w:t>
            </w:r>
          </w:p>
        </w:tc>
        <w:tc>
          <w:tcPr>
            <w:tcW w:w="300" w:type="dxa"/>
            <w:vAlign w:val="bottom"/>
            <w:tcBorders>
              <w:bottom w:val="single" w:sz="8" w:color="auto"/>
            </w:tcBorders>
            <w:shd w:val="clear" w:color="auto" w:fill="B2B2B2"/>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spacing w:after="0" w:line="195" w:lineRule="exact"/>
              <w:rPr>
                <w:sz w:val="20"/>
                <w:szCs w:val="20"/>
                <w:color w:val="auto"/>
              </w:rPr>
            </w:pPr>
            <w:r>
              <w:rPr>
                <w:rFonts w:ascii="Times New Roman" w:cs="Times New Roman" w:eastAsia="Times New Roman" w:hAnsi="Times New Roman"/>
                <w:sz w:val="18"/>
                <w:szCs w:val="18"/>
                <w:color w:val="auto"/>
              </w:rPr>
              <w:t>4,464</w:t>
            </w:r>
          </w:p>
        </w:tc>
        <w:tc>
          <w:tcPr>
            <w:tcW w:w="20" w:type="dxa"/>
            <w:vAlign w:val="bottom"/>
            <w:tcBorders>
              <w:bottom w:val="single" w:sz="8" w:color="auto"/>
            </w:tcBorders>
          </w:tcPr>
          <w:p>
            <w:pPr>
              <w:spacing w:after="0"/>
              <w:rPr>
                <w:sz w:val="18"/>
                <w:szCs w:val="18"/>
                <w:color w:val="auto"/>
              </w:rPr>
            </w:pPr>
          </w:p>
        </w:tc>
      </w:tr>
    </w:tbl>
    <w:p>
      <w:pPr>
        <w:spacing w:after="0" w:line="3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Pension costs recorded to expense were $1,103,000 and $1,178,000 for the three-month periods ended September 30, 2020 and 2019, respectively, and totaled $3,159,000 and $3,543,000 for the nine-month periods ended September 30, 2020 and 2019, respectively. Pension costs decreased in 2020 primarily due to improved asset performance and a contribution made during 2019, which were partially offset by a decrease in the discount rate. The Company made no contribution to the plan during the nine-month period ended September 30, 2020 and is evaluating the amount of additional contributions, if any, in the remainder of 2020.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2019 and an estimate for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45"/>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r>
      <w:tr>
        <w:trPr>
          <w:trHeight w:val="215"/>
        </w:trPr>
        <w:tc>
          <w:tcPr>
            <w:tcW w:w="58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640" w:type="dxa"/>
            <w:vAlign w:val="bottom"/>
            <w:shd w:val="clear" w:color="auto" w:fill="B2B2B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121</w:t>
            </w:r>
          </w:p>
        </w:tc>
        <w:tc>
          <w:tcPr>
            <w:tcW w:w="3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8"/>
                <w:szCs w:val="18"/>
                <w:color w:val="auto"/>
              </w:rPr>
            </w:pPr>
          </w:p>
        </w:tc>
      </w:tr>
      <w:tr>
        <w:trPr>
          <w:trHeight w:val="215"/>
        </w:trPr>
        <w:tc>
          <w:tcPr>
            <w:tcW w:w="588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364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6"/>
              </w:rPr>
              <w:t>112</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tcPr>
          <w:p>
            <w:pPr>
              <w:jc w:val="right"/>
              <w:ind w:right="8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580</w:t>
            </w:r>
          </w:p>
        </w:tc>
        <w:tc>
          <w:tcPr>
            <w:tcW w:w="300" w:type="dxa"/>
            <w:vAlign w:val="bottom"/>
            <w:tcBorders>
              <w:bottom w:val="single" w:sz="8" w:color="auto"/>
            </w:tcBorders>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781</w:t>
            </w:r>
          </w:p>
        </w:tc>
        <w:tc>
          <w:tcPr>
            <w:tcW w:w="20" w:type="dxa"/>
            <w:vAlign w:val="bottom"/>
            <w:tcBorders>
              <w:bottom w:val="single" w:sz="8" w:color="auto"/>
            </w:tcBorders>
          </w:tcPr>
          <w:p>
            <w:pPr>
              <w:spacing w:after="0"/>
              <w:rPr>
                <w:sz w:val="18"/>
                <w:szCs w:val="18"/>
                <w:color w:val="auto"/>
              </w:rPr>
            </w:pPr>
          </w:p>
        </w:tc>
      </w:tr>
    </w:tbl>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Pension costs recorded to expense were $145,000 and $195,000 for the three-month periods ended September 30, 2020 and 2019, respectively, and were $435,000 and $586,000 for the nine-month periods ended September 30, 2020 and 2019, respectively. Pension costs decreased primarily due to the unrecognized loss being amortized over the remaining expected life of the participants rather than the remaining expected service period as almost all of the plan’s participants are inactive. This was partially offset by a decrease in the discount 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effective tax rate was 18.2% and 17.9% for the three-month periods ended September 30, 2020 and 2019, respectively, and 17.9% and 18.0% for the nine-month periods ended September 30, 2020 and 2019, respectively. The 2020 and 2019 effective tax rates for the three and nine-month periods differ from the statutory rate of 21% primarily due to the tax-exempt interest received from municipal bonds.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3"/>
        </w:trPr>
        <w:tc>
          <w:tcPr>
            <w:tcW w:w="38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880" w:type="dxa"/>
            <w:vAlign w:val="bottom"/>
          </w:tcPr>
          <w:p>
            <w:pPr>
              <w:jc w:val="center"/>
              <w:ind w:right="11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3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1"/>
                <w:szCs w:val="21"/>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1"/>
                <w:szCs w:val="21"/>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5"/>
        </w:trPr>
        <w:tc>
          <w:tcPr>
            <w:tcW w:w="386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120" w:type="dxa"/>
            <w:vAlign w:val="bottom"/>
            <w:tcBorders>
              <w:top w:val="single" w:sz="8" w:color="auto"/>
            </w:tcBorders>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285,667</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304,894</w:t>
            </w:r>
          </w:p>
        </w:tc>
        <w:tc>
          <w:tcPr>
            <w:tcW w:w="20" w:type="dxa"/>
            <w:vAlign w:val="bottom"/>
          </w:tcPr>
          <w:p>
            <w:pPr>
              <w:spacing w:after="0"/>
              <w:rPr>
                <w:sz w:val="18"/>
                <w:szCs w:val="18"/>
                <w:color w:val="auto"/>
              </w:rPr>
            </w:pPr>
          </w:p>
        </w:tc>
      </w:tr>
      <w:tr>
        <w:trPr>
          <w:trHeight w:val="21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60,271</w:t>
            </w:r>
          </w:p>
        </w:tc>
        <w:tc>
          <w:tcPr>
            <w:tcW w:w="20" w:type="dxa"/>
            <w:vAlign w:val="bottom"/>
          </w:tcPr>
          <w:p>
            <w:pPr>
              <w:spacing w:after="0"/>
              <w:rPr>
                <w:sz w:val="18"/>
                <w:szCs w:val="18"/>
                <w:color w:val="auto"/>
              </w:rPr>
            </w:pPr>
          </w:p>
        </w:tc>
      </w:tr>
      <w:tr>
        <w:trPr>
          <w:trHeight w:val="209"/>
        </w:trPr>
        <w:tc>
          <w:tcPr>
            <w:tcW w:w="38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344,961</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365,165</w:t>
            </w:r>
          </w:p>
        </w:tc>
        <w:tc>
          <w:tcPr>
            <w:tcW w:w="20" w:type="dxa"/>
            <w:vAlign w:val="bottom"/>
          </w:tcPr>
          <w:p>
            <w:pPr>
              <w:spacing w:after="0"/>
              <w:rPr>
                <w:sz w:val="18"/>
                <w:szCs w:val="18"/>
                <w:color w:val="auto"/>
              </w:rPr>
            </w:pPr>
          </w:p>
        </w:tc>
      </w:tr>
      <w:tr>
        <w:trPr>
          <w:trHeight w:val="398"/>
        </w:trPr>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38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880" w:type="dxa"/>
            <w:vAlign w:val="bottom"/>
          </w:tcPr>
          <w:p>
            <w:pPr>
              <w:jc w:val="center"/>
              <w:ind w:right="11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3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1"/>
                <w:szCs w:val="21"/>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1"/>
                <w:szCs w:val="21"/>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5"/>
        </w:trPr>
        <w:tc>
          <w:tcPr>
            <w:tcW w:w="386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120" w:type="dxa"/>
            <w:vAlign w:val="bottom"/>
            <w:tcBorders>
              <w:top w:val="single" w:sz="8" w:color="auto"/>
            </w:tcBorders>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310,720</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324,447</w:t>
            </w:r>
          </w:p>
        </w:tc>
        <w:tc>
          <w:tcPr>
            <w:tcW w:w="20" w:type="dxa"/>
            <w:vAlign w:val="bottom"/>
          </w:tcPr>
          <w:p>
            <w:pPr>
              <w:spacing w:after="0"/>
              <w:rPr>
                <w:sz w:val="18"/>
                <w:szCs w:val="18"/>
                <w:color w:val="auto"/>
              </w:rPr>
            </w:pPr>
          </w:p>
        </w:tc>
      </w:tr>
      <w:tr>
        <w:trPr>
          <w:trHeight w:val="21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0" w:type="dxa"/>
            <w:vAlign w:val="bottom"/>
          </w:tcPr>
          <w:p>
            <w:pPr>
              <w:spacing w:after="0"/>
              <w:rPr>
                <w:sz w:val="18"/>
                <w:szCs w:val="18"/>
                <w:color w:val="auto"/>
              </w:rPr>
            </w:pPr>
          </w:p>
        </w:tc>
      </w:tr>
      <w:tr>
        <w:trPr>
          <w:trHeight w:val="215"/>
        </w:trPr>
        <w:tc>
          <w:tcPr>
            <w:tcW w:w="38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r>
      <w:tr>
        <w:trPr>
          <w:trHeight w:val="227"/>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422,665</w:t>
            </w:r>
          </w:p>
        </w:tc>
        <w:tc>
          <w:tcPr>
            <w:tcW w:w="20" w:type="dxa"/>
            <w:vAlign w:val="bottom"/>
          </w:tcPr>
          <w:p>
            <w:pPr>
              <w:spacing w:after="0"/>
              <w:rPr>
                <w:sz w:val="19"/>
                <w:szCs w:val="19"/>
                <w:color w:val="auto"/>
              </w:rPr>
            </w:pPr>
          </w:p>
        </w:tc>
      </w:tr>
      <w:tr>
        <w:trPr>
          <w:trHeight w:val="413"/>
        </w:trPr>
        <w:tc>
          <w:tcPr>
            <w:tcW w:w="3860" w:type="dxa"/>
            <w:vAlign w:val="bottom"/>
          </w:tcPr>
          <w:p>
            <w:pPr>
              <w:spacing w:after="0"/>
              <w:rPr>
                <w:sz w:val="24"/>
                <w:szCs w:val="24"/>
                <w:color w:val="auto"/>
              </w:rPr>
            </w:pPr>
          </w:p>
        </w:tc>
        <w:tc>
          <w:tcPr>
            <w:tcW w:w="30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860" w:type="dxa"/>
            <w:vAlign w:val="bottom"/>
            <w:tcBorders>
              <w:bottom w:val="single" w:sz="8" w:color="EEEEEE"/>
            </w:tcBorders>
          </w:tcPr>
          <w:p>
            <w:pPr>
              <w:spacing w:after="0"/>
              <w:rPr>
                <w:sz w:val="18"/>
                <w:szCs w:val="18"/>
                <w:color w:val="auto"/>
              </w:rPr>
            </w:pPr>
          </w:p>
        </w:tc>
        <w:tc>
          <w:tcPr>
            <w:tcW w:w="30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at September 30,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22"/>
        </w:trPr>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tcPr>
          <w:p>
            <w:pPr>
              <w:spacing w:after="0"/>
              <w:rPr>
                <w:sz w:val="19"/>
                <w:szCs w:val="19"/>
                <w:color w:val="auto"/>
              </w:rPr>
            </w:pPr>
          </w:p>
        </w:tc>
      </w:tr>
      <w:tr>
        <w:trPr>
          <w:trHeight w:val="193"/>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10"/>
              <w:spacing w:after="0" w:line="193"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6"/>
                <w:szCs w:val="16"/>
                <w:color w:val="auto"/>
              </w:rPr>
            </w:pPr>
          </w:p>
        </w:tc>
        <w:tc>
          <w:tcPr>
            <w:tcW w:w="1000" w:type="dxa"/>
            <w:vAlign w:val="bottom"/>
          </w:tcPr>
          <w:p>
            <w:pPr>
              <w:jc w:val="right"/>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6"/>
                <w:szCs w:val="16"/>
                <w:color w:val="auto"/>
              </w:rPr>
            </w:pPr>
          </w:p>
        </w:tc>
        <w:tc>
          <w:tcPr>
            <w:tcW w:w="9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260" w:type="dxa"/>
            <w:vAlign w:val="bottom"/>
            <w:gridSpan w:val="2"/>
          </w:tcPr>
          <w:p>
            <w:pPr>
              <w:jc w:val="center"/>
              <w:ind w:right="50"/>
              <w:spacing w:after="0" w:line="193"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940" w:type="dxa"/>
            <w:vAlign w:val="bottom"/>
          </w:tcPr>
          <w:p>
            <w:pPr>
              <w:jc w:val="right"/>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10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Unrealized</w:t>
            </w:r>
          </w:p>
        </w:tc>
      </w:tr>
      <w:tr>
        <w:trPr>
          <w:trHeight w:val="24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5"/>
        </w:trPr>
        <w:tc>
          <w:tcPr>
            <w:tcW w:w="46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2B2B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B2B2B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at December 31, 2019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10"/>
              <w:spacing w:after="0" w:line="193"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6"/>
                <w:szCs w:val="16"/>
                <w:color w:val="auto"/>
              </w:rPr>
            </w:pPr>
          </w:p>
        </w:tc>
        <w:tc>
          <w:tcPr>
            <w:tcW w:w="1000" w:type="dxa"/>
            <w:vAlign w:val="bottom"/>
          </w:tcPr>
          <w:p>
            <w:pPr>
              <w:jc w:val="right"/>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6"/>
                <w:szCs w:val="16"/>
                <w:color w:val="auto"/>
              </w:rPr>
            </w:pPr>
          </w:p>
        </w:tc>
        <w:tc>
          <w:tcPr>
            <w:tcW w:w="960" w:type="dxa"/>
            <w:vAlign w:val="bottom"/>
          </w:tcPr>
          <w:p>
            <w:pPr>
              <w:jc w:val="right"/>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gridSpan w:val="2"/>
          </w:tcPr>
          <w:p>
            <w:pPr>
              <w:jc w:val="right"/>
              <w:ind w:right="30"/>
              <w:spacing w:after="0" w:line="193"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6"/>
                <w:szCs w:val="16"/>
                <w:color w:val="auto"/>
              </w:rPr>
            </w:pPr>
          </w:p>
        </w:tc>
        <w:tc>
          <w:tcPr>
            <w:tcW w:w="940" w:type="dxa"/>
            <w:vAlign w:val="bottom"/>
          </w:tcPr>
          <w:p>
            <w:pPr>
              <w:jc w:val="right"/>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1060" w:type="dxa"/>
            <w:vAlign w:val="bottom"/>
            <w:gridSpan w:val="2"/>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1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6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5"/>
        </w:trPr>
        <w:tc>
          <w:tcPr>
            <w:tcW w:w="4620" w:type="dxa"/>
            <w:vAlign w:val="bottom"/>
            <w:tcBorders>
              <w:top w:val="single" w:sz="8" w:color="auto"/>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760" w:type="dxa"/>
            <w:vAlign w:val="bottom"/>
            <w:tcBorders>
              <w:top w:val="single" w:sz="8" w:color="auto"/>
              <w:bottom w:val="single" w:sz="8" w:color="auto"/>
            </w:tcBorders>
            <w:shd w:val="clear" w:color="auto" w:fill="B2B2B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260" w:type="dxa"/>
            <w:vAlign w:val="bottom"/>
            <w:tcBorders>
              <w:top w:val="single" w:sz="8" w:color="auto"/>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r>
      <w:tr>
        <w:trPr>
          <w:trHeight w:val="22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r>
    </w:tbl>
    <w:p>
      <w:pPr>
        <w:spacing w:after="0" w:line="3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2 securities, or 1% of the total (none greater than 12 months) in an unrealized loss position as of September 30, 2020. There were 9 securities, or 3% of the total (7 greater than 12 months), in an unrealized loss position as of December 31, 2019.</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22"/>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53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Due in 1 year or less</w:t>
            </w:r>
          </w:p>
        </w:tc>
        <w:tc>
          <w:tcPr>
            <w:tcW w:w="29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49,435</w:t>
            </w:r>
          </w:p>
        </w:tc>
        <w:tc>
          <w:tcPr>
            <w:tcW w:w="2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20" w:type="dxa"/>
            <w:vAlign w:val="bottom"/>
          </w:tcPr>
          <w:p>
            <w:pPr>
              <w:spacing w:after="0"/>
              <w:rPr>
                <w:sz w:val="18"/>
                <w:szCs w:val="18"/>
                <w:color w:val="auto"/>
              </w:rPr>
            </w:pPr>
          </w:p>
        </w:tc>
      </w:tr>
      <w:tr>
        <w:trPr>
          <w:trHeight w:val="21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98,084</w:t>
            </w:r>
          </w:p>
        </w:tc>
        <w:tc>
          <w:tcPr>
            <w:tcW w:w="20" w:type="dxa"/>
            <w:vAlign w:val="bottom"/>
          </w:tcPr>
          <w:p>
            <w:pPr>
              <w:spacing w:after="0"/>
              <w:rPr>
                <w:sz w:val="18"/>
                <w:szCs w:val="18"/>
                <w:color w:val="auto"/>
              </w:rPr>
            </w:pPr>
          </w:p>
        </w:tc>
      </w:tr>
      <w:tr>
        <w:trPr>
          <w:trHeight w:val="215"/>
        </w:trPr>
        <w:tc>
          <w:tcPr>
            <w:tcW w:w="53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2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172,368</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186,537</w:t>
            </w:r>
          </w:p>
        </w:tc>
        <w:tc>
          <w:tcPr>
            <w:tcW w:w="20" w:type="dxa"/>
            <w:vAlign w:val="bottom"/>
          </w:tcPr>
          <w:p>
            <w:pPr>
              <w:spacing w:after="0"/>
              <w:rPr>
                <w:sz w:val="18"/>
                <w:szCs w:val="18"/>
                <w:color w:val="auto"/>
              </w:rPr>
            </w:pPr>
          </w:p>
        </w:tc>
      </w:tr>
      <w:tr>
        <w:trPr>
          <w:trHeight w:val="21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2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30,668</w:t>
            </w:r>
          </w:p>
        </w:tc>
        <w:tc>
          <w:tcPr>
            <w:tcW w:w="20" w:type="dxa"/>
            <w:vAlign w:val="bottom"/>
          </w:tcPr>
          <w:p>
            <w:pPr>
              <w:spacing w:after="0"/>
              <w:rPr>
                <w:sz w:val="18"/>
                <w:szCs w:val="18"/>
                <w:color w:val="auto"/>
              </w:rPr>
            </w:pPr>
          </w:p>
        </w:tc>
      </w:tr>
      <w:tr>
        <w:trPr>
          <w:trHeight w:val="209"/>
        </w:trPr>
        <w:tc>
          <w:tcPr>
            <w:tcW w:w="53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344,961</w:t>
            </w:r>
          </w:p>
        </w:tc>
        <w:tc>
          <w:tcPr>
            <w:tcW w:w="2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365,165</w:t>
            </w:r>
          </w:p>
        </w:tc>
        <w:tc>
          <w:tcPr>
            <w:tcW w:w="20" w:type="dxa"/>
            <w:vAlign w:val="bottom"/>
          </w:tcPr>
          <w:p>
            <w:pPr>
              <w:spacing w:after="0"/>
              <w:rPr>
                <w:sz w:val="18"/>
                <w:szCs w:val="18"/>
                <w:color w:val="auto"/>
              </w:rPr>
            </w:pPr>
          </w:p>
        </w:tc>
      </w:tr>
    </w:tbl>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$0 for each of the three month periods ended September 30, 2020 and 2019, and were $19,629,000 and $4,648,000 for the nine months ended September 30, 2020 and 2019, respectively. There were no gross realized gains for the three months ended September 30, 2020 or 2019. Gross realized gains were $1,069,000 and $19,000 for the nine months ended September 30, 2020 and 2019, respectively. There were no securities pledged to secure public deposits and for other purposes at September 30,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93"/>
        </w:trPr>
        <w:tc>
          <w:tcPr>
            <w:tcW w:w="38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3"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0"/>
              <w:spacing w:after="0" w:line="193"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4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15"/>
        </w:trPr>
        <w:tc>
          <w:tcPr>
            <w:tcW w:w="3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sheet assets:</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439,451</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203,954</w:t>
            </w:r>
          </w:p>
        </w:tc>
      </w:tr>
      <w:tr>
        <w:trPr>
          <w:trHeight w:val="215"/>
        </w:trPr>
        <w:tc>
          <w:tcPr>
            <w:tcW w:w="38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365,165</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365,165</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422,665</w:t>
            </w:r>
          </w:p>
        </w:tc>
        <w:tc>
          <w:tcPr>
            <w:tcW w:w="16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422,665</w:t>
            </w:r>
          </w:p>
        </w:tc>
      </w:tr>
      <w:tr>
        <w:trPr>
          <w:trHeight w:val="215"/>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net</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933,259</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931,172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762,082</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776,653</w:t>
            </w:r>
          </w:p>
        </w:tc>
      </w:tr>
      <w:tr>
        <w:trPr>
          <w:trHeight w:val="215"/>
        </w:trPr>
        <w:tc>
          <w:tcPr>
            <w:tcW w:w="386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0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c>
          <w:tcPr>
            <w:tcW w:w="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09"/>
        </w:trPr>
        <w:tc>
          <w:tcPr>
            <w:tcW w:w="3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1,742,088</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1,409,978</w:t>
            </w:r>
          </w:p>
        </w:tc>
      </w:tr>
      <w:tr>
        <w:trPr>
          <w:trHeight w:val="209"/>
        </w:trPr>
        <w:tc>
          <w:tcPr>
            <w:tcW w:w="3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sheet liabilities:</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911,185</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757,790</w:t>
            </w:r>
          </w:p>
        </w:tc>
      </w:tr>
      <w:tr>
        <w:trPr>
          <w:trHeight w:val="215"/>
        </w:trPr>
        <w:tc>
          <w:tcPr>
            <w:tcW w:w="38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771,607</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771,607</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684,295</w:t>
            </w:r>
          </w:p>
        </w:tc>
        <w:tc>
          <w:tcPr>
            <w:tcW w:w="16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684,295</w:t>
            </w:r>
          </w:p>
        </w:tc>
      </w:tr>
      <w:tr>
        <w:trPr>
          <w:trHeight w:val="215"/>
        </w:trPr>
        <w:tc>
          <w:tcPr>
            <w:tcW w:w="3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386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1,682,917</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1,682,917</w:t>
            </w:r>
          </w:p>
        </w:tc>
        <w:tc>
          <w:tcPr>
            <w:tcW w:w="40" w:type="dxa"/>
            <w:vAlign w:val="bottom"/>
            <w:shd w:val="clear" w:color="auto" w:fill="B2B2B2"/>
          </w:tcPr>
          <w:p>
            <w:pPr>
              <w:spacing w:after="0"/>
              <w:rPr>
                <w:sz w:val="18"/>
                <w:szCs w:val="18"/>
                <w:color w:val="auto"/>
              </w:rPr>
            </w:pPr>
          </w:p>
        </w:tc>
        <w:tc>
          <w:tcPr>
            <w:tcW w:w="18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1,441,534</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1,442,188</w:t>
            </w:r>
          </w:p>
        </w:tc>
      </w:tr>
      <w:tr>
        <w:trPr>
          <w:trHeight w:val="431"/>
        </w:trPr>
        <w:tc>
          <w:tcPr>
            <w:tcW w:w="3860" w:type="dxa"/>
            <w:vAlign w:val="bottom"/>
          </w:tcPr>
          <w:p>
            <w:pPr>
              <w:spacing w:after="0"/>
              <w:rPr>
                <w:sz w:val="24"/>
                <w:szCs w:val="24"/>
                <w:color w:val="auto"/>
              </w:rPr>
            </w:pPr>
          </w:p>
        </w:tc>
        <w:tc>
          <w:tcPr>
            <w:tcW w:w="30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860" w:type="dxa"/>
            <w:vAlign w:val="bottom"/>
            <w:tcBorders>
              <w:bottom w:val="single" w:sz="8" w:color="EEEEEE"/>
            </w:tcBorders>
          </w:tcPr>
          <w:p>
            <w:pPr>
              <w:spacing w:after="0"/>
              <w:rPr>
                <w:sz w:val="18"/>
                <w:szCs w:val="18"/>
                <w:color w:val="auto"/>
              </w:rPr>
            </w:pPr>
          </w:p>
        </w:tc>
        <w:tc>
          <w:tcPr>
            <w:tcW w:w="30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95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unrealized gains and losses by investment type.</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loan losses result in a fair valuation.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 The carrying amount approximates fair value.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financial instruments are measured using Level 3 inputs for the three months ended September 30, 2020 and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services that fall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 Since interest income on loans and securities are both excluded from this topic, a significant portion of the Company’s revenues are not subject to the guidance.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Invoice 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Invoice payment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OREO </w:t>
      </w:r>
      <w:r>
        <w:rPr>
          <w:rFonts w:ascii="Times New Roman" w:cs="Times New Roman" w:eastAsia="Times New Roman" w:hAnsi="Times New Roman"/>
          <w:sz w:val="18"/>
          <w:szCs w:val="18"/>
          <w:color w:val="auto"/>
        </w:rPr>
        <w:t>– The Company currently does not have any OREO and has not in recent years. Net gains or losses would be recorded when other real estate is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third party and substantially all of the consideration for the transfer of property is received.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20" w:type="dxa"/>
            <w:vAlign w:val="bottom"/>
          </w:tcPr>
          <w:p>
            <w:pPr>
              <w:spacing w:after="0"/>
              <w:rPr>
                <w:sz w:val="18"/>
                <w:szCs w:val="18"/>
                <w:color w:val="auto"/>
              </w:rPr>
            </w:pPr>
          </w:p>
        </w:tc>
        <w:tc>
          <w:tcPr>
            <w:tcW w:w="21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220" w:type="dxa"/>
            <w:vAlign w:val="bottom"/>
          </w:tcPr>
          <w:p>
            <w:pPr>
              <w:spacing w:after="0"/>
              <w:rPr>
                <w:sz w:val="21"/>
                <w:szCs w:val="21"/>
                <w:color w:val="auto"/>
              </w:rPr>
            </w:pPr>
          </w:p>
        </w:tc>
        <w:tc>
          <w:tcPr>
            <w:tcW w:w="21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2"/>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Invoice processing fees</w:t>
            </w:r>
          </w:p>
        </w:tc>
        <w:tc>
          <w:tcPr>
            <w:tcW w:w="2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18,650</w:t>
            </w:r>
          </w:p>
        </w:tc>
        <w:tc>
          <w:tcPr>
            <w:tcW w:w="360" w:type="dxa"/>
            <w:vAlign w:val="bottom"/>
            <w:gridSpan w:val="2"/>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20,408</w:t>
            </w:r>
          </w:p>
        </w:tc>
        <w:tc>
          <w:tcPr>
            <w:tcW w:w="2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55,697</w:t>
            </w:r>
          </w:p>
        </w:tc>
        <w:tc>
          <w:tcPr>
            <w:tcW w:w="3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Invoice payment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72,540</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service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73,789</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75,201</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Net interest income after provision for loan losses (out-of-scope of FASB ASC</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360"/>
              <w:spacing w:after="0" w:line="258" w:lineRule="exact"/>
              <w:rPr>
                <w:sz w:val="20"/>
                <w:szCs w:val="20"/>
                <w:color w:val="auto"/>
              </w:rPr>
            </w:pPr>
            <w:r>
              <w:rPr>
                <w:rFonts w:ascii="Times New Roman" w:cs="Times New Roman" w:eastAsia="Times New Roman" w:hAnsi="Times New Roman"/>
                <w:sz w:val="18"/>
                <w:szCs w:val="18"/>
                <w:color w:val="auto"/>
              </w:rPr>
              <w:t>606)</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35,653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tcBorders>
              <w:bottom w:val="single" w:sz="8" w:color="auto"/>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0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22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107,824</w:t>
            </w:r>
          </w:p>
        </w:tc>
        <w:tc>
          <w:tcPr>
            <w:tcW w:w="300" w:type="dxa"/>
            <w:vAlign w:val="bottom"/>
            <w:tcBorders>
              <w:bottom w:val="single" w:sz="8" w:color="auto"/>
            </w:tcBorders>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118,300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firstLine="8"/>
        <w:spacing w:after="0" w:line="183" w:lineRule="auto"/>
        <w:tabs>
          <w:tab w:leader="none" w:pos="104"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earns interest income from the balances generated during the invoice processing and payment cycle and on deposit accounts, which is an integral component of the Company’s revenue, but is out-of-scope of FASB ASC 606.</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 2019, the Company adopted Accounting Standards Update (“ASU”) No. 2016-02 – </w:t>
      </w:r>
      <w:r>
        <w:rPr>
          <w:rFonts w:ascii="Times New Roman" w:cs="Times New Roman" w:eastAsia="Times New Roman" w:hAnsi="Times New Roman"/>
          <w:sz w:val="18"/>
          <w:szCs w:val="18"/>
          <w:i w:val="1"/>
          <w:iCs w:val="1"/>
          <w:color w:val="auto"/>
        </w:rPr>
        <w:t>Leases (ASC Topic 842)</w:t>
      </w:r>
      <w:r>
        <w:rPr>
          <w:rFonts w:ascii="Times New Roman" w:cs="Times New Roman" w:eastAsia="Times New Roman" w:hAnsi="Times New Roman"/>
          <w:sz w:val="18"/>
          <w:szCs w:val="18"/>
          <w:color w:val="auto"/>
        </w:rPr>
        <w:t>. The Company leases certain premises under operating leases. As of September 30, 2020, the Company had lease liabilities of $6,553,000 and right-of-use assets of $5,887,000. As of September 30, 2019, the Company had lease liabilities of $7,019,000 and right-of-use assets of $6,241,000. Lease liabilities and right-of-use assets are reflected in other liabilities and other assets, respectively. Presented within occupancy expense on the Consolidated Statements of Income for the three months ended September 30, 2020, operating lease cost was $420,000, short-term lease cost was $19,000, and there was no variable lease cost. For the nine months ended September 30, 2020, the operating lease cost was $1,257,000, short-term lease cost was $76,000, and there was no variable lease cost. For the three months ended September 30, 2020, the weighted average remaining lease term for the operating leases was 6.4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2019. See the Company’s 2019 Annual Report on Form 10-K for information regarding these commitments.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September 30, 2020 is as follows:</w:t>
            </w:r>
          </w:p>
        </w:tc>
        <w:tc>
          <w:tcPr>
            <w:tcW w:w="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8"/>
        </w:trPr>
        <w:tc>
          <w:tcPr>
            <w:tcW w:w="9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r>
      <w:tr>
        <w:trPr>
          <w:trHeight w:val="215"/>
        </w:trPr>
        <w:tc>
          <w:tcPr>
            <w:tcW w:w="90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Lease payments due</w:t>
            </w:r>
          </w:p>
        </w:tc>
        <w:tc>
          <w:tcPr>
            <w:tcW w:w="740" w:type="dxa"/>
            <w:vAlign w:val="bottom"/>
            <w:shd w:val="clear" w:color="auto" w:fill="B2B2B2"/>
          </w:tcPr>
          <w:p>
            <w:pPr>
              <w:spacing w:after="0"/>
              <w:rPr>
                <w:sz w:val="18"/>
                <w:szCs w:val="18"/>
                <w:color w:val="auto"/>
              </w:rPr>
            </w:pPr>
          </w:p>
        </w:tc>
        <w:tc>
          <w:tcPr>
            <w:tcW w:w="15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tcPr>
          <w:p>
            <w:pPr>
              <w:spacing w:after="0"/>
              <w:rPr>
                <w:sz w:val="18"/>
                <w:szCs w:val="18"/>
                <w:color w:val="auto"/>
              </w:rPr>
            </w:pPr>
          </w:p>
        </w:tc>
      </w:tr>
      <w:tr>
        <w:trPr>
          <w:trHeight w:val="215"/>
        </w:trPr>
        <w:tc>
          <w:tcPr>
            <w:tcW w:w="90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74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8"/>
                <w:szCs w:val="18"/>
                <w:color w:val="auto"/>
              </w:rPr>
            </w:pPr>
          </w:p>
        </w:tc>
      </w:tr>
      <w:tr>
        <w:trPr>
          <w:trHeight w:val="215"/>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r>
      <w:tr>
        <w:trPr>
          <w:trHeight w:val="215"/>
        </w:trPr>
        <w:tc>
          <w:tcPr>
            <w:tcW w:w="90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74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8"/>
                <w:szCs w:val="18"/>
                <w:color w:val="auto"/>
              </w:rPr>
            </w:pPr>
          </w:p>
        </w:tc>
      </w:tr>
      <w:tr>
        <w:trPr>
          <w:trHeight w:val="215"/>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8"/>
                <w:szCs w:val="18"/>
                <w:color w:val="auto"/>
              </w:rPr>
            </w:pPr>
          </w:p>
        </w:tc>
      </w:tr>
      <w:tr>
        <w:trPr>
          <w:trHeight w:val="215"/>
        </w:trPr>
        <w:tc>
          <w:tcPr>
            <w:tcW w:w="900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740" w:type="dxa"/>
            <w:vAlign w:val="bottom"/>
            <w:tcBorders>
              <w:bottom w:val="single" w:sz="8" w:color="auto"/>
            </w:tcBorders>
            <w:shd w:val="clear" w:color="auto" w:fill="B2B2B2"/>
          </w:tcPr>
          <w:p>
            <w:pPr>
              <w:spacing w:after="0"/>
              <w:rPr>
                <w:sz w:val="18"/>
                <w:szCs w:val="18"/>
                <w:color w:val="auto"/>
              </w:rPr>
            </w:pPr>
          </w:p>
        </w:tc>
        <w:tc>
          <w:tcPr>
            <w:tcW w:w="15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tcPr>
          <w:p>
            <w:pPr>
              <w:spacing w:after="0"/>
              <w:rPr>
                <w:sz w:val="18"/>
                <w:szCs w:val="18"/>
                <w:color w:val="auto"/>
              </w:rPr>
            </w:pPr>
          </w:p>
        </w:tc>
      </w:tr>
      <w:tr>
        <w:trPr>
          <w:trHeight w:val="209"/>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20" w:type="dxa"/>
            <w:vAlign w:val="bottom"/>
          </w:tcPr>
          <w:p>
            <w:pPr>
              <w:spacing w:after="0"/>
              <w:rPr>
                <w:sz w:val="18"/>
                <w:szCs w:val="18"/>
                <w:color w:val="auto"/>
              </w:rPr>
            </w:pPr>
          </w:p>
        </w:tc>
      </w:tr>
      <w:tr>
        <w:trPr>
          <w:trHeight w:val="215"/>
        </w:trPr>
        <w:tc>
          <w:tcPr>
            <w:tcW w:w="90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Discount on cash flows</w:t>
            </w:r>
          </w:p>
        </w:tc>
        <w:tc>
          <w:tcPr>
            <w:tcW w:w="740" w:type="dxa"/>
            <w:vAlign w:val="bottom"/>
            <w:tcBorders>
              <w:bottom w:val="single" w:sz="8" w:color="auto"/>
            </w:tcBorders>
            <w:shd w:val="clear" w:color="auto" w:fill="B2B2B2"/>
          </w:tcPr>
          <w:p>
            <w:pPr>
              <w:spacing w:after="0"/>
              <w:rPr>
                <w:sz w:val="18"/>
                <w:szCs w:val="18"/>
                <w:color w:val="auto"/>
              </w:rPr>
            </w:pPr>
          </w:p>
        </w:tc>
        <w:tc>
          <w:tcPr>
            <w:tcW w:w="15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Pr>
          <w:p>
            <w:pPr>
              <w:spacing w:after="0"/>
              <w:rPr>
                <w:sz w:val="18"/>
                <w:szCs w:val="18"/>
                <w:color w:val="auto"/>
              </w:rPr>
            </w:pPr>
          </w:p>
        </w:tc>
      </w:tr>
      <w:tr>
        <w:trPr>
          <w:trHeight w:val="227"/>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0" w:type="dxa"/>
            <w:vAlign w:val="bottom"/>
          </w:tcPr>
          <w:p>
            <w:pPr>
              <w:spacing w:after="0"/>
              <w:rPr>
                <w:sz w:val="19"/>
                <w:szCs w:val="19"/>
                <w:color w:val="auto"/>
              </w:rPr>
            </w:pPr>
          </w:p>
        </w:tc>
      </w:tr>
    </w:tbl>
    <w:p>
      <w:pPr>
        <w:spacing w:after="0" w:line="3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nine months ended September 30, 2020. At September 30, 2020, the Company did not have any leases that had not yet commenced.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September 30, 2020, and there were no events identified that would require additional disclosures to prevent the Company’s unaudited consolidated financial statements from being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the Company’s Business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breadth of the impact of the global presence of COVID-19 on the Company’s business remains unknown. Cass is closely monitoring developments related to COVID-19, checking regularly for updated information and recommendations from the World Health Organization and the U.S. Centers for Disease Control and Prevention, from national, state, and local governments, and evaluating courses of action being taken by peers. Cass remains committed to creating a safe and healthy environment for employees while offering assurance that it remains a financially strong service provider possessing the resources necessary to weather this storm in support of its valued customers.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Bank regulatory agencies and various governmental authorities are urging financial institutions to work prudently with borrowers who are or may be unable to meet their contractual payment obligations because of the effects of COVID-19. Accordingly, and in coordination with its primary regulators, the Company deferred borrower principal payments on loans during the Second Quarter of 2020, on an as needed basis, for periods of up to six months. There were no borrowers remaining on deferred terms at the end of the Third Quarter of 2020. In support of the CARES Act, the Bank had processed nearly 350 applications for PPP loans of approximately $170,000,000 to provide much-needed cash to small business and self-employed taxpayers during the COVID-19 crisis. The loans were primarily made to existing bank customers and are 100% guaranteed by the Small Business Administration.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COVID-19 and its impact on the Company, refer to Note 1 “Basis of Presentation.”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Cass Commercial Bank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2019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Loan Losses. </w:t>
      </w:r>
      <w:r>
        <w:rPr>
          <w:rFonts w:ascii="Times New Roman" w:cs="Times New Roman" w:eastAsia="Times New Roman" w:hAnsi="Times New Roman"/>
          <w:sz w:val="18"/>
          <w:szCs w:val="18"/>
          <w:color w:val="auto"/>
        </w:rPr>
        <w:t>The Company performs periodic and systematic detailed reviews of its loan portfolio to assess overall collectability. The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In accordance with the CARES Act, the Company elected to defer the adoption of the current expected credit losses methodology and expects to continue to utilize the present processes until the earlier of December 31, 2020 or the date the national emergency declaration is terminated.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September 30, 2020 (“Third Quarter of 2020”) compared to the three-month period ended September 30, 2019 (“Third Quarter of 2019”) and the nine-month period ended September 30, 2020 (“Nine Months Ended 2020”) compared to the nine-month period ended September 30, 2019 (“Nine Months Ended 2019”). The following discussion and analysis should be read in conjunction with the unaudited consolidated financial statements and related notes and with the statistical information and financial data appearing in this report, as well as in the Company’s 2019 Annual Report on Form 10-K. Results of operations for the Third Quarter of 2020 are not necessarily indicative of the results to be attained for any other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Third Quarter of</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19"/>
                <w:szCs w:val="19"/>
                <w:color w:val="auto"/>
              </w:rPr>
            </w:pPr>
          </w:p>
        </w:tc>
      </w:tr>
      <w:tr>
        <w:trPr>
          <w:trHeight w:val="215"/>
        </w:trPr>
        <w:tc>
          <w:tcPr>
            <w:tcW w:w="30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4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8,186</w:t>
            </w:r>
          </w:p>
        </w:tc>
        <w:tc>
          <w:tcPr>
            <w:tcW w:w="12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3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24,033</w:t>
            </w:r>
          </w:p>
        </w:tc>
        <w:tc>
          <w:tcPr>
            <w:tcW w:w="10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r>
      <w:tr>
        <w:trPr>
          <w:trHeight w:val="215"/>
        </w:trPr>
        <w:tc>
          <w:tcPr>
            <w:tcW w:w="30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3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1.86%</w:t>
            </w:r>
          </w:p>
        </w:tc>
        <w:tc>
          <w:tcPr>
            <w:tcW w:w="10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2"/>
        </w:trPr>
        <w:tc>
          <w:tcPr>
            <w:tcW w:w="30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Return on average equity</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9.25%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13.44%</w:t>
            </w:r>
          </w:p>
        </w:tc>
        <w:tc>
          <w:tcPr>
            <w:tcW w:w="1200" w:type="dxa"/>
            <w:vAlign w:val="bottom"/>
            <w:tcBorders>
              <w:bottom w:val="single" w:sz="8" w:color="auto"/>
            </w:tcBorders>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10.25%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13.76%</w:t>
            </w:r>
          </w:p>
        </w:tc>
        <w:tc>
          <w:tcPr>
            <w:tcW w:w="1080" w:type="dxa"/>
            <w:vAlign w:val="bottom"/>
            <w:tcBorders>
              <w:bottom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431"/>
        </w:trPr>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06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40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19"/>
                <w:szCs w:val="19"/>
                <w:color w:val="auto"/>
              </w:rPr>
            </w:pPr>
          </w:p>
        </w:tc>
      </w:tr>
      <w:tr>
        <w:trPr>
          <w:trHeight w:val="215"/>
        </w:trPr>
        <w:tc>
          <w:tcPr>
            <w:tcW w:w="30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36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9,236</w:t>
            </w:r>
          </w:p>
        </w:tc>
        <w:tc>
          <w:tcPr>
            <w:tcW w:w="118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3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27,406</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6,822,565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7,104,771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18,987,243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21,211,746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r>
      <w:tr>
        <w:trPr>
          <w:trHeight w:val="215"/>
        </w:trPr>
        <w:tc>
          <w:tcPr>
            <w:tcW w:w="30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Facility Expense transaction volume*</w:t>
            </w:r>
          </w:p>
        </w:tc>
        <w:tc>
          <w:tcPr>
            <w:tcW w:w="44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36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7,143</w:t>
            </w:r>
          </w:p>
        </w:tc>
        <w:tc>
          <w:tcPr>
            <w:tcW w:w="118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30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21,029</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Facility Expense dollar volume*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3,595,586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4,118,393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10,118,270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11,468,896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r>
      <w:tr>
        <w:trPr>
          <w:trHeight w:val="215"/>
        </w:trPr>
        <w:tc>
          <w:tcPr>
            <w:tcW w:w="30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Payment and processing revenue</w:t>
            </w: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3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27,741</w:t>
            </w:r>
          </w:p>
        </w:tc>
        <w:tc>
          <w:tcPr>
            <w:tcW w:w="118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72,540</w:t>
            </w:r>
          </w:p>
        </w:tc>
        <w:tc>
          <w:tcPr>
            <w:tcW w:w="3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81,050</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Includes energy, telecom and waste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2020 compared to Third Quarter of 2019:</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Payment and processing fee revenue decreased 12%. Transportation volumes for invoices and dollars declined 6% and 4%, respectively. Volumes are trending to pre-COVID 19 levels led by a manufacturing sector that has been in expansion territory for the previous four months. Increased new business enabled facility-related invoice volumes remained virtually unchanged, despite a number of COVID-related bankruptcies and location closings. Dollar volumes dipped 13% as governmental restrictions in the restaurant, retail and hospitality sectors curtailed normal activities which were reflected in lower utility usage.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gains on sales of securities in either the Third Quarter of 2020 or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2020 compared to Nine Months Ended 2019:</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Payment and processing revenue decreased 11% for the same reasons as the Third Quarter. Transportation invoice and dollar volumes, as well as facility-related transaction and dollar volumes, fluctuated for the same reasons as the Third Quarter.</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Gains of $1,069,000 on the sales of securities were recognized in the Nine Months Ended 2020, compared to gains of $19,000 in the Nine Months Ended 2019.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24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3"/>
        </w:trPr>
        <w:tc>
          <w:tcPr>
            <w:tcW w:w="4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jc w:val="right"/>
              <w:ind w:right="210"/>
              <w:spacing w:after="0" w:line="19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jc w:val="right"/>
              <w:ind w:right="270"/>
              <w:spacing w:after="0" w:line="19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r>
      <w:tr>
        <w:trPr>
          <w:trHeight w:val="245"/>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5"/>
        </w:trPr>
        <w:tc>
          <w:tcPr>
            <w:tcW w:w="440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Average earnings assets</w:t>
            </w:r>
          </w:p>
        </w:tc>
        <w:tc>
          <w:tcPr>
            <w:tcW w:w="1140" w:type="dxa"/>
            <w:vAlign w:val="bottom"/>
            <w:tcBorders>
              <w:top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   1,734,680</w:t>
            </w:r>
          </w:p>
        </w:tc>
        <w:tc>
          <w:tcPr>
            <w:tcW w:w="1320" w:type="dxa"/>
            <w:vAlign w:val="bottom"/>
            <w:tcBorders>
              <w:top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   1,498,470</w:t>
            </w:r>
          </w:p>
        </w:tc>
        <w:tc>
          <w:tcPr>
            <w:tcW w:w="1060" w:type="dxa"/>
            <w:vAlign w:val="bottom"/>
            <w:tcBorders>
              <w:top w:val="single" w:sz="8" w:color="auto"/>
            </w:tcBorders>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100" w:type="dxa"/>
            <w:vAlign w:val="bottom"/>
            <w:tcBorders>
              <w:top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  1,616,090</w:t>
            </w:r>
          </w:p>
        </w:tc>
        <w:tc>
          <w:tcPr>
            <w:tcW w:w="1400" w:type="dxa"/>
            <w:vAlign w:val="bottom"/>
            <w:tcBorders>
              <w:top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  1,456,242</w:t>
            </w:r>
          </w:p>
        </w:tc>
        <w:tc>
          <w:tcPr>
            <w:tcW w:w="8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r>
      <w:tr>
        <w:trPr>
          <w:trHeight w:val="21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507,172</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398,992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465,128</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389,455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8"/>
                <w:szCs w:val="18"/>
                <w:color w:val="auto"/>
              </w:rPr>
            </w:pPr>
          </w:p>
        </w:tc>
      </w:tr>
      <w:tr>
        <w:trPr>
          <w:trHeight w:val="215"/>
        </w:trPr>
        <w:tc>
          <w:tcPr>
            <w:tcW w:w="4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1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11,280</w:t>
            </w:r>
          </w:p>
        </w:tc>
        <w:tc>
          <w:tcPr>
            <w:tcW w:w="13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12,785</w:t>
            </w:r>
          </w:p>
        </w:tc>
        <w:tc>
          <w:tcPr>
            <w:tcW w:w="106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34,772</w:t>
            </w:r>
          </w:p>
        </w:tc>
        <w:tc>
          <w:tcPr>
            <w:tcW w:w="14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37,485</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r>
      <w:tr>
        <w:trPr>
          <w:trHeight w:val="21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3.38%</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Yield on earning assets*</w:t>
            </w:r>
          </w:p>
        </w:tc>
        <w:tc>
          <w:tcPr>
            <w:tcW w:w="11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3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3.75%</w:t>
            </w:r>
          </w:p>
        </w:tc>
        <w:tc>
          <w:tcPr>
            <w:tcW w:w="8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4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3.81%</w:t>
            </w:r>
          </w:p>
        </w:tc>
        <w:tc>
          <w:tcPr>
            <w:tcW w:w="8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Rate on interest-bearing liabilities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95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Presented on a tax-equivalent basis assuming a tax rate of 21% for both 2020 and 2019.</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2020 compared to Third Quarter of 2019:</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Third Quarter of 2020 average earning assets increased $236,210,000, or 15.8%, compared to the same period in the prior year. Average loans increased $175,347,000, or 22.6%, due to the PPP loans, interest-bearing deposits in other financial institutions increased $87,589,000 or 85.5%, and federal funds sold and short-term investments increased $38,613,000, or 19.1%. These were partially offset by a decrease in average investment securities of $63,904,000, or 15.3%, in the Third Quarter of 2020 compared to the Third Quarter of 2019.</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average interest-bearing liabilities for the Third Quarter of 2020 increased $108,180,000, or 27.1%, non-interest bearing demand deposits increased $99,311,000, or 36.4%, as the funds from the PPP loans largely remained in deposit accounts, and average accounts and drafts payable increased $6,954,000, or 0.9%, in the Third Quarter of 2020 compared to the Third Quarter of 2019.</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overall decline in the interest rate environment led to decreases in net interest income and the net interest margin. The impact of this was partially offset by higher average earning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2020 compared to Nine Months Ended 2019:</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Nine Months Ended 2020 average earning assets increased $159,849,000, or 11.0%, compared to the same period in the prior year. Loans increased $149,301,000, or 19.8% due to the PPP loans, and interest-bearing deposits in other financial institutions increased $87,635,000, or 79.5%. These were offset by a decrease in average investment securities of $55,061,000, or 12.9%, and a decrease in average federal funds sold and short-term investments of $20,489,000, or 12.7%, for the Nine Months Ended 2020 as compared to the Nine Months Ended 2019.</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average interest-bearing liabilities increased $75,674,000, or 19.4%, and non-interest-bearing demand deposits increased $75,012,000, or 28.1%, compared to the Nine Months Ended 2019 as the funds from the PPP loans largely remained in deposit accounts. These were partially offset by a decrease in the average accounts and drafts payable balances for the Nine Months Ended 2020 of $2,800,000, or 0.4%.</w:t>
      </w:r>
    </w:p>
    <w:p>
      <w:pPr>
        <w:sectPr>
          <w:pgSz w:w="11900" w:h="16838" w:orient="portrait"/>
          <w:cols w:equalWidth="0" w:num="1">
            <w:col w:w="11240"/>
          </w:cols>
          <w:pgMar w:left="320" w:top="319" w:right="3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Net interest income and net interest margin were impacted by the same factors as the Third Quarter.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changes in net interest income, please refer to the tables that follow.</w:t>
      </w: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Third Quarter of 2020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Third Quarter of 2019</w:t>
            </w:r>
          </w:p>
        </w:tc>
      </w:tr>
      <w:tr>
        <w:trPr>
          <w:trHeight w:val="193"/>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00" w:type="dxa"/>
            <w:vAlign w:val="bottom"/>
          </w:tcPr>
          <w:p>
            <w:pPr>
              <w:spacing w:after="0"/>
              <w:rPr>
                <w:sz w:val="16"/>
                <w:szCs w:val="16"/>
                <w:color w:val="auto"/>
              </w:rPr>
            </w:pPr>
          </w:p>
        </w:tc>
      </w:tr>
      <w:tr>
        <w:trPr>
          <w:trHeight w:val="215"/>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0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Pr>
          <w:p>
            <w:pPr>
              <w:spacing w:after="0"/>
              <w:rPr>
                <w:sz w:val="18"/>
                <w:szCs w:val="18"/>
                <w:color w:val="auto"/>
              </w:rPr>
            </w:pPr>
          </w:p>
        </w:tc>
      </w:tr>
      <w:tr>
        <w:trPr>
          <w:trHeight w:val="24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Yield/Rate</w:t>
            </w:r>
          </w:p>
        </w:tc>
      </w:tr>
      <w:tr>
        <w:trPr>
          <w:trHeight w:val="256"/>
        </w:trPr>
        <w:tc>
          <w:tcPr>
            <w:tcW w:w="446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9"/>
                <w:szCs w:val="29"/>
                <w:color w:val="auto"/>
                <w:vertAlign w:val="superscript"/>
              </w:rPr>
              <w:t>1</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6"/>
        </w:trPr>
        <w:tc>
          <w:tcPr>
            <w:tcW w:w="446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949,836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774,489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56"/>
        </w:trPr>
        <w:tc>
          <w:tcPr>
            <w:tcW w:w="446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69,158</w:t>
            </w:r>
          </w:p>
        </w:tc>
        <w:tc>
          <w:tcPr>
            <w:tcW w:w="3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102,507</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w:t>
            </w:r>
          </w:p>
        </w:tc>
      </w:tr>
      <w:tr>
        <w:trPr>
          <w:trHeight w:val="256"/>
        </w:trPr>
        <w:tc>
          <w:tcPr>
            <w:tcW w:w="4460" w:type="dxa"/>
            <w:vAlign w:val="bottom"/>
            <w:shd w:val="clear" w:color="auto" w:fill="B2B2B2"/>
          </w:tcPr>
          <w:p>
            <w:pPr>
              <w:ind w:left="18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284,826</w:t>
            </w:r>
          </w:p>
        </w:tc>
        <w:tc>
          <w:tcPr>
            <w:tcW w:w="300" w:type="dxa"/>
            <w:vAlign w:val="bottom"/>
            <w:shd w:val="clear" w:color="auto" w:fill="B2B2B2"/>
          </w:tcPr>
          <w:p>
            <w:pPr>
              <w:spacing w:after="0"/>
              <w:rPr>
                <w:sz w:val="22"/>
                <w:szCs w:val="22"/>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2,219</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315,381</w:t>
            </w:r>
          </w:p>
        </w:tc>
        <w:tc>
          <w:tcPr>
            <w:tcW w:w="30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2,436</w:t>
            </w: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3.06</w:t>
            </w: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w:t>
            </w:r>
          </w:p>
        </w:tc>
      </w:tr>
      <w:tr>
        <w:trPr>
          <w:trHeight w:val="215"/>
        </w:trPr>
        <w:tc>
          <w:tcPr>
            <w:tcW w:w="4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189,975</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102,386</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1.95</w:t>
            </w:r>
          </w:p>
        </w:tc>
      </w:tr>
      <w:tr>
        <w:trPr>
          <w:trHeight w:val="21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240,676</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202,063</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4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1,734,680</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11,745</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1,498,470</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14,177</w:t>
            </w: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3.75</w:t>
            </w: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16,993</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16,307</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19,507</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20,981</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17,875</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17,456</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18,027</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14,669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215,633</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222,449</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(11,295)</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(10,507)</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4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2,011,420</w:t>
            </w:r>
          </w:p>
        </w:tc>
        <w:tc>
          <w:tcPr>
            <w:tcW w:w="3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360" w:type="dxa"/>
            <w:vAlign w:val="bottom"/>
            <w:tcBorders>
              <w:bottom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1,779,825</w:t>
            </w:r>
          </w:p>
        </w:tc>
        <w:tc>
          <w:tcPr>
            <w:tcW w:w="3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r>
      <w:tr>
        <w:trPr>
          <w:trHeight w:val="249"/>
        </w:trPr>
        <w:tc>
          <w:tcPr>
            <w:tcW w:w="4460" w:type="dxa"/>
            <w:vAlign w:val="bottom"/>
          </w:tcPr>
          <w:p>
            <w:pPr>
              <w:spacing w:after="0" w:line="249"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r>
              <w:rPr>
                <w:rFonts w:ascii="Times New Roman" w:cs="Times New Roman" w:eastAsia="Times New Roman" w:hAnsi="Times New Roman"/>
                <w:sz w:val="28"/>
                <w:szCs w:val="28"/>
                <w:b w:val="1"/>
                <w:bCs w:val="1"/>
                <w:color w:val="auto"/>
                <w:vertAlign w:val="superscript"/>
              </w:rPr>
              <w:t>1</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4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425,192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315,341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5"/>
        </w:trPr>
        <w:tc>
          <w:tcPr>
            <w:tcW w:w="4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14,675</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9,612</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0.99</w:t>
            </w: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 $100</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26,335</w:t>
            </w:r>
          </w:p>
        </w:tc>
        <w:tc>
          <w:tcPr>
            <w:tcW w:w="3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25,978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r>
      <w:tr>
        <w:trPr>
          <w:trHeight w:val="215"/>
        </w:trPr>
        <w:tc>
          <w:tcPr>
            <w:tcW w:w="446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40,959</w:t>
            </w:r>
          </w:p>
        </w:tc>
        <w:tc>
          <w:tcPr>
            <w:tcW w:w="3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48,051</w:t>
            </w:r>
          </w:p>
        </w:tc>
        <w:tc>
          <w:tcPr>
            <w:tcW w:w="3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1.97</w:t>
            </w: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507,161</w:t>
            </w:r>
          </w:p>
        </w:tc>
        <w:tc>
          <w:tcPr>
            <w:tcW w:w="3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398,982</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r>
      <w:tr>
        <w:trPr>
          <w:trHeight w:val="215"/>
        </w:trPr>
        <w:tc>
          <w:tcPr>
            <w:tcW w:w="44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507,172</w:t>
            </w:r>
          </w:p>
        </w:tc>
        <w:tc>
          <w:tcPr>
            <w:tcW w:w="3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398,992</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r>
      <w:tr>
        <w:trPr>
          <w:trHeight w:val="215"/>
        </w:trPr>
        <w:tc>
          <w:tcPr>
            <w:tcW w:w="4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Demand deposits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371,862</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272,551</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816,032</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809,078</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67,829</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57,636</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1,762,895</w:t>
            </w: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1,538,257</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248,525</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241,568</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4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2,011,420</w:t>
            </w:r>
          </w:p>
        </w:tc>
        <w:tc>
          <w:tcPr>
            <w:tcW w:w="3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360" w:type="dxa"/>
            <w:vAlign w:val="bottom"/>
            <w:tcBorders>
              <w:bottom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1,779,825</w:t>
            </w:r>
          </w:p>
        </w:tc>
        <w:tc>
          <w:tcPr>
            <w:tcW w:w="3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12,785</w:t>
            </w:r>
          </w:p>
        </w:tc>
        <w:tc>
          <w:tcPr>
            <w:tcW w:w="900" w:type="dxa"/>
            <w:vAlign w:val="bottom"/>
          </w:tcPr>
          <w:p>
            <w:pPr>
              <w:spacing w:after="0"/>
              <w:rPr>
                <w:sz w:val="18"/>
                <w:szCs w:val="18"/>
                <w:color w:val="auto"/>
              </w:rPr>
            </w:pPr>
          </w:p>
        </w:tc>
      </w:tr>
      <w:tr>
        <w:trPr>
          <w:trHeight w:val="215"/>
        </w:trPr>
        <w:tc>
          <w:tcPr>
            <w:tcW w:w="4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spread</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9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220" w:hanging="212"/>
        <w:spacing w:after="0" w:line="223" w:lineRule="auto"/>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220" w:hanging="212"/>
        <w:spacing w:after="0" w:line="220" w:lineRule="auto"/>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$678,000 and $127,000 for the Third Quarter of 2020 and 2019, respectively due to higher PPP loan fees.</w:t>
      </w:r>
    </w:p>
    <w:p>
      <w:pPr>
        <w:ind w:left="220" w:hanging="212"/>
        <w:spacing w:after="0" w:line="220" w:lineRule="auto"/>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2020 and 2019. The tax-equivalent adjustment was approximately $466,000 and $511,000 for the Third Quarter of 2020 and 2019, respectively.</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Nine Months Ended 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2019</w:t>
            </w:r>
          </w:p>
        </w:tc>
      </w:tr>
      <w:tr>
        <w:trPr>
          <w:trHeight w:val="193"/>
        </w:trPr>
        <w:tc>
          <w:tcPr>
            <w:tcW w:w="3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20" w:type="dxa"/>
            <w:vAlign w:val="bottom"/>
          </w:tcPr>
          <w:p>
            <w:pPr>
              <w:spacing w:after="0"/>
              <w:rPr>
                <w:sz w:val="16"/>
                <w:szCs w:val="16"/>
                <w:color w:val="auto"/>
              </w:rPr>
            </w:pPr>
          </w:p>
        </w:tc>
      </w:tr>
      <w:tr>
        <w:trPr>
          <w:trHeight w:val="215"/>
        </w:trPr>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6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tcPr>
          <w:p>
            <w:pPr>
              <w:spacing w:after="0"/>
              <w:rPr>
                <w:sz w:val="18"/>
                <w:szCs w:val="18"/>
                <w:color w:val="auto"/>
              </w:rPr>
            </w:pPr>
          </w:p>
        </w:tc>
      </w:tr>
      <w:tr>
        <w:trPr>
          <w:trHeight w:val="245"/>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Yield/Rate</w:t>
            </w:r>
          </w:p>
        </w:tc>
      </w:tr>
      <w:tr>
        <w:trPr>
          <w:trHeight w:val="256"/>
        </w:trPr>
        <w:tc>
          <w:tcPr>
            <w:tcW w:w="350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9"/>
                <w:szCs w:val="29"/>
                <w:b w:val="1"/>
                <w:bCs w:val="1"/>
                <w:color w:val="auto"/>
                <w:vertAlign w:val="superscript"/>
              </w:rPr>
              <w:t>1</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1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36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350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1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36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904,632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27,366</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755,331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56"/>
        </w:trPr>
        <w:tc>
          <w:tcPr>
            <w:tcW w:w="350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1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36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82,271</w:t>
            </w: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1,400</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104,614</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1,865</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w:t>
            </w:r>
          </w:p>
        </w:tc>
      </w:tr>
      <w:tr>
        <w:trPr>
          <w:trHeight w:val="256"/>
        </w:trPr>
        <w:tc>
          <w:tcPr>
            <w:tcW w:w="3500" w:type="dxa"/>
            <w:vAlign w:val="bottom"/>
            <w:shd w:val="clear" w:color="auto" w:fill="B2B2B2"/>
          </w:tcPr>
          <w:p>
            <w:pPr>
              <w:ind w:left="18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3</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289,964</w:t>
            </w:r>
          </w:p>
        </w:tc>
        <w:tc>
          <w:tcPr>
            <w:tcW w:w="32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6,781</w:t>
            </w:r>
          </w:p>
        </w:tc>
        <w:tc>
          <w:tcPr>
            <w:tcW w:w="106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322,682</w:t>
            </w:r>
          </w:p>
        </w:tc>
        <w:tc>
          <w:tcPr>
            <w:tcW w:w="360" w:type="dxa"/>
            <w:vAlign w:val="bottom"/>
            <w:shd w:val="clear" w:color="auto" w:fill="B2B2B2"/>
          </w:tcPr>
          <w:p>
            <w:pPr>
              <w:spacing w:after="0"/>
              <w:rPr>
                <w:sz w:val="22"/>
                <w:szCs w:val="22"/>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7,538</w:t>
            </w:r>
          </w:p>
        </w:tc>
        <w:tc>
          <w:tcPr>
            <w:tcW w:w="9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r>
      <w:tr>
        <w:trPr>
          <w:trHeight w:val="21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1,877</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r>
      <w:tr>
        <w:trPr>
          <w:trHeight w:val="197"/>
        </w:trPr>
        <w:tc>
          <w:tcPr>
            <w:tcW w:w="3500" w:type="dxa"/>
            <w:vAlign w:val="bottom"/>
            <w:shd w:val="clear" w:color="auto" w:fill="B2B2B2"/>
          </w:tcPr>
          <w:p>
            <w:pPr>
              <w:spacing w:after="0" w:line="197" w:lineRule="exact"/>
              <w:rPr>
                <w:sz w:val="20"/>
                <w:szCs w:val="20"/>
                <w:color w:val="auto"/>
              </w:rPr>
            </w:pPr>
            <w:r>
              <w:rPr>
                <w:rFonts w:ascii="Times New Roman" w:cs="Times New Roman" w:eastAsia="Times New Roman" w:hAnsi="Times New Roman"/>
                <w:sz w:val="18"/>
                <w:szCs w:val="18"/>
                <w:color w:val="auto"/>
              </w:rPr>
              <w:t>Interest-bearing deposits in other financial</w:t>
            </w:r>
          </w:p>
        </w:tc>
        <w:tc>
          <w:tcPr>
            <w:tcW w:w="44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3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36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r>
      <w:tr>
        <w:trPr>
          <w:trHeight w:val="234"/>
        </w:trPr>
        <w:tc>
          <w:tcPr>
            <w:tcW w:w="35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institutions</w:t>
            </w:r>
          </w:p>
        </w:tc>
        <w:tc>
          <w:tcPr>
            <w:tcW w:w="440" w:type="dxa"/>
            <w:vAlign w:val="bottom"/>
            <w:shd w:val="clear" w:color="auto" w:fill="B2B2B2"/>
          </w:tcPr>
          <w:p>
            <w:pPr>
              <w:spacing w:after="0"/>
              <w:rPr>
                <w:sz w:val="20"/>
                <w:szCs w:val="20"/>
                <w:color w:val="auto"/>
              </w:rPr>
            </w:pPr>
          </w:p>
        </w:tc>
        <w:tc>
          <w:tcPr>
            <w:tcW w:w="140" w:type="dxa"/>
            <w:vAlign w:val="bottom"/>
            <w:shd w:val="clear" w:color="auto" w:fill="B2B2B2"/>
          </w:tcPr>
          <w:p>
            <w:pPr>
              <w:spacing w:after="0"/>
              <w:rPr>
                <w:sz w:val="20"/>
                <w:szCs w:val="20"/>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197,929</w:t>
            </w:r>
          </w:p>
        </w:tc>
        <w:tc>
          <w:tcPr>
            <w:tcW w:w="320" w:type="dxa"/>
            <w:vAlign w:val="bottom"/>
            <w:shd w:val="clear" w:color="auto" w:fill="B2B2B2"/>
          </w:tcPr>
          <w:p>
            <w:pPr>
              <w:spacing w:after="0"/>
              <w:rPr>
                <w:sz w:val="20"/>
                <w:szCs w:val="20"/>
                <w:color w:val="auto"/>
              </w:rPr>
            </w:pPr>
          </w:p>
        </w:tc>
        <w:tc>
          <w:tcPr>
            <w:tcW w:w="10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492</w:t>
            </w:r>
          </w:p>
        </w:tc>
        <w:tc>
          <w:tcPr>
            <w:tcW w:w="106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shd w:val="clear" w:color="auto" w:fill="B2B2B2"/>
          </w:tcPr>
          <w:p>
            <w:pPr>
              <w:spacing w:after="0"/>
              <w:rPr>
                <w:sz w:val="20"/>
                <w:szCs w:val="20"/>
                <w:color w:val="auto"/>
              </w:rPr>
            </w:pPr>
          </w:p>
        </w:tc>
        <w:tc>
          <w:tcPr>
            <w:tcW w:w="140" w:type="dxa"/>
            <w:vAlign w:val="bottom"/>
            <w:shd w:val="clear" w:color="auto" w:fill="B2B2B2"/>
          </w:tcPr>
          <w:p>
            <w:pPr>
              <w:spacing w:after="0"/>
              <w:rPr>
                <w:sz w:val="20"/>
                <w:szCs w:val="20"/>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110,294</w:t>
            </w:r>
          </w:p>
        </w:tc>
        <w:tc>
          <w:tcPr>
            <w:tcW w:w="360" w:type="dxa"/>
            <w:vAlign w:val="bottom"/>
            <w:shd w:val="clear" w:color="auto" w:fill="B2B2B2"/>
          </w:tcPr>
          <w:p>
            <w:pPr>
              <w:spacing w:after="0"/>
              <w:rPr>
                <w:sz w:val="20"/>
                <w:szCs w:val="20"/>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c>
          <w:tcPr>
            <w:tcW w:w="9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2.17</w:t>
            </w:r>
          </w:p>
        </w:tc>
      </w:tr>
      <w:tr>
        <w:trPr>
          <w:trHeight w:val="197"/>
        </w:trPr>
        <w:tc>
          <w:tcPr>
            <w:tcW w:w="3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Federal funds sold and other short-term</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140,955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638</w:t>
            </w: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161,444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2.23</w:t>
            </w:r>
          </w:p>
        </w:tc>
      </w:tr>
      <w:tr>
        <w:trPr>
          <w:trHeight w:val="209"/>
        </w:trPr>
        <w:tc>
          <w:tcPr>
            <w:tcW w:w="35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1,616,091</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36,683</w:t>
            </w:r>
          </w:p>
        </w:tc>
        <w:tc>
          <w:tcPr>
            <w:tcW w:w="106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1,456,242</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41,472</w:t>
            </w:r>
          </w:p>
        </w:tc>
        <w:tc>
          <w:tcPr>
            <w:tcW w:w="9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3.81</w:t>
            </w:r>
          </w:p>
        </w:tc>
      </w:tr>
      <w:tr>
        <w:trPr>
          <w:trHeight w:val="21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16,765</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14,292</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19,955</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21,522</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Bank-owned life insurance</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17,761</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17,475</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18,240</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14,243</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214,331</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210,200</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(10,413)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5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1,892,224</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spacing w:after="0"/>
              <w:rPr>
                <w:sz w:val="18"/>
                <w:szCs w:val="18"/>
                <w:color w:val="auto"/>
              </w:rPr>
            </w:pPr>
          </w:p>
        </w:tc>
        <w:tc>
          <w:tcPr>
            <w:tcW w:w="360" w:type="dxa"/>
            <w:vAlign w:val="bottom"/>
            <w:tcBorders>
              <w:bottom w:val="single" w:sz="8" w:color="auto"/>
            </w:tcBorders>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1,723,561</w:t>
            </w:r>
          </w:p>
        </w:tc>
        <w:tc>
          <w:tcPr>
            <w:tcW w:w="3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49"/>
        </w:trPr>
        <w:tc>
          <w:tcPr>
            <w:tcW w:w="3500" w:type="dxa"/>
            <w:vAlign w:val="bottom"/>
          </w:tcPr>
          <w:p>
            <w:pPr>
              <w:spacing w:after="0" w:line="249"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r>
              <w:rPr>
                <w:rFonts w:ascii="Times New Roman" w:cs="Times New Roman" w:eastAsia="Times New Roman" w:hAnsi="Times New Roman"/>
                <w:sz w:val="28"/>
                <w:szCs w:val="28"/>
                <w:b w:val="1"/>
                <w:bCs w:val="1"/>
                <w:color w:val="auto"/>
                <w:vertAlign w:val="superscript"/>
              </w:rPr>
              <w:t>1</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5"/>
        </w:trPr>
        <w:tc>
          <w:tcPr>
            <w:tcW w:w="35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382,424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1,062</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305,454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5"/>
        </w:trPr>
        <w:tc>
          <w:tcPr>
            <w:tcW w:w="35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12,010</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10,487</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 $100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28,134</w:t>
            </w: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24,728</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r>
      <w:tr>
        <w:trPr>
          <w:trHeight w:val="215"/>
        </w:trPr>
        <w:tc>
          <w:tcPr>
            <w:tcW w:w="350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44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42,483</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445</w:t>
            </w:r>
          </w:p>
        </w:tc>
        <w:tc>
          <w:tcPr>
            <w:tcW w:w="1060" w:type="dxa"/>
            <w:vAlign w:val="bottom"/>
            <w:tcBorders>
              <w:bottom w:val="single" w:sz="8" w:color="auto"/>
            </w:tcBorders>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48,774</w:t>
            </w:r>
          </w:p>
        </w:tc>
        <w:tc>
          <w:tcPr>
            <w:tcW w:w="3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c>
          <w:tcPr>
            <w:tcW w:w="92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1.92</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465,051</w:t>
            </w: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1,909</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389,443</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r>
      <w:tr>
        <w:trPr>
          <w:trHeight w:val="215"/>
        </w:trPr>
        <w:tc>
          <w:tcPr>
            <w:tcW w:w="35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4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auto"/>
            </w:tcBorders>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465,128</w:t>
            </w: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1,911</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389,455</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r>
      <w:tr>
        <w:trPr>
          <w:trHeight w:val="215"/>
        </w:trPr>
        <w:tc>
          <w:tcPr>
            <w:tcW w:w="35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Demand deposits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342,386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267,374</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775,341</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778,141</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64,859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54,995</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5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1,647,714</w:t>
            </w: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1,489,965</w:t>
            </w: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244,510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233,596</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5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8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1,892,224</w:t>
            </w:r>
          </w:p>
        </w:tc>
        <w:tc>
          <w:tcPr>
            <w:tcW w:w="3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spacing w:after="0"/>
              <w:rPr>
                <w:sz w:val="18"/>
                <w:szCs w:val="18"/>
                <w:color w:val="auto"/>
              </w:rPr>
            </w:pPr>
          </w:p>
        </w:tc>
        <w:tc>
          <w:tcPr>
            <w:tcW w:w="360" w:type="dxa"/>
            <w:vAlign w:val="bottom"/>
            <w:tcBorders>
              <w:bottom w:val="single" w:sz="8" w:color="auto"/>
            </w:tcBorders>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1,723,561</w:t>
            </w:r>
          </w:p>
        </w:tc>
        <w:tc>
          <w:tcPr>
            <w:tcW w:w="3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34,772</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37,485</w:t>
            </w: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60" w:type="dxa"/>
            <w:vAlign w:val="bottom"/>
            <w:shd w:val="clear" w:color="auto" w:fill="B2B2B2"/>
          </w:tcPr>
          <w:p>
            <w:pPr>
              <w:ind w:left="520"/>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spread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9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220" w:hanging="212"/>
        <w:spacing w:after="0" w:line="223" w:lineRule="auto"/>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ind w:left="220" w:hanging="212"/>
        <w:spacing w:after="0" w:line="220" w:lineRule="auto"/>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$1,399,000 and $369,000 for the Nine Months Ended 2020 and 2019, respectively due to higher PPP loan fees.</w:t>
      </w:r>
    </w:p>
    <w:p>
      <w:pPr>
        <w:ind w:left="220" w:right="20" w:hanging="212"/>
        <w:spacing w:after="0" w:line="220" w:lineRule="auto"/>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2020 and 2019. The tax-equivalent adjustment was approximately $1,424,000 and $1,583,000 for the Nine Months Ended 2020 and 2019, respectively.</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 Quarter of 2020 Over</w:t>
            </w:r>
          </w:p>
        </w:tc>
        <w:tc>
          <w:tcPr>
            <w:tcW w:w="680" w:type="dxa"/>
            <w:vAlign w:val="bottom"/>
          </w:tcPr>
          <w:p>
            <w:pPr>
              <w:spacing w:after="0"/>
              <w:rPr>
                <w:sz w:val="18"/>
                <w:szCs w:val="18"/>
                <w:color w:val="auto"/>
              </w:rPr>
            </w:pPr>
          </w:p>
        </w:tc>
      </w:tr>
      <w:tr>
        <w:trPr>
          <w:trHeight w:val="245"/>
        </w:trPr>
        <w:tc>
          <w:tcPr>
            <w:tcW w:w="5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 of 2019</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22"/>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58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56"/>
        </w:trPr>
        <w:tc>
          <w:tcPr>
            <w:tcW w:w="58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94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1,906</w:t>
            </w:r>
          </w:p>
        </w:tc>
        <w:tc>
          <w:tcPr>
            <w:tcW w:w="4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(2,388)</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56"/>
        </w:trPr>
        <w:tc>
          <w:tcPr>
            <w:tcW w:w="580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(244)</w:t>
            </w:r>
          </w:p>
        </w:tc>
        <w:tc>
          <w:tcPr>
            <w:tcW w:w="440" w:type="dxa"/>
            <w:vAlign w:val="bottom"/>
          </w:tcPr>
          <w:p>
            <w:pPr>
              <w:spacing w:after="0"/>
              <w:rPr>
                <w:sz w:val="22"/>
                <w:szCs w:val="22"/>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5"/>
        </w:trPr>
        <w:tc>
          <w:tcPr>
            <w:tcW w:w="58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5"/>
        </w:trPr>
        <w:tc>
          <w:tcPr>
            <w:tcW w:w="5800" w:type="dxa"/>
            <w:vAlign w:val="bottom"/>
            <w:tcBorders>
              <w:bottom w:val="single" w:sz="8" w:color="B2B2B2"/>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74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09"/>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1,879</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(4,311)</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09"/>
        </w:trPr>
        <w:tc>
          <w:tcPr>
            <w:tcW w:w="58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expense on:</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262</w:t>
            </w:r>
          </w:p>
        </w:tc>
        <w:tc>
          <w:tcPr>
            <w:tcW w:w="44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5"/>
        </w:trPr>
        <w:tc>
          <w:tcPr>
            <w:tcW w:w="58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5"/>
        </w:trPr>
        <w:tc>
          <w:tcPr>
            <w:tcW w:w="5800" w:type="dxa"/>
            <w:vAlign w:val="bottom"/>
            <w:tcBorders>
              <w:bottom w:val="single" w:sz="8" w:color="B2B2B2"/>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74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9"/>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09"/>
        </w:trPr>
        <w:tc>
          <w:tcPr>
            <w:tcW w:w="58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94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1,639</w:t>
            </w:r>
          </w:p>
        </w:tc>
        <w:tc>
          <w:tcPr>
            <w:tcW w:w="44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(3,144)</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pacing w:after="0" w:line="200"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Third Quarter of 2020 and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2020 Over</w:t>
            </w:r>
          </w:p>
        </w:tc>
        <w:tc>
          <w:tcPr>
            <w:tcW w:w="640" w:type="dxa"/>
            <w:vAlign w:val="bottom"/>
          </w:tcPr>
          <w:p>
            <w:pPr>
              <w:spacing w:after="0"/>
              <w:rPr>
                <w:sz w:val="18"/>
                <w:szCs w:val="18"/>
                <w:color w:val="auto"/>
              </w:rPr>
            </w:pPr>
          </w:p>
        </w:tc>
      </w:tr>
      <w:tr>
        <w:trPr>
          <w:trHeight w:val="245"/>
        </w:trPr>
        <w:tc>
          <w:tcPr>
            <w:tcW w:w="5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2019</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r>
      <w:tr>
        <w:trPr>
          <w:trHeight w:val="222"/>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5"/>
        </w:trPr>
        <w:tc>
          <w:tcPr>
            <w:tcW w:w="58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r>
      <w:tr>
        <w:trPr>
          <w:trHeight w:val="256"/>
        </w:trPr>
        <w:tc>
          <w:tcPr>
            <w:tcW w:w="58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94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4,980</w:t>
            </w:r>
          </w:p>
        </w:tc>
        <w:tc>
          <w:tcPr>
            <w:tcW w:w="4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(5,178)</w:t>
            </w:r>
          </w:p>
        </w:tc>
        <w:tc>
          <w:tcPr>
            <w:tcW w:w="2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6"/>
        </w:trPr>
        <w:tc>
          <w:tcPr>
            <w:tcW w:w="580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9"/>
                <w:szCs w:val="29"/>
                <w:color w:val="auto"/>
                <w:vertAlign w:val="superscript"/>
              </w:rPr>
              <w:t>2</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w:t>
            </w:r>
          </w:p>
        </w:tc>
        <w:tc>
          <w:tcPr>
            <w:tcW w:w="440" w:type="dxa"/>
            <w:vAlign w:val="bottom"/>
          </w:tcPr>
          <w:p>
            <w:pPr>
              <w:spacing w:after="0"/>
              <w:rPr>
                <w:sz w:val="22"/>
                <w:szCs w:val="22"/>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15"/>
        </w:trPr>
        <w:tc>
          <w:tcPr>
            <w:tcW w:w="58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844</w:t>
            </w:r>
          </w:p>
        </w:tc>
        <w:tc>
          <w:tcPr>
            <w:tcW w:w="4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(2,141)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15"/>
        </w:trPr>
        <w:tc>
          <w:tcPr>
            <w:tcW w:w="5800" w:type="dxa"/>
            <w:vAlign w:val="bottom"/>
            <w:tcBorders>
              <w:bottom w:val="single" w:sz="8" w:color="B2B2B2"/>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74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(304)</w:t>
            </w:r>
          </w:p>
        </w:tc>
        <w:tc>
          <w:tcPr>
            <w:tcW w:w="44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Borders>
              <w:bottom w:val="single" w:sz="8" w:color="auto"/>
            </w:tcBorders>
            <w:shd w:val="clear" w:color="auto" w:fill="B2B2B2"/>
          </w:tcPr>
          <w:p>
            <w:pPr>
              <w:spacing w:after="0"/>
              <w:rPr>
                <w:sz w:val="18"/>
                <w:szCs w:val="18"/>
                <w:color w:val="auto"/>
              </w:rPr>
            </w:pPr>
          </w:p>
        </w:tc>
        <w:tc>
          <w:tcPr>
            <w:tcW w:w="6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09"/>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4,354</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(9,143)</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r>
      <w:tr>
        <w:trPr>
          <w:trHeight w:val="209"/>
        </w:trPr>
        <w:tc>
          <w:tcPr>
            <w:tcW w:w="58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expense on:</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587</w:t>
            </w:r>
          </w:p>
        </w:tc>
        <w:tc>
          <w:tcPr>
            <w:tcW w:w="4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(2,366)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15"/>
        </w:trPr>
        <w:tc>
          <w:tcPr>
            <w:tcW w:w="58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5"/>
        </w:trPr>
        <w:tc>
          <w:tcPr>
            <w:tcW w:w="580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5"/>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8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74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564</w:t>
            </w:r>
          </w:p>
        </w:tc>
        <w:tc>
          <w:tcPr>
            <w:tcW w:w="44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(2,640)</w:t>
            </w:r>
          </w:p>
        </w:tc>
        <w:tc>
          <w:tcPr>
            <w:tcW w:w="220" w:type="dxa"/>
            <w:vAlign w:val="bottom"/>
            <w:tcBorders>
              <w:bottom w:val="single" w:sz="8" w:color="auto"/>
            </w:tcBorders>
            <w:shd w:val="clear" w:color="auto" w:fill="B2B2B2"/>
          </w:tcPr>
          <w:p>
            <w:pPr>
              <w:spacing w:after="0"/>
              <w:rPr>
                <w:sz w:val="18"/>
                <w:szCs w:val="18"/>
                <w:color w:val="auto"/>
              </w:rPr>
            </w:pPr>
          </w:p>
        </w:tc>
        <w:tc>
          <w:tcPr>
            <w:tcW w:w="6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3,790</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(6,503)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9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left="220" w:hanging="212"/>
        <w:spacing w:after="0" w:line="223" w:lineRule="auto"/>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Nine Months Ended 2020 and 2019.</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Loan Losses (“ALLL”)</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determinant of the Company’s operating results can be the provision for loan losses. There was no provision for loan loss recorded during the Third Quarter of 2020 or the Third Quarter of 2019. There was a loan loss provision of $725,000 recorded in the Nine Months Ended 2020 to support the growth in the loan portfolio and as a result of the impact of COVID-19 while there was a loan loss provision of $250,000 in the Nine Months Ended 2019. As discussed below, the Company continually analyzes the outstanding loan portfolio based on the performance, financial condition and collateralization of the credits. Net loan recoveries were $6,000 in the Third Quarter of 2020 and $3,000 in the Third Quarter of 2019. Net loan recoveries were $17,000 in the Nine Months Ended 2020 and $34,000 during the Nine Months Ended 2019.</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ALLL at September 30, 2020 was $11,298,000 and at December 31, 2019 was $10,556,000. The ratio of ALLL to total loans outstanding at September 30, 2020 was 1.20% compared to 1.37% at December 31, 2019. In support of the CARES Act, the Bank has processed nearly 350 applications for PPP loans of approximately $170,000,000 to provide much-needed cash to small business and self-employed taxpayers during the COVID-19 crisis. The loans were primarily made to existing bank customers and are 100% guaranteed by the Small Business Administration and no allowance for loan loss was recorded for these loans. There were no nonperforming loans at September 30, 2020 or December 31, 2019.</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xml:space="preserve">, and 2) estimated credit losses inherent in the remainder of the loan portfolio in accordance with FASB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Estimated credit losses is an estimate of the current amount of loans that is probable the Company will be unable to collect according to the original terms.</w:t>
      </w:r>
    </w:p>
    <w:p>
      <w:pPr>
        <w:sectPr>
          <w:pgSz w:w="11900" w:h="16906" w:orient="portrait"/>
          <w:cols w:equalWidth="0" w:num="1">
            <w:col w:w="11240"/>
          </w:cols>
          <w:pgMar w:left="320" w:top="319" w:right="3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For loans that are individually evaluated, the Company uses two impairment measurement methods: 1) the present value of expected future cash flows and</w:t>
      </w:r>
    </w:p>
    <w:p>
      <w:pPr>
        <w:spacing w:after="0" w:line="27" w:lineRule="exact"/>
        <w:rPr>
          <w:sz w:val="20"/>
          <w:szCs w:val="20"/>
          <w:color w:val="auto"/>
        </w:rPr>
      </w:pPr>
    </w:p>
    <w:p>
      <w:pPr>
        <w:jc w:val="both"/>
        <w:ind w:firstLine="8"/>
        <w:spacing w:after="0" w:line="253" w:lineRule="auto"/>
        <w:tabs>
          <w:tab w:leader="none" w:pos="1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Asset Quality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loan losses and analysis of the ALLL: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2"/>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5"/>
        </w:trPr>
        <w:tc>
          <w:tcPr>
            <w:tcW w:w="67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Allowance at beginning of period</w:t>
            </w:r>
          </w:p>
        </w:tc>
        <w:tc>
          <w:tcPr>
            <w:tcW w:w="200" w:type="dxa"/>
            <w:vAlign w:val="bottom"/>
            <w:shd w:val="clear" w:color="auto" w:fill="B2B2B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11,292</w:t>
            </w:r>
          </w:p>
        </w:tc>
        <w:tc>
          <w:tcPr>
            <w:tcW w:w="2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10,506</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10,556</w:t>
            </w:r>
          </w:p>
        </w:tc>
        <w:tc>
          <w:tcPr>
            <w:tcW w:w="2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10,225</w:t>
            </w:r>
          </w:p>
        </w:tc>
      </w:tr>
      <w:tr>
        <w:trPr>
          <w:trHeight w:val="215"/>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0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r>
      <w:tr>
        <w:trPr>
          <w:trHeight w:val="215"/>
        </w:trPr>
        <w:tc>
          <w:tcPr>
            <w:tcW w:w="67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Loans charged off</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67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recoveries</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r>
      <w:tr>
        <w:trPr>
          <w:trHeight w:val="215"/>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Allowance at end of period</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11,298</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10,509</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11,298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10,509</w:t>
            </w:r>
          </w:p>
        </w:tc>
      </w:tr>
      <w:tr>
        <w:trPr>
          <w:trHeight w:val="209"/>
        </w:trPr>
        <w:tc>
          <w:tcPr>
            <w:tcW w:w="67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Loans outstanding:</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r>
      <w:tr>
        <w:trPr>
          <w:trHeight w:val="215"/>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949,836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774,489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904,632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755,331</w:t>
            </w:r>
          </w:p>
        </w:tc>
      </w:tr>
      <w:tr>
        <w:trPr>
          <w:trHeight w:val="215"/>
        </w:trPr>
        <w:tc>
          <w:tcPr>
            <w:tcW w:w="67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944,557</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767,384</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944,557</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767,384</w:t>
            </w:r>
          </w:p>
        </w:tc>
      </w:tr>
      <w:tr>
        <w:trPr>
          <w:trHeight w:val="215"/>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Ratio of ALLL to loans outstanding: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672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5"/>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5"/>
        </w:trPr>
        <w:tc>
          <w:tcPr>
            <w:tcW w:w="67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r>
      <w:tr>
        <w:trPr>
          <w:trHeight w:val="215"/>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20" w:type="dxa"/>
            <w:vAlign w:val="bottom"/>
            <w:tcBorders>
              <w:bottom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Loans past due 90 days or more</w:t>
            </w:r>
          </w:p>
        </w:tc>
        <w:tc>
          <w:tcPr>
            <w:tcW w:w="2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Foreclosed assets</w:t>
            </w:r>
          </w:p>
        </w:tc>
        <w:tc>
          <w:tcPr>
            <w:tcW w:w="200" w:type="dxa"/>
            <w:vAlign w:val="bottom"/>
            <w:tcBorders>
              <w:bottom w:val="single" w:sz="8" w:color="auto"/>
            </w:tcBorders>
            <w:shd w:val="clear" w:color="auto" w:fill="B2B2B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as percentage of average loans</w:t>
            </w: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had no property carried as other real estate owned as of September 30, 2020 or September 30, 2019.</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operating expenses for the Third Quarter of 2020 were down 6.2%, or $1,883,000, compared to the Third Quarter of 2019 as personnel expense decreased due to the decline in transportation and facility-related transaction volumes. Total operating expenses for the Nine Months Ended 2020 were down $4,030,000, or 4.5%, compared to the Nine Months Ended 2019 for the same reason as the Third Quarter.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assets at September 30, 2020 were $2,000,463,000, an increase of $236,220,000, or 13.4%, from December 31, 2019. The most significant changes in asset balances during this period were increases in loans of $171,919,000 due to the PPP loans and cash and cash equivalents of $235,497,000. These increases were partially offset by decreases in other assets of $66,250,000, security investments of $57,500,000, and payments in excess of funding of $44,766,000. Changes in cash and cash equivalents reflect the Company’s daily liquidity position and are affected by the changes in the other asset balances and changes in deposit and accounts and drafts payable balances.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liabilities at September 30, 2020 were $1,748,972,000, an increase of $228,919,000, or 15.1%, from December 31, 2019. Total deposits at September 30, 2020 were $911,185,000, an increase of $154,049,000, or 20.3%, from December 31, 2019 as the funds from the PPP loans largely remained in deposit accounts. Accounts and drafts payable at September 30, 2020 were $771,607,000, an increase of $87,312,000, or 12.8%, from December 31, 2019.</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shareholders’ equity at September 30, 2020 was $251,491,000, a $7,301,000, or 3.0%, increase from December 31, 2019. Total shareholders’ equity increased due to net income of $18,765,000 and a decrease in accumulated other comprehensive loss of $4,613,000. These were offset by dividends paid of $11,704,000 and share repurchases of $5,508,000.</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balance of liquid assets consisting of cash and cash equivalents, which include cash and due from banks, interest-bearing deposits in other financial institutions, federal funds sold and other short-term investments, was $439,451,000 at September 30, 2020, an increase of $235,497,000, or 115.5%, from December 31, 2019. At September 30, 2020, these assets represented 22.0% of total assets. These funds are the Company’s and its subsidiaries’ primary source of liquidity to meet future expected and unexpected loan demand, depositor withdrawals or reductions in accounts and drafts payable.</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securities was $365,165,000 at September 30, 2020, a decrease of $57,500,000 from December 31, 2019. These assets represented 18.3% of total assets at September 30, 2020. Of this total, 83% were state and political subdivision securities. Of the total portfolio, 13.7% mature in one year or less, 26.9% mature in one to five years, and 59.4% mature in five or more years.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$181,948,000 collateralized by mortgage loans. The Company also has secured lines of credit with UMB Bank of $75,000,000 and First Tennessee Bank of $75,000,000 collateralized by state and political subdivision securities. There were no amounts outstanding under any line of credit as of September 30, 2020. There was $18,000,000 outstanding under the lines of credit discussed above at December 31, 2019. The amount outstanding at the end of the 2019 was borrowed on December 31, 2019 and repaid on January 2, 2020.</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$172,211,000 as of September 30, 2020.</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$41,015,000 of CDARS deposits and interest-bearing demand deposits include $97,397,000 of ICS deposits. These programs offer the Bank’s customers the ability to maximize Federal Deposit Insurance Corporation (“FDIC”) insurance coverage. The Company uses these programs to retain or attract deposits from existing customers.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$40,061,000 for the Nine Months Ended 2020 compared with $39,774,000 for the Nine Months ended 2019, an increase of $287,000.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2020, which are estimated to range from $4 million to $6 million.</w:t>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 For a discussion of trends and impacts relating to COVID-19, refer to Note 1 “Basis of Presentation.”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For a discussion of trends and impacts relating to COVID-19, refer to Note 1 “Basis of Presentation.” Lower levels of economic activity, such as those experienced by the Company as a result of COVID-19 and governmental actions related thereto, decrease both fee income and balances of accounts and drafts payable.</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For a discussion of trends and impacts relating to COVID-19, refer to Note 1 “Basis of Presentation.”</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Fully phased-in as of January 1, 2019, the Basel III Capital Rules require banking organizations, like Cass, to maintain:</w:t>
      </w:r>
    </w:p>
    <w:p>
      <w:pPr>
        <w:spacing w:after="0" w:line="36" w:lineRule="exact"/>
        <w:rPr>
          <w:sz w:val="20"/>
          <w:szCs w:val="20"/>
          <w:color w:val="auto"/>
        </w:rPr>
      </w:pPr>
    </w:p>
    <w:p>
      <w:pPr>
        <w:ind w:left="560" w:hanging="229"/>
        <w:spacing w:after="0"/>
        <w:tabs>
          <w:tab w:leader="none" w:pos="560" w:val="left"/>
        </w:tabs>
        <w:numPr>
          <w:ilvl w:val="0"/>
          <w:numId w:val="13"/>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55" w:lineRule="exact"/>
        <w:rPr>
          <w:rFonts w:ascii="Times New Roman" w:cs="Times New Roman" w:eastAsia="Times New Roman" w:hAnsi="Times New Roman"/>
          <w:sz w:val="32"/>
          <w:szCs w:val="32"/>
          <w:color w:val="auto"/>
        </w:rPr>
      </w:pPr>
    </w:p>
    <w:p>
      <w:pPr>
        <w:ind w:left="560" w:hanging="229"/>
        <w:spacing w:after="0" w:line="186" w:lineRule="auto"/>
        <w:tabs>
          <w:tab w:leader="none" w:pos="560"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15"/>
          <w:szCs w:val="15"/>
          <w:color w:val="auto"/>
        </w:rPr>
        <w:t>a minimum ratio of Tier 1 capital to risk-weighted assets of at least 6.0%, plus a 2.5% capital conservation buffer;</w:t>
      </w:r>
    </w:p>
    <w:p>
      <w:pPr>
        <w:spacing w:after="0" w:line="68" w:lineRule="exact"/>
        <w:rPr>
          <w:rFonts w:ascii="Times New Roman" w:cs="Times New Roman" w:eastAsia="Times New Roman" w:hAnsi="Times New Roman"/>
          <w:sz w:val="24"/>
          <w:szCs w:val="24"/>
          <w:color w:val="auto"/>
        </w:rPr>
      </w:pPr>
    </w:p>
    <w:p>
      <w:pPr>
        <w:ind w:left="560" w:hanging="229"/>
        <w:spacing w:after="0" w:line="182" w:lineRule="auto"/>
        <w:tabs>
          <w:tab w:leader="none" w:pos="560" w:val="left"/>
        </w:tabs>
        <w:numPr>
          <w:ilvl w:val="0"/>
          <w:numId w:val="13"/>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spacing w:after="0" w:line="2" w:lineRule="exact"/>
        <w:rPr>
          <w:rFonts w:ascii="Times New Roman" w:cs="Times New Roman" w:eastAsia="Times New Roman" w:hAnsi="Times New Roman"/>
          <w:sz w:val="31"/>
          <w:szCs w:val="31"/>
          <w:color w:val="auto"/>
        </w:rPr>
      </w:pPr>
    </w:p>
    <w:p>
      <w:pPr>
        <w:ind w:left="560" w:hanging="229"/>
        <w:spacing w:after="0" w:line="181" w:lineRule="auto"/>
        <w:tabs>
          <w:tab w:leader="none" w:pos="560" w:val="left"/>
        </w:tabs>
        <w:numPr>
          <w:ilvl w:val="0"/>
          <w:numId w:val="13"/>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2"/>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4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 w:type="dxa"/>
            <w:vAlign w:val="bottom"/>
          </w:tcPr>
          <w:p>
            <w:pPr>
              <w:spacing w:after="0"/>
              <w:rPr>
                <w:sz w:val="19"/>
                <w:szCs w:val="19"/>
                <w:color w:val="auto"/>
              </w:rPr>
            </w:pPr>
          </w:p>
        </w:tc>
      </w:tr>
      <w:tr>
        <w:trPr>
          <w:trHeight w:val="215"/>
        </w:trPr>
        <w:tc>
          <w:tcPr>
            <w:tcW w:w="5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253,964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249,954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 w:type="dxa"/>
            <w:vAlign w:val="bottom"/>
          </w:tcPr>
          <w:p>
            <w:pPr>
              <w:spacing w:after="0"/>
              <w:rPr>
                <w:sz w:val="18"/>
                <w:szCs w:val="18"/>
                <w:color w:val="auto"/>
              </w:rPr>
            </w:pPr>
          </w:p>
        </w:tc>
      </w:tr>
      <w:tr>
        <w:trPr>
          <w:trHeight w:val="215"/>
        </w:trPr>
        <w:tc>
          <w:tcPr>
            <w:tcW w:w="5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14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167,005</w:t>
            </w:r>
          </w:p>
        </w:tc>
        <w:tc>
          <w:tcPr>
            <w:tcW w:w="98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21.17%</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154,011</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tcPr>
          <w:p>
            <w:pPr>
              <w:spacing w:after="0"/>
              <w:rPr>
                <w:sz w:val="18"/>
                <w:szCs w:val="18"/>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5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242,666</w:t>
            </w:r>
          </w:p>
        </w:tc>
        <w:tc>
          <w:tcPr>
            <w:tcW w:w="98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239,398</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tcPr>
          <w:p>
            <w:pPr>
              <w:spacing w:after="0"/>
              <w:rPr>
                <w:sz w:val="18"/>
                <w:szCs w:val="18"/>
                <w:color w:val="auto"/>
              </w:rPr>
            </w:pPr>
          </w:p>
        </w:tc>
      </w:tr>
      <w:tr>
        <w:trPr>
          <w:trHeight w:val="215"/>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157,925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145,673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8"/>
                <w:szCs w:val="18"/>
                <w:color w:val="auto"/>
              </w:rPr>
            </w:pPr>
          </w:p>
        </w:tc>
      </w:tr>
      <w:tr>
        <w:trPr>
          <w:trHeight w:val="215"/>
        </w:trPr>
        <w:tc>
          <w:tcPr>
            <w:tcW w:w="54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4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242,666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239,398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tcPr>
          <w:p>
            <w:pPr>
              <w:spacing w:after="0"/>
              <w:rPr>
                <w:sz w:val="18"/>
                <w:szCs w:val="18"/>
                <w:color w:val="auto"/>
              </w:rPr>
            </w:pPr>
          </w:p>
        </w:tc>
      </w:tr>
      <w:tr>
        <w:trPr>
          <w:trHeight w:val="215"/>
        </w:trPr>
        <w:tc>
          <w:tcPr>
            <w:tcW w:w="5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Commercial Bank</w:t>
            </w:r>
          </w:p>
        </w:tc>
        <w:tc>
          <w:tcPr>
            <w:tcW w:w="14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157,925</w:t>
            </w:r>
          </w:p>
        </w:tc>
        <w:tc>
          <w:tcPr>
            <w:tcW w:w="98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20.02%</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145,673</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8"/>
                <w:szCs w:val="18"/>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460" w:type="dxa"/>
            <w:vAlign w:val="bottom"/>
            <w:shd w:val="clear" w:color="auto" w:fill="B2B2B2"/>
          </w:tcPr>
          <w:p>
            <w:pPr>
              <w:ind w:left="1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5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242,666</w:t>
            </w:r>
          </w:p>
        </w:tc>
        <w:tc>
          <w:tcPr>
            <w:tcW w:w="98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239,398</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tcPr>
          <w:p>
            <w:pPr>
              <w:spacing w:after="0"/>
              <w:rPr>
                <w:sz w:val="18"/>
                <w:szCs w:val="18"/>
                <w:color w:val="auto"/>
              </w:rPr>
            </w:pPr>
          </w:p>
        </w:tc>
      </w:tr>
      <w:tr>
        <w:trPr>
          <w:trHeight w:val="222"/>
        </w:trPr>
        <w:tc>
          <w:tcPr>
            <w:tcW w:w="54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rPr>
              <w:t>Cass Commercial Bank</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157,925</w:t>
            </w: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14.51%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145,673</w:t>
            </w: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16.64%</w:t>
            </w:r>
          </w:p>
        </w:tc>
        <w:tc>
          <w:tcPr>
            <w:tcW w:w="20" w:type="dxa"/>
            <w:vAlign w:val="bottom"/>
            <w:tcBorders>
              <w:bottom w:val="single" w:sz="8" w:color="auto"/>
            </w:tcBorders>
          </w:tcPr>
          <w:p>
            <w:pPr>
              <w:spacing w:after="0"/>
              <w:rPr>
                <w:sz w:val="19"/>
                <w:szCs w:val="19"/>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The ASU requires measurement and recognition of expected credit losses for financial assets held, which include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losses expected to be incurred over the life of the portfolio, rather than incurred losses, which include allowances for current known and inherent losses within the portfolio. Under this standard, the Company will be required to hold an allowance equal to the expected life-of-loan losses on the loan portfolio. The standard is effective for fiscal periods beginning after December 15, 2019 and was adopted on January 1, 2020. The CARES Act was signed into law on March 27, 2020 and includes provisions that temporarily delay the required implementation date of ASU 2016-13. The Company has elected to defer the adoption of ASU 2016-13 until the earlier of December 31, 2020 or the date the national emergency declaration is terminated as permitted by the CARES Act.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formed a cross-functional working group under the direction of the Chief Financial Officer comprised of individuals from various functional areas including credit, risk management, finance, and accounting that addressed the adoption and implementation of the ASU. The Company currently expects the adoption of ASU 2016-13 will result in a one-time cumulative effect adjustment to retained earnings and an increase of approximately 10% of the allowance for loan losses and the reserves for unfunded commitments. The expected increase is a result of changing from an incurred loss model, which encompasses allowances for current known and inherent losses within the portfolio, to an expected loss model, which encompasses allowances for losses expected to be incurred over the life of the portfolio based upon reasonable and supportable forecasts of economic conditions. The ASU also requires an allowance to be established for expected credit losses for certain debt securities and other financial assets, however the Company does not expect these allowances to be significant.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2019,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The economic impact of the COVID-19 pandemic has introduced significant uncertainty and market volatility, which may result in the deterioration of the Company’s risk position since December 31,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were no changes in the Third Quarter of 2020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2019, a description of certain risks and uncertainties that could affect the Company’s business, future performance or financial condition (the “Risk Factors”). There are no material changes to the Risk Factors as disclosed in the Company’s 2019 Annual Report on Form 10-K, other than the risks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COVID-19 pandemic creates significant risks and uncertainties for the Company’s business and results of operations.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as a global pandemic. The COVID-19 pandemic has negatively impacted the global economy, disrupted global supply chains and manufacturing, lowered energy prices, lowered equity market valuations,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including those in major markets in which Cass Commercial Bank, the Company’s St. Louis, Missouri-based bank subsidiary, is located or does business. Although in various locations certain activity restrictions have been relaxed with some success, many states and localities are experiencing significant increases in the number of COVID-19 cases, prompting a reinstatement of prior activity restrictions in some locations and the need for additional aid and other forms of relief for affected individuals, businesses and other entities.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the demand for the Company’s products and services has been, and will continue to be, significantly impacted. Demand for payment and information processing services by manufacturing, distribution, and retail enterprises, and loans and other products and services that the Company and the Bank offer and on which success the Company relies to drive growth, is highly dependent upon the business environment in the primary markets in which the Company operates and in the United States as a whole.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4" w:name="page35"/>
    <w:bookmarkEnd w:id="34"/>
    <w:p>
      <w:pPr>
        <w:jc w:val="both"/>
        <w:spacing w:after="0" w:line="265" w:lineRule="auto"/>
        <w:rPr>
          <w:sz w:val="20"/>
          <w:szCs w:val="20"/>
          <w:color w:val="auto"/>
        </w:rPr>
      </w:pPr>
      <w:r>
        <w:rPr>
          <w:rFonts w:ascii="Times New Roman" w:cs="Times New Roman" w:eastAsia="Times New Roman" w:hAnsi="Times New Roman"/>
          <w:sz w:val="18"/>
          <w:szCs w:val="18"/>
          <w:color w:val="auto"/>
        </w:rPr>
        <w:t>Business closures, including constrictions in the manufacturing sector, have decreased volumes in the Company’s payment and information processing services due to the decline in customers’ business activity. In addition, the dampened demand for oil and resulting plummet in oil prices has had, and can continue to have, a negative effect on both the number of freight transactions processed and the dollar amount of invoices processed.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the pandemic could influence the recognition of credit losses in the Company’s loan and lease portfolios and increase its allowance for credit losses, as both businesses and consumers are negatively impacted by the economic downturn. Bank regulatory agencies and various governmental authorities are urging financial institutions to work prudently with borrowers who are or may be unable to meet their contractual payment obligations because of the effects of COVID-19. In response to the pandemic and in coordination with its primary regulators, the Company has deferred borrower principle payments on loans, on an as needed basis, for periods of up to six months. In addition, the Federal Reserve has taken action to lower the Federal Funds rate, which has adversely affected and could continue to adversely affect interest income and therefore, the Company’s results of operations and financial condition.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business operations may also be disrupted if significant portions of its workforce are unable to work effectively, including because of quarantines, illness, government actions, or other restrictions in connection with the pandemic, travel restrictions, technology limitations and/or disruptions, including remote working measures and their attendant cybersecurity risks. Furthermore, the business operations of the Company and the Bank may be disrupted due to vendors and third-party service providers being unable to work or provide services effectively, including because of quarantines, illness, government actions, or other restrictions in connection with the pandemic.</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impacts the Company’s business, results of operations, and financial condition, as well as its regulatory capital and liquidity ratios, will depend on future developments, which are highly uncertain, including the scope and duration of the pandemic and actions taken by governmental authorities and other third parties in response to the pandemic. Moreover, the effects of the COVID-19 pandemic may heighten many of the other risks described in the section entitled “Risk Factors” in the Company’s most recent Annual Report on Form 10-K and any subsequent Quarterly Report on Form 10-Q or Current Report on Form 8-K including, but not limited to, risks of credit deterioration, interest rate changes, governmental actions, market volatility, security breaches and technology interruptions.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9" w:lineRule="exact"/>
        <w:rPr>
          <w:sz w:val="20"/>
          <w:szCs w:val="20"/>
          <w:color w:val="auto"/>
        </w:rPr>
      </w:pPr>
    </w:p>
    <w:p>
      <w:pPr>
        <w:ind w:left="720" w:hanging="353"/>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89" w:lineRule="exact"/>
        <w:rPr>
          <w:rFonts w:ascii="Times New Roman" w:cs="Times New Roman" w:eastAsia="Times New Roman" w:hAnsi="Times New Roman"/>
          <w:sz w:val="18"/>
          <w:szCs w:val="18"/>
          <w:color w:val="auto"/>
        </w:rPr>
      </w:pPr>
    </w:p>
    <w:p>
      <w:pPr>
        <w:ind w:left="720" w:hanging="353"/>
        <w:spacing w:after="0" w:line="28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Third Quarter of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5"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Exhibit 31.1 Certification Pursuant to Section 302 of the Sarbanes-Oxley Act of 2002.</w:t>
        </w:r>
      </w:hyperlink>
    </w:p>
    <w:p>
      <w:pPr>
        <w:spacing w:after="0" w:line="211"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Exhibit 31.2 Certification Pursuant to Section 302 of the Sarbanes-Oxley Act of 2002.</w:t>
        </w:r>
      </w:hyperlink>
    </w:p>
    <w:p>
      <w:pPr>
        <w:spacing w:after="0" w:line="197"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Exhibit 32.1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Exhibit 32.2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line="281"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1" w:lineRule="exact"/>
        <w:rPr>
          <w:sz w:val="20"/>
          <w:szCs w:val="20"/>
          <w:color w:val="auto"/>
        </w:rPr>
      </w:pPr>
    </w:p>
    <w:p>
      <w:pPr>
        <w:ind w:firstLine="323"/>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64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H. Brunngraber</w:t>
            </w:r>
          </w:p>
        </w:tc>
      </w:tr>
      <w:tr>
        <w:trPr>
          <w:trHeight w:val="191"/>
        </w:trPr>
        <w:tc>
          <w:tcPr>
            <w:tcW w:w="3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Eric H. Brunngraber</w:t>
            </w:r>
          </w:p>
        </w:tc>
      </w:tr>
      <w:tr>
        <w:trPr>
          <w:trHeight w:val="215"/>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66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P. Stephen Appelbaum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-8255</wp:posOffset>
            </wp:positionV>
            <wp:extent cx="332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jc w:val="center"/>
        <w:ind w:left="598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955"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8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 Brunngraber</w:t>
            </w:r>
          </w:p>
        </w:tc>
        <w:tc>
          <w:tcPr>
            <w:tcW w:w="6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H. Brunngraber</w:t>
            </w:r>
          </w:p>
        </w:tc>
        <w:tc>
          <w:tcPr>
            <w:tcW w:w="660" w:type="dxa"/>
            <w:vAlign w:val="bottom"/>
          </w:tcPr>
          <w:p>
            <w:pPr>
              <w:spacing w:after="0"/>
              <w:rPr>
                <w:sz w:val="16"/>
                <w:szCs w:val="16"/>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6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20"/>
                <w:szCs w:val="20"/>
                <w:color w:val="auto"/>
              </w:rPr>
            </w:pPr>
          </w:p>
        </w:tc>
      </w:tr>
      <w:tr>
        <w:trPr>
          <w:trHeight w:val="215"/>
        </w:trPr>
        <w:tc>
          <w:tcPr>
            <w:tcW w:w="6740" w:type="dxa"/>
            <w:vAlign w:val="bottom"/>
            <w:tcBorders>
              <w:bottom w:val="single" w:sz="8" w:color="EEEEEE"/>
            </w:tcBorders>
          </w:tcPr>
          <w:p>
            <w:pPr>
              <w:spacing w:after="0"/>
              <w:rPr>
                <w:sz w:val="18"/>
                <w:szCs w:val="18"/>
                <w:color w:val="auto"/>
              </w:rPr>
            </w:pPr>
          </w:p>
        </w:tc>
        <w:tc>
          <w:tcPr>
            <w:tcW w:w="382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Stephen Appelbaum, certify that:</w:t>
      </w:r>
    </w:p>
    <w:p>
      <w:pPr>
        <w:spacing w:after="0" w:line="8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jc w:val="both"/>
        <w:ind w:left="700" w:hanging="369"/>
        <w:spacing w:after="0" w:line="265"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700" w:right="20" w:hanging="369"/>
        <w:spacing w:after="0" w:line="28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 Stephen Appelbaum</w:t>
            </w:r>
          </w:p>
        </w:tc>
        <w:tc>
          <w:tcPr>
            <w:tcW w:w="6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 Stephen Appelbaum</w:t>
            </w:r>
          </w:p>
        </w:tc>
        <w:tc>
          <w:tcPr>
            <w:tcW w:w="660" w:type="dxa"/>
            <w:vAlign w:val="bottom"/>
          </w:tcPr>
          <w:p>
            <w:pPr>
              <w:spacing w:after="0"/>
              <w:rPr>
                <w:sz w:val="16"/>
                <w:szCs w:val="16"/>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660" w:type="dxa"/>
            <w:vAlign w:val="bottom"/>
          </w:tcPr>
          <w:p>
            <w:pPr>
              <w:spacing w:after="0"/>
              <w:rPr>
                <w:sz w:val="18"/>
                <w:szCs w:val="18"/>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6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60" w:type="dxa"/>
            <w:vAlign w:val="bottom"/>
          </w:tcPr>
          <w:p>
            <w:pPr>
              <w:spacing w:after="0"/>
              <w:rPr>
                <w:sz w:val="20"/>
                <w:szCs w:val="20"/>
                <w:color w:val="auto"/>
              </w:rPr>
            </w:pPr>
          </w:p>
        </w:tc>
      </w:tr>
      <w:tr>
        <w:trPr>
          <w:trHeight w:val="215"/>
        </w:trPr>
        <w:tc>
          <w:tcPr>
            <w:tcW w:w="6740" w:type="dxa"/>
            <w:vAlign w:val="bottom"/>
            <w:tcBorders>
              <w:bottom w:val="single" w:sz="8" w:color="EEEEEE"/>
            </w:tcBorders>
          </w:tcPr>
          <w:p>
            <w:pPr>
              <w:spacing w:after="0"/>
              <w:rPr>
                <w:sz w:val="18"/>
                <w:szCs w:val="18"/>
                <w:color w:val="auto"/>
              </w:rPr>
            </w:pPr>
          </w:p>
        </w:tc>
        <w:tc>
          <w:tcPr>
            <w:tcW w:w="382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2020 as filed with the Securities and Exchange Commission on the date hereof (the “Report”), I, Eric H. Brunngraber, President and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05" w:lineRule="exact"/>
        <w:rPr>
          <w:sz w:val="20"/>
          <w:szCs w:val="20"/>
          <w:color w:val="auto"/>
        </w:rPr>
      </w:pPr>
    </w:p>
    <w:p>
      <w:pPr>
        <w:ind w:left="720" w:hanging="35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5" w:lineRule="exact"/>
        <w:rPr>
          <w:rFonts w:ascii="Times New Roman" w:cs="Times New Roman" w:eastAsia="Times New Roman" w:hAnsi="Times New Roman"/>
          <w:sz w:val="18"/>
          <w:szCs w:val="18"/>
          <w:color w:val="auto"/>
        </w:rPr>
      </w:pPr>
    </w:p>
    <w:p>
      <w:pPr>
        <w:ind w:left="720" w:hanging="35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17145</wp:posOffset>
            </wp:positionV>
            <wp:extent cx="24206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November 5, 2020</w:t>
      </w:r>
    </w:p>
    <w:p>
      <w:pPr>
        <w:spacing w:after="0" w:line="200" w:lineRule="exact"/>
        <w:rPr>
          <w:sz w:val="20"/>
          <w:szCs w:val="20"/>
          <w:color w:val="auto"/>
        </w:rPr>
      </w:pPr>
    </w:p>
    <w:p>
      <w:pPr>
        <w:spacing w:after="0" w:line="2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95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2020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200" w:lineRule="exact"/>
        <w:rPr>
          <w:sz w:val="20"/>
          <w:szCs w:val="20"/>
          <w:color w:val="auto"/>
        </w:rPr>
      </w:pPr>
    </w:p>
    <w:p>
      <w:pPr>
        <w:spacing w:after="0" w:line="219" w:lineRule="exact"/>
        <w:rPr>
          <w:sz w:val="20"/>
          <w:szCs w:val="20"/>
          <w:color w:val="auto"/>
        </w:rPr>
      </w:pPr>
    </w:p>
    <w:p>
      <w:pPr>
        <w:ind w:left="720" w:hanging="353"/>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5" w:lineRule="exact"/>
        <w:rPr>
          <w:rFonts w:ascii="Times New Roman" w:cs="Times New Roman" w:eastAsia="Times New Roman" w:hAnsi="Times New Roman"/>
          <w:sz w:val="18"/>
          <w:szCs w:val="18"/>
          <w:color w:val="auto"/>
        </w:rPr>
      </w:pPr>
    </w:p>
    <w:p>
      <w:pPr>
        <w:ind w:left="720" w:hanging="353"/>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17145</wp:posOffset>
            </wp:positionV>
            <wp:extent cx="2420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November 5, 2020</w:t>
      </w:r>
    </w:p>
    <w:p>
      <w:pPr>
        <w:spacing w:after="0" w:line="200" w:lineRule="exact"/>
        <w:rPr>
          <w:sz w:val="20"/>
          <w:szCs w:val="20"/>
          <w:color w:val="auto"/>
        </w:rPr>
      </w:pPr>
    </w:p>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9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2020-11-05T11:45:50Z</dcterms:created>
  <dcterms:modified xsi:type="dcterms:W3CDTF">2020-11-05T11:45:50Z</dcterms:modified>
</cp:coreProperties>
</file>