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420"/>
          </w:cols>
          <w:pgMar w:left="240" w:top="233" w:right="239" w:bottom="1100" w:gutter="0" w:footer="0" w:header="0"/>
        </w:sectPr>
      </w:pPr>
    </w:p>
    <w:p>
      <w:pPr>
        <w:spacing w:after="0" w:line="11" w:lineRule="exact"/>
        <w:rPr>
          <w:sz w:val="24"/>
          <w:szCs w:val="24"/>
          <w:color w:val="auto"/>
        </w:rPr>
      </w:pPr>
    </w:p>
    <w:p>
      <w:pPr>
        <w:ind w:left="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ANNUAL REPORT PURSUANT TO SECTION 13 OR 15(d) OF THE SECURITIES</w:t>
      </w:r>
    </w:p>
    <w:p>
      <w:pPr>
        <w:spacing w:after="0" w:line="17" w:lineRule="exact"/>
        <w:rPr>
          <w:sz w:val="24"/>
          <w:szCs w:val="24"/>
          <w:color w:val="auto"/>
        </w:rPr>
      </w:pPr>
    </w:p>
    <w:p>
      <w:pPr>
        <w:jc w:val="center"/>
        <w:ind w:right="2200"/>
        <w:spacing w:after="0"/>
        <w:rPr>
          <w:sz w:val="20"/>
          <w:szCs w:val="20"/>
          <w:color w:val="auto"/>
        </w:rPr>
      </w:pPr>
      <w:r>
        <w:rPr>
          <w:rFonts w:ascii="Arial" w:cs="Arial" w:eastAsia="Arial" w:hAnsi="Arial"/>
          <w:sz w:val="18"/>
          <w:szCs w:val="18"/>
          <w:color w:val="auto"/>
        </w:rPr>
        <w:t>EXCHANGE ACT OF 1934</w:t>
      </w:r>
    </w:p>
    <w:p>
      <w:pPr>
        <w:spacing w:after="0" w:line="9" w:lineRule="exact"/>
        <w:rPr>
          <w:sz w:val="24"/>
          <w:szCs w:val="24"/>
          <w:color w:val="auto"/>
        </w:rPr>
      </w:pPr>
    </w:p>
    <w:p>
      <w:pPr>
        <w:jc w:val="center"/>
        <w:ind w:right="2200"/>
        <w:spacing w:after="0"/>
        <w:rPr>
          <w:sz w:val="20"/>
          <w:szCs w:val="20"/>
          <w:color w:val="auto"/>
        </w:rPr>
      </w:pPr>
      <w:r>
        <w:rPr>
          <w:rFonts w:ascii="Arial" w:cs="Arial" w:eastAsia="Arial" w:hAnsi="Arial"/>
          <w:sz w:val="18"/>
          <w:szCs w:val="18"/>
          <w:color w:val="auto"/>
        </w:rPr>
        <w:t>For the fiscal year ended December 31, 2017</w:t>
      </w:r>
    </w:p>
    <w:p>
      <w:pPr>
        <w:spacing w:after="0" w:line="200" w:lineRule="exact"/>
        <w:rPr>
          <w:sz w:val="24"/>
          <w:szCs w:val="24"/>
          <w:color w:val="auto"/>
        </w:rPr>
      </w:pPr>
    </w:p>
    <w:p>
      <w:pPr>
        <w:sectPr>
          <w:pgSz w:w="11900" w:h="16838" w:orient="portrait"/>
          <w:cols w:equalWidth="0" w:num="2">
            <w:col w:w="2400" w:space="720"/>
            <w:col w:w="8300"/>
          </w:cols>
          <w:pgMar w:left="240" w:top="233" w:right="239" w:bottom="1100" w:gutter="0" w:footer="0" w:header="0"/>
          <w:type w:val="continuous"/>
        </w:sectPr>
      </w:pPr>
    </w:p>
    <w:p>
      <w:pPr>
        <w:spacing w:after="0" w:line="13" w:lineRule="exact"/>
        <w:rPr>
          <w:sz w:val="24"/>
          <w:szCs w:val="24"/>
          <w:color w:val="auto"/>
        </w:rPr>
      </w:pPr>
    </w:p>
    <w:p>
      <w:pPr>
        <w:ind w:left="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560"/>
        <w:spacing w:after="0"/>
        <w:rPr>
          <w:sz w:val="20"/>
          <w:szCs w:val="20"/>
          <w:color w:val="auto"/>
        </w:rPr>
      </w:pPr>
      <w:r>
        <w:rPr>
          <w:rFonts w:ascii="Arial" w:cs="Arial" w:eastAsia="Arial" w:hAnsi="Arial"/>
          <w:sz w:val="16"/>
          <w:szCs w:val="16"/>
          <w:color w:val="auto"/>
        </w:rPr>
        <w:t>TRANSITION REPORT PURSUANT TO SECTION 13 OR 15(d) OF THE</w:t>
      </w:r>
    </w:p>
    <w:p>
      <w:pPr>
        <w:spacing w:after="0" w:line="38" w:lineRule="exact"/>
        <w:rPr>
          <w:sz w:val="24"/>
          <w:szCs w:val="24"/>
          <w:color w:val="auto"/>
        </w:rPr>
      </w:pPr>
    </w:p>
    <w:p>
      <w:pPr>
        <w:jc w:val="center"/>
        <w:ind w:right="2560"/>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ind w:right="2560"/>
        <w:spacing w:after="0"/>
        <w:rPr>
          <w:sz w:val="20"/>
          <w:szCs w:val="20"/>
          <w:color w:val="auto"/>
        </w:rPr>
      </w:pPr>
      <w:r>
        <w:rPr>
          <w:rFonts w:ascii="Arial" w:cs="Arial" w:eastAsia="Arial" w:hAnsi="Arial"/>
          <w:sz w:val="18"/>
          <w:szCs w:val="18"/>
          <w:color w:val="auto"/>
        </w:rPr>
        <w:t>For the transition period from _______ to _______</w:t>
      </w:r>
    </w:p>
    <w:p>
      <w:pPr>
        <w:spacing w:after="0" w:line="200" w:lineRule="exact"/>
        <w:rPr>
          <w:sz w:val="24"/>
          <w:szCs w:val="24"/>
          <w:color w:val="auto"/>
        </w:rPr>
      </w:pPr>
    </w:p>
    <w:p>
      <w:pPr>
        <w:sectPr>
          <w:pgSz w:w="11900" w:h="16838" w:orient="portrait"/>
          <w:cols w:equalWidth="0" w:num="2">
            <w:col w:w="2760" w:space="720"/>
            <w:col w:w="7940"/>
          </w:cols>
          <w:pgMar w:left="240" w:top="233" w:right="239" w:bottom="1100" w:gutter="0" w:footer="0" w:header="0"/>
          <w:type w:val="continuous"/>
        </w:sectPr>
      </w:pPr>
    </w:p>
    <w:p>
      <w:pPr>
        <w:spacing w:after="0" w:line="46" w:lineRule="exact"/>
        <w:rPr>
          <w:sz w:val="24"/>
          <w:szCs w:val="24"/>
          <w:color w:val="auto"/>
        </w:rPr>
      </w:pPr>
    </w:p>
    <w:p>
      <w:pPr>
        <w:ind w:left="4900"/>
        <w:spacing w:after="0"/>
        <w:rPr>
          <w:sz w:val="20"/>
          <w:szCs w:val="20"/>
          <w:color w:val="auto"/>
        </w:rPr>
      </w:pPr>
      <w:r>
        <w:rPr>
          <w:rFonts w:ascii="Arial" w:cs="Arial" w:eastAsia="Arial" w:hAnsi="Arial"/>
          <w:sz w:val="16"/>
          <w:szCs w:val="16"/>
          <w:color w:val="auto"/>
        </w:rPr>
        <w:t>Commission file number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3358515</wp:posOffset>
            </wp:positionH>
            <wp:positionV relativeFrom="paragraph">
              <wp:posOffset>163195</wp:posOffset>
            </wp:positionV>
            <wp:extent cx="54864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 cy="462915"/>
                    </a:xfrm>
                    <a:prstGeom prst="rect">
                      <a:avLst/>
                    </a:prstGeom>
                    <a:noFill/>
                  </pic:spPr>
                </pic:pic>
              </a:graphicData>
            </a:graphic>
          </wp:anchor>
        </w:drawing>
      </w:r>
    </w:p>
    <w:p>
      <w:pPr>
        <w:sectPr>
          <w:pgSz w:w="11900" w:h="16838" w:orient="portrait"/>
          <w:cols w:equalWidth="0" w:num="1">
            <w:col w:w="11420"/>
          </w:cols>
          <w:pgMar w:left="240" w:top="233" w:right="239" w:bottom="110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2"/>
              </w:rPr>
              <w:t>Missouri</w:t>
            </w:r>
          </w:p>
        </w:tc>
        <w:tc>
          <w:tcPr>
            <w:tcW w:w="5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43-1265338</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1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8"/>
                <w:szCs w:val="18"/>
                <w:color w:val="auto"/>
              </w:rPr>
            </w:pPr>
          </w:p>
        </w:tc>
      </w:tr>
      <w:tr>
        <w:trPr>
          <w:trHeight w:val="452"/>
        </w:trPr>
        <w:tc>
          <w:tcPr>
            <w:tcW w:w="8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12444 Powerscourt Drive, Suite 550, St. Louis, Missouri 63131</w:t>
            </w:r>
          </w:p>
        </w:tc>
        <w:tc>
          <w:tcPr>
            <w:tcW w:w="31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(314) 506-5500</w:t>
            </w:r>
          </w:p>
        </w:tc>
        <w:tc>
          <w:tcPr>
            <w:tcW w:w="20" w:type="dxa"/>
            <w:vAlign w:val="bottom"/>
          </w:tcPr>
          <w:p>
            <w:pPr>
              <w:spacing w:after="0"/>
              <w:rPr>
                <w:sz w:val="24"/>
                <w:szCs w:val="24"/>
                <w:color w:val="auto"/>
              </w:rPr>
            </w:pPr>
          </w:p>
        </w:tc>
      </w:tr>
      <w:tr>
        <w:trPr>
          <w:trHeight w:val="236"/>
        </w:trPr>
        <w:tc>
          <w:tcPr>
            <w:tcW w:w="3180" w:type="dxa"/>
            <w:vAlign w:val="bottom"/>
            <w:gridSpan w:val="4"/>
          </w:tcPr>
          <w:p>
            <w:pPr>
              <w:spacing w:after="0"/>
              <w:rPr>
                <w:sz w:val="20"/>
                <w:szCs w:val="20"/>
                <w:color w:val="auto"/>
              </w:rPr>
            </w:pPr>
            <w:r>
              <w:rPr>
                <w:rFonts w:ascii="Arial" w:cs="Arial" w:eastAsia="Arial" w:hAnsi="Arial"/>
                <w:sz w:val="18"/>
                <w:szCs w:val="18"/>
                <w:color w:val="auto"/>
              </w:rPr>
              <w:t>(Address of principal executive offices)</w:t>
            </w:r>
          </w:p>
        </w:tc>
        <w:tc>
          <w:tcPr>
            <w:tcW w:w="5120" w:type="dxa"/>
            <w:vAlign w:val="bottom"/>
          </w:tcPr>
          <w:p>
            <w:pPr>
              <w:ind w:left="280"/>
              <w:spacing w:after="0"/>
              <w:rPr>
                <w:sz w:val="20"/>
                <w:szCs w:val="20"/>
                <w:color w:val="auto"/>
              </w:rPr>
            </w:pPr>
            <w:r>
              <w:rPr>
                <w:rFonts w:ascii="Arial" w:cs="Arial" w:eastAsia="Arial" w:hAnsi="Arial"/>
                <w:sz w:val="18"/>
                <w:szCs w:val="18"/>
                <w:color w:val="auto"/>
              </w:rPr>
              <w:t>(Zip Code)</w:t>
            </w:r>
          </w:p>
        </w:tc>
        <w:tc>
          <w:tcPr>
            <w:tcW w:w="3140" w:type="dxa"/>
            <w:vAlign w:val="bottom"/>
            <w:gridSpan w:val="2"/>
          </w:tcPr>
          <w:p>
            <w:pPr>
              <w:ind w:left="340"/>
              <w:spacing w:after="0"/>
              <w:rPr>
                <w:sz w:val="20"/>
                <w:szCs w:val="20"/>
                <w:color w:val="auto"/>
              </w:rPr>
            </w:pPr>
            <w:r>
              <w:rPr>
                <w:rFonts w:ascii="Arial" w:cs="Arial" w:eastAsia="Arial" w:hAnsi="Arial"/>
                <w:sz w:val="18"/>
                <w:szCs w:val="18"/>
                <w:color w:val="auto"/>
                <w:w w:val="94"/>
              </w:rPr>
              <w:t>(Telephone Number, incl. area code)</w:t>
            </w:r>
          </w:p>
        </w:tc>
      </w:tr>
      <w:tr>
        <w:trPr>
          <w:trHeight w:val="453"/>
        </w:trPr>
        <w:tc>
          <w:tcPr>
            <w:tcW w:w="83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80" w:type="dxa"/>
            <w:vAlign w:val="bottom"/>
            <w:gridSpan w:val="2"/>
          </w:tcPr>
          <w:p>
            <w:pPr>
              <w:jc w:val="center"/>
              <w:ind w:right="280"/>
              <w:spacing w:after="0" w:line="184" w:lineRule="exact"/>
              <w:rPr>
                <w:sz w:val="20"/>
                <w:szCs w:val="20"/>
                <w:color w:val="auto"/>
              </w:rPr>
            </w:pPr>
            <w:r>
              <w:rPr>
                <w:rFonts w:ascii="Arial" w:cs="Arial" w:eastAsia="Arial" w:hAnsi="Arial"/>
                <w:sz w:val="18"/>
                <w:szCs w:val="18"/>
                <w:color w:val="auto"/>
                <w:w w:val="87"/>
              </w:rPr>
              <w:t>Title of each Class</w:t>
            </w:r>
          </w:p>
        </w:tc>
        <w:tc>
          <w:tcPr>
            <w:tcW w:w="5120" w:type="dxa"/>
            <w:vAlign w:val="bottom"/>
          </w:tcPr>
          <w:p>
            <w:pPr>
              <w:spacing w:after="0"/>
              <w:rPr>
                <w:sz w:val="15"/>
                <w:szCs w:val="15"/>
                <w:color w:val="auto"/>
              </w:rPr>
            </w:pPr>
          </w:p>
        </w:tc>
        <w:tc>
          <w:tcPr>
            <w:tcW w:w="314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60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180" w:type="dxa"/>
            <w:vAlign w:val="bottom"/>
            <w:gridSpan w:val="4"/>
          </w:tcPr>
          <w:p>
            <w:pPr>
              <w:spacing w:after="0"/>
              <w:rPr>
                <w:sz w:val="20"/>
                <w:szCs w:val="20"/>
                <w:color w:val="auto"/>
              </w:rPr>
            </w:pPr>
            <w:r>
              <w:rPr>
                <w:rFonts w:ascii="Arial" w:cs="Arial" w:eastAsia="Arial" w:hAnsi="Arial"/>
                <w:sz w:val="18"/>
                <w:szCs w:val="18"/>
                <w:color w:val="auto"/>
              </w:rPr>
              <w:t>Common Stock, par value $.50</w:t>
            </w:r>
          </w:p>
        </w:tc>
        <w:tc>
          <w:tcPr>
            <w:tcW w:w="5120" w:type="dxa"/>
            <w:vAlign w:val="bottom"/>
          </w:tcPr>
          <w:p>
            <w:pPr>
              <w:spacing w:after="0"/>
              <w:rPr>
                <w:sz w:val="20"/>
                <w:szCs w:val="20"/>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The Nasdaq Global Select Market</w:t>
            </w:r>
          </w:p>
        </w:tc>
      </w:tr>
    </w:tbl>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6920"/>
        <w:spacing w:after="0"/>
        <w:rPr>
          <w:sz w:val="20"/>
          <w:szCs w:val="20"/>
          <w:color w:val="auto"/>
        </w:rPr>
      </w:pPr>
      <w:r>
        <w:rPr>
          <w:rFonts w:ascii="Arial" w:cs="Arial" w:eastAsia="Arial" w:hAnsi="Arial"/>
          <w:sz w:val="18"/>
          <w:szCs w:val="18"/>
          <w:u w:val="single" w:color="auto"/>
          <w:color w:val="auto"/>
        </w:rPr>
        <w:t>Title of each Class</w:t>
      </w:r>
    </w:p>
    <w:p>
      <w:pPr>
        <w:spacing w:after="0" w:line="9" w:lineRule="exact"/>
        <w:rPr>
          <w:sz w:val="24"/>
          <w:szCs w:val="24"/>
          <w:color w:val="auto"/>
        </w:rPr>
      </w:pPr>
    </w:p>
    <w:p>
      <w:pPr>
        <w:jc w:val="center"/>
        <w:ind w:right="69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80" w:type="dxa"/>
            <w:vAlign w:val="bottom"/>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540" w:type="dxa"/>
            <w:vAlign w:val="bottom"/>
            <w:vMerge w:val="restart"/>
          </w:tcPr>
          <w:p>
            <w:pPr>
              <w:ind w:left="12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249"/>
        </w:trPr>
        <w:tc>
          <w:tcPr>
            <w:tcW w:w="10880" w:type="dxa"/>
            <w:vAlign w:val="bottom"/>
          </w:tcPr>
          <w:p>
            <w:pPr>
              <w:ind w:left="10320"/>
              <w:spacing w:after="0" w:line="207" w:lineRule="exact"/>
              <w:rPr>
                <w:sz w:val="20"/>
                <w:szCs w:val="20"/>
                <w:color w:val="auto"/>
              </w:rPr>
            </w:pPr>
            <w:r>
              <w:rPr>
                <w:rFonts w:ascii="Arial" w:cs="Arial" w:eastAsia="Arial" w:hAnsi="Arial"/>
                <w:sz w:val="18"/>
                <w:szCs w:val="18"/>
                <w:color w:val="auto"/>
                <w:w w:val="99"/>
              </w:rPr>
              <w:t xml:space="preserve">Yes </w:t>
            </w:r>
            <w:r>
              <w:rPr>
                <w:rFonts w:ascii="MS PGothic" w:cs="MS PGothic" w:eastAsia="MS PGothic" w:hAnsi="MS PGothic"/>
                <w:sz w:val="18"/>
                <w:szCs w:val="18"/>
                <w:color w:val="auto"/>
                <w:w w:val="99"/>
              </w:rPr>
              <w:t>☐</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80" w:type="dxa"/>
            <w:vAlign w:val="bottom"/>
          </w:tcPr>
          <w:p>
            <w:pPr>
              <w:spacing w:after="0" w:line="183" w:lineRule="exact"/>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540" w:type="dxa"/>
            <w:vAlign w:val="bottom"/>
            <w:vMerge w:val="restart"/>
          </w:tcPr>
          <w:p>
            <w:pPr>
              <w:ind w:left="12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263"/>
        </w:trPr>
        <w:tc>
          <w:tcPr>
            <w:tcW w:w="10880" w:type="dxa"/>
            <w:vAlign w:val="bottom"/>
          </w:tcPr>
          <w:p>
            <w:pPr>
              <w:ind w:left="10320"/>
              <w:spacing w:after="0" w:line="207" w:lineRule="exact"/>
              <w:rPr>
                <w:sz w:val="20"/>
                <w:szCs w:val="20"/>
                <w:color w:val="auto"/>
              </w:rPr>
            </w:pPr>
            <w:r>
              <w:rPr>
                <w:rFonts w:ascii="Arial" w:cs="Arial" w:eastAsia="Arial" w:hAnsi="Arial"/>
                <w:sz w:val="18"/>
                <w:szCs w:val="18"/>
                <w:color w:val="auto"/>
                <w:w w:val="99"/>
              </w:rPr>
              <w:t xml:space="preserve">Yes </w:t>
            </w:r>
            <w:r>
              <w:rPr>
                <w:rFonts w:ascii="MS PGothic" w:cs="MS PGothic" w:eastAsia="MS PGothic" w:hAnsi="MS PGothic"/>
                <w:sz w:val="18"/>
                <w:szCs w:val="18"/>
                <w:color w:val="auto"/>
                <w:w w:val="99"/>
              </w:rPr>
              <w:t>☐</w:t>
            </w:r>
          </w:p>
        </w:tc>
        <w:tc>
          <w:tcPr>
            <w:tcW w:w="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jc w:val="both"/>
        <w:spacing w:after="0" w:line="24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2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ind w:left="1032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contained, to the best of registrant’s knowledge, in definitive proxy or information statements incorporated by reference in Part III of this Form 10-K or any</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amendment to this Form 10-K.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19"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1032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10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$708,000,000 based on the closing price of the common stock of $59.67 on June 30, 2017, as reported by The Nasdaq Global Select Market. As of February 19, 2018, the Registrant had 12,286,628 shares outstanding of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information required for Part III of this report is incorporated by reference to the Registrant’s Proxy Statement for the 2018 Annual Meeting of Shareholders.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gridSpan w:val="11"/>
          </w:tcPr>
          <w:p>
            <w:pPr>
              <w:jc w:val="center"/>
              <w:ind w:right="3580"/>
              <w:spacing w:after="0"/>
              <w:rPr>
                <w:sz w:val="20"/>
                <w:szCs w:val="20"/>
                <w:color w:val="auto"/>
              </w:rPr>
            </w:pPr>
            <w:r>
              <w:rPr>
                <w:rFonts w:ascii="Arial" w:cs="Arial" w:eastAsia="Arial" w:hAnsi="Arial"/>
                <w:sz w:val="18"/>
                <w:szCs w:val="18"/>
                <w:b w:val="1"/>
                <w:bCs w:val="1"/>
                <w:color w:val="auto"/>
                <w:w w:val="97"/>
              </w:rPr>
              <w:t>CASS INFORMATION SYSTEMS,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gridSpan w:val="11"/>
          </w:tcPr>
          <w:p>
            <w:pPr>
              <w:jc w:val="center"/>
              <w:ind w:right="3560"/>
              <w:spacing w:after="0"/>
              <w:rPr>
                <w:sz w:val="20"/>
                <w:szCs w:val="20"/>
                <w:color w:val="auto"/>
              </w:rPr>
            </w:pPr>
            <w:r>
              <w:rPr>
                <w:rFonts w:ascii="Arial" w:cs="Arial" w:eastAsia="Arial" w:hAnsi="Arial"/>
                <w:sz w:val="18"/>
                <w:szCs w:val="18"/>
                <w:b w:val="1"/>
                <w:bCs w:val="1"/>
                <w:color w:val="auto"/>
                <w:w w:val="97"/>
              </w:rPr>
              <w:t>FORM 10-K ANNUAL REPORT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80" w:type="dxa"/>
            <w:vAlign w:val="bottom"/>
            <w:gridSpan w:val="11"/>
          </w:tcPr>
          <w:p>
            <w:pPr>
              <w:jc w:val="center"/>
              <w:ind w:right="356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80" w:type="dxa"/>
            <w:vAlign w:val="bottom"/>
            <w:tcBorders>
              <w:bottom w:val="single" w:sz="8" w:color="0000EE"/>
            </w:tcBorders>
            <w:gridSpan w:val="2"/>
            <w:shd w:val="clear" w:color="auto" w:fill="C0C0C0"/>
          </w:tcPr>
          <w:p>
            <w:pPr>
              <w:spacing w:after="0" w:line="189"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280" w:type="dxa"/>
            <w:vAlign w:val="bottom"/>
            <w:tcBorders>
              <w:bottom w:val="single" w:sz="8" w:color="C0C0C0"/>
            </w:tcBorders>
            <w:gridSpan w:val="6"/>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spacing w:after="0"/>
              <w:rPr>
                <w:sz w:val="19"/>
                <w:szCs w:val="19"/>
                <w:color w:val="auto"/>
              </w:rPr>
            </w:pPr>
          </w:p>
        </w:tc>
        <w:tc>
          <w:tcPr>
            <w:tcW w:w="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12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11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52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8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80" w:type="dxa"/>
            <w:vAlign w:val="bottom"/>
            <w:gridSpan w:val="2"/>
          </w:tcPr>
          <w:p>
            <w:pPr>
              <w:jc w:val="right"/>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640" w:type="dxa"/>
            <w:vAlign w:val="bottom"/>
            <w:gridSpan w:val="5"/>
            <w:shd w:val="clear" w:color="auto" w:fill="C0C0C0"/>
          </w:tcPr>
          <w:p>
            <w:pPr>
              <w:spacing w:after="0" w:line="189"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Item 1A.</w:t>
              </w:r>
            </w:hyperlink>
          </w:p>
        </w:tc>
        <w:tc>
          <w:tcPr>
            <w:tcW w:w="220" w:type="dxa"/>
            <w:vAlign w:val="bottom"/>
            <w:gridSpan w:val="3"/>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10240" w:type="dxa"/>
            <w:vAlign w:val="bottom"/>
            <w:gridSpan w:val="22"/>
            <w:shd w:val="clear" w:color="auto" w:fill="C0C0C0"/>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34"/>
        </w:trPr>
        <w:tc>
          <w:tcPr>
            <w:tcW w:w="5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48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5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4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340" w:type="dxa"/>
            <w:vAlign w:val="bottom"/>
            <w:tcBorders>
              <w:top w:val="single" w:sz="8" w:color="C0C0C0"/>
            </w:tcBorders>
            <w:shd w:val="clear" w:color="auto" w:fill="C0C0C0"/>
          </w:tcPr>
          <w:p>
            <w:pPr>
              <w:spacing w:after="0"/>
              <w:rPr>
                <w:sz w:val="2"/>
                <w:szCs w:val="2"/>
                <w:color w:val="auto"/>
              </w:rPr>
            </w:pPr>
          </w:p>
        </w:tc>
        <w:tc>
          <w:tcPr>
            <w:tcW w:w="1520" w:type="dxa"/>
            <w:vAlign w:val="bottom"/>
            <w:tcBorders>
              <w:top w:val="single" w:sz="8" w:color="C0C0C0"/>
            </w:tcBorders>
            <w:shd w:val="clear" w:color="auto" w:fill="C0C0C0"/>
          </w:tcPr>
          <w:p>
            <w:pPr>
              <w:spacing w:after="0"/>
              <w:rPr>
                <w:sz w:val="2"/>
                <w:szCs w:val="2"/>
                <w:color w:val="auto"/>
              </w:rPr>
            </w:pPr>
          </w:p>
        </w:tc>
        <w:tc>
          <w:tcPr>
            <w:tcW w:w="118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r>
        <w:trPr>
          <w:trHeight w:val="189"/>
        </w:trPr>
        <w:tc>
          <w:tcPr>
            <w:tcW w:w="640" w:type="dxa"/>
            <w:vAlign w:val="bottom"/>
            <w:gridSpan w:val="5"/>
          </w:tcPr>
          <w:p>
            <w:pPr>
              <w:spacing w:after="0" w:line="189"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1B.</w:t>
              </w:r>
            </w:hyperlink>
          </w:p>
        </w:tc>
        <w:tc>
          <w:tcPr>
            <w:tcW w:w="2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10240" w:type="dxa"/>
            <w:vAlign w:val="bottom"/>
            <w:gridSpan w:val="22"/>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34"/>
        </w:trPr>
        <w:tc>
          <w:tcPr>
            <w:tcW w:w="5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48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5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4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340" w:type="dxa"/>
            <w:vAlign w:val="bottom"/>
            <w:tcBorders>
              <w:top w:val="single" w:sz="8" w:color="C0C0C0"/>
            </w:tcBorders>
            <w:shd w:val="clear" w:color="auto" w:fill="C0C0C0"/>
          </w:tcPr>
          <w:p>
            <w:pPr>
              <w:spacing w:after="0"/>
              <w:rPr>
                <w:sz w:val="2"/>
                <w:szCs w:val="2"/>
                <w:color w:val="auto"/>
              </w:rPr>
            </w:pPr>
          </w:p>
        </w:tc>
        <w:tc>
          <w:tcPr>
            <w:tcW w:w="1520" w:type="dxa"/>
            <w:vAlign w:val="bottom"/>
            <w:tcBorders>
              <w:top w:val="single" w:sz="8" w:color="C0C0C0"/>
            </w:tcBorders>
            <w:shd w:val="clear" w:color="auto" w:fill="C0C0C0"/>
          </w:tcPr>
          <w:p>
            <w:pPr>
              <w:spacing w:after="0"/>
              <w:rPr>
                <w:sz w:val="2"/>
                <w:szCs w:val="2"/>
                <w:color w:val="auto"/>
              </w:rPr>
            </w:pPr>
          </w:p>
        </w:tc>
        <w:tc>
          <w:tcPr>
            <w:tcW w:w="118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13</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13</w:t>
              </w:r>
            </w:hyperlink>
          </w:p>
        </w:tc>
      </w:tr>
      <w:tr>
        <w:trPr>
          <w:trHeight w:val="34"/>
        </w:trPr>
        <w:tc>
          <w:tcPr>
            <w:tcW w:w="5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48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54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4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340" w:type="dxa"/>
            <w:vAlign w:val="bottom"/>
            <w:tcBorders>
              <w:top w:val="single" w:sz="8" w:color="C0C0C0"/>
            </w:tcBorders>
            <w:shd w:val="clear" w:color="auto" w:fill="C0C0C0"/>
          </w:tcPr>
          <w:p>
            <w:pPr>
              <w:spacing w:after="0"/>
              <w:rPr>
                <w:sz w:val="2"/>
                <w:szCs w:val="2"/>
                <w:color w:val="auto"/>
              </w:rPr>
            </w:pPr>
          </w:p>
        </w:tc>
        <w:tc>
          <w:tcPr>
            <w:tcW w:w="1520" w:type="dxa"/>
            <w:vAlign w:val="bottom"/>
            <w:tcBorders>
              <w:top w:val="single" w:sz="8" w:color="C0C0C0"/>
            </w:tcBorders>
            <w:shd w:val="clear" w:color="auto" w:fill="C0C0C0"/>
          </w:tcPr>
          <w:p>
            <w:pPr>
              <w:spacing w:after="0"/>
              <w:rPr>
                <w:sz w:val="2"/>
                <w:szCs w:val="2"/>
                <w:color w:val="auto"/>
              </w:rPr>
            </w:pPr>
          </w:p>
        </w:tc>
        <w:tc>
          <w:tcPr>
            <w:tcW w:w="118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 ISSUER PURCHASES OF</w:t>
              </w:r>
            </w:hyperlink>
          </w:p>
        </w:tc>
        <w:tc>
          <w:tcPr>
            <w:tcW w:w="1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r>
      <w:tr>
        <w:trPr>
          <w:trHeight w:val="257"/>
        </w:trPr>
        <w:tc>
          <w:tcPr>
            <w:tcW w:w="500" w:type="dxa"/>
            <w:vAlign w:val="bottom"/>
            <w:tcBorders>
              <w:top w:val="single" w:sz="8" w:color="0000EE"/>
              <w:bottom w:val="single" w:sz="8" w:color="C0C0C0"/>
            </w:tcBorders>
            <w:shd w:val="clear" w:color="auto" w:fill="C0C0C0"/>
          </w:tcPr>
          <w:p>
            <w:pPr>
              <w:spacing w:after="0"/>
              <w:rPr>
                <w:sz w:val="22"/>
                <w:szCs w:val="22"/>
                <w:color w:val="auto"/>
              </w:rPr>
            </w:pPr>
          </w:p>
        </w:tc>
        <w:tc>
          <w:tcPr>
            <w:tcW w:w="80" w:type="dxa"/>
            <w:vAlign w:val="bottom"/>
            <w:tcBorders>
              <w:top w:val="single" w:sz="8" w:color="C0C0C0"/>
              <w:bottom w:val="single" w:sz="8" w:color="C0C0C0"/>
            </w:tcBorders>
            <w:shd w:val="clear" w:color="auto" w:fill="C0C0C0"/>
          </w:tcPr>
          <w:p>
            <w:pPr>
              <w:spacing w:after="0"/>
              <w:rPr>
                <w:sz w:val="22"/>
                <w:szCs w:val="22"/>
                <w:color w:val="auto"/>
              </w:rPr>
            </w:pPr>
          </w:p>
        </w:tc>
        <w:tc>
          <w:tcPr>
            <w:tcW w:w="20" w:type="dxa"/>
            <w:vAlign w:val="bottom"/>
            <w:tcBorders>
              <w:top w:val="single" w:sz="8" w:color="C0C0C0"/>
              <w:bottom w:val="single" w:sz="8" w:color="C0C0C0"/>
            </w:tcBorders>
            <w:shd w:val="clear" w:color="auto" w:fill="C0C0C0"/>
          </w:tcPr>
          <w:p>
            <w:pPr>
              <w:spacing w:after="0"/>
              <w:rPr>
                <w:sz w:val="22"/>
                <w:szCs w:val="22"/>
                <w:color w:val="auto"/>
              </w:rPr>
            </w:pPr>
          </w:p>
        </w:tc>
        <w:tc>
          <w:tcPr>
            <w:tcW w:w="20" w:type="dxa"/>
            <w:vAlign w:val="bottom"/>
            <w:tcBorders>
              <w:top w:val="single" w:sz="8" w:color="C0C0C0"/>
              <w:bottom w:val="single" w:sz="8" w:color="C0C0C0"/>
            </w:tcBorders>
            <w:shd w:val="clear" w:color="auto" w:fill="C0C0C0"/>
          </w:tcPr>
          <w:p>
            <w:pPr>
              <w:spacing w:after="0"/>
              <w:rPr>
                <w:sz w:val="22"/>
                <w:szCs w:val="22"/>
                <w:color w:val="auto"/>
              </w:rPr>
            </w:pPr>
          </w:p>
        </w:tc>
        <w:tc>
          <w:tcPr>
            <w:tcW w:w="20" w:type="dxa"/>
            <w:vAlign w:val="bottom"/>
            <w:tcBorders>
              <w:top w:val="single" w:sz="8" w:color="C0C0C0"/>
              <w:bottom w:val="single" w:sz="8" w:color="C0C0C0"/>
            </w:tcBorders>
            <w:shd w:val="clear" w:color="auto" w:fill="C0C0C0"/>
          </w:tcPr>
          <w:p>
            <w:pPr>
              <w:spacing w:after="0"/>
              <w:rPr>
                <w:sz w:val="22"/>
                <w:szCs w:val="22"/>
                <w:color w:val="auto"/>
              </w:rPr>
            </w:pPr>
          </w:p>
        </w:tc>
        <w:tc>
          <w:tcPr>
            <w:tcW w:w="40" w:type="dxa"/>
            <w:vAlign w:val="bottom"/>
            <w:tcBorders>
              <w:top w:val="single" w:sz="8" w:color="C0C0C0"/>
              <w:bottom w:val="single" w:sz="8" w:color="C0C0C0"/>
            </w:tcBorders>
            <w:shd w:val="clear" w:color="auto" w:fill="C0C0C0"/>
          </w:tcPr>
          <w:p>
            <w:pPr>
              <w:spacing w:after="0"/>
              <w:rPr>
                <w:sz w:val="22"/>
                <w:szCs w:val="22"/>
                <w:color w:val="auto"/>
              </w:rPr>
            </w:pPr>
          </w:p>
        </w:tc>
        <w:tc>
          <w:tcPr>
            <w:tcW w:w="20" w:type="dxa"/>
            <w:vAlign w:val="bottom"/>
            <w:tcBorders>
              <w:top w:val="single" w:sz="8" w:color="C0C0C0"/>
              <w:bottom w:val="single" w:sz="8" w:color="C0C0C0"/>
            </w:tcBorders>
            <w:shd w:val="clear" w:color="auto" w:fill="C0C0C0"/>
          </w:tcPr>
          <w:p>
            <w:pPr>
              <w:spacing w:after="0"/>
              <w:rPr>
                <w:sz w:val="22"/>
                <w:szCs w:val="22"/>
                <w:color w:val="auto"/>
              </w:rPr>
            </w:pPr>
          </w:p>
        </w:tc>
        <w:tc>
          <w:tcPr>
            <w:tcW w:w="160" w:type="dxa"/>
            <w:vAlign w:val="bottom"/>
            <w:tcBorders>
              <w:top w:val="single" w:sz="8" w:color="C0C0C0"/>
              <w:bottom w:val="single" w:sz="8" w:color="C0C0C0"/>
            </w:tcBorders>
            <w:shd w:val="clear" w:color="auto" w:fill="C0C0C0"/>
          </w:tcPr>
          <w:p>
            <w:pPr>
              <w:spacing w:after="0"/>
              <w:rPr>
                <w:sz w:val="22"/>
                <w:szCs w:val="22"/>
                <w:color w:val="auto"/>
              </w:rPr>
            </w:pPr>
          </w:p>
        </w:tc>
        <w:tc>
          <w:tcPr>
            <w:tcW w:w="140" w:type="dxa"/>
            <w:vAlign w:val="bottom"/>
            <w:tcBorders>
              <w:top w:val="single" w:sz="8" w:color="C0C0C0"/>
              <w:bottom w:val="single" w:sz="8" w:color="C0C0C0"/>
            </w:tcBorders>
            <w:shd w:val="clear" w:color="auto" w:fill="C0C0C0"/>
          </w:tcPr>
          <w:p>
            <w:pPr>
              <w:spacing w:after="0"/>
              <w:rPr>
                <w:sz w:val="22"/>
                <w:szCs w:val="22"/>
                <w:color w:val="auto"/>
              </w:rPr>
            </w:pPr>
          </w:p>
        </w:tc>
        <w:tc>
          <w:tcPr>
            <w:tcW w:w="1700" w:type="dxa"/>
            <w:vAlign w:val="bottom"/>
            <w:tcBorders>
              <w:top w:val="single" w:sz="8" w:color="0000EE"/>
              <w:bottom w:val="single" w:sz="8" w:color="0000EE"/>
            </w:tcBorders>
            <w:gridSpan w:val="6"/>
            <w:shd w:val="clear" w:color="auto" w:fill="C0C0C0"/>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EQUITY SECURITIES</w:t>
              </w:r>
            </w:hyperlink>
          </w:p>
        </w:tc>
        <w:tc>
          <w:tcPr>
            <w:tcW w:w="7700" w:type="dxa"/>
            <w:vAlign w:val="bottom"/>
            <w:tcBorders>
              <w:top w:val="single" w:sz="8" w:color="0000EE"/>
              <w:bottom w:val="single" w:sz="8" w:color="C0C0C0"/>
            </w:tcBorders>
            <w:gridSpan w:val="15"/>
            <w:shd w:val="clear" w:color="auto" w:fill="C0C0C0"/>
          </w:tcPr>
          <w:p>
            <w:pPr>
              <w:spacing w:after="0"/>
              <w:rPr>
                <w:sz w:val="22"/>
                <w:szCs w:val="22"/>
                <w:color w:val="auto"/>
              </w:rPr>
            </w:pPr>
          </w:p>
        </w:tc>
        <w:tc>
          <w:tcPr>
            <w:tcW w:w="840" w:type="dxa"/>
            <w:vAlign w:val="bottom"/>
            <w:tcBorders>
              <w:top w:val="single" w:sz="8" w:color="C0C0C0"/>
              <w:bottom w:val="single" w:sz="8" w:color="C0C0C0"/>
            </w:tcBorders>
            <w:shd w:val="clear" w:color="auto" w:fill="C0C0C0"/>
          </w:tcPr>
          <w:p>
            <w:pPr>
              <w:spacing w:after="0"/>
              <w:rPr>
                <w:sz w:val="22"/>
                <w:szCs w:val="22"/>
                <w:color w:val="auto"/>
              </w:rPr>
            </w:pPr>
          </w:p>
        </w:tc>
        <w:tc>
          <w:tcPr>
            <w:tcW w:w="180" w:type="dxa"/>
            <w:vAlign w:val="bottom"/>
            <w:tcBorders>
              <w:top w:val="single" w:sz="8" w:color="C0C0C0"/>
              <w:bottom w:val="single" w:sz="8" w:color="0000EE"/>
            </w:tcBorders>
            <w:gridSpan w:val="2"/>
            <w:shd w:val="clear" w:color="auto" w:fill="C0C0C0"/>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14</w:t>
              </w:r>
            </w:hyperlink>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Item 6.</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Item 7.</w:t>
              </w:r>
            </w:hyperlink>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34"/>
        </w:trPr>
        <w:tc>
          <w:tcPr>
            <w:tcW w:w="5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48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54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220" w:type="dxa"/>
            <w:vAlign w:val="bottom"/>
            <w:tcBorders>
              <w:top w:val="single" w:sz="8" w:color="0000EE"/>
            </w:tcBorders>
            <w:shd w:val="clear" w:color="auto" w:fill="C0C0C0"/>
          </w:tcPr>
          <w:p>
            <w:pPr>
              <w:spacing w:after="0"/>
              <w:rPr>
                <w:sz w:val="2"/>
                <w:szCs w:val="2"/>
                <w:color w:val="auto"/>
              </w:rPr>
            </w:pPr>
          </w:p>
        </w:tc>
        <w:tc>
          <w:tcPr>
            <w:tcW w:w="1120" w:type="dxa"/>
            <w:vAlign w:val="bottom"/>
            <w:tcBorders>
              <w:top w:val="single" w:sz="8" w:color="0000EE"/>
            </w:tcBorders>
            <w:shd w:val="clear" w:color="auto" w:fill="C0C0C0"/>
          </w:tcPr>
          <w:p>
            <w:pPr>
              <w:spacing w:after="0"/>
              <w:rPr>
                <w:sz w:val="2"/>
                <w:szCs w:val="2"/>
                <w:color w:val="auto"/>
              </w:rPr>
            </w:pPr>
          </w:p>
        </w:tc>
        <w:tc>
          <w:tcPr>
            <w:tcW w:w="46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1120" w:type="dxa"/>
            <w:vAlign w:val="bottom"/>
            <w:tcBorders>
              <w:top w:val="single" w:sz="8" w:color="0000EE"/>
            </w:tcBorders>
            <w:shd w:val="clear" w:color="auto" w:fill="C0C0C0"/>
          </w:tcPr>
          <w:p>
            <w:pPr>
              <w:spacing w:after="0"/>
              <w:rPr>
                <w:sz w:val="2"/>
                <w:szCs w:val="2"/>
                <w:color w:val="auto"/>
              </w:rPr>
            </w:pPr>
          </w:p>
        </w:tc>
        <w:tc>
          <w:tcPr>
            <w:tcW w:w="340" w:type="dxa"/>
            <w:vAlign w:val="bottom"/>
            <w:tcBorders>
              <w:top w:val="single" w:sz="8" w:color="0000EE"/>
            </w:tcBorders>
            <w:shd w:val="clear" w:color="auto" w:fill="C0C0C0"/>
          </w:tcPr>
          <w:p>
            <w:pPr>
              <w:spacing w:after="0"/>
              <w:rPr>
                <w:sz w:val="2"/>
                <w:szCs w:val="2"/>
                <w:color w:val="auto"/>
              </w:rPr>
            </w:pPr>
          </w:p>
        </w:tc>
        <w:tc>
          <w:tcPr>
            <w:tcW w:w="1520" w:type="dxa"/>
            <w:vAlign w:val="bottom"/>
            <w:tcBorders>
              <w:top w:val="single" w:sz="8" w:color="0000EE"/>
            </w:tcBorders>
            <w:shd w:val="clear" w:color="auto" w:fill="C0C0C0"/>
          </w:tcPr>
          <w:p>
            <w:pPr>
              <w:spacing w:after="0"/>
              <w:rPr>
                <w:sz w:val="2"/>
                <w:szCs w:val="2"/>
                <w:color w:val="auto"/>
              </w:rPr>
            </w:pPr>
          </w:p>
        </w:tc>
        <w:tc>
          <w:tcPr>
            <w:tcW w:w="1180" w:type="dxa"/>
            <w:vAlign w:val="bottom"/>
            <w:tcBorders>
              <w:top w:val="single" w:sz="8" w:color="0000EE"/>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Item 7A.</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Item 8.</w:t>
              </w:r>
            </w:hyperlink>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34"/>
        </w:trPr>
        <w:tc>
          <w:tcPr>
            <w:tcW w:w="5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48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54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220" w:type="dxa"/>
            <w:vAlign w:val="bottom"/>
            <w:tcBorders>
              <w:top w:val="single" w:sz="8" w:color="0000EE"/>
            </w:tcBorders>
            <w:shd w:val="clear" w:color="auto" w:fill="C0C0C0"/>
          </w:tcPr>
          <w:p>
            <w:pPr>
              <w:spacing w:after="0"/>
              <w:rPr>
                <w:sz w:val="2"/>
                <w:szCs w:val="2"/>
                <w:color w:val="auto"/>
              </w:rPr>
            </w:pPr>
          </w:p>
        </w:tc>
        <w:tc>
          <w:tcPr>
            <w:tcW w:w="1120" w:type="dxa"/>
            <w:vAlign w:val="bottom"/>
            <w:tcBorders>
              <w:top w:val="single" w:sz="8" w:color="0000EE"/>
            </w:tcBorders>
            <w:shd w:val="clear" w:color="auto" w:fill="C0C0C0"/>
          </w:tcPr>
          <w:p>
            <w:pPr>
              <w:spacing w:after="0"/>
              <w:rPr>
                <w:sz w:val="2"/>
                <w:szCs w:val="2"/>
                <w:color w:val="auto"/>
              </w:rPr>
            </w:pPr>
          </w:p>
        </w:tc>
        <w:tc>
          <w:tcPr>
            <w:tcW w:w="46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340" w:type="dxa"/>
            <w:vAlign w:val="bottom"/>
            <w:tcBorders>
              <w:top w:val="single" w:sz="8" w:color="C0C0C0"/>
            </w:tcBorders>
            <w:shd w:val="clear" w:color="auto" w:fill="C0C0C0"/>
          </w:tcPr>
          <w:p>
            <w:pPr>
              <w:spacing w:after="0"/>
              <w:rPr>
                <w:sz w:val="2"/>
                <w:szCs w:val="2"/>
                <w:color w:val="auto"/>
              </w:rPr>
            </w:pPr>
          </w:p>
        </w:tc>
        <w:tc>
          <w:tcPr>
            <w:tcW w:w="1520" w:type="dxa"/>
            <w:vAlign w:val="bottom"/>
            <w:tcBorders>
              <w:top w:val="single" w:sz="8" w:color="C0C0C0"/>
            </w:tcBorders>
            <w:shd w:val="clear" w:color="auto" w:fill="C0C0C0"/>
          </w:tcPr>
          <w:p>
            <w:pPr>
              <w:spacing w:after="0"/>
              <w:rPr>
                <w:sz w:val="2"/>
                <w:szCs w:val="2"/>
                <w:color w:val="auto"/>
              </w:rPr>
            </w:pPr>
          </w:p>
        </w:tc>
        <w:tc>
          <w:tcPr>
            <w:tcW w:w="118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Item 9.</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23"/>
        </w:trPr>
        <w:tc>
          <w:tcPr>
            <w:tcW w:w="640" w:type="dxa"/>
            <w:vAlign w:val="bottom"/>
            <w:gridSpan w:val="5"/>
            <w:shd w:val="clear" w:color="auto" w:fill="C0C0C0"/>
          </w:tcPr>
          <w:p>
            <w:pPr>
              <w:spacing w:after="0" w:line="189"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9A.</w:t>
              </w:r>
            </w:hyperlink>
          </w:p>
        </w:tc>
        <w:tc>
          <w:tcPr>
            <w:tcW w:w="220" w:type="dxa"/>
            <w:vAlign w:val="bottom"/>
            <w:gridSpan w:val="3"/>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240" w:type="dxa"/>
            <w:vAlign w:val="bottom"/>
            <w:gridSpan w:val="22"/>
            <w:shd w:val="clear" w:color="auto" w:fill="C0C0C0"/>
          </w:tcPr>
          <w:p>
            <w:pPr>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189"/>
        </w:trPr>
        <w:tc>
          <w:tcPr>
            <w:tcW w:w="640" w:type="dxa"/>
            <w:vAlign w:val="bottom"/>
            <w:tcBorders>
              <w:top w:val="single" w:sz="8" w:color="0000EE"/>
            </w:tcBorders>
            <w:gridSpan w:val="5"/>
          </w:tcPr>
          <w:p>
            <w:pPr>
              <w:spacing w:after="0" w:line="189"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9B.</w:t>
              </w:r>
            </w:hyperlink>
          </w:p>
        </w:tc>
        <w:tc>
          <w:tcPr>
            <w:tcW w:w="220" w:type="dxa"/>
            <w:vAlign w:val="bottom"/>
            <w:tcBorders>
              <w:top w:val="single" w:sz="8" w:color="C0C0C0"/>
            </w:tcBorders>
            <w:gridSpan w:val="3"/>
          </w:tcPr>
          <w:p>
            <w:pPr>
              <w:spacing w:after="0"/>
              <w:rPr>
                <w:sz w:val="16"/>
                <w:szCs w:val="16"/>
                <w:color w:val="auto"/>
              </w:rPr>
            </w:pPr>
          </w:p>
        </w:tc>
        <w:tc>
          <w:tcPr>
            <w:tcW w:w="140" w:type="dxa"/>
            <w:vAlign w:val="bottom"/>
            <w:tcBorders>
              <w:top w:val="single" w:sz="8" w:color="C0C0C0"/>
            </w:tcBorders>
          </w:tcPr>
          <w:p>
            <w:pPr>
              <w:spacing w:after="0"/>
              <w:rPr>
                <w:sz w:val="16"/>
                <w:szCs w:val="16"/>
                <w:color w:val="auto"/>
              </w:rPr>
            </w:pPr>
          </w:p>
        </w:tc>
        <w:tc>
          <w:tcPr>
            <w:tcW w:w="2540" w:type="dxa"/>
            <w:vAlign w:val="bottom"/>
            <w:tcBorders>
              <w:top w:val="single" w:sz="8" w:color="0000EE"/>
            </w:tcBorders>
            <w:gridSpan w:val="10"/>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700" w:type="dxa"/>
            <w:vAlign w:val="bottom"/>
            <w:tcBorders>
              <w:top w:val="single" w:sz="8" w:color="C0C0C0"/>
            </w:tcBorders>
            <w:gridSpan w:val="1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23"/>
        </w:trPr>
        <w:tc>
          <w:tcPr>
            <w:tcW w:w="700" w:type="dxa"/>
            <w:vAlign w:val="bottom"/>
            <w:tcBorders>
              <w:bottom w:val="single" w:sz="8" w:color="0000EE"/>
            </w:tcBorders>
            <w:gridSpan w:val="7"/>
            <w:shd w:val="clear" w:color="auto" w:fill="C0C0C0"/>
          </w:tcPr>
          <w:p>
            <w:pPr>
              <w:spacing w:after="0" w:line="189"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PART III.</w:t>
              </w:r>
            </w:hyperlink>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spacing w:after="0"/>
              <w:rPr>
                <w:sz w:val="19"/>
                <w:szCs w:val="19"/>
                <w:color w:val="auto"/>
              </w:rPr>
            </w:pPr>
          </w:p>
        </w:tc>
        <w:tc>
          <w:tcPr>
            <w:tcW w:w="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12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11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52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8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Item 10.</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Item 11.</w:t>
              </w:r>
            </w:hyperlink>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r>
      <w:tr>
        <w:trPr>
          <w:trHeight w:val="34"/>
        </w:trPr>
        <w:tc>
          <w:tcPr>
            <w:tcW w:w="5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48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0000EE"/>
            </w:tcBorders>
            <w:shd w:val="clear" w:color="auto" w:fill="C0C0C0"/>
          </w:tcPr>
          <w:p>
            <w:pPr>
              <w:spacing w:after="0"/>
              <w:rPr>
                <w:sz w:val="2"/>
                <w:szCs w:val="2"/>
                <w:color w:val="auto"/>
              </w:rPr>
            </w:pPr>
          </w:p>
        </w:tc>
        <w:tc>
          <w:tcPr>
            <w:tcW w:w="540" w:type="dxa"/>
            <w:vAlign w:val="bottom"/>
            <w:tcBorders>
              <w:top w:val="single" w:sz="8" w:color="0000EE"/>
            </w:tcBorders>
            <w:shd w:val="clear" w:color="auto" w:fill="C0C0C0"/>
          </w:tcPr>
          <w:p>
            <w:pPr>
              <w:spacing w:after="0"/>
              <w:rPr>
                <w:sz w:val="2"/>
                <w:szCs w:val="2"/>
                <w:color w:val="auto"/>
              </w:rPr>
            </w:pPr>
          </w:p>
        </w:tc>
        <w:tc>
          <w:tcPr>
            <w:tcW w:w="2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4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340" w:type="dxa"/>
            <w:vAlign w:val="bottom"/>
            <w:tcBorders>
              <w:top w:val="single" w:sz="8" w:color="C0C0C0"/>
            </w:tcBorders>
            <w:shd w:val="clear" w:color="auto" w:fill="C0C0C0"/>
          </w:tcPr>
          <w:p>
            <w:pPr>
              <w:spacing w:after="0"/>
              <w:rPr>
                <w:sz w:val="2"/>
                <w:szCs w:val="2"/>
                <w:color w:val="auto"/>
              </w:rPr>
            </w:pPr>
          </w:p>
        </w:tc>
        <w:tc>
          <w:tcPr>
            <w:tcW w:w="1520" w:type="dxa"/>
            <w:vAlign w:val="bottom"/>
            <w:tcBorders>
              <w:top w:val="single" w:sz="8" w:color="C0C0C0"/>
            </w:tcBorders>
            <w:shd w:val="clear" w:color="auto" w:fill="C0C0C0"/>
          </w:tcPr>
          <w:p>
            <w:pPr>
              <w:spacing w:after="0"/>
              <w:rPr>
                <w:sz w:val="2"/>
                <w:szCs w:val="2"/>
                <w:color w:val="auto"/>
              </w:rPr>
            </w:pPr>
          </w:p>
        </w:tc>
        <w:tc>
          <w:tcPr>
            <w:tcW w:w="118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r>
        <w:trPr>
          <w:trHeight w:val="189"/>
        </w:trPr>
        <w:tc>
          <w:tcPr>
            <w:tcW w:w="600" w:type="dxa"/>
            <w:vAlign w:val="bottom"/>
            <w:gridSpan w:val="3"/>
          </w:tcPr>
          <w:p>
            <w:pPr>
              <w:spacing w:after="0" w:line="189"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12.</w:t>
              </w:r>
            </w:hyperlink>
          </w:p>
        </w:tc>
        <w:tc>
          <w:tcPr>
            <w:tcW w:w="26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10240" w:type="dxa"/>
            <w:vAlign w:val="bottom"/>
            <w:gridSpan w:val="22"/>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140" w:type="dxa"/>
            <w:vAlign w:val="bottom"/>
            <w:tcBorders>
              <w:top w:val="single" w:sz="8" w:color="0000EE"/>
            </w:tcBorders>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MATTERS</w:t>
              </w:r>
            </w:hyperlink>
          </w:p>
        </w:tc>
        <w:tc>
          <w:tcPr>
            <w:tcW w:w="1100" w:type="dxa"/>
            <w:vAlign w:val="bottom"/>
            <w:gridSpan w:val="2"/>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r>
      <w:tr>
        <w:trPr>
          <w:trHeight w:val="34"/>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23"/>
        </w:trPr>
        <w:tc>
          <w:tcPr>
            <w:tcW w:w="600" w:type="dxa"/>
            <w:vAlign w:val="bottom"/>
            <w:tcBorders>
              <w:bottom w:val="single" w:sz="8" w:color="0000EE"/>
            </w:tcBorders>
            <w:gridSpan w:val="3"/>
            <w:shd w:val="clear" w:color="auto" w:fill="C0C0C0"/>
          </w:tcPr>
          <w:p>
            <w:pPr>
              <w:spacing w:after="0" w:line="189"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Item 13.</w:t>
              </w:r>
            </w:hyperlink>
          </w:p>
        </w:tc>
        <w:tc>
          <w:tcPr>
            <w:tcW w:w="260" w:type="dxa"/>
            <w:vAlign w:val="bottom"/>
            <w:tcBorders>
              <w:bottom w:val="single" w:sz="8" w:color="C0C0C0"/>
            </w:tcBorders>
            <w:gridSpan w:val="5"/>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7520" w:type="dxa"/>
            <w:vAlign w:val="bottom"/>
            <w:tcBorders>
              <w:bottom w:val="single" w:sz="8" w:color="0000EE"/>
            </w:tcBorders>
            <w:gridSpan w:val="17"/>
            <w:shd w:val="clear" w:color="auto" w:fill="C0C0C0"/>
          </w:tcPr>
          <w:p>
            <w:pPr>
              <w:spacing w:after="0" w:line="189"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CERTAIN RELATIONSHIPS AND RELATED TRANSACTIONS, AND DIRECTOR INDEPENDENCE</w:t>
              </w:r>
            </w:hyperlink>
          </w:p>
        </w:tc>
        <w:tc>
          <w:tcPr>
            <w:tcW w:w="2720" w:type="dxa"/>
            <w:vAlign w:val="bottom"/>
            <w:tcBorders>
              <w:bottom w:val="single" w:sz="8" w:color="C0C0C0"/>
            </w:tcBorders>
            <w:gridSpan w:val="5"/>
            <w:shd w:val="clear" w:color="auto" w:fill="C0C0C0"/>
          </w:tcPr>
          <w:p>
            <w:pPr>
              <w:spacing w:after="0"/>
              <w:rPr>
                <w:sz w:val="19"/>
                <w:szCs w:val="19"/>
                <w:color w:val="auto"/>
              </w:rPr>
            </w:pPr>
          </w:p>
        </w:tc>
        <w:tc>
          <w:tcPr>
            <w:tcW w:w="180" w:type="dxa"/>
            <w:vAlign w:val="bottom"/>
            <w:tcBorders>
              <w:bottom w:val="single" w:sz="8" w:color="0000EE"/>
            </w:tcBorders>
            <w:gridSpan w:val="2"/>
            <w:shd w:val="clear" w:color="auto" w:fill="C0C0C0"/>
          </w:tcPr>
          <w:p>
            <w:pPr>
              <w:jc w:val="right"/>
              <w:spacing w:after="0" w:line="189"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r>
      <w:tr>
        <w:trPr>
          <w:trHeight w:val="189"/>
        </w:trPr>
        <w:tc>
          <w:tcPr>
            <w:tcW w:w="860" w:type="dxa"/>
            <w:vAlign w:val="bottom"/>
            <w:gridSpan w:val="8"/>
          </w:tcPr>
          <w:p>
            <w:pPr>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Item 14.</w:t>
              </w:r>
            </w:hyperlink>
          </w:p>
        </w:tc>
        <w:tc>
          <w:tcPr>
            <w:tcW w:w="10380" w:type="dxa"/>
            <w:vAlign w:val="bottom"/>
            <w:gridSpan w:val="23"/>
          </w:tcPr>
          <w:p>
            <w:pPr>
              <w:ind w:left="140"/>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PRINCIPAL ACCOUNTANT FEES AND SERVICES</w:t>
              </w:r>
            </w:hyperlink>
          </w:p>
        </w:tc>
        <w:tc>
          <w:tcPr>
            <w:tcW w:w="180" w:type="dxa"/>
            <w:vAlign w:val="bottom"/>
            <w:gridSpan w:val="2"/>
          </w:tcPr>
          <w:p>
            <w:pPr>
              <w:jc w:val="right"/>
              <w:spacing w:after="0" w:line="189"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23"/>
        </w:trPr>
        <w:tc>
          <w:tcPr>
            <w:tcW w:w="860" w:type="dxa"/>
            <w:vAlign w:val="bottom"/>
            <w:gridSpan w:val="8"/>
            <w:shd w:val="clear" w:color="auto" w:fill="C0C0C0"/>
          </w:tcPr>
          <w:p>
            <w:pPr>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PART IV.</w:t>
              </w:r>
            </w:hyperlink>
          </w:p>
        </w:tc>
        <w:tc>
          <w:tcPr>
            <w:tcW w:w="14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12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12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520" w:type="dxa"/>
            <w:vAlign w:val="bottom"/>
            <w:shd w:val="clear" w:color="auto" w:fill="C0C0C0"/>
          </w:tcPr>
          <w:p>
            <w:pPr>
              <w:spacing w:after="0"/>
              <w:rPr>
                <w:sz w:val="19"/>
                <w:szCs w:val="19"/>
                <w:color w:val="auto"/>
              </w:rPr>
            </w:pPr>
          </w:p>
        </w:tc>
        <w:tc>
          <w:tcPr>
            <w:tcW w:w="11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r>
      <w:tr>
        <w:trPr>
          <w:trHeight w:val="189"/>
        </w:trPr>
        <w:tc>
          <w:tcPr>
            <w:tcW w:w="680" w:type="dxa"/>
            <w:vAlign w:val="bottom"/>
            <w:tcBorders>
              <w:top w:val="single" w:sz="8" w:color="0000EE"/>
            </w:tcBorders>
            <w:gridSpan w:val="6"/>
          </w:tcPr>
          <w:p>
            <w:pPr>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Item 15.</w:t>
              </w:r>
            </w:hyperlink>
          </w:p>
        </w:tc>
        <w:tc>
          <w:tcPr>
            <w:tcW w:w="180" w:type="dxa"/>
            <w:vAlign w:val="bottom"/>
            <w:tcBorders>
              <w:top w:val="single" w:sz="8" w:color="C0C0C0"/>
            </w:tcBorders>
            <w:gridSpan w:val="2"/>
          </w:tcPr>
          <w:p>
            <w:pPr>
              <w:spacing w:after="0"/>
              <w:rPr>
                <w:sz w:val="16"/>
                <w:szCs w:val="16"/>
                <w:color w:val="auto"/>
              </w:rPr>
            </w:pPr>
          </w:p>
        </w:tc>
        <w:tc>
          <w:tcPr>
            <w:tcW w:w="10380" w:type="dxa"/>
            <w:vAlign w:val="bottom"/>
            <w:tcBorders>
              <w:top w:val="single" w:sz="8" w:color="C0C0C0"/>
            </w:tcBorders>
            <w:gridSpan w:val="23"/>
          </w:tcPr>
          <w:p>
            <w:pPr>
              <w:ind w:left="140"/>
              <w:spacing w:after="0" w:line="189" w:lineRule="exact"/>
              <w:rPr>
                <w:rFonts w:ascii="Arial" w:cs="Arial" w:eastAsia="Arial" w:hAnsi="Arial"/>
                <w:sz w:val="18"/>
                <w:szCs w:val="18"/>
                <w:color w:val="0000EE"/>
              </w:rPr>
            </w:pPr>
            <w:hyperlink w:anchor="page68">
              <w:r>
                <w:rPr>
                  <w:rFonts w:ascii="Arial" w:cs="Arial" w:eastAsia="Arial" w:hAnsi="Arial"/>
                  <w:sz w:val="18"/>
                  <w:szCs w:val="18"/>
                  <w:color w:val="0000EE"/>
                </w:rPr>
                <w:t>EXHIBITS AND FINANCIAL STATEMENT SCHEDULES</w:t>
              </w:r>
            </w:hyperlink>
          </w:p>
        </w:tc>
        <w:tc>
          <w:tcPr>
            <w:tcW w:w="180" w:type="dxa"/>
            <w:vAlign w:val="bottom"/>
            <w:tcBorders>
              <w:top w:val="single" w:sz="8" w:color="C0C0C0"/>
            </w:tcBorders>
            <w:gridSpan w:val="2"/>
          </w:tcPr>
          <w:p>
            <w:pPr>
              <w:jc w:val="right"/>
              <w:spacing w:after="0" w:line="189"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66</w:t>
              </w:r>
            </w:hyperlink>
          </w:p>
        </w:tc>
      </w:tr>
      <w:tr>
        <w:trPr>
          <w:trHeight w:val="34"/>
        </w:trPr>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189"/>
        </w:trPr>
        <w:tc>
          <w:tcPr>
            <w:tcW w:w="5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0380" w:type="dxa"/>
            <w:vAlign w:val="bottom"/>
            <w:gridSpan w:val="23"/>
            <w:shd w:val="clear" w:color="auto" w:fill="C0C0C0"/>
          </w:tcPr>
          <w:p>
            <w:pPr>
              <w:ind w:left="140"/>
              <w:spacing w:after="0" w:line="189"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180" w:type="dxa"/>
            <w:vAlign w:val="bottom"/>
            <w:gridSpan w:val="2"/>
            <w:shd w:val="clear" w:color="auto" w:fill="C0C0C0"/>
          </w:tcPr>
          <w:p>
            <w:pPr>
              <w:jc w:val="right"/>
              <w:spacing w:after="0" w:line="189"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67</w:t>
              </w:r>
            </w:hyperlink>
          </w:p>
        </w:tc>
      </w:tr>
      <w:tr>
        <w:trPr>
          <w:trHeight w:val="34"/>
        </w:trPr>
        <w:tc>
          <w:tcPr>
            <w:tcW w:w="500" w:type="dxa"/>
            <w:vAlign w:val="bottom"/>
            <w:tcBorders>
              <w:top w:val="single" w:sz="8" w:color="C0C0C0"/>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6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200" w:type="dxa"/>
            <w:vAlign w:val="bottom"/>
            <w:tcBorders>
              <w:top w:val="single" w:sz="8" w:color="0000EE"/>
            </w:tcBorders>
            <w:shd w:val="clear" w:color="auto" w:fill="C0C0C0"/>
          </w:tcPr>
          <w:p>
            <w:pPr>
              <w:spacing w:after="0"/>
              <w:rPr>
                <w:sz w:val="2"/>
                <w:szCs w:val="2"/>
                <w:color w:val="auto"/>
              </w:rPr>
            </w:pPr>
          </w:p>
        </w:tc>
        <w:tc>
          <w:tcPr>
            <w:tcW w:w="40" w:type="dxa"/>
            <w:vAlign w:val="bottom"/>
            <w:tcBorders>
              <w:top w:val="single" w:sz="8" w:color="0000EE"/>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48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540" w:type="dxa"/>
            <w:vAlign w:val="bottom"/>
            <w:tcBorders>
              <w:top w:val="single" w:sz="8" w:color="C0C0C0"/>
            </w:tcBorders>
            <w:shd w:val="clear" w:color="auto" w:fill="C0C0C0"/>
          </w:tcPr>
          <w:p>
            <w:pPr>
              <w:spacing w:after="0"/>
              <w:rPr>
                <w:sz w:val="2"/>
                <w:szCs w:val="2"/>
                <w:color w:val="auto"/>
              </w:rPr>
            </w:pPr>
          </w:p>
        </w:tc>
        <w:tc>
          <w:tcPr>
            <w:tcW w:w="2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4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1120" w:type="dxa"/>
            <w:vAlign w:val="bottom"/>
            <w:tcBorders>
              <w:top w:val="single" w:sz="8" w:color="C0C0C0"/>
            </w:tcBorders>
            <w:shd w:val="clear" w:color="auto" w:fill="C0C0C0"/>
          </w:tcPr>
          <w:p>
            <w:pPr>
              <w:spacing w:after="0"/>
              <w:rPr>
                <w:sz w:val="2"/>
                <w:szCs w:val="2"/>
                <w:color w:val="auto"/>
              </w:rPr>
            </w:pPr>
          </w:p>
        </w:tc>
        <w:tc>
          <w:tcPr>
            <w:tcW w:w="340" w:type="dxa"/>
            <w:vAlign w:val="bottom"/>
            <w:tcBorders>
              <w:top w:val="single" w:sz="8" w:color="C0C0C0"/>
            </w:tcBorders>
            <w:shd w:val="clear" w:color="auto" w:fill="C0C0C0"/>
          </w:tcPr>
          <w:p>
            <w:pPr>
              <w:spacing w:after="0"/>
              <w:rPr>
                <w:sz w:val="2"/>
                <w:szCs w:val="2"/>
                <w:color w:val="auto"/>
              </w:rPr>
            </w:pPr>
          </w:p>
        </w:tc>
        <w:tc>
          <w:tcPr>
            <w:tcW w:w="1520" w:type="dxa"/>
            <w:vAlign w:val="bottom"/>
            <w:tcBorders>
              <w:top w:val="single" w:sz="8" w:color="C0C0C0"/>
            </w:tcBorders>
            <w:shd w:val="clear" w:color="auto" w:fill="C0C0C0"/>
          </w:tcPr>
          <w:p>
            <w:pPr>
              <w:spacing w:after="0"/>
              <w:rPr>
                <w:sz w:val="2"/>
                <w:szCs w:val="2"/>
                <w:color w:val="auto"/>
              </w:rPr>
            </w:pPr>
          </w:p>
        </w:tc>
        <w:tc>
          <w:tcPr>
            <w:tcW w:w="118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26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0000EE"/>
            </w:tcBorders>
            <w:shd w:val="clear" w:color="auto" w:fill="C0C0C0"/>
          </w:tcPr>
          <w:p>
            <w:pPr>
              <w:spacing w:after="0"/>
              <w:rPr>
                <w:sz w:val="2"/>
                <w:szCs w:val="2"/>
                <w:color w:val="auto"/>
              </w:rPr>
            </w:pPr>
          </w:p>
        </w:tc>
        <w:tc>
          <w:tcPr>
            <w:tcW w:w="80" w:type="dxa"/>
            <w:vAlign w:val="bottom"/>
            <w:tcBorders>
              <w:top w:val="single" w:sz="8" w:color="0000EE"/>
            </w:tcBorders>
            <w:shd w:val="clear" w:color="auto" w:fill="C0C0C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Information Systems, Inc. (“Cass” or the “Company”) is a leading provider of payment and information processing services to large manufacturing, distribution and retail enterprises across the United States. The Company provides transportation invoice rating, payment processing, auditing, accounting and transportation information to many of the nation’s largest companies. It is also a processor and payer of energy invoices, including electricity, gas, waste, and other facility related expenses. Additionally, Cass competes in the telecommunications expense management market which includes bill processing, audit and payment services for telephone, data line, wireless and communication equipment expense. The Company, through its wholly owned bank subsidiary, Cass Commercial Bank (the “Bank”), also provides commercial banking services. The Bank’s primary focus is to support the Company’s payment operations and provide banking services to its target markets, which include privately-owned businesses and churches and church-related ministries. Services include commercial and commercial real estate loans, checking, savings and time deposit accounts and other cash management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 and Core Competencies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Data acquisition </w:t>
      </w:r>
      <w:r>
        <w:rPr>
          <w:rFonts w:ascii="Arial" w:cs="Arial" w:eastAsia="Arial" w:hAnsi="Arial"/>
          <w:sz w:val="16"/>
          <w:szCs w:val="16"/>
          <w:color w:val="auto"/>
        </w:rPr>
        <w:t>– This refers to the gathering of data elements from diverse, heterogeneous sources and the building of complete databases for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Data management </w:t>
      </w:r>
      <w:r>
        <w:rPr>
          <w:rFonts w:ascii="Arial" w:cs="Arial" w:eastAsia="Arial" w:hAnsi="Arial"/>
          <w:sz w:val="18"/>
          <w:szCs w:val="18"/>
          <w:color w:val="auto"/>
        </w:rPr>
        <w:t>– Once data is assembled, Cass is able to utilize the power from derived information to produce significant savings and benefits for its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Business Intelligence </w:t>
      </w:r>
      <w:r>
        <w:rPr>
          <w:rFonts w:ascii="Arial" w:cs="Arial" w:eastAsia="Arial" w:hAnsi="Arial"/>
          <w:sz w:val="16"/>
          <w:szCs w:val="16"/>
          <w:color w:val="auto"/>
        </w:rPr>
        <w:t>– Receiving information in the right place at the right time and in the required format is paramount for business survival. Cass’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Financial exchange </w:t>
      </w:r>
      <w:r>
        <w:rPr>
          <w:rFonts w:ascii="Arial" w:cs="Arial" w:eastAsia="Arial" w:hAnsi="Arial"/>
          <w:sz w:val="16"/>
          <w:szCs w:val="16"/>
          <w:color w:val="auto"/>
        </w:rPr>
        <w:t>– Since Cass is unique among its competition in that it owns a commercial bank, it is also able to manage the movement of funds from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Customers and Competition</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Expense Management business unit, also competes with other companies, located throughout the United States, that pay energy and waste bills and provide management reporting. Available data indicates that the Company is one of the largest providers of energy information processing and payment services. Cass is unique among these competitors in that it is not exclusively affiliated with any one energy service provider (“ESP”). The ESPs market the Company’s services adding value with their unique auditing, consulting and technological capabilities. Many of Cass’ services are customized for the ESPs, providing a full-featured solution without any development costs to the ESP. Also the Company, through its Telecom Information Services business unit, is a leader in the growing telecom expense management market and competes with other companies located throughout the United States in this market.</w:t>
      </w: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Bank is organized as a Missouri trust company with banking powers and was founded in 1906. The Company is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located in the St. Louis, Missouri area and church and church-related institutions located in St. Louis, Missouri, Orange County, California, Colorado Springs, Colorado, and other selected cities located throughout the United States.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holds several trademarks for the payment and rating services it provides. These include: FreightPay®, Transdata®, Ratemaker®, Best Rate®, Rate Exchange®, CassPort®, Expense$mart®, ExpenseSmart®, WasteVision™ and Direct2Carrier Payments™. The Company and its subsidiaries are not dependent on any one customer for a significant portion of their businesses. The Company and its subsidiaries have a varied client base with no individual client exceeding 10% of total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and its subsidiaries had 840 full-time and 276 part-time employees as of February 19, 2018. Of these employees, the Bank had 50 full-time and one part-time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Bank Holding Company Activities </w:t>
      </w:r>
      <w:r>
        <w:rPr>
          <w:rFonts w:ascii="Arial" w:cs="Arial" w:eastAsia="Arial" w:hAnsi="Arial"/>
          <w:sz w:val="16"/>
          <w:szCs w:val="16"/>
          <w:color w:val="auto"/>
        </w:rPr>
        <w:t>– In general, the BHC Act limits the business of bank holding companies to banking, managing or controlling banks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The Dodd-Frank Act </w:t>
      </w:r>
      <w:r>
        <w:rPr>
          <w:rFonts w:ascii="Arial" w:cs="Arial" w:eastAsia="Arial" w:hAnsi="Arial"/>
          <w:sz w:val="18"/>
          <w:szCs w:val="18"/>
          <w:color w:val="auto"/>
        </w:rPr>
        <w:t>– The Dodd-Frank Wall Street Reform and Consumer Protection Act (the “Dodd-Frank Act”), enacted in July 2010, significantly</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restructured the financial regulatory environment in the United States, affecting all bank holding companies and banks, including the Company and the Bank, some of which are described in more detail below. The scope and impact of many of the Dodd-Frank Act’s provisions will be determined over time as regulations are issued and become effective. As a result, the Company cannot predict the ultimate impact of the Dodd-Frank Act on the Company or the Bank at this time, including the extent to which it could increase costs or restrict the ability to pursue business opportunities, or otherwise adversely affect the Company’s business, financial condition and results of operations. However, at a minimum, the Company expects that the regulations enacted under the Dodd-Frank Act will increase operating and compliance costs.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–Both the Company and the Bank are subject to various regulations that restrict their ability to pay dividends and the amount of dividends that they</w:t>
      </w:r>
      <w:r>
        <w:rPr>
          <w:rFonts w:ascii="Arial" w:cs="Arial" w:eastAsia="Arial" w:hAnsi="Arial"/>
          <w:sz w:val="18"/>
          <w:szCs w:val="18"/>
          <w:i w:val="1"/>
          <w:iCs w:val="1"/>
          <w:color w:val="auto"/>
        </w:rPr>
        <w:t xml:space="preserve"> </w:t>
      </w:r>
      <w:r>
        <w:rPr>
          <w:rFonts w:ascii="Arial" w:cs="Arial" w:eastAsia="Arial" w:hAnsi="Arial"/>
          <w:sz w:val="18"/>
          <w:szCs w:val="18"/>
          <w:color w:val="auto"/>
        </w:rPr>
        <w:t>may pay. Under the Federal Deposit Insurance Corporation Improvement Act of 1991 (“FDICIA”),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Capital Requirements </w:t>
      </w:r>
      <w:r>
        <w:rPr>
          <w:rFonts w:ascii="Arial" w:cs="Arial" w:eastAsia="Arial" w:hAnsi="Arial"/>
          <w:sz w:val="18"/>
          <w:szCs w:val="18"/>
          <w:color w:val="auto"/>
        </w:rPr>
        <w:t>– As a bank holding company, the Company and the Bank are subject to capital requirements pursuant to the FRB’s capital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Effective July 2, 2013, the FRB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Act. The Basel III Capital Rules came into effect for the Company and the Bank on January 1, 2015 (subject to a phase-in period).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 The calculation of all types of regulatory capital is subject to deductions and adjustments specified in the regulations.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by that amount each subsequent January 1 until fully implemented at 2.5% on January 1, 2019.</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FRB has authority to establish individual minimum capital requirements in appropriate cases upon a determination that an institution’s capital level is or may become inadequate in light of the particular risks or circumstances. As of December 31, 2017, the Company and the Bank met all capital adequacy requirements under the Basel III Capital Rules.</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In September 2017, the federal bank regulators proposed to revise and simplify the capital treatment for certain deferred tax assets, mortgage servicing assets, investments in non-consolidated financial entities and minority interests for banking organizations, such as Cass, that are not subject to the advanced approaches capital framework that applies to large, internationally active banking organizations with at least $250 billion in total consolidated assets or at least $10 billion in total on-balance sheet foreign exposure. In November 2017, the federal banking regulators revised the Basel III Capital Rules to extend the current transitional treatment of these items for non-advanced approaches banking organizations until the September 2017 proposal is finalized. The September 2017 proposal would also change the capital treatment of certain commercial real estate loans under the standardized approach, which the Company uses to calculate its capital ratios.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Source of Strength Doctrine </w:t>
      </w:r>
      <w:r>
        <w:rPr>
          <w:rFonts w:ascii="Arial" w:cs="Arial" w:eastAsia="Arial" w:hAnsi="Arial"/>
          <w:sz w:val="16"/>
          <w:szCs w:val="16"/>
          <w:color w:val="auto"/>
        </w:rPr>
        <w:t>– FRB and other regulations require bank holding companies to act as a source of financial and managerial strength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Deposit Insurance </w:t>
      </w:r>
      <w:r>
        <w:rPr>
          <w:rFonts w:ascii="Arial" w:cs="Arial" w:eastAsia="Arial" w:hAnsi="Arial"/>
          <w:sz w:val="16"/>
          <w:szCs w:val="16"/>
          <w:color w:val="auto"/>
        </w:rPr>
        <w:t>– Substantially all of the deposits of the Bank are insured up to applicable limits by the Deposit Insurance Fund (“DIF”) of the FDIC,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2010, the FDIC adopted a new DIF restoration plan to ensure that the DIF reserve ratio reaches 1.35% by September 30, 2020, as required by the Dodd-Frank Act. At least semi-annually, the FDIC will update its loss and income projections for the fund and, if needed, will increase or decrease assessment rates, following notice-and-comment rulemaking if required. FDIC insurance expense totaled approximately $220,100, $309,700 and $349,200 for the years ended December 31, 2017, 2016 and 2015, respectively.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Prompt Corrective Action </w:t>
      </w:r>
      <w:r>
        <w:rPr>
          <w:rFonts w:ascii="Arial" w:cs="Arial" w:eastAsia="Arial" w:hAnsi="Arial"/>
          <w:sz w:val="18"/>
          <w:szCs w:val="18"/>
          <w:color w:val="auto"/>
        </w:rPr>
        <w:t>– The Basel III Capital Rules incorporate new requirements into the prompt correction action framework, described above.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2017,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Safety and Soundness Regulations </w:t>
      </w:r>
      <w:r>
        <w:rPr>
          <w:rFonts w:ascii="Arial" w:cs="Arial" w:eastAsia="Arial" w:hAnsi="Arial"/>
          <w:sz w:val="16"/>
          <w:szCs w:val="16"/>
          <w:color w:val="auto"/>
        </w:rPr>
        <w:t>– In accordance with the FDIA, the federal banking agencies adopted guidelines establishing general standards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Loans-to-One-Borrower </w:t>
      </w:r>
      <w:r>
        <w:rPr>
          <w:rFonts w:ascii="Arial" w:cs="Arial" w:eastAsia="Arial" w:hAnsi="Arial"/>
          <w:sz w:val="16"/>
          <w:szCs w:val="16"/>
          <w:color w:val="auto"/>
        </w:rPr>
        <w:t>– The Bank generally may not make loans or extend credit to a single or related group of borrowers in excess of 15% of unimpaired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and surplus. An additional amount may be loaned, up to 10% of unimpaired capital and surplus, if the loan is secured by readily marketable collateral, which generally does not include real estate. As of December 31, 2017, the Bank was in compliance with the loans-to-one-borrower limitations.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Depositor Preference </w:t>
      </w:r>
      <w:r>
        <w:rPr>
          <w:rFonts w:ascii="Arial" w:cs="Arial" w:eastAsia="Arial" w:hAnsi="Arial"/>
          <w:sz w:val="16"/>
          <w:szCs w:val="16"/>
          <w:color w:val="auto"/>
        </w:rPr>
        <w:t>– The FDIA provides that, in the event of the “liquidation or other resolution” of an insured depository institution, the claims of depositors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Community Reinvestment Act </w:t>
      </w:r>
      <w:r>
        <w:rPr>
          <w:rFonts w:ascii="Arial" w:cs="Arial" w:eastAsia="Arial" w:hAnsi="Arial"/>
          <w:sz w:val="16"/>
          <w:szCs w:val="16"/>
          <w:color w:val="auto"/>
        </w:rPr>
        <w:t>– The Community Reinvestment Act of 1977 (“CRA”) requires depository institutions to assist in meeting the credit needs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Financial Privacy </w:t>
      </w:r>
      <w:r>
        <w:rPr>
          <w:rFonts w:ascii="Arial" w:cs="Arial" w:eastAsia="Arial" w:hAnsi="Arial"/>
          <w:sz w:val="18"/>
          <w:szCs w:val="18"/>
          <w:color w:val="auto"/>
        </w:rPr>
        <w:t>– Banks and other financial institutions are subject to regulations that limit their ability to disclose non-public information about consumers to</w:t>
      </w:r>
      <w:r>
        <w:rPr>
          <w:rFonts w:ascii="Arial" w:cs="Arial" w:eastAsia="Arial" w:hAnsi="Arial"/>
          <w:sz w:val="18"/>
          <w:szCs w:val="18"/>
          <w:i w:val="1"/>
          <w:iCs w:val="1"/>
          <w:color w:val="auto"/>
        </w:rPr>
        <w:t xml:space="preserve"> </w:t>
      </w:r>
      <w:r>
        <w:rPr>
          <w:rFonts w:ascii="Arial" w:cs="Arial" w:eastAsia="Arial" w:hAnsi="Arial"/>
          <w:sz w:val="18"/>
          <w:szCs w:val="18"/>
          <w:color w:val="auto"/>
        </w:rPr>
        <w:t>nonaffiliated third parties. These limitations require disclosure of privacy policies to consumers and affect how consumer information is transmitted through diversified financial companies and conveyed to outside vendors.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Transactions with Affiliates </w:t>
      </w:r>
      <w:r>
        <w:rPr>
          <w:rFonts w:ascii="Arial" w:cs="Arial" w:eastAsia="Arial" w:hAnsi="Arial"/>
          <w:sz w:val="16"/>
          <w:szCs w:val="16"/>
          <w:color w:val="auto"/>
        </w:rPr>
        <w:t>– Transactions between the Bank and its affiliates are subject to regulations that limit the types and amounts of covered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Federal Reserve System </w:t>
      </w:r>
      <w:r>
        <w:rPr>
          <w:rFonts w:ascii="Arial" w:cs="Arial" w:eastAsia="Arial" w:hAnsi="Arial"/>
          <w:sz w:val="18"/>
          <w:szCs w:val="18"/>
          <w:color w:val="auto"/>
        </w:rPr>
        <w:t>– FRB regulations require depository institutions to maintain cash reserves against their transaction accounts (primarily NOW and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deposit accounts). A reserve of 3% is to be maintained against aggregate transaction accounts between $15.2 million and $110.2 million (subject to adjustment by the FRB) plus a reserve of 10% (subject to adjustment by the FRB between 8% and 14%) against that portion of total transaction accounts in excess of $110.2 million. The first $15.2 million of otherwise reservable balances (subject to adjustment by the FRB) is exempt from the reserve requirements. The Bank is in compliance with the foregoing requirements.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Cybersecurity </w:t>
      </w:r>
      <w:r>
        <w:rPr>
          <w:rFonts w:ascii="Arial" w:cs="Arial" w:eastAsia="Arial" w:hAnsi="Arial"/>
          <w:sz w:val="16"/>
          <w:szCs w:val="16"/>
          <w:color w:val="auto"/>
        </w:rPr>
        <w:t>– In March 2015, federal regulators issued two related statements regarding cybersecurity. One statement indicates that financial institutions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design multiple layers of security controls to establish lines of defense and to ensure that their risk management processes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expected to develop appropriate processes to enable recovery of data and business operations and address rebuilding network capabilities and restoring data if the institution or its critical service providers fall victim to this type of cyber-attack. If the Company fails to observe the regulatory guidance, it could be subject to various regulatory sanctions, including financial penalties.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ordinary course of business, the Company relies on electronic communications and information systems to conduct operations and store sensitive data. The Company employs an in-depth, layered, defensive approach that leverages people, processes and technology to manage and maintain cybersecurity controls. The Company also employs a variety of preventative and detective tools to monitor, block, and provide alerts regarding suspicious activity, as well as to report on any suspected advanced persistent threats. Notwithstanding the strength of the Company’s defensive measures, the threat from cyber attacks is severe, attacks are sophisticated and increasing in volume, and attackers respond rapidly to changes in defensive measures. While the Company has not experienced a significant compromise to date, significant data loss or any material financial losses related to cybersecurity attacks, the Company’s systems and those of its customers and third-party service providers are under constant threat and it is possible that the Company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The operations of the Company and the Bank are also subject to:</w:t>
      </w:r>
    </w:p>
    <w:p>
      <w:pPr>
        <w:spacing w:after="0" w:line="219" w:lineRule="exact"/>
        <w:rPr>
          <w:sz w:val="20"/>
          <w:szCs w:val="20"/>
          <w:color w:val="auto"/>
        </w:rPr>
      </w:pPr>
    </w:p>
    <w:p>
      <w:pPr>
        <w:ind w:left="540" w:hanging="262"/>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Truth-In-Lending Act, governing disclosures of credit terms to consumer borrowers;</w:t>
      </w:r>
    </w:p>
    <w:p>
      <w:pPr>
        <w:spacing w:after="0" w:line="225" w:lineRule="exact"/>
        <w:rPr>
          <w:rFonts w:ascii="Arial" w:cs="Arial" w:eastAsia="Arial" w:hAnsi="Arial"/>
          <w:sz w:val="17"/>
          <w:szCs w:val="17"/>
          <w:color w:val="auto"/>
        </w:rPr>
      </w:pPr>
    </w:p>
    <w:p>
      <w:pPr>
        <w:ind w:left="540" w:hanging="26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7"/>
          <w:szCs w:val="17"/>
          <w:color w:val="auto"/>
        </w:rPr>
        <w:t>Fair Credit Reporting Act, governing the provision of consumer information to credit reporting agencies and the use of consumer information;</w:t>
      </w:r>
    </w:p>
    <w:p>
      <w:pPr>
        <w:spacing w:after="0" w:line="236" w:lineRule="exact"/>
        <w:rPr>
          <w:rFonts w:ascii="Arial" w:cs="Arial" w:eastAsia="Arial" w:hAnsi="Arial"/>
          <w:sz w:val="16"/>
          <w:szCs w:val="16"/>
          <w:color w:val="auto"/>
        </w:rPr>
      </w:pPr>
    </w:p>
    <w:p>
      <w:pPr>
        <w:ind w:left="540" w:hanging="262"/>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Fair Debt Collection Act, governing the manner in which consumer debts may be collected by collection agencies;</w:t>
      </w:r>
    </w:p>
    <w:p>
      <w:pPr>
        <w:spacing w:after="0" w:line="225" w:lineRule="exact"/>
        <w:rPr>
          <w:rFonts w:ascii="Arial" w:cs="Arial" w:eastAsia="Arial" w:hAnsi="Arial"/>
          <w:sz w:val="17"/>
          <w:szCs w:val="17"/>
          <w:color w:val="auto"/>
        </w:rPr>
      </w:pPr>
    </w:p>
    <w:p>
      <w:pPr>
        <w:ind w:left="540" w:hanging="262"/>
        <w:spacing w:after="0" w:line="277"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Electronic Funds Transfer Act, governing automatic deposits to and withdrawals from deposit accounts and customers’ rights and liabilities arising from the use of automated teller machines and other electronic banking services.</w:t>
      </w:r>
    </w:p>
    <w:p>
      <w:pPr>
        <w:spacing w:after="0" w:line="170" w:lineRule="exact"/>
        <w:rPr>
          <w:rFonts w:ascii="Arial" w:cs="Arial" w:eastAsia="Arial" w:hAnsi="Arial"/>
          <w:sz w:val="17"/>
          <w:szCs w:val="17"/>
          <w:color w:val="auto"/>
        </w:rPr>
      </w:pPr>
    </w:p>
    <w:p>
      <w:pPr>
        <w:jc w:val="both"/>
        <w:ind w:left="540" w:hanging="262"/>
        <w:spacing w:after="0" w:line="264"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Real Estate Settlement Procedures Act,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spacing w:after="0" w:line="181" w:lineRule="exact"/>
        <w:rPr>
          <w:rFonts w:ascii="Arial" w:cs="Arial" w:eastAsia="Arial" w:hAnsi="Arial"/>
          <w:sz w:val="17"/>
          <w:szCs w:val="17"/>
          <w:color w:val="auto"/>
        </w:rPr>
      </w:pPr>
    </w:p>
    <w:p>
      <w:pPr>
        <w:ind w:left="540" w:hanging="262"/>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225" w:lineRule="exact"/>
        <w:rPr>
          <w:rFonts w:ascii="Arial" w:cs="Arial" w:eastAsia="Arial" w:hAnsi="Arial"/>
          <w:sz w:val="17"/>
          <w:szCs w:val="17"/>
          <w:color w:val="auto"/>
        </w:rPr>
      </w:pPr>
    </w:p>
    <w:p>
      <w:pPr>
        <w:ind w:left="540" w:hanging="262"/>
        <w:spacing w:after="0" w:line="277"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Check Clearing for the 21st Century Act (also known as “Check 21”), which gives “substitute checks,” such as digital check images and copies made from that image, the same legal standing as the original paper check;</w:t>
      </w:r>
    </w:p>
    <w:p>
      <w:pPr>
        <w:spacing w:after="0" w:line="170" w:lineRule="exact"/>
        <w:rPr>
          <w:rFonts w:ascii="Arial" w:cs="Arial" w:eastAsia="Arial" w:hAnsi="Arial"/>
          <w:sz w:val="17"/>
          <w:szCs w:val="17"/>
          <w:color w:val="auto"/>
        </w:rPr>
      </w:pPr>
    </w:p>
    <w:p>
      <w:pPr>
        <w:ind w:left="540" w:right="20" w:hanging="262"/>
        <w:spacing w:after="0" w:line="277"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The USA PATRIOT Act, which requires banks and savings institutions to establish broadened anti-money laundering compliance programs and due diligence policies and controls to ensure the detection and reporting of money laundering; and</w:t>
      </w:r>
    </w:p>
    <w:p>
      <w:pPr>
        <w:spacing w:after="0" w:line="170" w:lineRule="exact"/>
        <w:rPr>
          <w:rFonts w:ascii="Arial" w:cs="Arial" w:eastAsia="Arial" w:hAnsi="Arial"/>
          <w:sz w:val="17"/>
          <w:szCs w:val="17"/>
          <w:color w:val="auto"/>
        </w:rPr>
      </w:pPr>
    </w:p>
    <w:p>
      <w:pPr>
        <w:ind w:left="540" w:hanging="262"/>
        <w:spacing w:after="0" w:line="277"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8"/>
          <w:szCs w:val="18"/>
          <w:color w:val="auto"/>
        </w:rPr>
        <w:t>The Bank Secrecy Act, which requires U.S. financial institutions to collaborate with the U.S. government in cases of suspected money laundering and fraud.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SEC Reports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 All reports filed with the SEC are available for reading and copying at the SEC’s Public Reference Room at 100 F Street, NE, Washington, DC 20549-2736 or for more information call the Public Reference Room at 1-800-SEC-0330. The SEC also makes all filed reports, proxy statements and information statements available on its website at www.sec.gov.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reference to the Company’s website address does not constitute incorporation by reference of the information contained on the website and should not be considered part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services provided by the Company are classified in two reportable segments: Information Services and Banking Services. The revenues from external customers, net income and total assets by segment as of and for each of the years in the three-year period ended December 31, 2017, are set forth in Item 8, Note 16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by Bank Holding Companies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statistical disclosure by bank holding companies, refer to Item 7,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political, economic or industry conditions may be less favorable than expected.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and other factors outside of Cass’ control may adversely affect the Company. Economic downturns could result in the delinquency of outstanding loans, which could have a material adverse impact on Cass’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developments concerning customer credit quality could affect Cass’ financial results.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The Company has lending concentrations, including, but not limited to, churches and church-related entities located in selected cities and privately-held businesses located in or near St. Louis, Missouri, that could suffer a significant decline which could adversely affect the Company.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interest rates could affect Cass’ net interest income and balance sheet.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As discussed in greater detail in Item 7A, “Quantitative and Qualitative Disclosures about Market Risk,” a continuation of the current low level of interest rates would have a negative impact on the Company’s net interest income.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difficulties or cyber-security problems could damage Cass’ reputation and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Additionally,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 party vendors, including as a result of cyber-attacks, could</w:t>
      </w:r>
    </w:p>
    <w:p>
      <w:pPr>
        <w:spacing w:after="0" w:line="5" w:lineRule="exact"/>
        <w:rPr>
          <w:sz w:val="20"/>
          <w:szCs w:val="20"/>
          <w:color w:val="auto"/>
        </w:rPr>
      </w:pPr>
    </w:p>
    <w:p>
      <w:pPr>
        <w:jc w:val="both"/>
        <w:ind w:firstLine="8"/>
        <w:spacing w:after="0" w:line="290" w:lineRule="auto"/>
        <w:tabs>
          <w:tab w:leader="none" w:pos="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disrupt the proper functioning of Cass’ networks and systems and therefore operations and/or those of certain customers; 2) result in the unauthorized access to, and destruction, loss, theft, misappropriation or release of confidential, sensitive or otherwise valuable information of the Company or its customers; 3) result in a violation of applicable privacy, data breach and other laws, subjecting the Company to additional regulatory scrutiny and expose Cass to civil litigation, governmental fines and possible financial liability; 4) require significant management attention and resources to remedy the damages that result; or 5)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must respond to rapid technological changes and these changes may be more difficult or expensive than anticipated.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reducing risk exposures might not be effective.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borrowing, repayment, investment, deposit, and payable processing practices may be different than anticipated.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stock price can become volatile and fluctuate widely in response to a variety of factors.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product and pricing pressure within Cass’ markets may change.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maintain and expand customer relationships may differ from expectations.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retain key officers and employees may change.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Item 1, “Business—Supervision and Regulation,” and Item 8, Note 2 to the consolidated financial statements included elsewhere in this report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capital rules generally require insured depository institutions and their holding companies to hold more capital.</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Dodd-Frank Act required the federal banking agencies to establish stricter risk-based capital requirements and leverage limits to apply to banks and bank and savings and loan holding companies. In July 2013, the federal banking agencies published the final Basel III Capital Rules that revised their risk-based and leverage capital requirements and their method for calculating risk-weighted assets. The Basel III Capital Rules apply to banking organizations, including the Company and the Bank, and are to be phased in through 2019.</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other things, the rules will require that the Company maintain a common equity Tier 1 capital ratio of 4.5%, a Tier 1 capital ratio of 6%, a total capital ratio of 8%, and a leverage ratio of 4%. Beginning in 2016, a capital conservation buffer is being phased in over three years, ultimately resulting in a requirement of 2.5% on top of the common equity Tier 1, Tier 1 and total capital requirements, resulting in a required common equity Tier 1 capital ratio of 7%, a Tier 1 capital ratio of 8.5%, and a total capital ratio of 10.5%. Failure to satisfy any of these capital requirements will result in limits on paying dividends, engaging in share repurchases and paying discretionary bonuses. These limitations will establish a maximum percentage of eligible retained income that could be utilized for such actions.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higher required capital ratios and the new deductions and adjustments relevant to the capital calculations, the final rules increase the risk weights for certain assets, meaning that the Company will have to hold more capital against these assets. Implementation of these more stringent capital requirements could result in management modifying its business strategy and could limit the ability to make distributions, including paying dividends, or buying back shares.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8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15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Cass has identified three accounting policies as being “critical” to the presentation of its financial condition and results of operations because they require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2012, the Company entered into a 10-year lease for office space in St. Louis County, Missouri, to house the headquarters of the Company and the Bank. The Company’s headquarters occupy 13,991 square feet in an office center at 12444 Powerscourt Drive along with 3,563 square feet in the same center at 12412 Powerscourt Drive. The Bank’s headquarters occupy 10,564 square feet in the same center at 12412 Powerscourt Drive.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owns approximately 61,500 square feet of office space at 13001 Hollenberg Drive in Bridgeton, Missouri where the Company’s transportation processing activities are performed.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a production facility of approximately 45,500 square feet located at 2675 Corporate Exchange Drive, Columbus, Ohio. Additional facilities are located in Lowell, Massachusetts, Greenville, South Carolina, Wellington, Kansas, Jacksonville, Florida and Columbus, Ohio. The Company has offices in Breda, Netherlands, Basingstoke, United Kingdom, and Singapore to service its multinational customers.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Bank owns a banking facility near downtown St. Louis, Missouri, has an operating branch in the Bridgeton, Missouri location, and has additional leased facilities in Fenton, Missouri, Santa Ana, California and Colorado Springs, Colorado.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these facilities are suitable and adequate for the Company’s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LEGAL PROCEEDINGS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SECURITIES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common stock is quoted on The Nasdaq Global Select Market® under the symbol “CASS.” As of February 16, 2018, there were approximately 3,747 holders of record of the Company’s common stock. High and low sale prices, as reported by The Nasdaq Global Select Market for each quarter of 2017 and 2016, restated for the stock dividend that occurred on December 15, 2017,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46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High</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Low</w:t>
            </w:r>
          </w:p>
        </w:tc>
        <w:tc>
          <w:tcPr>
            <w:tcW w:w="28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High</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Low</w:t>
            </w:r>
          </w:p>
        </w:tc>
        <w:tc>
          <w:tcPr>
            <w:tcW w:w="20" w:type="dxa"/>
            <w:vAlign w:val="bottom"/>
          </w:tcPr>
          <w:p>
            <w:pPr>
              <w:spacing w:after="0"/>
              <w:rPr>
                <w:sz w:val="20"/>
                <w:szCs w:val="20"/>
                <w:color w:val="auto"/>
              </w:rPr>
            </w:pPr>
          </w:p>
        </w:tc>
      </w:tr>
      <w:tr>
        <w:trPr>
          <w:trHeight w:val="297"/>
        </w:trPr>
        <w:tc>
          <w:tcPr>
            <w:tcW w:w="5460" w:type="dxa"/>
            <w:vAlign w:val="bottom"/>
            <w:shd w:val="clear" w:color="auto" w:fill="C0C0C0"/>
          </w:tcPr>
          <w:p>
            <w:pPr>
              <w:spacing w:after="0" w:line="29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0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w w:val="99"/>
              </w:rPr>
              <w:t>$   67.88</w:t>
            </w: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56.12</w:t>
            </w:r>
          </w:p>
        </w:tc>
        <w:tc>
          <w:tcPr>
            <w:tcW w:w="280" w:type="dxa"/>
            <w:vAlign w:val="bottom"/>
            <w:shd w:val="clear" w:color="auto" w:fill="C0C0C0"/>
          </w:tcPr>
          <w:p>
            <w:pPr>
              <w:spacing w:after="0"/>
              <w:rPr>
                <w:sz w:val="24"/>
                <w:szCs w:val="24"/>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   48.78</w:t>
            </w:r>
          </w:p>
        </w:tc>
        <w:tc>
          <w:tcPr>
            <w:tcW w:w="260" w:type="dxa"/>
            <w:vAlign w:val="bottom"/>
            <w:shd w:val="clear" w:color="auto" w:fill="C0C0C0"/>
          </w:tcPr>
          <w:p>
            <w:pPr>
              <w:spacing w:after="0"/>
              <w:rPr>
                <w:sz w:val="24"/>
                <w:szCs w:val="24"/>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43.31</w:t>
            </w:r>
          </w:p>
        </w:tc>
        <w:tc>
          <w:tcPr>
            <w:tcW w:w="20" w:type="dxa"/>
            <w:vAlign w:val="bottom"/>
          </w:tcPr>
          <w:p>
            <w:pPr>
              <w:spacing w:after="0"/>
              <w:rPr>
                <w:sz w:val="24"/>
                <w:szCs w:val="24"/>
                <w:color w:val="auto"/>
              </w:rPr>
            </w:pPr>
          </w:p>
        </w:tc>
      </w:tr>
      <w:tr>
        <w:trPr>
          <w:trHeight w:val="311"/>
        </w:trPr>
        <w:tc>
          <w:tcPr>
            <w:tcW w:w="5460" w:type="dxa"/>
            <w:vAlign w:val="bottom"/>
          </w:tcPr>
          <w:p>
            <w:pPr>
              <w:spacing w:after="0" w:line="310"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54.39</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40.95</w:t>
            </w:r>
          </w:p>
        </w:tc>
      </w:tr>
      <w:tr>
        <w:trPr>
          <w:trHeight w:val="311"/>
        </w:trPr>
        <w:tc>
          <w:tcPr>
            <w:tcW w:w="546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0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62.65</w:t>
            </w:r>
          </w:p>
        </w:tc>
        <w:tc>
          <w:tcPr>
            <w:tcW w:w="140" w:type="dxa"/>
            <w:vAlign w:val="bottom"/>
            <w:shd w:val="clear" w:color="auto" w:fill="C0C0C0"/>
          </w:tcPr>
          <w:p>
            <w:pPr>
              <w:spacing w:after="0"/>
              <w:rPr>
                <w:sz w:val="24"/>
                <w:szCs w:val="24"/>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53.23</w:t>
            </w:r>
          </w:p>
        </w:tc>
        <w:tc>
          <w:tcPr>
            <w:tcW w:w="280" w:type="dxa"/>
            <w:vAlign w:val="bottom"/>
            <w:shd w:val="clear" w:color="auto" w:fill="C0C0C0"/>
          </w:tcPr>
          <w:p>
            <w:pPr>
              <w:spacing w:after="0"/>
              <w:rPr>
                <w:sz w:val="24"/>
                <w:szCs w:val="24"/>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53.31</w:t>
            </w:r>
          </w:p>
        </w:tc>
        <w:tc>
          <w:tcPr>
            <w:tcW w:w="2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45.04</w:t>
            </w:r>
          </w:p>
        </w:tc>
        <w:tc>
          <w:tcPr>
            <w:tcW w:w="20" w:type="dxa"/>
            <w:vAlign w:val="bottom"/>
          </w:tcPr>
          <w:p>
            <w:pPr>
              <w:spacing w:after="0"/>
              <w:rPr>
                <w:sz w:val="24"/>
                <w:szCs w:val="24"/>
                <w:color w:val="auto"/>
              </w:rPr>
            </w:pPr>
          </w:p>
        </w:tc>
      </w:tr>
      <w:tr>
        <w:trPr>
          <w:trHeight w:val="415"/>
        </w:trPr>
        <w:tc>
          <w:tcPr>
            <w:tcW w:w="546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56.50</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68.03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47.90</w:t>
            </w:r>
          </w:p>
        </w:tc>
      </w:tr>
    </w:tbl>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continuously paid regularly scheduled cash dividends since 1934 and expects to continue to pay quarterly cash dividends in the future. Cash dividends paid per share by the Company during the two most recent fiscal years, restated for the stock dividend that occurred on December 15, 2017,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0C0C0"/>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0C0C0"/>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r>
      <w:tr>
        <w:trPr>
          <w:trHeight w:val="243"/>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March</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   .209</w:t>
            </w:r>
          </w:p>
        </w:tc>
        <w:tc>
          <w:tcPr>
            <w:tcW w:w="28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   .200</w:t>
            </w:r>
          </w:p>
        </w:tc>
      </w:tr>
      <w:tr>
        <w:trPr>
          <w:trHeight w:val="235"/>
        </w:trPr>
        <w:tc>
          <w:tcPr>
            <w:tcW w:w="5340" w:type="dxa"/>
            <w:vAlign w:val="bottom"/>
          </w:tcPr>
          <w:p>
            <w:pPr>
              <w:spacing w:after="0"/>
              <w:rPr>
                <w:sz w:val="20"/>
                <w:szCs w:val="20"/>
                <w:color w:val="auto"/>
              </w:rPr>
            </w:pPr>
            <w:r>
              <w:rPr>
                <w:rFonts w:ascii="Arial" w:cs="Arial" w:eastAsia="Arial" w:hAnsi="Arial"/>
                <w:sz w:val="18"/>
                <w:szCs w:val="18"/>
                <w:color w:val="auto"/>
              </w:rPr>
              <w:t>June</w:t>
            </w: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1"/>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September</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w:t>
            </w:r>
          </w:p>
        </w:tc>
      </w:tr>
      <w:tr>
        <w:trPr>
          <w:trHeight w:val="228"/>
        </w:trPr>
        <w:tc>
          <w:tcPr>
            <w:tcW w:w="5340" w:type="dxa"/>
            <w:vAlign w:val="bottom"/>
          </w:tcPr>
          <w:p>
            <w:pPr>
              <w:spacing w:after="0"/>
              <w:rPr>
                <w:sz w:val="20"/>
                <w:szCs w:val="20"/>
                <w:color w:val="auto"/>
              </w:rPr>
            </w:pPr>
            <w:r>
              <w:rPr>
                <w:rFonts w:ascii="Arial" w:cs="Arial" w:eastAsia="Arial" w:hAnsi="Arial"/>
                <w:sz w:val="18"/>
                <w:szCs w:val="18"/>
                <w:color w:val="auto"/>
              </w:rPr>
              <w:t>December</w:t>
            </w: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r>
    </w:tbl>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Subsidiary dividends can be a significant source of funds for payment of dividends by the Company to its shareholders. Both the Company and the Bank are subject to various regulations that restrict their ability to pay dividends and the amount of dividends that they may pay. Under the FDICIA,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 For further information regarding capital ratios and leverage ratio requirements of the Company and the Bank and the effect on payment of dividends, see Item 8, Note 2 of this report.</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for the stock dividend that occurred on December 15, 2017, the Company repurchased a total of 41,846 shares at an aggregate cost of $2,270,000 during the year ended December 31, 2017 and 205,835 shares at an aggregate cost of $9,215,000 during the year ended December 31, 2016. A portion of the repurchased shares may be used for the Company’s employee benefit plans, and the balance will be available for other general corporate purposes. The stock repurchase authorization does not have an expiration date and the pace of repurchase activity will depend on factors such as levels of cash generation from operations, cash requirements for investments, repayment of debt, current stock price, and other factors. The Company may repurchase shares from time to time on the open market or in private transactions, including structured transactions. The stock repurchase program may be modified or discontinued at any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Quoted on The Nasdaq Stock Market for the Last Five Fiscal Years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graph compares the cumulative total returns over the last five fiscal years of a hypothetical investment of $100 in shares of common stock of the Company with a hypothetical investment of $100 in The Nasdaq Stock Market (“Nasdaq”) and in the index of Nasdaq computer and data processing stocks. The graph assumes $100 was invested on December 31, 2012,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107315</wp:posOffset>
            </wp:positionV>
            <wp:extent cx="5505450" cy="2958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545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presents selected financial information for each of the five years ended December 31. The selected financial data should be read in conjunction with the Company’s consolidated financial statements and accompanying notes included in Item 8 of this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except per share data)</w:t>
            </w: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2013</w:t>
            </w: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Fee revenue and other income</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95,512</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86,136</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83,368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79,907</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76,572</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Interest income on loans</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28,641</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29,063</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28,669</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29,726</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32,110</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Interest income on debt and equity securities</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10,993</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9,801</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9,498</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9,441</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8,915</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Other interest income</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2,343</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552</w:t>
            </w:r>
          </w:p>
        </w:tc>
      </w:tr>
      <w:tr>
        <w:trPr>
          <w:trHeight w:val="251"/>
        </w:trPr>
        <w:tc>
          <w:tcPr>
            <w:tcW w:w="48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interest income</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41,977</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39,930</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38,710</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39,759</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41,577</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Interest expense on deposits</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2,187</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2,111</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2,832</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500</w:t>
            </w:r>
          </w:p>
        </w:tc>
      </w:tr>
      <w:tr>
        <w:trPr>
          <w:trHeight w:val="235"/>
        </w:trPr>
        <w:tc>
          <w:tcPr>
            <w:tcW w:w="4840" w:type="dxa"/>
            <w:vAlign w:val="bottom"/>
          </w:tcPr>
          <w:p>
            <w:pPr>
              <w:ind w:left="280"/>
              <w:spacing w:after="0"/>
              <w:rPr>
                <w:sz w:val="20"/>
                <w:szCs w:val="20"/>
                <w:color w:val="auto"/>
              </w:rPr>
            </w:pPr>
            <w:r>
              <w:rPr>
                <w:rFonts w:ascii="Arial" w:cs="Arial" w:eastAsia="Arial" w:hAnsi="Arial"/>
                <w:sz w:val="18"/>
                <w:szCs w:val="18"/>
                <w:color w:val="auto"/>
              </w:rPr>
              <w:t>Net interest income after provision</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39,790</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39,401</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37,449</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37,299</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38,245</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Operating expense</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100,403</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93,473</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89,783</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85,414</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84,086</w:t>
            </w:r>
          </w:p>
        </w:tc>
      </w:tr>
      <w:tr>
        <w:trPr>
          <w:trHeight w:val="235"/>
        </w:trPr>
        <w:tc>
          <w:tcPr>
            <w:tcW w:w="4840" w:type="dxa"/>
            <w:vAlign w:val="bottom"/>
          </w:tcPr>
          <w:p>
            <w:pPr>
              <w:ind w:left="280"/>
              <w:spacing w:after="0"/>
              <w:rPr>
                <w:sz w:val="20"/>
                <w:szCs w:val="20"/>
                <w:color w:val="auto"/>
              </w:rPr>
            </w:pPr>
            <w:r>
              <w:rPr>
                <w:rFonts w:ascii="Arial" w:cs="Arial" w:eastAsia="Arial" w:hAnsi="Arial"/>
                <w:sz w:val="18"/>
                <w:szCs w:val="18"/>
                <w:color w:val="auto"/>
              </w:rPr>
              <w:t>Income before income tax expense</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34,899</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32,064</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31,034</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31,792</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30,731</w:t>
            </w:r>
          </w:p>
        </w:tc>
      </w:tr>
      <w:tr>
        <w:trPr>
          <w:trHeight w:val="271"/>
        </w:trPr>
        <w:tc>
          <w:tcPr>
            <w:tcW w:w="48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auto"/>
            </w:tcBorders>
            <w:shd w:val="clear" w:color="auto" w:fill="C0C0C0"/>
          </w:tcPr>
          <w:p>
            <w:pPr>
              <w:spacing w:after="0"/>
              <w:rPr>
                <w:sz w:val="23"/>
                <w:szCs w:val="23"/>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9,885</w:t>
            </w:r>
          </w:p>
        </w:tc>
        <w:tc>
          <w:tcPr>
            <w:tcW w:w="480" w:type="dxa"/>
            <w:vAlign w:val="bottom"/>
            <w:tcBorders>
              <w:bottom w:val="single" w:sz="8" w:color="auto"/>
            </w:tcBorders>
            <w:shd w:val="clear" w:color="auto" w:fill="C0C0C0"/>
          </w:tcPr>
          <w:p>
            <w:pPr>
              <w:jc w:val="right"/>
              <w:ind w:right="215"/>
              <w:spacing w:after="0"/>
              <w:rPr>
                <w:sz w:val="20"/>
                <w:szCs w:val="20"/>
                <w:color w:val="auto"/>
              </w:rPr>
            </w:pPr>
            <w:r>
              <w:rPr>
                <w:rFonts w:ascii="Arial" w:cs="Arial" w:eastAsia="Arial" w:hAnsi="Arial"/>
                <w:sz w:val="15"/>
                <w:szCs w:val="15"/>
                <w:b w:val="1"/>
                <w:bCs w:val="1"/>
                <w:color w:val="auto"/>
                <w:w w:val="87"/>
              </w:rPr>
              <w:t>(1)</w:t>
            </w: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7,716</w:t>
            </w:r>
          </w:p>
        </w:tc>
        <w:tc>
          <w:tcPr>
            <w:tcW w:w="220" w:type="dxa"/>
            <w:vAlign w:val="bottom"/>
            <w:tcBorders>
              <w:bottom w:val="single" w:sz="8" w:color="auto"/>
            </w:tcBorders>
            <w:shd w:val="clear" w:color="auto" w:fill="C0C0C0"/>
          </w:tcPr>
          <w:p>
            <w:pPr>
              <w:spacing w:after="0"/>
              <w:rPr>
                <w:sz w:val="23"/>
                <w:szCs w:val="23"/>
                <w:color w:val="auto"/>
              </w:rPr>
            </w:pPr>
          </w:p>
        </w:tc>
        <w:tc>
          <w:tcPr>
            <w:tcW w:w="10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7,978</w:t>
            </w:r>
          </w:p>
        </w:tc>
        <w:tc>
          <w:tcPr>
            <w:tcW w:w="240" w:type="dxa"/>
            <w:vAlign w:val="bottom"/>
            <w:tcBorders>
              <w:bottom w:val="single" w:sz="8" w:color="auto"/>
            </w:tcBorders>
            <w:shd w:val="clear" w:color="auto" w:fill="C0C0C0"/>
          </w:tcPr>
          <w:p>
            <w:pPr>
              <w:spacing w:after="0"/>
              <w:rPr>
                <w:sz w:val="23"/>
                <w:szCs w:val="23"/>
                <w:color w:val="auto"/>
              </w:rPr>
            </w:pPr>
          </w:p>
        </w:tc>
        <w:tc>
          <w:tcPr>
            <w:tcW w:w="10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7,759</w:t>
            </w:r>
          </w:p>
        </w:tc>
        <w:tc>
          <w:tcPr>
            <w:tcW w:w="220" w:type="dxa"/>
            <w:vAlign w:val="bottom"/>
            <w:tcBorders>
              <w:bottom w:val="single" w:sz="8" w:color="auto"/>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7,234</w:t>
            </w:r>
          </w:p>
        </w:tc>
      </w:tr>
      <w:tr>
        <w:trPr>
          <w:trHeight w:val="23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24,348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23,056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24,033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23,497</w:t>
            </w:r>
          </w:p>
        </w:tc>
      </w:tr>
      <w:tr>
        <w:trPr>
          <w:trHeight w:val="311"/>
        </w:trPr>
        <w:tc>
          <w:tcPr>
            <w:tcW w:w="484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9"/>
                <w:szCs w:val="29"/>
                <w:b w:val="1"/>
                <w:bCs w:val="1"/>
                <w:color w:val="auto"/>
                <w:vertAlign w:val="superscript"/>
              </w:rPr>
              <w:t>(2)</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1.84</w:t>
            </w:r>
          </w:p>
        </w:tc>
      </w:tr>
      <w:tr>
        <w:trPr>
          <w:trHeight w:val="311"/>
        </w:trPr>
        <w:tc>
          <w:tcPr>
            <w:tcW w:w="4840" w:type="dxa"/>
            <w:vAlign w:val="bottom"/>
          </w:tcPr>
          <w:p>
            <w:pPr>
              <w:spacing w:after="0" w:line="310" w:lineRule="exact"/>
              <w:rPr>
                <w:sz w:val="20"/>
                <w:szCs w:val="20"/>
                <w:color w:val="auto"/>
              </w:rPr>
            </w:pPr>
            <w:r>
              <w:rPr>
                <w:rFonts w:ascii="Arial" w:cs="Arial" w:eastAsia="Arial" w:hAnsi="Arial"/>
                <w:sz w:val="18"/>
                <w:szCs w:val="18"/>
                <w:color w:val="auto"/>
              </w:rPr>
              <w:t xml:space="preserve">Dividends per share </w:t>
            </w:r>
            <w:r>
              <w:rPr>
                <w:rFonts w:ascii="Arial" w:cs="Arial" w:eastAsia="Arial" w:hAnsi="Arial"/>
                <w:sz w:val="29"/>
                <w:szCs w:val="29"/>
                <w:b w:val="1"/>
                <w:bCs w:val="1"/>
                <w:color w:val="auto"/>
                <w:vertAlign w:val="superscript"/>
              </w:rPr>
              <w:t>(2)</w:t>
            </w: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4"/>
                <w:szCs w:val="24"/>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.67</w:t>
            </w:r>
          </w:p>
        </w:tc>
      </w:tr>
      <w:tr>
        <w:trPr>
          <w:trHeight w:val="237"/>
        </w:trPr>
        <w:tc>
          <w:tcPr>
            <w:tcW w:w="48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Dividend payout ratio</w:t>
            </w:r>
          </w:p>
        </w:tc>
        <w:tc>
          <w:tcPr>
            <w:tcW w:w="620" w:type="dxa"/>
            <w:vAlign w:val="bottom"/>
            <w:tcBorders>
              <w:bottom w:val="single" w:sz="8" w:color="auto"/>
            </w:tcBorders>
            <w:shd w:val="clear" w:color="auto" w:fill="C0C0C0"/>
          </w:tcPr>
          <w:p>
            <w:pPr>
              <w:spacing w:after="0"/>
              <w:rPr>
                <w:sz w:val="20"/>
                <w:szCs w:val="20"/>
                <w:color w:val="auto"/>
              </w:rPr>
            </w:pPr>
          </w:p>
        </w:tc>
        <w:tc>
          <w:tcPr>
            <w:tcW w:w="1280" w:type="dxa"/>
            <w:vAlign w:val="bottom"/>
            <w:tcBorders>
              <w:bottom w:val="single" w:sz="8" w:color="auto"/>
            </w:tcBorders>
            <w:gridSpan w:val="2"/>
            <w:shd w:val="clear" w:color="auto" w:fill="C0C0C0"/>
          </w:tcPr>
          <w:p>
            <w:pPr>
              <w:jc w:val="right"/>
              <w:ind w:right="275"/>
              <w:spacing w:after="0"/>
              <w:rPr>
                <w:sz w:val="20"/>
                <w:szCs w:val="20"/>
                <w:color w:val="auto"/>
              </w:rPr>
            </w:pPr>
            <w:r>
              <w:rPr>
                <w:rFonts w:ascii="Arial" w:cs="Arial" w:eastAsia="Arial" w:hAnsi="Arial"/>
                <w:sz w:val="18"/>
                <w:szCs w:val="18"/>
                <w:color w:val="auto"/>
              </w:rPr>
              <w:t>42.68%</w:t>
            </w: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42.06%</w:t>
            </w:r>
          </w:p>
        </w:tc>
        <w:tc>
          <w:tcPr>
            <w:tcW w:w="240" w:type="dxa"/>
            <w:vAlign w:val="bottom"/>
            <w:tcBorders>
              <w:bottom w:val="single" w:sz="8" w:color="auto"/>
            </w:tcBorders>
            <w:shd w:val="clear" w:color="auto" w:fill="C0C0C0"/>
          </w:tcPr>
          <w:p>
            <w:pPr>
              <w:spacing w:after="0"/>
              <w:rPr>
                <w:sz w:val="20"/>
                <w:szCs w:val="20"/>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38.85%</w:t>
            </w:r>
          </w:p>
        </w:tc>
        <w:tc>
          <w:tcPr>
            <w:tcW w:w="22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36.21%</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Average total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1,568,112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1,504,474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1,439,511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w w:val="97"/>
              </w:rPr>
              <w:t>1,424,967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1,351,782</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Average net loans</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653,459</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667,158</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659,109</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651,984</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647,827</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Average investment securities</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426,657</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352,129</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330,095</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321,836</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294,846</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Average total deposits</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602,490</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614,975</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579,752</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571,039</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550,110</w:t>
            </w:r>
          </w:p>
        </w:tc>
      </w:tr>
      <w:tr>
        <w:trPr>
          <w:trHeight w:val="23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total shareholders’ equity</w:t>
            </w: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216,548</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207,060</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197,853</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200,149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175,441</w:t>
            </w: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total assets</w:t>
            </w:r>
          </w:p>
        </w:tc>
        <w:tc>
          <w:tcPr>
            <w:tcW w:w="620" w:type="dxa"/>
            <w:vAlign w:val="bottom"/>
            <w:shd w:val="clear" w:color="auto" w:fill="C0C0C0"/>
          </w:tcPr>
          <w:p>
            <w:pPr>
              <w:spacing w:after="0"/>
              <w:rPr>
                <w:sz w:val="21"/>
                <w:szCs w:val="21"/>
                <w:color w:val="auto"/>
              </w:rPr>
            </w:pPr>
          </w:p>
        </w:tc>
        <w:tc>
          <w:tcPr>
            <w:tcW w:w="1280" w:type="dxa"/>
            <w:vAlign w:val="bottom"/>
            <w:gridSpan w:val="2"/>
            <w:shd w:val="clear" w:color="auto" w:fill="C0C0C0"/>
          </w:tcPr>
          <w:p>
            <w:pPr>
              <w:jc w:val="right"/>
              <w:ind w:right="275"/>
              <w:spacing w:after="0"/>
              <w:rPr>
                <w:sz w:val="20"/>
                <w:szCs w:val="20"/>
                <w:color w:val="auto"/>
              </w:rPr>
            </w:pPr>
            <w:r>
              <w:rPr>
                <w:rFonts w:ascii="Arial" w:cs="Arial" w:eastAsia="Arial" w:hAnsi="Arial"/>
                <w:sz w:val="18"/>
                <w:szCs w:val="18"/>
                <w:color w:val="auto"/>
              </w:rPr>
              <w:t>1.60%</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11.76</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13.39</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Average equity to assets ratio</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13.81</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13.74</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14.05</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12.98</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Equity to assets ratio at year-end</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14.25</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14.36</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Tangible common equity to tangible assets</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13.25</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13.39</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21.19</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19.65</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20.37</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Net interest margin</w:t>
            </w:r>
          </w:p>
        </w:tc>
        <w:tc>
          <w:tcPr>
            <w:tcW w:w="6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w:t>
            </w:r>
          </w:p>
        </w:tc>
        <w:tc>
          <w:tcPr>
            <w:tcW w:w="4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3.63</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Allowance for loan losses to loans at year-end</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1.79</w:t>
            </w:r>
          </w:p>
        </w:tc>
      </w:tr>
      <w:tr>
        <w:trPr>
          <w:trHeight w:val="278"/>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Nonperforming assets to loans and foreclosed assets</w:t>
            </w:r>
          </w:p>
        </w:tc>
        <w:tc>
          <w:tcPr>
            <w:tcW w:w="620" w:type="dxa"/>
            <w:vAlign w:val="bottom"/>
            <w:shd w:val="clear" w:color="auto" w:fill="C0C0C0"/>
          </w:tcPr>
          <w:p>
            <w:pPr>
              <w:spacing w:after="0"/>
              <w:rPr>
                <w:sz w:val="24"/>
                <w:szCs w:val="24"/>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4"/>
                <w:szCs w:val="24"/>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0C0C0"/>
          </w:tcPr>
          <w:p>
            <w:pPr>
              <w:spacing w:after="0"/>
              <w:rPr>
                <w:sz w:val="24"/>
                <w:szCs w:val="24"/>
                <w:color w:val="auto"/>
              </w:rPr>
            </w:pPr>
          </w:p>
        </w:tc>
        <w:tc>
          <w:tcPr>
            <w:tcW w:w="1060" w:type="dxa"/>
            <w:vAlign w:val="bottom"/>
            <w:shd w:val="clear" w:color="auto" w:fill="C0C0C0"/>
          </w:tcPr>
          <w:p>
            <w:pPr>
              <w:jc w:val="right"/>
              <w:spacing w:after="0" w:line="277" w:lineRule="exact"/>
              <w:rPr>
                <w:sz w:val="20"/>
                <w:szCs w:val="20"/>
                <w:color w:val="auto"/>
              </w:rPr>
            </w:pPr>
            <w:r>
              <w:rPr>
                <w:rFonts w:ascii="Arial" w:cs="Arial" w:eastAsia="Arial" w:hAnsi="Arial"/>
                <w:sz w:val="18"/>
                <w:szCs w:val="18"/>
                <w:color w:val="auto"/>
              </w:rPr>
              <w:t xml:space="preserve">.48 </w:t>
            </w:r>
            <w:r>
              <w:rPr>
                <w:rFonts w:ascii="Arial" w:cs="Arial" w:eastAsia="Arial" w:hAnsi="Arial"/>
                <w:sz w:val="29"/>
                <w:szCs w:val="29"/>
                <w:b w:val="1"/>
                <w:bCs w:val="1"/>
                <w:color w:val="auto"/>
                <w:vertAlign w:val="superscript"/>
              </w:rPr>
              <w:t>(3)</w:t>
            </w:r>
          </w:p>
        </w:tc>
        <w:tc>
          <w:tcPr>
            <w:tcW w:w="240" w:type="dxa"/>
            <w:vAlign w:val="bottom"/>
            <w:shd w:val="clear" w:color="auto" w:fill="C0C0C0"/>
          </w:tcPr>
          <w:p>
            <w:pPr>
              <w:spacing w:after="0"/>
              <w:rPr>
                <w:sz w:val="24"/>
                <w:szCs w:val="24"/>
                <w:color w:val="auto"/>
              </w:rPr>
            </w:pP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0C0C0"/>
          </w:tcPr>
          <w:p>
            <w:pPr>
              <w:spacing w:after="0"/>
              <w:rPr>
                <w:sz w:val="24"/>
                <w:szCs w:val="24"/>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.27</w:t>
            </w:r>
          </w:p>
        </w:tc>
      </w:tr>
      <w:tr>
        <w:trPr>
          <w:trHeight w:val="23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Net loan (recoveries) charge-offs to average loans outstanding</w:t>
            </w: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w:t>
            </w:r>
          </w:p>
        </w:tc>
      </w:tr>
    </w:tbl>
    <w:p>
      <w:pPr>
        <w:spacing w:after="0" w:line="15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16"/>
          <w:szCs w:val="16"/>
          <w:color w:val="auto"/>
        </w:rPr>
        <w:t>Includes one-time, non-cash Tax Cuts and Jobs Act (TCJA) charge of $1,824,000</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3"/>
        </w:numPr>
        <w:rPr>
          <w:rFonts w:ascii="Arial" w:cs="Arial" w:eastAsia="Arial" w:hAnsi="Arial"/>
          <w:sz w:val="24"/>
          <w:szCs w:val="24"/>
          <w:b w:val="1"/>
          <w:bCs w:val="1"/>
          <w:color w:val="auto"/>
          <w:vertAlign w:val="superscript"/>
        </w:rPr>
      </w:pPr>
      <w:r>
        <w:rPr>
          <w:rFonts w:ascii="Arial" w:cs="Arial" w:eastAsia="Arial" w:hAnsi="Arial"/>
          <w:sz w:val="15"/>
          <w:szCs w:val="15"/>
          <w:color w:val="auto"/>
        </w:rPr>
        <w:t>Diluted earnings per share and dividends per share were adjusted for the stock dividend that occurred on December 15, 2017</w:t>
      </w:r>
    </w:p>
    <w:p>
      <w:pPr>
        <w:spacing w:after="0" w:line="7" w:lineRule="exact"/>
        <w:rPr>
          <w:rFonts w:ascii="Arial" w:cs="Arial" w:eastAsia="Arial" w:hAnsi="Arial"/>
          <w:sz w:val="24"/>
          <w:szCs w:val="24"/>
          <w:b w:val="1"/>
          <w:bCs w:val="1"/>
          <w:color w:val="auto"/>
          <w:vertAlign w:val="superscript"/>
        </w:rPr>
      </w:pPr>
    </w:p>
    <w:p>
      <w:pPr>
        <w:ind w:left="220" w:hanging="212"/>
        <w:spacing w:after="0" w:line="181" w:lineRule="auto"/>
        <w:tabs>
          <w:tab w:leader="none" w:pos="220" w:val="left"/>
        </w:tabs>
        <w:numPr>
          <w:ilvl w:val="0"/>
          <w:numId w:val="3"/>
        </w:numPr>
        <w:rPr>
          <w:rFonts w:ascii="Arial" w:cs="Arial" w:eastAsia="Arial" w:hAnsi="Arial"/>
          <w:sz w:val="24"/>
          <w:szCs w:val="24"/>
          <w:b w:val="1"/>
          <w:bCs w:val="1"/>
          <w:color w:val="auto"/>
          <w:vertAlign w:val="superscript"/>
        </w:rPr>
      </w:pPr>
      <w:r>
        <w:rPr>
          <w:rFonts w:ascii="Arial" w:cs="Arial" w:eastAsia="Arial" w:hAnsi="Arial"/>
          <w:sz w:val="15"/>
          <w:szCs w:val="15"/>
          <w:color w:val="auto"/>
        </w:rPr>
        <w:t>In February 2016, one nonaccrual loan with a balance of $2,727,000 was paid in full. The percentage, as adjusted, would have been .06%.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and analysis provides information about the financial condition and results of operations of the Company for the years ended December 31, 2017, 2016 and 2015. All share and per share data have been restated to give effect to the 10% stock dividend issued on December 15, 2017. This discussion and analysis should be read in conjunction with the Company’s consolidated financial statements and accompanying notes and other selected financial data presented elsewhere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 Another negative impact of low fuel prices could be a drop in the number of invoices related to drilling supplies carried by domestic railroads and trucks that move pipes, sand and water for fracking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total fee revenue and other income increased $9,376,000, or 11%, net interest income after provision for loan losses increased $389,000, or 1%, total operating expenses increased $6,930,000, or 7%, and net income increased $666,000, or 3%. This positive performance in 2017 was attributable to continued growth in the customer base, expanded new revenue-generating services, and an improving rate environment. The increase in total operating expense was due mainly to on-going strategic investment in technology and staff required to win and support new business. The asset quality of the Company’s loans and investments as of December 31, 2017 remained strong.</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22, 2017, the Tax Cuts and Jobs Act (“TCJA”) was enacted. As more fully described in this Item 7 and Note 13, the Company’s 2017 results of operations are skewed by a one-time, non-cash charge to income tax expense of $1,824,000, triggered by the passage of the TCJA. Excluding this charge, net income increased $2,490,000, or 10%. While the reduction in the federal corporate tax rate negatively impacted 2017 earnings, the rate reduction is projected to significantly boost after-tax earnings in the future.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(“ASU”) No.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ASU supersedes revenue recognition requirements in Topic 605, Revenue Recognition, including most industry-specific revenue recognition guidance in the FASB Accounting Standards Codification (“ASC”).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 The Company’s revenue is comprised of net interest income on financial assets and liabilities, which is explicitly excluded from the scope, and non-interest income. The Company will use the modified retrospective transition approach and there will not be a significant impact on the Company’s consolidated financial statements or results of operations.</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ASU No. 2016-01 – </w:t>
      </w:r>
      <w:r>
        <w:rPr>
          <w:rFonts w:ascii="Arial" w:cs="Arial" w:eastAsia="Arial" w:hAnsi="Arial"/>
          <w:sz w:val="16"/>
          <w:szCs w:val="16"/>
          <w:i w:val="1"/>
          <w:iCs w:val="1"/>
          <w:color w:val="auto"/>
        </w:rPr>
        <w:t>Financial Instruments – Overall (ASC Subtopic 825-10)</w:t>
      </w:r>
      <w:r>
        <w:rPr>
          <w:rFonts w:ascii="Arial" w:cs="Arial" w:eastAsia="Arial" w:hAnsi="Arial"/>
          <w:sz w:val="16"/>
          <w:szCs w:val="16"/>
          <w:color w:val="auto"/>
        </w:rPr>
        <w:t>. The ASU requires an entity to: (i) measure equity investments at fair value through net income, with certain exceptions; (ii) present in OCI the changes in instrument-specific credit risk for financial liabilities measured using the fair value option; (iii) present financial assets and financial liabilities by measurement category and form of financial asset; (iv) calculate the fair value of financial instruments for disclosure purposes based on an exit price and; (v) assess a valuation allowance on deferred tax assets related to unrealized losses of AFS debt securities in combination with other deferred tax assets. The standard is effective for fiscal periods beginning January 1, 2018 and will not have a significant impact on the Company’s consolidated financial statements or results of operations.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impact of the adoption of this ASU is currently being evaluated but is not expected to have a material impact on the Company’s consolidated financial statements or results of operations.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2018, the FASB issued ASU No. 2018-02 –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The ASU provides for the reclassification of the effect of remeasuring deferred tax balances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items within AOCI to retained earnings resulting from the TCJA. The Company early adopted, and as a result, reclassified $2,286,000 from AOCI to retained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prepared the consolidated financial statements in this report in accordance with the FASB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Summary of Results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6"/>
          </w:tcPr>
          <w:p>
            <w:pPr>
              <w:ind w:left="500"/>
              <w:spacing w:after="0"/>
              <w:rPr>
                <w:sz w:val="20"/>
                <w:szCs w:val="20"/>
                <w:color w:val="auto"/>
              </w:rPr>
            </w:pPr>
            <w:r>
              <w:rPr>
                <w:rFonts w:ascii="Arial" w:cs="Arial" w:eastAsia="Arial" w:hAnsi="Arial"/>
                <w:sz w:val="18"/>
                <w:szCs w:val="18"/>
                <w:b w:val="1"/>
                <w:bCs w:val="1"/>
                <w:color w:val="auto"/>
              </w:rPr>
              <w:t>For the Years Ended December 31,</w:t>
            </w:r>
          </w:p>
        </w:tc>
        <w:tc>
          <w:tcPr>
            <w:tcW w:w="228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7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2017 v. 2016</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2016 v. 2015</w:t>
            </w:r>
          </w:p>
        </w:tc>
      </w:tr>
      <w:tr>
        <w:trPr>
          <w:trHeight w:val="243"/>
        </w:trPr>
        <w:tc>
          <w:tcPr>
            <w:tcW w:w="4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processing volume</w:t>
            </w:r>
          </w:p>
        </w:tc>
        <w:tc>
          <w:tcPr>
            <w:tcW w:w="7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63,207</w:t>
            </w:r>
          </w:p>
        </w:tc>
        <w:tc>
          <w:tcPr>
            <w:tcW w:w="26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57,897</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54,521</w:t>
            </w:r>
          </w:p>
        </w:tc>
        <w:tc>
          <w:tcPr>
            <w:tcW w:w="1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9.2%</w:t>
            </w: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w:t>
            </w:r>
          </w:p>
        </w:tc>
      </w:tr>
      <w:tr>
        <w:trPr>
          <w:trHeight w:val="235"/>
        </w:trPr>
        <w:tc>
          <w:tcPr>
            <w:tcW w:w="4240" w:type="dxa"/>
            <w:vAlign w:val="bottom"/>
            <w:gridSpan w:val="2"/>
          </w:tcPr>
          <w:p>
            <w:pPr>
              <w:spacing w:after="0"/>
              <w:rPr>
                <w:sz w:val="20"/>
                <w:szCs w:val="20"/>
                <w:color w:val="auto"/>
              </w:rPr>
            </w:pPr>
            <w:r>
              <w:rPr>
                <w:rFonts w:ascii="Arial" w:cs="Arial" w:eastAsia="Arial" w:hAnsi="Arial"/>
                <w:sz w:val="18"/>
                <w:szCs w:val="18"/>
                <w:color w:val="auto"/>
              </w:rPr>
              <w:t>Total processing dollars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w w:val="95"/>
              </w:rPr>
              <w:t>37,597,035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w w:val="97"/>
              </w:rPr>
              <w:t>34,689,268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36,264,188</w:t>
            </w:r>
          </w:p>
        </w:tc>
        <w:tc>
          <w:tcPr>
            <w:tcW w:w="16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8.4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51"/>
        </w:trPr>
        <w:tc>
          <w:tcPr>
            <w:tcW w:w="4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Payment and processing fees</w:t>
            </w: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93,322</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83,713</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78,622</w:t>
            </w:r>
          </w:p>
        </w:tc>
        <w:tc>
          <w:tcPr>
            <w:tcW w:w="1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11.5</w:t>
            </w: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w:t>
            </w:r>
          </w:p>
        </w:tc>
      </w:tr>
      <w:tr>
        <w:trPr>
          <w:trHeight w:val="235"/>
        </w:trPr>
        <w:tc>
          <w:tcPr>
            <w:tcW w:w="4240" w:type="dxa"/>
            <w:vAlign w:val="bottom"/>
            <w:gridSpan w:val="2"/>
          </w:tcPr>
          <w:p>
            <w:pPr>
              <w:spacing w:after="0"/>
              <w:rPr>
                <w:sz w:val="20"/>
                <w:szCs w:val="20"/>
                <w:color w:val="auto"/>
              </w:rPr>
            </w:pPr>
            <w:r>
              <w:rPr>
                <w:rFonts w:ascii="Arial" w:cs="Arial" w:eastAsia="Arial" w:hAnsi="Arial"/>
                <w:sz w:val="18"/>
                <w:szCs w:val="18"/>
                <w:color w:val="auto"/>
              </w:rPr>
              <w:t>Net interest income after provision for loan losses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39,790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39,401</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37,449</w:t>
            </w:r>
          </w:p>
        </w:tc>
        <w:tc>
          <w:tcPr>
            <w:tcW w:w="16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5.2</w:t>
            </w:r>
          </w:p>
        </w:tc>
      </w:tr>
      <w:tr>
        <w:trPr>
          <w:trHeight w:val="251"/>
        </w:trPr>
        <w:tc>
          <w:tcPr>
            <w:tcW w:w="4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net revenue</w:t>
            </w: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135,302</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125,537</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120,817</w:t>
            </w:r>
          </w:p>
        </w:tc>
        <w:tc>
          <w:tcPr>
            <w:tcW w:w="1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7.8</w:t>
            </w: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w:t>
            </w:r>
          </w:p>
        </w:tc>
      </w:tr>
      <w:tr>
        <w:trPr>
          <w:trHeight w:val="235"/>
        </w:trPr>
        <w:tc>
          <w:tcPr>
            <w:tcW w:w="4240" w:type="dxa"/>
            <w:vAlign w:val="bottom"/>
            <w:gridSpan w:val="2"/>
          </w:tcPr>
          <w:p>
            <w:pPr>
              <w:spacing w:after="0"/>
              <w:rPr>
                <w:sz w:val="20"/>
                <w:szCs w:val="20"/>
                <w:color w:val="auto"/>
              </w:rPr>
            </w:pPr>
            <w:r>
              <w:rPr>
                <w:rFonts w:ascii="Arial" w:cs="Arial" w:eastAsia="Arial" w:hAnsi="Arial"/>
                <w:sz w:val="18"/>
                <w:szCs w:val="18"/>
                <w:color w:val="auto"/>
              </w:rPr>
              <w:t>Average earning assets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1,362,660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1,308,914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1,244,797</w:t>
            </w:r>
          </w:p>
        </w:tc>
        <w:tc>
          <w:tcPr>
            <w:tcW w:w="16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5.2</w:t>
            </w:r>
          </w:p>
        </w:tc>
      </w:tr>
      <w:tr>
        <w:trPr>
          <w:trHeight w:val="318"/>
        </w:trPr>
        <w:tc>
          <w:tcPr>
            <w:tcW w:w="4240" w:type="dxa"/>
            <w:vAlign w:val="bottom"/>
            <w:gridSpan w:val="2"/>
            <w:shd w:val="clear" w:color="auto" w:fill="C0C0C0"/>
          </w:tcPr>
          <w:p>
            <w:pPr>
              <w:spacing w:after="0" w:line="319"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b w:val="1"/>
                <w:bCs w:val="1"/>
                <w:color w:val="auto"/>
                <w:vertAlign w:val="superscript"/>
              </w:rPr>
              <w:t>(1)</w:t>
            </w:r>
          </w:p>
        </w:tc>
        <w:tc>
          <w:tcPr>
            <w:tcW w:w="72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0C0C0"/>
          </w:tcPr>
          <w:p>
            <w:pPr>
              <w:spacing w:after="0"/>
              <w:rPr>
                <w:sz w:val="24"/>
                <w:szCs w:val="24"/>
                <w:color w:val="auto"/>
              </w:rPr>
            </w:pP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0C0C0"/>
          </w:tcPr>
          <w:p>
            <w:pPr>
              <w:spacing w:after="0"/>
              <w:rPr>
                <w:sz w:val="24"/>
                <w:szCs w:val="24"/>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0C0C0"/>
          </w:tcPr>
          <w:p>
            <w:pPr>
              <w:spacing w:after="0"/>
              <w:rPr>
                <w:sz w:val="24"/>
                <w:szCs w:val="24"/>
                <w:color w:val="auto"/>
              </w:rPr>
            </w:pPr>
          </w:p>
        </w:tc>
        <w:tc>
          <w:tcPr>
            <w:tcW w:w="11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5"/>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25,014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24,348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23,056</w:t>
            </w:r>
          </w:p>
        </w:tc>
        <w:tc>
          <w:tcPr>
            <w:tcW w:w="16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5.6</w:t>
            </w:r>
          </w:p>
        </w:tc>
      </w:tr>
      <w:tr>
        <w:trPr>
          <w:trHeight w:val="318"/>
        </w:trPr>
        <w:tc>
          <w:tcPr>
            <w:tcW w:w="4240" w:type="dxa"/>
            <w:vAlign w:val="bottom"/>
            <w:gridSpan w:val="2"/>
            <w:shd w:val="clear" w:color="auto" w:fill="C0C0C0"/>
          </w:tcPr>
          <w:p>
            <w:pPr>
              <w:spacing w:after="0" w:line="319"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9"/>
                <w:szCs w:val="29"/>
                <w:b w:val="1"/>
                <w:bCs w:val="1"/>
                <w:color w:val="auto"/>
                <w:vertAlign w:val="superscript"/>
              </w:rPr>
              <w:t>(2)</w:t>
            </w: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0C0C0"/>
          </w:tcPr>
          <w:p>
            <w:pPr>
              <w:spacing w:after="0"/>
              <w:rPr>
                <w:sz w:val="24"/>
                <w:szCs w:val="24"/>
                <w:color w:val="auto"/>
              </w:rPr>
            </w:pPr>
          </w:p>
        </w:tc>
        <w:tc>
          <w:tcPr>
            <w:tcW w:w="11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2.6</w:t>
            </w: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7.7</w:t>
            </w:r>
          </w:p>
        </w:tc>
      </w:tr>
      <w:tr>
        <w:trPr>
          <w:trHeight w:val="235"/>
        </w:trPr>
        <w:tc>
          <w:tcPr>
            <w:tcW w:w="4240" w:type="dxa"/>
            <w:vAlign w:val="bottom"/>
            <w:gridSpan w:val="2"/>
          </w:tcPr>
          <w:p>
            <w:pPr>
              <w:spacing w:after="0"/>
              <w:rPr>
                <w:sz w:val="20"/>
                <w:szCs w:val="20"/>
                <w:color w:val="auto"/>
              </w:rPr>
            </w:pPr>
            <w:r>
              <w:rPr>
                <w:rFonts w:ascii="Arial" w:cs="Arial" w:eastAsia="Arial" w:hAnsi="Arial"/>
                <w:sz w:val="18"/>
                <w:szCs w:val="18"/>
                <w:color w:val="auto"/>
              </w:rPr>
              <w:t>Return on average assets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44"/>
        </w:trPr>
        <w:tc>
          <w:tcPr>
            <w:tcW w:w="42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Return on average equity</w:t>
            </w:r>
          </w:p>
        </w:tc>
        <w:tc>
          <w:tcPr>
            <w:tcW w:w="72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11.55%</w:t>
            </w:r>
          </w:p>
        </w:tc>
        <w:tc>
          <w:tcPr>
            <w:tcW w:w="26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11.76%</w:t>
            </w:r>
          </w:p>
        </w:tc>
        <w:tc>
          <w:tcPr>
            <w:tcW w:w="2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11.65%</w:t>
            </w:r>
          </w:p>
        </w:tc>
        <w:tc>
          <w:tcPr>
            <w:tcW w:w="16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bl>
    <w:p>
      <w:pPr>
        <w:spacing w:after="0" w:line="158"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b w:val="1"/>
          <w:bCs w:val="1"/>
          <w:color w:val="auto"/>
          <w:vertAlign w:val="superscript"/>
        </w:rPr>
      </w:pPr>
      <w:r>
        <w:rPr>
          <w:rFonts w:ascii="Arial" w:cs="Arial" w:eastAsia="Arial" w:hAnsi="Arial"/>
          <w:sz w:val="16"/>
          <w:szCs w:val="16"/>
          <w:color w:val="auto"/>
        </w:rPr>
        <w:t>Presented on a tax-equivalent basis</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4"/>
        </w:numPr>
        <w:rPr>
          <w:rFonts w:ascii="Arial" w:cs="Arial" w:eastAsia="Arial" w:hAnsi="Arial"/>
          <w:sz w:val="24"/>
          <w:szCs w:val="24"/>
          <w:b w:val="1"/>
          <w:bCs w:val="1"/>
          <w:color w:val="auto"/>
          <w:vertAlign w:val="superscript"/>
        </w:rPr>
      </w:pPr>
      <w:r>
        <w:rPr>
          <w:rFonts w:ascii="Arial" w:cs="Arial" w:eastAsia="Arial" w:hAnsi="Arial"/>
          <w:sz w:val="15"/>
          <w:szCs w:val="15"/>
          <w:color w:val="auto"/>
        </w:rPr>
        <w:t>Diluted earnings per share was restated for the stock dividend that occurred on December 15,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2017 compared to 2016 include the following significant items:</w:t>
      </w:r>
    </w:p>
    <w:p>
      <w:pPr>
        <w:spacing w:after="0" w:line="225" w:lineRule="exact"/>
        <w:rPr>
          <w:sz w:val="20"/>
          <w:szCs w:val="20"/>
          <w:color w:val="auto"/>
        </w:rPr>
      </w:pPr>
    </w:p>
    <w:p>
      <w:pPr>
        <w:jc w:val="both"/>
        <w:ind w:left="280" w:right="20"/>
        <w:spacing w:after="0" w:line="298" w:lineRule="auto"/>
        <w:rPr>
          <w:sz w:val="20"/>
          <w:szCs w:val="20"/>
          <w:color w:val="auto"/>
        </w:rPr>
      </w:pPr>
      <w:r>
        <w:rPr>
          <w:rFonts w:ascii="Arial" w:cs="Arial" w:eastAsia="Arial" w:hAnsi="Arial"/>
          <w:sz w:val="16"/>
          <w:szCs w:val="16"/>
          <w:color w:val="auto"/>
        </w:rPr>
        <w:t>Overall, the Company’s performance improved as a result of continued growth in the customer base and new revenue-generating services. Payment and processing fees and total processing volume increased 12% and 9%, respectively. Against the backdrop of a strengthening global economy, increased carrier and fuel prices combined with higher volume from current accounts to produce an increase in processing dollars of 8%. Net income in 2017 increased 3% despite a onetime, non-cash charge to income tax expense of $1,824,000 triggered by the passage of the TCJA on December 22, 2017.</w:t>
      </w:r>
    </w:p>
    <w:p>
      <w:pPr>
        <w:spacing w:after="0" w:line="167"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Average earning assets increased 4% and net interest income after provision for loan losses increased 1% year over year. The increase in net interest income after provision for loan losses was primarily due to higher average earning assets but was largely offset by a negative provision for loan losses of $1,500,000 in 2016 compared to none in 2017.</w:t>
      </w:r>
    </w:p>
    <w:p>
      <w:pPr>
        <w:spacing w:after="0" w:line="194" w:lineRule="exact"/>
        <w:rPr>
          <w:sz w:val="20"/>
          <w:szCs w:val="20"/>
          <w:color w:val="auto"/>
        </w:rPr>
      </w:pPr>
    </w:p>
    <w:p>
      <w:pPr>
        <w:jc w:val="both"/>
        <w:ind w:left="280"/>
        <w:spacing w:after="0" w:line="332" w:lineRule="auto"/>
        <w:rPr>
          <w:sz w:val="20"/>
          <w:szCs w:val="20"/>
          <w:color w:val="auto"/>
        </w:rPr>
      </w:pPr>
      <w:r>
        <w:rPr>
          <w:rFonts w:ascii="Arial" w:cs="Arial" w:eastAsia="Arial" w:hAnsi="Arial"/>
          <w:sz w:val="16"/>
          <w:szCs w:val="16"/>
          <w:color w:val="auto"/>
        </w:rPr>
        <w:t>There were no gains from the sale of securities in 2017 and $387,000 in 2016. Bank service fees increased $73,000, or 6%, and other income increased $81,000. Operating expenses increased $6,930,000, or 7%, as the Company continued to invest in staff and technology to win and support new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2016 compared to 2015 include the following significant items:</w:t>
      </w:r>
    </w:p>
    <w:p>
      <w:pPr>
        <w:spacing w:after="0" w:line="225"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Overall, the Company’s performance was boosted as a result of adding new accounts and expanding service lines as payment and processing fees and total processing volume increased 7% and 6%, respectively. Lingering adverse economic factors including low interest rates and low energy prices continued to impact total processing dollars, which decreased 4%, and net interest margin. The decrease in processing dollars generated smaller investable balances that lowered investment income and fees from carrier services.</w:t>
      </w:r>
    </w:p>
    <w:p>
      <w:pPr>
        <w:spacing w:after="0" w:line="197" w:lineRule="exact"/>
        <w:rPr>
          <w:sz w:val="20"/>
          <w:szCs w:val="20"/>
          <w:color w:val="auto"/>
        </w:rPr>
      </w:pPr>
    </w:p>
    <w:p>
      <w:pPr>
        <w:jc w:val="both"/>
        <w:ind w:left="280" w:right="20"/>
        <w:spacing w:after="0" w:line="259" w:lineRule="auto"/>
        <w:rPr>
          <w:sz w:val="20"/>
          <w:szCs w:val="20"/>
          <w:color w:val="auto"/>
        </w:rPr>
      </w:pPr>
      <w:r>
        <w:rPr>
          <w:rFonts w:ascii="Arial" w:cs="Arial" w:eastAsia="Arial" w:hAnsi="Arial"/>
          <w:sz w:val="18"/>
          <w:szCs w:val="18"/>
          <w:color w:val="auto"/>
        </w:rPr>
        <w:t>Average earning assets and net interest income after provision for loan losses both increased 5% year over year. The increase in net interest income after provision for loan losses was primarily due to higher average earning assets and a negative provision for loan losses of $1,500,000 in 2016 compared to $850,000 in 2015.</w:t>
      </w:r>
    </w:p>
    <w:p>
      <w:pPr>
        <w:spacing w:after="0" w:line="194"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Gains from the sale of securities were $387,000 in 2016 and $2,910,000 in 2015. Bank service fees increased $53,000, or 4%, and other income increased $147,000. Operating expenses increased $3,690,000, or 4%, as the Company invested in staff and technology to win and support new business and the Company received a one-time litigation settlement of $1.4 million ($800,000 reduction in other operating expenses and $600,000 loan loss recovery) in the prior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fee revenue and other income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8"/>
                <w:szCs w:val="18"/>
                <w:b w:val="1"/>
                <w:bCs w:val="1"/>
                <w:color w:val="auto"/>
              </w:rPr>
              <w:t>% Change</w:t>
            </w:r>
          </w:p>
        </w:tc>
      </w:tr>
      <w:tr>
        <w:trPr>
          <w:trHeight w:val="23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2017 v. 2016</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7"/>
              </w:rPr>
              <w:t>2016 v. 2015</w:t>
            </w:r>
          </w:p>
        </w:tc>
      </w:tr>
      <w:tr>
        <w:trPr>
          <w:trHeight w:val="243"/>
        </w:trPr>
        <w:tc>
          <w:tcPr>
            <w:tcW w:w="542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transaction volume</w:t>
            </w:r>
          </w:p>
        </w:tc>
        <w:tc>
          <w:tcPr>
            <w:tcW w:w="1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35,546</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34,352</w:t>
            </w:r>
          </w:p>
        </w:tc>
        <w:tc>
          <w:tcPr>
            <w:tcW w:w="26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33,958</w:t>
            </w:r>
          </w:p>
        </w:tc>
        <w:tc>
          <w:tcPr>
            <w:tcW w:w="11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w:t>
            </w:r>
          </w:p>
        </w:tc>
        <w:tc>
          <w:tcPr>
            <w:tcW w:w="1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24,801,733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22,774,909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24,534,285</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8.9</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318"/>
        </w:trPr>
        <w:tc>
          <w:tcPr>
            <w:tcW w:w="542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Expense management transaction volume</w:t>
            </w:r>
            <w:r>
              <w:rPr>
                <w:rFonts w:ascii="Arial" w:cs="Arial" w:eastAsia="Arial" w:hAnsi="Arial"/>
                <w:sz w:val="29"/>
                <w:szCs w:val="29"/>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27,661</w:t>
            </w:r>
          </w:p>
        </w:tc>
        <w:tc>
          <w:tcPr>
            <w:tcW w:w="260" w:type="dxa"/>
            <w:vAlign w:val="bottom"/>
            <w:shd w:val="clear" w:color="auto" w:fill="C0C0C0"/>
          </w:tcPr>
          <w:p>
            <w:pPr>
              <w:spacing w:after="0"/>
              <w:rPr>
                <w:sz w:val="24"/>
                <w:szCs w:val="24"/>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23,545</w:t>
            </w:r>
          </w:p>
        </w:tc>
        <w:tc>
          <w:tcPr>
            <w:tcW w:w="260" w:type="dxa"/>
            <w:vAlign w:val="bottom"/>
            <w:shd w:val="clear" w:color="auto" w:fill="C0C0C0"/>
          </w:tcPr>
          <w:p>
            <w:pPr>
              <w:spacing w:after="0"/>
              <w:rPr>
                <w:sz w:val="24"/>
                <w:szCs w:val="24"/>
                <w:color w:val="auto"/>
              </w:rPr>
            </w:pPr>
          </w:p>
        </w:tc>
        <w:tc>
          <w:tcPr>
            <w:tcW w:w="10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20,563</w:t>
            </w:r>
          </w:p>
        </w:tc>
        <w:tc>
          <w:tcPr>
            <w:tcW w:w="114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17.5</w:t>
            </w: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14.5</w:t>
            </w:r>
          </w:p>
        </w:tc>
      </w:tr>
      <w:tr>
        <w:trPr>
          <w:trHeight w:val="311"/>
        </w:trPr>
        <w:tc>
          <w:tcPr>
            <w:tcW w:w="5420" w:type="dxa"/>
            <w:vAlign w:val="bottom"/>
          </w:tcPr>
          <w:p>
            <w:pPr>
              <w:spacing w:after="0" w:line="310" w:lineRule="exact"/>
              <w:rPr>
                <w:sz w:val="20"/>
                <w:szCs w:val="20"/>
                <w:color w:val="auto"/>
              </w:rPr>
            </w:pPr>
            <w:r>
              <w:rPr>
                <w:rFonts w:ascii="Arial" w:cs="Arial" w:eastAsia="Arial" w:hAnsi="Arial"/>
                <w:sz w:val="18"/>
                <w:szCs w:val="18"/>
                <w:color w:val="auto"/>
              </w:rPr>
              <w:t>Expense management dollar volume</w:t>
            </w:r>
            <w:r>
              <w:rPr>
                <w:rFonts w:ascii="Arial" w:cs="Arial" w:eastAsia="Arial" w:hAnsi="Arial"/>
                <w:sz w:val="29"/>
                <w:szCs w:val="29"/>
                <w:b w:val="1"/>
                <w:bCs w:val="1"/>
                <w:color w:val="auto"/>
                <w:vertAlign w:val="superscript"/>
              </w:rPr>
              <w:t>(1)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12,795,302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11,914,359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11,729,903</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7.4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w:t>
            </w:r>
          </w:p>
        </w:tc>
      </w:tr>
      <w:tr>
        <w:trPr>
          <w:trHeight w:val="243"/>
        </w:trPr>
        <w:tc>
          <w:tcPr>
            <w:tcW w:w="5420" w:type="dxa"/>
            <w:vAlign w:val="bottom"/>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93,322</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83,713</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78,622</w:t>
            </w:r>
          </w:p>
        </w:tc>
        <w:tc>
          <w:tcPr>
            <w:tcW w:w="114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11.5</w:t>
            </w: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w:t>
            </w: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Bank service fees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4.3</w:t>
            </w:r>
          </w:p>
        </w:tc>
      </w:tr>
      <w:tr>
        <w:trPr>
          <w:trHeight w:val="251"/>
        </w:trPr>
        <w:tc>
          <w:tcPr>
            <w:tcW w:w="5420" w:type="dxa"/>
            <w:vAlign w:val="bottom"/>
            <w:shd w:val="clear" w:color="auto" w:fill="C0C0C0"/>
          </w:tcPr>
          <w:p>
            <w:pPr>
              <w:spacing w:after="0"/>
              <w:rPr>
                <w:sz w:val="20"/>
                <w:szCs w:val="20"/>
                <w:color w:val="auto"/>
              </w:rPr>
            </w:pPr>
            <w:r>
              <w:rPr>
                <w:rFonts w:ascii="Arial" w:cs="Arial" w:eastAsia="Arial" w:hAnsi="Arial"/>
                <w:sz w:val="18"/>
                <w:szCs w:val="18"/>
                <w:color w:val="auto"/>
              </w:rPr>
              <w:t>Gains on sales of investment securities</w:t>
            </w:r>
          </w:p>
        </w:tc>
        <w:tc>
          <w:tcPr>
            <w:tcW w:w="1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2,910</w:t>
            </w:r>
          </w:p>
        </w:tc>
        <w:tc>
          <w:tcPr>
            <w:tcW w:w="114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(86.7)</w:t>
            </w:r>
          </w:p>
        </w:tc>
      </w:tr>
      <w:tr>
        <w:trPr>
          <w:trHeight w:val="23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613</w:t>
            </w: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10.7</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24.0</w:t>
            </w:r>
          </w:p>
        </w:tc>
      </w:tr>
    </w:tbl>
    <w:p>
      <w:pPr>
        <w:spacing w:after="0" w:line="158"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Includes energy, telecom and environmental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Fee revenue and other income in 2017 compared to 2016 include the following significant pre-tax components:</w:t>
      </w:r>
    </w:p>
    <w:p>
      <w:pPr>
        <w:spacing w:after="0" w:line="225" w:lineRule="exact"/>
        <w:rPr>
          <w:sz w:val="20"/>
          <w:szCs w:val="20"/>
          <w:color w:val="auto"/>
        </w:rPr>
      </w:pPr>
    </w:p>
    <w:p>
      <w:pPr>
        <w:jc w:val="both"/>
        <w:ind w:left="280"/>
        <w:spacing w:after="0" w:line="298" w:lineRule="auto"/>
        <w:rPr>
          <w:sz w:val="20"/>
          <w:szCs w:val="20"/>
          <w:color w:val="auto"/>
        </w:rPr>
      </w:pPr>
      <w:r>
        <w:rPr>
          <w:rFonts w:ascii="Arial" w:cs="Arial" w:eastAsia="Arial" w:hAnsi="Arial"/>
          <w:sz w:val="16"/>
          <w:szCs w:val="16"/>
          <w:color w:val="auto"/>
        </w:rPr>
        <w:t>In the transportation sector, new business and a growing customer base increased invoice volume 4%. The strong global economy combined with increased carrier and fuel prices produced a 9% increase in dollar volume. The increase in dollar volume generated larger investable balances that improved investment income and raised fees from carrier services. Expense management transaction volume increased 18% and dollar volume increased 7% as a result of new customer wins and increased volumes from current accounts. There were no gains on sales of investment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Fee revenue and other income in 2016 compared to 2015 include the following significant pre-tax components:</w:t>
      </w:r>
    </w:p>
    <w:p>
      <w:pPr>
        <w:spacing w:after="0" w:line="225"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In the transportation sector, new business and a growing customer base boosted invoice volume, though lingering negative factors continued to hinder dollar volume growth. Reduced average invoice amounts caused by low fuel and carrier prices as well as shifts in modal activity impacted dollar volume. The decrease in dollar volume also generated smaller investable balances that reduced investment income and more significantly lowered fees from carrier services. Expense management transaction volume increased 15% and dollar volume increased 2% as new customer wins, including several large accounts that migrated from competitors, fueled the increase. Gains on sales of investment securities decreased as market conditions were not as favorable in the current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8"/>
                <w:szCs w:val="18"/>
                <w:b w:val="1"/>
                <w:bCs w:val="1"/>
                <w:color w:val="auto"/>
              </w:rPr>
              <w:t>% Change</w:t>
            </w:r>
          </w:p>
        </w:tc>
      </w:tr>
      <w:tr>
        <w:trPr>
          <w:trHeight w:val="23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2017 v. 2016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 v. 2015</w:t>
            </w:r>
          </w:p>
        </w:tc>
      </w:tr>
      <w:tr>
        <w:trPr>
          <w:trHeight w:val="243"/>
        </w:trPr>
        <w:tc>
          <w:tcPr>
            <w:tcW w:w="542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 assets</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87"/>
              </w:rPr>
              <w:t>1,362,660</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w w:val="84"/>
              </w:rPr>
              <w:t>1,308,914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7"/>
              </w:rPr>
              <w:t>1,244,797</w:t>
            </w:r>
          </w:p>
        </w:tc>
        <w:tc>
          <w:tcPr>
            <w:tcW w:w="28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c>
          <w:tcPr>
            <w:tcW w:w="1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r>
      <w:tr>
        <w:trPr>
          <w:trHeight w:val="311"/>
        </w:trPr>
        <w:tc>
          <w:tcPr>
            <w:tcW w:w="5420" w:type="dxa"/>
            <w:vAlign w:val="bottom"/>
          </w:tcPr>
          <w:p>
            <w:pPr>
              <w:spacing w:after="0" w:line="310" w:lineRule="exact"/>
              <w:rPr>
                <w:sz w:val="20"/>
                <w:szCs w:val="20"/>
                <w:color w:val="auto"/>
              </w:rPr>
            </w:pPr>
            <w:r>
              <w:rPr>
                <w:rFonts w:ascii="Arial" w:cs="Arial" w:eastAsia="Arial" w:hAnsi="Arial"/>
                <w:sz w:val="18"/>
                <w:szCs w:val="18"/>
                <w:color w:val="auto"/>
              </w:rPr>
              <w:t xml:space="preserve">Net interest income </w:t>
            </w:r>
            <w:r>
              <w:rPr>
                <w:rFonts w:ascii="Arial" w:cs="Arial" w:eastAsia="Arial" w:hAnsi="Arial"/>
                <w:sz w:val="29"/>
                <w:szCs w:val="29"/>
                <w:b w:val="1"/>
                <w:bCs w:val="1"/>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45,480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43,402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42,025</w:t>
            </w:r>
          </w:p>
        </w:tc>
        <w:tc>
          <w:tcPr>
            <w:tcW w:w="28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1"/>
        </w:trPr>
        <w:tc>
          <w:tcPr>
            <w:tcW w:w="542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b w:val="1"/>
                <w:bCs w:val="1"/>
                <w:color w:val="auto"/>
                <w:vertAlign w:val="superscript"/>
              </w:rPr>
              <w:t>(1)</w:t>
            </w:r>
          </w:p>
        </w:tc>
        <w:tc>
          <w:tcPr>
            <w:tcW w:w="80" w:type="dxa"/>
            <w:vAlign w:val="bottom"/>
            <w:shd w:val="clear" w:color="auto" w:fill="C0C0C0"/>
          </w:tcPr>
          <w:p>
            <w:pPr>
              <w:spacing w:after="0"/>
              <w:rPr>
                <w:sz w:val="24"/>
                <w:szCs w:val="24"/>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0C0C0"/>
          </w:tcPr>
          <w:p>
            <w:pPr>
              <w:spacing w:after="0"/>
              <w:rPr>
                <w:sz w:val="24"/>
                <w:szCs w:val="24"/>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0C0C0"/>
          </w:tcPr>
          <w:p>
            <w:pPr>
              <w:spacing w:after="0"/>
              <w:rPr>
                <w:sz w:val="24"/>
                <w:szCs w:val="24"/>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0C0C0"/>
          </w:tcPr>
          <w:p>
            <w:pPr>
              <w:spacing w:after="0"/>
              <w:rPr>
                <w:sz w:val="24"/>
                <w:szCs w:val="24"/>
                <w:color w:val="auto"/>
              </w:rPr>
            </w:pPr>
          </w:p>
        </w:tc>
        <w:tc>
          <w:tcPr>
            <w:tcW w:w="1180" w:type="dxa"/>
            <w:vAlign w:val="bottom"/>
            <w:shd w:val="clear" w:color="auto" w:fill="C0C0C0"/>
          </w:tcPr>
          <w:p>
            <w:pPr>
              <w:spacing w:after="0"/>
              <w:rPr>
                <w:sz w:val="24"/>
                <w:szCs w:val="24"/>
                <w:color w:val="auto"/>
              </w:rPr>
            </w:pPr>
          </w:p>
        </w:tc>
        <w:tc>
          <w:tcPr>
            <w:tcW w:w="1140" w:type="dxa"/>
            <w:vAlign w:val="bottom"/>
            <w:shd w:val="clear" w:color="auto" w:fill="C0C0C0"/>
          </w:tcPr>
          <w:p>
            <w:pPr>
              <w:spacing w:after="0"/>
              <w:rPr>
                <w:sz w:val="24"/>
                <w:szCs w:val="24"/>
                <w:color w:val="auto"/>
              </w:rPr>
            </w:pPr>
          </w:p>
        </w:tc>
      </w:tr>
      <w:tr>
        <w:trPr>
          <w:trHeight w:val="311"/>
        </w:trPr>
        <w:tc>
          <w:tcPr>
            <w:tcW w:w="5420" w:type="dxa"/>
            <w:vAlign w:val="bottom"/>
          </w:tcPr>
          <w:p>
            <w:pPr>
              <w:spacing w:after="0" w:line="310" w:lineRule="exact"/>
              <w:rPr>
                <w:sz w:val="20"/>
                <w:szCs w:val="20"/>
                <w:color w:val="auto"/>
              </w:rPr>
            </w:pPr>
            <w:r>
              <w:rPr>
                <w:rFonts w:ascii="Arial" w:cs="Arial" w:eastAsia="Arial" w:hAnsi="Arial"/>
                <w:sz w:val="18"/>
                <w:szCs w:val="18"/>
                <w:color w:val="auto"/>
              </w:rPr>
              <w:t xml:space="preserve">Yield on earning assets </w:t>
            </w:r>
            <w:r>
              <w:rPr>
                <w:rFonts w:ascii="Arial" w:cs="Arial" w:eastAsia="Arial" w:hAnsi="Arial"/>
                <w:sz w:val="29"/>
                <w:szCs w:val="29"/>
                <w:b w:val="1"/>
                <w:bCs w:val="1"/>
                <w:color w:val="auto"/>
                <w:vertAlign w:val="superscript"/>
              </w:rPr>
              <w:t>(1)</w:t>
            </w:r>
          </w:p>
        </w:tc>
        <w:tc>
          <w:tcPr>
            <w:tcW w:w="8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5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Rate on interest bearing liabilities</w:t>
            </w:r>
          </w:p>
        </w:tc>
        <w:tc>
          <w:tcPr>
            <w:tcW w:w="8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spacing w:after="0"/>
              <w:rPr>
                <w:sz w:val="20"/>
                <w:szCs w:val="20"/>
                <w:color w:val="auto"/>
              </w:rPr>
            </w:pPr>
          </w:p>
        </w:tc>
        <w:tc>
          <w:tcPr>
            <w:tcW w:w="1140" w:type="dxa"/>
            <w:vAlign w:val="bottom"/>
            <w:tcBorders>
              <w:bottom w:val="single" w:sz="8" w:color="auto"/>
            </w:tcBorders>
            <w:shd w:val="clear" w:color="auto" w:fill="C0C0C0"/>
          </w:tcPr>
          <w:p>
            <w:pPr>
              <w:spacing w:after="0"/>
              <w:rPr>
                <w:sz w:val="20"/>
                <w:szCs w:val="20"/>
                <w:color w:val="auto"/>
              </w:rPr>
            </w:pPr>
          </w:p>
        </w:tc>
      </w:tr>
    </w:tbl>
    <w:p>
      <w:pPr>
        <w:spacing w:after="0" w:line="235" w:lineRule="exact"/>
        <w:rPr>
          <w:sz w:val="20"/>
          <w:szCs w:val="20"/>
          <w:color w:val="auto"/>
        </w:rPr>
      </w:pPr>
    </w:p>
    <w:p>
      <w:pPr>
        <w:ind w:right="6200" w:firstLine="8"/>
        <w:spacing w:after="0" w:line="451" w:lineRule="auto"/>
        <w:tabs>
          <w:tab w:leader="none" w:pos="216" w:val="left"/>
        </w:tabs>
        <w:numPr>
          <w:ilvl w:val="0"/>
          <w:numId w:val="6"/>
        </w:numPr>
        <w:rPr>
          <w:rFonts w:ascii="Arial" w:cs="Arial" w:eastAsia="Arial" w:hAnsi="Arial"/>
          <w:sz w:val="25"/>
          <w:szCs w:val="25"/>
          <w:b w:val="1"/>
          <w:bCs w:val="1"/>
          <w:color w:val="auto"/>
          <w:vertAlign w:val="superscript"/>
        </w:rPr>
      </w:pPr>
      <w:r>
        <w:rPr>
          <w:rFonts w:ascii="Arial" w:cs="Arial" w:eastAsia="Arial" w:hAnsi="Arial"/>
          <w:sz w:val="15"/>
          <w:szCs w:val="15"/>
          <w:color w:val="auto"/>
        </w:rPr>
        <w:t>Presented on a tax-equivalent basis using a tax rate of 35% in all years. Net interest income in 2017 compared to 2016:</w:t>
      </w:r>
    </w:p>
    <w:p>
      <w:pPr>
        <w:jc w:val="both"/>
        <w:ind w:left="280"/>
        <w:spacing w:after="0" w:line="332" w:lineRule="auto"/>
        <w:rPr>
          <w:sz w:val="20"/>
          <w:szCs w:val="20"/>
          <w:color w:val="auto"/>
        </w:rPr>
      </w:pPr>
      <w:r>
        <w:rPr>
          <w:rFonts w:ascii="Arial" w:cs="Arial" w:eastAsia="Arial" w:hAnsi="Arial"/>
          <w:sz w:val="16"/>
          <w:szCs w:val="16"/>
          <w:color w:val="auto"/>
        </w:rPr>
        <w:t>The increase in net interest income was primarily due to an increase in average earning assets combined with a slight improvement in the net interest margin as a result of an improving interest rate environment. More information is contained in the tables below and in Item 7A of this report.</w:t>
      </w:r>
    </w:p>
    <w:p>
      <w:pPr>
        <w:spacing w:after="0" w:line="139"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Total average investment in securities and certificates of deposit increased $73,697,000, or 20%. The investment portfolio will expand and contract over time as the Company manages its liquidity and interest rate position. All purchases were made in accordance with the Company’s investment policy. Total average federal funds sold and other short-term investments increased $19,047,000, or 13%. Interest bearing deposits in other financial institutions decreased $24,590,000, or 20%.</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left="280" w:right="20"/>
        <w:spacing w:after="0" w:line="268" w:lineRule="auto"/>
        <w:rPr>
          <w:sz w:val="20"/>
          <w:szCs w:val="20"/>
          <w:color w:val="auto"/>
        </w:rPr>
      </w:pPr>
      <w:r>
        <w:rPr>
          <w:rFonts w:ascii="Arial" w:cs="Arial" w:eastAsia="Arial" w:hAnsi="Arial"/>
          <w:sz w:val="18"/>
          <w:szCs w:val="18"/>
          <w:color w:val="auto"/>
        </w:rPr>
        <w:t>Total average loans decreased $14,408,000, or 2%, to $663,653,000. Loans have a positive effect on interest income and the net interest margin due to the fact that loans are one of the Company’s highest yielding earning assets for any given maturity.</w:t>
      </w:r>
    </w:p>
    <w:p>
      <w:pPr>
        <w:spacing w:after="0" w:line="186"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Bank’s total average interest-bearing deposits decreased $29,184,000, or 7%, compared to the prior year. Average rates paid on interest-bearing liabilities increased from .48% to .56%.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in 2016 compared to 2015:</w:t>
      </w:r>
    </w:p>
    <w:p>
      <w:pPr>
        <w:spacing w:after="0" w:line="225"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The increase in net interest income was primarily due to an increase in average earning assets. This was partially offset by a decrease in the net interest margin due to the difficulty finding acceptable investment alternatives in the current low interest rate environment. More information is contained in the tables below and in Item 7A of this report.</w:t>
      </w:r>
    </w:p>
    <w:p>
      <w:pPr>
        <w:spacing w:after="0" w:line="194"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Total average investment in securities and certificates of deposit increased $25,537,000, or 8%. The investment portfolio will expand and contract over time as the Company manages its liquidity and interest rate position. All purchases were made in accordance with the Company’s investment policy. Total average federal funds sold and other short-term investments increased $34,621,000, or 31%. Interest bearing deposits in other financial institutions decreased $3,083,000, or 2%.</w:t>
      </w:r>
    </w:p>
    <w:p>
      <w:pPr>
        <w:spacing w:after="0" w:line="197"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Total average loans increased $7,042,000, or 1%, to $678,061,000. Loans have a positive effect on interest income and the net interest margin due to the fact that loans are one of the Company’s highest yielding earning assets for any given maturity.</w:t>
      </w:r>
    </w:p>
    <w:p>
      <w:pPr>
        <w:spacing w:after="0" w:line="186"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Bank’s total average interest-bearing deposits increased $7,255,000, or 2%, compared to the prior year. Average rates paid on interest-bearing liabilities decreased from .51% to .48% as a result of the continued low interest rate environment.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432"/>
              <w:spacing w:after="0"/>
              <w:rPr>
                <w:sz w:val="20"/>
                <w:szCs w:val="20"/>
                <w:color w:val="auto"/>
              </w:rPr>
            </w:pPr>
            <w:r>
              <w:rPr>
                <w:rFonts w:ascii="Arial" w:cs="Arial" w:eastAsia="Arial" w:hAnsi="Arial"/>
                <w:sz w:val="14"/>
                <w:szCs w:val="14"/>
                <w:b w:val="1"/>
                <w:bCs w:val="1"/>
                <w:color w:val="auto"/>
                <w:w w:val="83"/>
              </w:rPr>
              <w:t>2017</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92"/>
              <w:spacing w:after="0"/>
              <w:rPr>
                <w:sz w:val="20"/>
                <w:szCs w:val="20"/>
                <w:color w:val="auto"/>
              </w:rPr>
            </w:pPr>
            <w:r>
              <w:rPr>
                <w:rFonts w:ascii="Arial" w:cs="Arial" w:eastAsia="Arial" w:hAnsi="Arial"/>
                <w:sz w:val="14"/>
                <w:szCs w:val="14"/>
                <w:b w:val="1"/>
                <w:bCs w:val="1"/>
                <w:color w:val="auto"/>
                <w:w w:val="89"/>
              </w:rPr>
              <w:t>2015</w:t>
            </w:r>
          </w:p>
        </w:tc>
        <w:tc>
          <w:tcPr>
            <w:tcW w:w="620" w:type="dxa"/>
            <w:vAlign w:val="bottom"/>
          </w:tcPr>
          <w:p>
            <w:pPr>
              <w:spacing w:after="0"/>
              <w:rPr>
                <w:sz w:val="15"/>
                <w:szCs w:val="15"/>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3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Interest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Interest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Interest</w:t>
            </w:r>
          </w:p>
        </w:tc>
        <w:tc>
          <w:tcPr>
            <w:tcW w:w="620" w:type="dxa"/>
            <w:vAlign w:val="bottom"/>
          </w:tcPr>
          <w:p>
            <w:pPr>
              <w:spacing w:after="0"/>
              <w:rPr>
                <w:sz w:val="17"/>
                <w:szCs w:val="17"/>
                <w:color w:val="auto"/>
              </w:rPr>
            </w:pPr>
          </w:p>
        </w:tc>
      </w:tr>
      <w:tr>
        <w:trPr>
          <w:trHeight w:val="243"/>
        </w:trPr>
        <w:tc>
          <w:tcPr>
            <w:tcW w:w="3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Income/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Yield/</w:t>
            </w:r>
          </w:p>
        </w:tc>
        <w:tc>
          <w:tcPr>
            <w:tcW w:w="14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Yield/</w:t>
            </w:r>
          </w:p>
        </w:tc>
      </w:tr>
      <w:tr>
        <w:trPr>
          <w:trHeight w:val="243"/>
        </w:trPr>
        <w:tc>
          <w:tcPr>
            <w:tcW w:w="33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Expense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Balance</w:t>
            </w:r>
          </w:p>
        </w:tc>
        <w:tc>
          <w:tcPr>
            <w:tcW w:w="18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Expense</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Rate</w:t>
            </w:r>
          </w:p>
        </w:tc>
      </w:tr>
      <w:tr>
        <w:trPr>
          <w:trHeight w:val="41"/>
        </w:trPr>
        <w:tc>
          <w:tcPr>
            <w:tcW w:w="3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77"/>
        </w:trPr>
        <w:tc>
          <w:tcPr>
            <w:tcW w:w="3320" w:type="dxa"/>
            <w:vAlign w:val="bottom"/>
            <w:shd w:val="clear" w:color="auto" w:fill="C0C0C0"/>
          </w:tcPr>
          <w:p>
            <w:pPr>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22"/>
                <w:szCs w:val="22"/>
                <w:b w:val="1"/>
                <w:bCs w:val="1"/>
                <w:color w:val="auto"/>
                <w:vertAlign w:val="superscript"/>
              </w:rPr>
              <w:t>(1)</w:t>
            </w:r>
          </w:p>
        </w:tc>
        <w:tc>
          <w:tcPr>
            <w:tcW w:w="3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74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Earning assets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84"/>
        </w:trPr>
        <w:tc>
          <w:tcPr>
            <w:tcW w:w="3320" w:type="dxa"/>
            <w:vAlign w:val="bottom"/>
            <w:shd w:val="clear" w:color="auto" w:fill="C0C0C0"/>
          </w:tcPr>
          <w:p>
            <w:pPr>
              <w:spacing w:after="0" w:line="284" w:lineRule="exact"/>
              <w:rPr>
                <w:sz w:val="20"/>
                <w:szCs w:val="20"/>
                <w:color w:val="auto"/>
              </w:rPr>
            </w:pPr>
            <w:r>
              <w:rPr>
                <w:rFonts w:ascii="Arial" w:cs="Arial" w:eastAsia="Arial" w:hAnsi="Arial"/>
                <w:sz w:val="27"/>
                <w:szCs w:val="27"/>
                <w:color w:val="auto"/>
                <w:vertAlign w:val="subscript"/>
              </w:rPr>
              <w:t>Loans</w:t>
            </w:r>
            <w:r>
              <w:rPr>
                <w:rFonts w:ascii="Arial" w:cs="Arial" w:eastAsia="Arial" w:hAnsi="Arial"/>
                <w:sz w:val="11"/>
                <w:szCs w:val="11"/>
                <w:b w:val="1"/>
                <w:bCs w:val="1"/>
                <w:color w:val="auto"/>
              </w:rPr>
              <w:t xml:space="preserve"> (2), (3)</w:t>
            </w:r>
            <w:r>
              <w:rPr>
                <w:rFonts w:ascii="Arial" w:cs="Arial" w:eastAsia="Arial" w:hAnsi="Arial"/>
                <w:sz w:val="27"/>
                <w:szCs w:val="27"/>
                <w:color w:val="auto"/>
                <w:vertAlign w:val="subscript"/>
              </w:rPr>
              <w:t>:</w:t>
            </w:r>
          </w:p>
        </w:tc>
        <w:tc>
          <w:tcPr>
            <w:tcW w:w="3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74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Taxable</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658,791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28,511</w:t>
            </w:r>
          </w:p>
        </w:tc>
        <w:tc>
          <w:tcPr>
            <w:tcW w:w="620" w:type="dxa"/>
            <w:vAlign w:val="bottom"/>
          </w:tcPr>
          <w:p>
            <w:pPr>
              <w:jc w:val="right"/>
              <w:spacing w:after="0"/>
              <w:rPr>
                <w:sz w:val="20"/>
                <w:szCs w:val="20"/>
                <w:color w:val="auto"/>
              </w:rPr>
            </w:pPr>
            <w:r>
              <w:rPr>
                <w:rFonts w:ascii="Arial" w:cs="Arial" w:eastAsia="Arial" w:hAnsi="Arial"/>
                <w:sz w:val="14"/>
                <w:szCs w:val="14"/>
                <w:color w:val="auto"/>
              </w:rPr>
              <w:t>4.33%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660,341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28,506</w:t>
            </w:r>
          </w:p>
        </w:tc>
        <w:tc>
          <w:tcPr>
            <w:tcW w:w="560" w:type="dxa"/>
            <w:vAlign w:val="bottom"/>
          </w:tcPr>
          <w:p>
            <w:pPr>
              <w:jc w:val="right"/>
              <w:spacing w:after="0"/>
              <w:rPr>
                <w:sz w:val="20"/>
                <w:szCs w:val="20"/>
                <w:color w:val="auto"/>
              </w:rPr>
            </w:pPr>
            <w:r>
              <w:rPr>
                <w:rFonts w:ascii="Arial" w:cs="Arial" w:eastAsia="Arial" w:hAnsi="Arial"/>
                <w:sz w:val="14"/>
                <w:szCs w:val="14"/>
                <w:color w:val="auto"/>
              </w:rPr>
              <w:t>4.32%</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649,472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28,049</w:t>
            </w: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84"/>
        </w:trPr>
        <w:tc>
          <w:tcPr>
            <w:tcW w:w="3320" w:type="dxa"/>
            <w:vAlign w:val="bottom"/>
            <w:shd w:val="clear" w:color="auto" w:fill="C0C0C0"/>
          </w:tcPr>
          <w:p>
            <w:pPr>
              <w:ind w:left="280"/>
              <w:spacing w:after="0"/>
              <w:rPr>
                <w:sz w:val="20"/>
                <w:szCs w:val="20"/>
                <w:color w:val="auto"/>
              </w:rPr>
            </w:pPr>
            <w:r>
              <w:rPr>
                <w:rFonts w:ascii="Arial" w:cs="Arial" w:eastAsia="Arial" w:hAnsi="Arial"/>
                <w:sz w:val="14"/>
                <w:szCs w:val="14"/>
                <w:color w:val="auto"/>
              </w:rPr>
              <w:t xml:space="preserve">Tax-exempt </w:t>
            </w:r>
            <w:r>
              <w:rPr>
                <w:rFonts w:ascii="Arial" w:cs="Arial" w:eastAsia="Arial" w:hAnsi="Arial"/>
                <w:sz w:val="22"/>
                <w:szCs w:val="22"/>
                <w:b w:val="1"/>
                <w:bCs w:val="1"/>
                <w:color w:val="auto"/>
                <w:vertAlign w:val="superscript"/>
              </w:rPr>
              <w:t>(4)</w:t>
            </w:r>
          </w:p>
        </w:tc>
        <w:tc>
          <w:tcPr>
            <w:tcW w:w="3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4"/>
                <w:szCs w:val="14"/>
                <w:color w:val="auto"/>
              </w:rPr>
              <w:t>4,862</w:t>
            </w:r>
          </w:p>
        </w:tc>
        <w:tc>
          <w:tcPr>
            <w:tcW w:w="160" w:type="dxa"/>
            <w:vAlign w:val="bottom"/>
            <w:shd w:val="clear" w:color="auto" w:fill="C0C0C0"/>
          </w:tcPr>
          <w:p>
            <w:pPr>
              <w:spacing w:after="0"/>
              <w:rPr>
                <w:sz w:val="24"/>
                <w:szCs w:val="24"/>
                <w:color w:val="auto"/>
              </w:rPr>
            </w:pP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4"/>
                <w:szCs w:val="14"/>
                <w:color w:val="auto"/>
              </w:rPr>
              <w:t>199</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4"/>
                <w:szCs w:val="14"/>
                <w:color w:val="auto"/>
              </w:rPr>
              <w:t>4.09</w:t>
            </w: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4"/>
                <w:szCs w:val="14"/>
                <w:color w:val="auto"/>
              </w:rPr>
              <w:t>17,720</w:t>
            </w:r>
          </w:p>
        </w:tc>
        <w:tc>
          <w:tcPr>
            <w:tcW w:w="180" w:type="dxa"/>
            <w:vAlign w:val="bottom"/>
            <w:shd w:val="clear" w:color="auto" w:fill="C0C0C0"/>
          </w:tcPr>
          <w:p>
            <w:pPr>
              <w:spacing w:after="0"/>
              <w:rPr>
                <w:sz w:val="24"/>
                <w:szCs w:val="24"/>
                <w:color w:val="auto"/>
              </w:rPr>
            </w:pP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4"/>
                <w:szCs w:val="14"/>
                <w:color w:val="auto"/>
              </w:rPr>
              <w:t>857</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4"/>
                <w:szCs w:val="14"/>
                <w:color w:val="auto"/>
              </w:rPr>
              <w:t>4.84</w:t>
            </w:r>
          </w:p>
        </w:tc>
        <w:tc>
          <w:tcPr>
            <w:tcW w:w="16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4"/>
                <w:szCs w:val="14"/>
                <w:color w:val="auto"/>
              </w:rPr>
              <w:t>21,547</w:t>
            </w: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4"/>
                <w:szCs w:val="14"/>
                <w:color w:val="auto"/>
              </w:rPr>
              <w:t>954</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4"/>
                <w:szCs w:val="14"/>
                <w:color w:val="auto"/>
              </w:rPr>
              <w:t>4.43</w:t>
            </w:r>
          </w:p>
        </w:tc>
      </w:tr>
      <w:tr>
        <w:trPr>
          <w:trHeight w:val="284"/>
        </w:trPr>
        <w:tc>
          <w:tcPr>
            <w:tcW w:w="3320" w:type="dxa"/>
            <w:vAlign w:val="bottom"/>
          </w:tcPr>
          <w:p>
            <w:pPr>
              <w:spacing w:after="0"/>
              <w:rPr>
                <w:sz w:val="20"/>
                <w:szCs w:val="20"/>
                <w:color w:val="auto"/>
              </w:rPr>
            </w:pPr>
            <w:r>
              <w:rPr>
                <w:rFonts w:ascii="Arial" w:cs="Arial" w:eastAsia="Arial" w:hAnsi="Arial"/>
                <w:sz w:val="14"/>
                <w:szCs w:val="14"/>
                <w:color w:val="auto"/>
              </w:rPr>
              <w:t xml:space="preserve">Securities </w:t>
            </w:r>
            <w:r>
              <w:rPr>
                <w:rFonts w:ascii="Arial" w:cs="Arial" w:eastAsia="Arial" w:hAnsi="Arial"/>
                <w:sz w:val="22"/>
                <w:szCs w:val="22"/>
                <w:b w:val="1"/>
                <w:bCs w:val="1"/>
                <w:color w:val="auto"/>
                <w:vertAlign w:val="superscript"/>
              </w:rPr>
              <w:t>(5)</w:t>
            </w: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3"/>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Taxable</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23,172</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472</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2.04</w:t>
            </w: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5,030</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93</w:t>
            </w:r>
          </w:p>
        </w:tc>
        <w:tc>
          <w:tcPr>
            <w:tcW w:w="5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1.85</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1,168</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1.8</w:t>
            </w:r>
          </w:p>
        </w:tc>
      </w:tr>
      <w:tr>
        <w:trPr>
          <w:trHeight w:val="284"/>
        </w:trPr>
        <w:tc>
          <w:tcPr>
            <w:tcW w:w="3320" w:type="dxa"/>
            <w:vAlign w:val="bottom"/>
          </w:tcPr>
          <w:p>
            <w:pPr>
              <w:ind w:left="280"/>
              <w:spacing w:after="0"/>
              <w:rPr>
                <w:sz w:val="20"/>
                <w:szCs w:val="20"/>
                <w:color w:val="auto"/>
              </w:rPr>
            </w:pPr>
            <w:r>
              <w:rPr>
                <w:rFonts w:ascii="Arial" w:cs="Arial" w:eastAsia="Arial" w:hAnsi="Arial"/>
                <w:sz w:val="14"/>
                <w:szCs w:val="14"/>
                <w:color w:val="auto"/>
              </w:rPr>
              <w:t xml:space="preserve">Tax-exempt </w:t>
            </w:r>
            <w:r>
              <w:rPr>
                <w:rFonts w:ascii="Arial" w:cs="Arial" w:eastAsia="Arial" w:hAnsi="Arial"/>
                <w:sz w:val="22"/>
                <w:szCs w:val="22"/>
                <w:b w:val="1"/>
                <w:bCs w:val="1"/>
                <w:color w:val="auto"/>
                <w:vertAlign w:val="superscript"/>
              </w:rPr>
              <w:t>(4)</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403,485</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16,060</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3.98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347,099</w:t>
            </w:r>
          </w:p>
        </w:tc>
        <w:tc>
          <w:tcPr>
            <w:tcW w:w="18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14,858</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4.28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328,927</w:t>
            </w:r>
          </w:p>
        </w:tc>
        <w:tc>
          <w:tcPr>
            <w:tcW w:w="14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14,553</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4.42</w:t>
            </w:r>
          </w:p>
        </w:tc>
      </w:tr>
      <w:tr>
        <w:trPr>
          <w:trHeight w:val="223"/>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Certificates of deposit</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6,970</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82</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1.18</w:t>
            </w: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7,801</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51</w:t>
            </w:r>
          </w:p>
        </w:tc>
        <w:tc>
          <w:tcPr>
            <w:tcW w:w="5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.65</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4,298</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17</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0.4</w:t>
            </w: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Interest-bearing deposits in other financial institutions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100,401</w:t>
            </w:r>
          </w:p>
        </w:tc>
        <w:tc>
          <w:tcPr>
            <w:tcW w:w="16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1,036</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124,991</w:t>
            </w:r>
          </w:p>
        </w:tc>
        <w:tc>
          <w:tcPr>
            <w:tcW w:w="18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638</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128,074</w:t>
            </w:r>
          </w:p>
        </w:tc>
        <w:tc>
          <w:tcPr>
            <w:tcW w:w="140" w:type="dxa"/>
            <w:vAlign w:val="bottom"/>
          </w:tcPr>
          <w:p>
            <w:pPr>
              <w:spacing w:after="0"/>
              <w:rPr>
                <w:sz w:val="17"/>
                <w:szCs w:val="17"/>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393</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0.31</w:t>
            </w: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8"/>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Federal funds sold and other short-term investments</w:t>
            </w:r>
          </w:p>
        </w:tc>
        <w:tc>
          <w:tcPr>
            <w:tcW w:w="3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164,979</w:t>
            </w:r>
          </w:p>
        </w:tc>
        <w:tc>
          <w:tcPr>
            <w:tcW w:w="16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1,307</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.79</w:t>
            </w:r>
          </w:p>
        </w:tc>
        <w:tc>
          <w:tcPr>
            <w:tcW w:w="1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145,932</w:t>
            </w:r>
          </w:p>
        </w:tc>
        <w:tc>
          <w:tcPr>
            <w:tcW w:w="18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428</w:t>
            </w:r>
          </w:p>
        </w:tc>
        <w:tc>
          <w:tcPr>
            <w:tcW w:w="5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.29</w:t>
            </w:r>
          </w:p>
        </w:tc>
        <w:tc>
          <w:tcPr>
            <w:tcW w:w="1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111,311</w:t>
            </w:r>
          </w:p>
        </w:tc>
        <w:tc>
          <w:tcPr>
            <w:tcW w:w="14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150</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0.13</w:t>
            </w:r>
          </w:p>
        </w:tc>
      </w:tr>
      <w:tr>
        <w:trPr>
          <w:trHeight w:val="196"/>
        </w:trPr>
        <w:tc>
          <w:tcPr>
            <w:tcW w:w="3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earning assets</w:t>
            </w: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1,362,660</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47,667</w:t>
            </w: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3.50</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1,308,914</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45,431</w:t>
            </w:r>
          </w:p>
        </w:tc>
        <w:tc>
          <w:tcPr>
            <w:tcW w:w="5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3.47</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1,244,797</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44,137</w:t>
            </w: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3.55</w:t>
            </w: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Non-earning assets</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Cash and due from banks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12,904</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11,822</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13,050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Premises and equipment, net</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21,299</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20,503</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18,544</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Bank owned life insurance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16,676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16,174</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15,665</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Goodwill and other intangibles</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14,464</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13,799</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14,187</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150,303</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144,165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145,178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8"/>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Allowance for loan losses</w:t>
            </w:r>
          </w:p>
        </w:tc>
        <w:tc>
          <w:tcPr>
            <w:tcW w:w="3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(10,194)</w:t>
            </w:r>
          </w:p>
        </w:tc>
        <w:tc>
          <w:tcPr>
            <w:tcW w:w="16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(10,903)</w:t>
            </w:r>
          </w:p>
        </w:tc>
        <w:tc>
          <w:tcPr>
            <w:tcW w:w="18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(11,910)</w:t>
            </w:r>
          </w:p>
        </w:tc>
        <w:tc>
          <w:tcPr>
            <w:tcW w:w="14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spacing w:after="0"/>
              <w:rPr>
                <w:sz w:val="21"/>
                <w:szCs w:val="21"/>
                <w:color w:val="auto"/>
              </w:rPr>
            </w:pPr>
          </w:p>
        </w:tc>
      </w:tr>
      <w:tr>
        <w:trPr>
          <w:trHeight w:val="196"/>
        </w:trPr>
        <w:tc>
          <w:tcPr>
            <w:tcW w:w="3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assets</w:t>
            </w:r>
          </w:p>
        </w:tc>
        <w:tc>
          <w:tcPr>
            <w:tcW w:w="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1,568,112</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1,504,474</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1,439,511</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1"/>
        </w:trPr>
        <w:tc>
          <w:tcPr>
            <w:tcW w:w="3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77"/>
        </w:trPr>
        <w:tc>
          <w:tcPr>
            <w:tcW w:w="3320" w:type="dxa"/>
            <w:vAlign w:val="bottom"/>
            <w:shd w:val="clear" w:color="auto" w:fill="C0C0C0"/>
          </w:tcPr>
          <w:p>
            <w:pPr>
              <w:spacing w:after="0"/>
              <w:rPr>
                <w:sz w:val="20"/>
                <w:szCs w:val="20"/>
                <w:color w:val="auto"/>
              </w:rPr>
            </w:pPr>
            <w:r>
              <w:rPr>
                <w:rFonts w:ascii="Arial" w:cs="Arial" w:eastAsia="Arial" w:hAnsi="Arial"/>
                <w:sz w:val="14"/>
                <w:szCs w:val="14"/>
                <w:b w:val="1"/>
                <w:bCs w:val="1"/>
                <w:color w:val="auto"/>
              </w:rPr>
              <w:t xml:space="preserve">Liabilities and Shareholders’ Equity </w:t>
            </w:r>
            <w:r>
              <w:rPr>
                <w:rFonts w:ascii="Arial" w:cs="Arial" w:eastAsia="Arial" w:hAnsi="Arial"/>
                <w:sz w:val="22"/>
                <w:szCs w:val="22"/>
                <w:b w:val="1"/>
                <w:bCs w:val="1"/>
                <w:color w:val="auto"/>
                <w:vertAlign w:val="superscript"/>
              </w:rPr>
              <w:t>(1)</w:t>
            </w:r>
          </w:p>
        </w:tc>
        <w:tc>
          <w:tcPr>
            <w:tcW w:w="3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82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74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Interest-bearing liabilities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Interest-bearing demand deposits</w:t>
            </w:r>
          </w:p>
        </w:tc>
        <w:tc>
          <w:tcPr>
            <w:tcW w:w="52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323,635</w:t>
            </w:r>
          </w:p>
        </w:tc>
        <w:tc>
          <w:tcPr>
            <w:tcW w:w="1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1,610</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343,205</w:t>
            </w:r>
          </w:p>
        </w:tc>
        <w:tc>
          <w:tcPr>
            <w:tcW w:w="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1,388</w:t>
            </w: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330,742</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1,392</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.42%</w:t>
            </w: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Savings deposits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15,540</w:t>
            </w:r>
          </w:p>
        </w:tc>
        <w:tc>
          <w:tcPr>
            <w:tcW w:w="16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79</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20,524</w:t>
            </w:r>
          </w:p>
        </w:tc>
        <w:tc>
          <w:tcPr>
            <w:tcW w:w="18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14,656</w:t>
            </w:r>
          </w:p>
        </w:tc>
        <w:tc>
          <w:tcPr>
            <w:tcW w:w="140" w:type="dxa"/>
            <w:vAlign w:val="bottom"/>
          </w:tcPr>
          <w:p>
            <w:pPr>
              <w:spacing w:after="0"/>
              <w:rPr>
                <w:sz w:val="17"/>
                <w:szCs w:val="17"/>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65</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.44</w:t>
            </w: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Time deposits &gt;=$250</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16,022</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150</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.94</w:t>
            </w: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14,463</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172</w:t>
            </w:r>
          </w:p>
        </w:tc>
        <w:tc>
          <w:tcPr>
            <w:tcW w:w="5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1.19</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15,236</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189</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1.24</w:t>
            </w: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Other time deposits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38,279</w:t>
            </w:r>
          </w:p>
        </w:tc>
        <w:tc>
          <w:tcPr>
            <w:tcW w:w="16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348</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44,468</w:t>
            </w:r>
          </w:p>
        </w:tc>
        <w:tc>
          <w:tcPr>
            <w:tcW w:w="18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369</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54,771</w:t>
            </w:r>
          </w:p>
        </w:tc>
        <w:tc>
          <w:tcPr>
            <w:tcW w:w="140" w:type="dxa"/>
            <w:vAlign w:val="bottom"/>
          </w:tcPr>
          <w:p>
            <w:pPr>
              <w:spacing w:after="0"/>
              <w:rPr>
                <w:sz w:val="17"/>
                <w:szCs w:val="17"/>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465</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.85</w:t>
            </w:r>
          </w:p>
        </w:tc>
      </w:tr>
      <w:tr>
        <w:trPr>
          <w:trHeight w:val="41"/>
        </w:trPr>
        <w:tc>
          <w:tcPr>
            <w:tcW w:w="3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Total interest-bearing deposits</w:t>
            </w:r>
          </w:p>
        </w:tc>
        <w:tc>
          <w:tcPr>
            <w:tcW w:w="3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393,476</w:t>
            </w:r>
          </w:p>
        </w:tc>
        <w:tc>
          <w:tcPr>
            <w:tcW w:w="160" w:type="dxa"/>
            <w:vAlign w:val="bottom"/>
            <w:tcBorders>
              <w:bottom w:val="single" w:sz="8" w:color="C0C0C0"/>
            </w:tcBorders>
            <w:shd w:val="clear" w:color="auto" w:fill="C0C0C0"/>
          </w:tcPr>
          <w:p>
            <w:pPr>
              <w:spacing w:after="0"/>
              <w:rPr>
                <w:sz w:val="18"/>
                <w:szCs w:val="18"/>
                <w:color w:val="auto"/>
              </w:rPr>
            </w:pP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2,187</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422,660</w:t>
            </w:r>
          </w:p>
        </w:tc>
        <w:tc>
          <w:tcPr>
            <w:tcW w:w="180" w:type="dxa"/>
            <w:vAlign w:val="bottom"/>
            <w:tcBorders>
              <w:bottom w:val="single" w:sz="8" w:color="C0C0C0"/>
            </w:tcBorders>
            <w:shd w:val="clear" w:color="auto" w:fill="C0C0C0"/>
          </w:tcPr>
          <w:p>
            <w:pPr>
              <w:spacing w:after="0"/>
              <w:rPr>
                <w:sz w:val="18"/>
                <w:szCs w:val="18"/>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2,029</w:t>
            </w:r>
          </w:p>
        </w:tc>
        <w:tc>
          <w:tcPr>
            <w:tcW w:w="5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.48</w:t>
            </w:r>
          </w:p>
        </w:tc>
        <w:tc>
          <w:tcPr>
            <w:tcW w:w="1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415,405</w:t>
            </w:r>
          </w:p>
        </w:tc>
        <w:tc>
          <w:tcPr>
            <w:tcW w:w="14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2,111</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.51</w:t>
            </w: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Short-term borrowings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7"/>
                <w:szCs w:val="17"/>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1.59</w:t>
            </w:r>
          </w:p>
        </w:tc>
      </w:tr>
      <w:tr>
        <w:trPr>
          <w:trHeight w:val="41"/>
        </w:trPr>
        <w:tc>
          <w:tcPr>
            <w:tcW w:w="3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Total interest-bearing liabilities</w:t>
            </w:r>
          </w:p>
        </w:tc>
        <w:tc>
          <w:tcPr>
            <w:tcW w:w="3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393,489</w:t>
            </w:r>
          </w:p>
        </w:tc>
        <w:tc>
          <w:tcPr>
            <w:tcW w:w="160" w:type="dxa"/>
            <w:vAlign w:val="bottom"/>
            <w:tcBorders>
              <w:bottom w:val="single" w:sz="8" w:color="C0C0C0"/>
            </w:tcBorders>
            <w:shd w:val="clear" w:color="auto" w:fill="C0C0C0"/>
          </w:tcPr>
          <w:p>
            <w:pPr>
              <w:spacing w:after="0"/>
              <w:rPr>
                <w:sz w:val="18"/>
                <w:szCs w:val="18"/>
                <w:color w:val="auto"/>
              </w:rPr>
            </w:pP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2,187</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422,660</w:t>
            </w:r>
          </w:p>
        </w:tc>
        <w:tc>
          <w:tcPr>
            <w:tcW w:w="180" w:type="dxa"/>
            <w:vAlign w:val="bottom"/>
            <w:tcBorders>
              <w:bottom w:val="single" w:sz="8" w:color="C0C0C0"/>
            </w:tcBorders>
            <w:shd w:val="clear" w:color="auto" w:fill="C0C0C0"/>
          </w:tcPr>
          <w:p>
            <w:pPr>
              <w:spacing w:after="0"/>
              <w:rPr>
                <w:sz w:val="18"/>
                <w:szCs w:val="18"/>
                <w:color w:val="auto"/>
              </w:rPr>
            </w:pP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2,029</w:t>
            </w:r>
          </w:p>
        </w:tc>
        <w:tc>
          <w:tcPr>
            <w:tcW w:w="5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.48</w:t>
            </w:r>
          </w:p>
        </w:tc>
        <w:tc>
          <w:tcPr>
            <w:tcW w:w="1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415,468</w:t>
            </w:r>
          </w:p>
        </w:tc>
        <w:tc>
          <w:tcPr>
            <w:tcW w:w="14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2,112</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.51</w:t>
            </w: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Non-interest bearing liabilities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Demand deposits</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209,014</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192,315</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164,347</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r>
      <w:tr>
        <w:trPr>
          <w:trHeight w:val="202"/>
        </w:trPr>
        <w:tc>
          <w:tcPr>
            <w:tcW w:w="3320" w:type="dxa"/>
            <w:vAlign w:val="bottom"/>
          </w:tcPr>
          <w:p>
            <w:pPr>
              <w:ind w:left="280"/>
              <w:spacing w:after="0"/>
              <w:rPr>
                <w:sz w:val="20"/>
                <w:szCs w:val="20"/>
                <w:color w:val="auto"/>
              </w:rPr>
            </w:pPr>
            <w:r>
              <w:rPr>
                <w:rFonts w:ascii="Arial" w:cs="Arial" w:eastAsia="Arial" w:hAnsi="Arial"/>
                <w:sz w:val="14"/>
                <w:szCs w:val="14"/>
                <w:color w:val="auto"/>
              </w:rPr>
              <w:t>Accounts and drafts payable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713,052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654,845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632,604</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8"/>
        </w:trPr>
        <w:tc>
          <w:tcPr>
            <w:tcW w:w="33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4"/>
                <w:szCs w:val="14"/>
                <w:color w:val="auto"/>
              </w:rPr>
              <w:t>Other liabilities</w:t>
            </w:r>
          </w:p>
        </w:tc>
        <w:tc>
          <w:tcPr>
            <w:tcW w:w="3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36,009</w:t>
            </w:r>
          </w:p>
        </w:tc>
        <w:tc>
          <w:tcPr>
            <w:tcW w:w="16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27,594</w:t>
            </w:r>
          </w:p>
        </w:tc>
        <w:tc>
          <w:tcPr>
            <w:tcW w:w="18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29,239</w:t>
            </w:r>
          </w:p>
        </w:tc>
        <w:tc>
          <w:tcPr>
            <w:tcW w:w="14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spacing w:after="0"/>
              <w:rPr>
                <w:sz w:val="21"/>
                <w:szCs w:val="21"/>
                <w:color w:val="auto"/>
              </w:rPr>
            </w:pPr>
          </w:p>
        </w:tc>
      </w:tr>
      <w:tr>
        <w:trPr>
          <w:trHeight w:val="196"/>
        </w:trPr>
        <w:tc>
          <w:tcPr>
            <w:tcW w:w="3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liabilities</w:t>
            </w: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1,351,564</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1,297,414</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1,241,658</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Shareholders’ equity</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216,548</w:t>
            </w: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207,060</w:t>
            </w: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197,853</w:t>
            </w: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1,568,112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1,504,474</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1,439,511</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3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interest income</w:t>
            </w:r>
          </w:p>
        </w:tc>
        <w:tc>
          <w:tcPr>
            <w:tcW w:w="3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45,480</w:t>
            </w:r>
          </w:p>
        </w:tc>
        <w:tc>
          <w:tcPr>
            <w:tcW w:w="62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43,402</w:t>
            </w:r>
          </w:p>
        </w:tc>
        <w:tc>
          <w:tcPr>
            <w:tcW w:w="56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8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42,025</w:t>
            </w:r>
          </w:p>
        </w:tc>
        <w:tc>
          <w:tcPr>
            <w:tcW w:w="620" w:type="dxa"/>
            <w:vAlign w:val="bottom"/>
            <w:tcBorders>
              <w:bottom w:val="single" w:sz="8" w:color="C0C0C0"/>
            </w:tcBorders>
            <w:shd w:val="clear" w:color="auto" w:fill="C0C0C0"/>
          </w:tcPr>
          <w:p>
            <w:pPr>
              <w:spacing w:after="0"/>
              <w:rPr>
                <w:sz w:val="18"/>
                <w:szCs w:val="18"/>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Net interest margin</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41"/>
        </w:trPr>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3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Interest spread</w:t>
            </w: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2.94%</w:t>
            </w: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2.99%</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3.04%</w:t>
            </w:r>
          </w:p>
        </w:tc>
      </w:tr>
      <w:tr>
        <w:trPr>
          <w:trHeight w:val="20"/>
        </w:trPr>
        <w:tc>
          <w:tcPr>
            <w:tcW w:w="3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Balances shown are daily averages.</w:t>
      </w:r>
    </w:p>
    <w:p>
      <w:pPr>
        <w:spacing w:after="0" w:line="7" w:lineRule="exact"/>
        <w:rPr>
          <w:rFonts w:ascii="Arial" w:cs="Arial" w:eastAsia="Arial" w:hAnsi="Arial"/>
          <w:sz w:val="26"/>
          <w:szCs w:val="26"/>
          <w:b w:val="1"/>
          <w:bCs w:val="1"/>
          <w:color w:val="auto"/>
          <w:vertAlign w:val="superscript"/>
        </w:rPr>
      </w:pPr>
    </w:p>
    <w:p>
      <w:pPr>
        <w:ind w:left="220" w:hanging="212"/>
        <w:spacing w:after="0" w:line="210" w:lineRule="auto"/>
        <w:tabs>
          <w:tab w:leader="none" w:pos="22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For purposes of these computations, nonaccrual loans are included in the average loan amounts outstanding. Interest on nonaccrual loans is recorded when received as discussed further in Item 8, Note 1 of this report.</w:t>
      </w:r>
    </w:p>
    <w:p>
      <w:pPr>
        <w:spacing w:after="0" w:line="1" w:lineRule="exact"/>
        <w:rPr>
          <w:rFonts w:ascii="Arial" w:cs="Arial" w:eastAsia="Arial" w:hAnsi="Arial"/>
          <w:sz w:val="26"/>
          <w:szCs w:val="26"/>
          <w:b w:val="1"/>
          <w:bCs w:val="1"/>
          <w:color w:val="auto"/>
          <w:vertAlign w:val="superscript"/>
        </w:rPr>
      </w:pPr>
    </w:p>
    <w:p>
      <w:pPr>
        <w:ind w:left="220" w:hanging="212"/>
        <w:spacing w:after="0" w:line="180" w:lineRule="auto"/>
        <w:tabs>
          <w:tab w:leader="none" w:pos="220" w:val="left"/>
        </w:tabs>
        <w:numPr>
          <w:ilvl w:val="0"/>
          <w:numId w:val="7"/>
        </w:numPr>
        <w:rPr>
          <w:rFonts w:ascii="Arial" w:cs="Arial" w:eastAsia="Arial" w:hAnsi="Arial"/>
          <w:sz w:val="25"/>
          <w:szCs w:val="25"/>
          <w:b w:val="1"/>
          <w:bCs w:val="1"/>
          <w:color w:val="auto"/>
          <w:vertAlign w:val="superscript"/>
        </w:rPr>
      </w:pPr>
      <w:r>
        <w:rPr>
          <w:rFonts w:ascii="Arial" w:cs="Arial" w:eastAsia="Arial" w:hAnsi="Arial"/>
          <w:sz w:val="15"/>
          <w:szCs w:val="15"/>
          <w:color w:val="auto"/>
        </w:rPr>
        <w:t>Interest income on loans includes net loan fees of $415,000, $586,000, and $469,000 for 2017, 2016 and 2015, respectively.</w:t>
      </w:r>
    </w:p>
    <w:p>
      <w:pPr>
        <w:spacing w:after="0" w:line="8" w:lineRule="exact"/>
        <w:rPr>
          <w:rFonts w:ascii="Arial" w:cs="Arial" w:eastAsia="Arial" w:hAnsi="Arial"/>
          <w:sz w:val="25"/>
          <w:szCs w:val="25"/>
          <w:b w:val="1"/>
          <w:bCs w:val="1"/>
          <w:color w:val="auto"/>
          <w:vertAlign w:val="superscript"/>
        </w:rPr>
      </w:pPr>
    </w:p>
    <w:p>
      <w:pPr>
        <w:ind w:left="220" w:hanging="212"/>
        <w:spacing w:after="0" w:line="210" w:lineRule="auto"/>
        <w:tabs>
          <w:tab w:leader="none" w:pos="22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Interest income is presented on a tax-equivalent basis assuming a tax rate 35% in all years. The tax-equivalent adjustment was approximately $5,691,000, $5,500,000 and $5,427,000 for 2017, 2016 and 2015, respectively.</w:t>
      </w:r>
    </w:p>
    <w:p>
      <w:pPr>
        <w:spacing w:after="0" w:line="1" w:lineRule="exact"/>
        <w:rPr>
          <w:rFonts w:ascii="Arial" w:cs="Arial" w:eastAsia="Arial" w:hAnsi="Arial"/>
          <w:sz w:val="26"/>
          <w:szCs w:val="26"/>
          <w:b w:val="1"/>
          <w:bCs w:val="1"/>
          <w:color w:val="auto"/>
          <w:vertAlign w:val="superscript"/>
        </w:rPr>
      </w:pPr>
    </w:p>
    <w:p>
      <w:pPr>
        <w:ind w:left="220" w:hanging="212"/>
        <w:spacing w:after="0" w:line="180" w:lineRule="auto"/>
        <w:tabs>
          <w:tab w:leader="none" w:pos="220" w:val="left"/>
        </w:tabs>
        <w:numPr>
          <w:ilvl w:val="0"/>
          <w:numId w:val="7"/>
        </w:numPr>
        <w:rPr>
          <w:rFonts w:ascii="Arial" w:cs="Arial" w:eastAsia="Arial" w:hAnsi="Arial"/>
          <w:sz w:val="25"/>
          <w:szCs w:val="25"/>
          <w:b w:val="1"/>
          <w:bCs w:val="1"/>
          <w:color w:val="auto"/>
          <w:vertAlign w:val="superscript"/>
        </w:rPr>
      </w:pPr>
      <w:r>
        <w:rPr>
          <w:rFonts w:ascii="Arial" w:cs="Arial" w:eastAsia="Arial" w:hAnsi="Arial"/>
          <w:sz w:val="15"/>
          <w:szCs w:val="15"/>
          <w:color w:val="auto"/>
        </w:rPr>
        <w:t>For purposes of these computations, yields on investment securities are computed as interest income divided by the average amortized cost of the investments.</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interest income and expense between years due to changes in volume and interest rates.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2017 Over 2016</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2016 Over 2015</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31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2"/>
              <w:spacing w:after="0" w:line="310" w:lineRule="exact"/>
              <w:rPr>
                <w:sz w:val="20"/>
                <w:szCs w:val="20"/>
                <w:color w:val="auto"/>
              </w:rPr>
            </w:pPr>
            <w:r>
              <w:rPr>
                <w:rFonts w:ascii="Arial" w:cs="Arial" w:eastAsia="Arial" w:hAnsi="Arial"/>
                <w:sz w:val="18"/>
                <w:szCs w:val="18"/>
                <w:b w:val="1"/>
                <w:bCs w:val="1"/>
                <w:color w:val="auto"/>
                <w:w w:val="85"/>
              </w:rPr>
              <w:t xml:space="preserve">Volume </w:t>
            </w:r>
            <w:r>
              <w:rPr>
                <w:rFonts w:ascii="Arial" w:cs="Arial" w:eastAsia="Arial" w:hAnsi="Arial"/>
                <w:sz w:val="29"/>
                <w:szCs w:val="29"/>
                <w:b w:val="1"/>
                <w:bCs w:val="1"/>
                <w:color w:val="auto"/>
                <w:w w:val="85"/>
                <w:vertAlign w:val="superscript"/>
              </w:rPr>
              <w:t>(1)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line="310" w:lineRule="exact"/>
              <w:rPr>
                <w:sz w:val="20"/>
                <w:szCs w:val="20"/>
                <w:color w:val="auto"/>
              </w:rPr>
            </w:pPr>
            <w:r>
              <w:rPr>
                <w:rFonts w:ascii="Arial" w:cs="Arial" w:eastAsia="Arial" w:hAnsi="Arial"/>
                <w:sz w:val="18"/>
                <w:szCs w:val="18"/>
                <w:b w:val="1"/>
                <w:bCs w:val="1"/>
                <w:color w:val="auto"/>
                <w:w w:val="85"/>
              </w:rPr>
              <w:t xml:space="preserve">Rate </w:t>
            </w:r>
            <w:r>
              <w:rPr>
                <w:rFonts w:ascii="Arial" w:cs="Arial" w:eastAsia="Arial" w:hAnsi="Arial"/>
                <w:sz w:val="29"/>
                <w:szCs w:val="29"/>
                <w:b w:val="1"/>
                <w:bCs w:val="1"/>
                <w:color w:val="auto"/>
                <w:w w:val="85"/>
                <w:vertAlign w:val="superscript"/>
              </w:rPr>
              <w:t>(1)</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spacing w:after="0" w:line="310" w:lineRule="exact"/>
              <w:rPr>
                <w:sz w:val="20"/>
                <w:szCs w:val="20"/>
                <w:color w:val="auto"/>
              </w:rPr>
            </w:pPr>
            <w:r>
              <w:rPr>
                <w:rFonts w:ascii="Arial" w:cs="Arial" w:eastAsia="Arial" w:hAnsi="Arial"/>
                <w:sz w:val="18"/>
                <w:szCs w:val="18"/>
                <w:b w:val="1"/>
                <w:bCs w:val="1"/>
                <w:color w:val="auto"/>
                <w:w w:val="87"/>
              </w:rPr>
              <w:t>Volume</w:t>
            </w:r>
            <w:r>
              <w:rPr>
                <w:rFonts w:ascii="Arial" w:cs="Arial" w:eastAsia="Arial" w:hAnsi="Arial"/>
                <w:sz w:val="29"/>
                <w:szCs w:val="29"/>
                <w:b w:val="1"/>
                <w:bCs w:val="1"/>
                <w:color w:val="auto"/>
                <w:w w:val="87"/>
                <w:vertAlign w:val="superscript"/>
              </w:rPr>
              <w:t>(1)</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2"/>
              <w:spacing w:after="0" w:line="310" w:lineRule="exact"/>
              <w:rPr>
                <w:sz w:val="20"/>
                <w:szCs w:val="20"/>
                <w:color w:val="auto"/>
              </w:rPr>
            </w:pPr>
            <w:r>
              <w:rPr>
                <w:rFonts w:ascii="Arial" w:cs="Arial" w:eastAsia="Arial" w:hAnsi="Arial"/>
                <w:sz w:val="18"/>
                <w:szCs w:val="18"/>
                <w:b w:val="1"/>
                <w:bCs w:val="1"/>
                <w:color w:val="auto"/>
                <w:w w:val="79"/>
              </w:rPr>
              <w:t xml:space="preserve">Rate </w:t>
            </w:r>
            <w:r>
              <w:rPr>
                <w:rFonts w:ascii="Arial" w:cs="Arial" w:eastAsia="Arial" w:hAnsi="Arial"/>
                <w:sz w:val="29"/>
                <w:szCs w:val="29"/>
                <w:b w:val="1"/>
                <w:bCs w:val="1"/>
                <w:color w:val="auto"/>
                <w:w w:val="79"/>
                <w:vertAlign w:val="superscript"/>
              </w:rPr>
              <w:t>(1)</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237"/>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5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r>
      <w:tr>
        <w:trPr>
          <w:trHeight w:val="311"/>
        </w:trPr>
        <w:tc>
          <w:tcPr>
            <w:tcW w:w="4340" w:type="dxa"/>
            <w:vAlign w:val="bottom"/>
          </w:tcPr>
          <w:p>
            <w:pPr>
              <w:spacing w:after="0" w:line="311" w:lineRule="exact"/>
              <w:rPr>
                <w:sz w:val="20"/>
                <w:szCs w:val="20"/>
                <w:color w:val="auto"/>
              </w:rPr>
            </w:pPr>
            <w:r>
              <w:rPr>
                <w:rFonts w:ascii="Arial" w:cs="Arial" w:eastAsia="Arial" w:hAnsi="Arial"/>
                <w:sz w:val="35"/>
                <w:szCs w:val="35"/>
                <w:color w:val="auto"/>
                <w:vertAlign w:val="subscript"/>
              </w:rPr>
              <w:t>Loans</w:t>
            </w:r>
            <w:r>
              <w:rPr>
                <w:rFonts w:ascii="Arial" w:cs="Arial" w:eastAsia="Arial" w:hAnsi="Arial"/>
                <w:sz w:val="15"/>
                <w:szCs w:val="15"/>
                <w:b w:val="1"/>
                <w:bCs w:val="1"/>
                <w:color w:val="auto"/>
              </w:rPr>
              <w:t xml:space="preserve"> (2), (3)</w:t>
            </w:r>
            <w:r>
              <w:rPr>
                <w:rFonts w:ascii="Arial" w:cs="Arial" w:eastAsia="Arial" w:hAnsi="Arial"/>
                <w:sz w:val="35"/>
                <w:szCs w:val="35"/>
                <w:color w:val="auto"/>
                <w:vertAlign w:val="subscript"/>
              </w:rPr>
              <w:t>:</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7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469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457</w:t>
            </w:r>
          </w:p>
        </w:tc>
      </w:tr>
      <w:tr>
        <w:trPr>
          <w:trHeight w:val="311"/>
        </w:trPr>
        <w:tc>
          <w:tcPr>
            <w:tcW w:w="4340" w:type="dxa"/>
            <w:vAlign w:val="bottom"/>
          </w:tcPr>
          <w:p>
            <w:pPr>
              <w:ind w:left="280"/>
              <w:spacing w:after="0" w:line="310"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24"/>
                <w:szCs w:val="24"/>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Securities:</w:t>
            </w:r>
          </w:p>
        </w:tc>
        <w:tc>
          <w:tcPr>
            <w:tcW w:w="5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Taxable</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0"/>
                <w:szCs w:val="20"/>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318"/>
        </w:trPr>
        <w:tc>
          <w:tcPr>
            <w:tcW w:w="434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5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2,291</w:t>
            </w:r>
          </w:p>
        </w:tc>
        <w:tc>
          <w:tcPr>
            <w:tcW w:w="360" w:type="dxa"/>
            <w:vAlign w:val="bottom"/>
            <w:shd w:val="clear" w:color="auto" w:fill="C0C0C0"/>
          </w:tcPr>
          <w:p>
            <w:pPr>
              <w:spacing w:after="0"/>
              <w:rPr>
                <w:sz w:val="24"/>
                <w:szCs w:val="24"/>
                <w:color w:val="auto"/>
              </w:rPr>
            </w:pPr>
          </w:p>
        </w:tc>
        <w:tc>
          <w:tcPr>
            <w:tcW w:w="9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C0C0C0"/>
          </w:tcPr>
          <w:p>
            <w:pPr>
              <w:spacing w:after="0"/>
              <w:rPr>
                <w:sz w:val="24"/>
                <w:szCs w:val="24"/>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1,202</w:t>
            </w:r>
          </w:p>
        </w:tc>
        <w:tc>
          <w:tcPr>
            <w:tcW w:w="28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789</w:t>
            </w:r>
          </w:p>
        </w:tc>
        <w:tc>
          <w:tcPr>
            <w:tcW w:w="360" w:type="dxa"/>
            <w:vAlign w:val="bottom"/>
            <w:shd w:val="clear" w:color="auto" w:fill="C0C0C0"/>
          </w:tcPr>
          <w:p>
            <w:pPr>
              <w:spacing w:after="0"/>
              <w:rPr>
                <w:sz w:val="24"/>
                <w:szCs w:val="24"/>
                <w:color w:val="auto"/>
              </w:rPr>
            </w:pPr>
          </w:p>
        </w:tc>
        <w:tc>
          <w:tcPr>
            <w:tcW w:w="92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0C0C0"/>
          </w:tcPr>
          <w:p>
            <w:pPr>
              <w:spacing w:after="0"/>
              <w:rPr>
                <w:sz w:val="24"/>
                <w:szCs w:val="24"/>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305</w:t>
            </w: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0"/>
                <w:szCs w:val="20"/>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51"/>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5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w:t>
            </w:r>
          </w:p>
        </w:tc>
      </w:tr>
      <w:tr>
        <w:trPr>
          <w:trHeight w:val="237"/>
        </w:trPr>
        <w:tc>
          <w:tcPr>
            <w:tcW w:w="43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Federal funds sold and other short-term investments</w:t>
            </w:r>
          </w:p>
        </w:tc>
        <w:tc>
          <w:tcPr>
            <w:tcW w:w="54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816</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879</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278</w:t>
            </w:r>
          </w:p>
        </w:tc>
      </w:tr>
      <w:tr>
        <w:trPr>
          <w:trHeight w:val="243"/>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7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1,961</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2,236</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1,216</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1,294</w:t>
            </w:r>
          </w:p>
        </w:tc>
      </w:tr>
      <w:tr>
        <w:trPr>
          <w:trHeight w:val="215"/>
        </w:trPr>
        <w:tc>
          <w:tcPr>
            <w:tcW w:w="4340" w:type="dxa"/>
            <w:vAlign w:val="bottom"/>
          </w:tcPr>
          <w:p>
            <w:pPr>
              <w:spacing w:after="0"/>
              <w:rPr>
                <w:sz w:val="20"/>
                <w:szCs w:val="20"/>
                <w:color w:val="auto"/>
              </w:rPr>
            </w:pPr>
            <w:r>
              <w:rPr>
                <w:rFonts w:ascii="Arial" w:cs="Arial" w:eastAsia="Arial" w:hAnsi="Arial"/>
                <w:sz w:val="18"/>
                <w:szCs w:val="18"/>
                <w:color w:val="auto"/>
              </w:rPr>
              <w:t>Interest expense on:</w:t>
            </w: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51"/>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7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222</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51"/>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&gt;=$250</w:t>
            </w:r>
          </w:p>
        </w:tc>
        <w:tc>
          <w:tcPr>
            <w:tcW w:w="5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(8)</w:t>
            </w: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0"/>
                <w:szCs w:val="20"/>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1"/>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Short-term borrowings</w:t>
            </w:r>
          </w:p>
        </w:tc>
        <w:tc>
          <w:tcPr>
            <w:tcW w:w="54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Total interest expense</w:t>
            </w:r>
          </w:p>
        </w:tc>
        <w:tc>
          <w:tcPr>
            <w:tcW w:w="54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43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780" w:type="dxa"/>
            <w:vAlign w:val="bottom"/>
            <w:tcBorders>
              <w:bottom w:val="single" w:sz="8" w:color="auto"/>
            </w:tcBorders>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2,105</w:t>
            </w: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2,078</w:t>
            </w:r>
          </w:p>
        </w:tc>
        <w:tc>
          <w:tcPr>
            <w:tcW w:w="500" w:type="dxa"/>
            <w:vAlign w:val="bottom"/>
            <w:tcBorders>
              <w:bottom w:val="single" w:sz="8" w:color="auto"/>
            </w:tcBorders>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1,232</w:t>
            </w: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1,377</w:t>
            </w:r>
          </w:p>
        </w:tc>
      </w:tr>
    </w:tbl>
    <w:p>
      <w:pPr>
        <w:spacing w:after="0" w:line="13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26"/>
          <w:szCs w:val="26"/>
          <w:b w:val="1"/>
          <w:bCs w:val="1"/>
          <w:color w:val="auto"/>
          <w:vertAlign w:val="superscript"/>
        </w:rPr>
      </w:pPr>
      <w:r>
        <w:rPr>
          <w:rFonts w:ascii="Arial" w:cs="Arial" w:eastAsia="Arial" w:hAnsi="Arial"/>
          <w:sz w:val="16"/>
          <w:szCs w:val="16"/>
          <w:color w:val="auto"/>
        </w:rPr>
        <w:t>The change in interest due to the combined rate/volume variance has been allocated in proportion to the absolute dollar amounts of the change in each.</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8"/>
        </w:numPr>
        <w:rPr>
          <w:rFonts w:ascii="Arial" w:cs="Arial" w:eastAsia="Arial" w:hAnsi="Arial"/>
          <w:sz w:val="24"/>
          <w:szCs w:val="24"/>
          <w:b w:val="1"/>
          <w:bCs w:val="1"/>
          <w:color w:val="auto"/>
          <w:vertAlign w:val="superscript"/>
        </w:rPr>
      </w:pPr>
      <w:r>
        <w:rPr>
          <w:rFonts w:ascii="Arial" w:cs="Arial" w:eastAsia="Arial" w:hAnsi="Arial"/>
          <w:sz w:val="15"/>
          <w:szCs w:val="15"/>
          <w:color w:val="auto"/>
        </w:rPr>
        <w:t>Average balances include nonaccrual loans.</w:t>
      </w:r>
    </w:p>
    <w:p>
      <w:pPr>
        <w:spacing w:after="0" w:line="7" w:lineRule="exact"/>
        <w:rPr>
          <w:rFonts w:ascii="Arial" w:cs="Arial" w:eastAsia="Arial" w:hAnsi="Arial"/>
          <w:sz w:val="24"/>
          <w:szCs w:val="24"/>
          <w:b w:val="1"/>
          <w:bCs w:val="1"/>
          <w:color w:val="auto"/>
          <w:vertAlign w:val="superscript"/>
        </w:rPr>
      </w:pPr>
    </w:p>
    <w:p>
      <w:pPr>
        <w:ind w:left="220" w:hanging="212"/>
        <w:spacing w:after="0" w:line="181" w:lineRule="auto"/>
        <w:tabs>
          <w:tab w:leader="none" w:pos="220" w:val="left"/>
        </w:tabs>
        <w:numPr>
          <w:ilvl w:val="0"/>
          <w:numId w:val="8"/>
        </w:numPr>
        <w:rPr>
          <w:rFonts w:ascii="Arial" w:cs="Arial" w:eastAsia="Arial" w:hAnsi="Arial"/>
          <w:sz w:val="24"/>
          <w:szCs w:val="24"/>
          <w:b w:val="1"/>
          <w:bCs w:val="1"/>
          <w:color w:val="auto"/>
          <w:vertAlign w:val="superscript"/>
        </w:rPr>
      </w:pPr>
      <w:r>
        <w:rPr>
          <w:rFonts w:ascii="Arial" w:cs="Arial" w:eastAsia="Arial" w:hAnsi="Arial"/>
          <w:sz w:val="15"/>
          <w:szCs w:val="15"/>
          <w:color w:val="auto"/>
        </w:rPr>
        <w:t>Interest income includes net loan fees.</w:t>
      </w:r>
    </w:p>
    <w:p>
      <w:pPr>
        <w:spacing w:after="0" w:line="7" w:lineRule="exact"/>
        <w:rPr>
          <w:rFonts w:ascii="Arial" w:cs="Arial" w:eastAsia="Arial" w:hAnsi="Arial"/>
          <w:sz w:val="24"/>
          <w:szCs w:val="24"/>
          <w:b w:val="1"/>
          <w:bCs w:val="1"/>
          <w:color w:val="auto"/>
          <w:vertAlign w:val="superscript"/>
        </w:rPr>
      </w:pPr>
    </w:p>
    <w:p>
      <w:pPr>
        <w:ind w:left="220" w:hanging="212"/>
        <w:spacing w:after="0" w:line="181" w:lineRule="auto"/>
        <w:tabs>
          <w:tab w:leader="none" w:pos="220" w:val="left"/>
        </w:tabs>
        <w:numPr>
          <w:ilvl w:val="0"/>
          <w:numId w:val="8"/>
        </w:numPr>
        <w:rPr>
          <w:rFonts w:ascii="Arial" w:cs="Arial" w:eastAsia="Arial" w:hAnsi="Arial"/>
          <w:sz w:val="24"/>
          <w:szCs w:val="24"/>
          <w:b w:val="1"/>
          <w:bCs w:val="1"/>
          <w:color w:val="auto"/>
          <w:vertAlign w:val="superscript"/>
        </w:rPr>
      </w:pPr>
      <w:r>
        <w:rPr>
          <w:rFonts w:ascii="Arial" w:cs="Arial" w:eastAsia="Arial" w:hAnsi="Arial"/>
          <w:sz w:val="15"/>
          <w:szCs w:val="15"/>
          <w:color w:val="auto"/>
        </w:rPr>
        <w:t>Interest income is presented on a tax-equivalent basis assuming a tax rate of 35% in all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earned on the loan portfolio is a primary source of income for the Company. The loan portfolio was $686,231,000 and represented 43% of the Company's total assets as of December 31, 2017 and generated $28,641,000 in revenue during the year then ended. The Company had no sub-prime mortgage loans or residential development loans in its portfolio for any of the years presented. The following tables show the composition of the loan portfolio at the end of the periods indicated and remaining maturities for loans as of December 31,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r>
              <w:rPr>
                <w:rFonts w:ascii="Arial" w:cs="Arial" w:eastAsia="Arial" w:hAnsi="Arial"/>
                <w:sz w:val="18"/>
                <w:szCs w:val="18"/>
                <w:b w:val="1"/>
                <w:bCs w:val="1"/>
                <w:color w:val="auto"/>
              </w:rPr>
              <w:t>Loans by Type</w:t>
            </w:r>
          </w:p>
        </w:tc>
        <w:tc>
          <w:tcPr>
            <w:tcW w:w="1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3"/>
              </w:rPr>
              <w:t>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8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236,394</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214,767</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193,430</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203,350</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171,304</w:t>
            </w:r>
          </w:p>
        </w:tc>
        <w:tc>
          <w:tcPr>
            <w:tcW w:w="20" w:type="dxa"/>
            <w:vAlign w:val="bottom"/>
          </w:tcPr>
          <w:p>
            <w:pPr>
              <w:spacing w:after="0"/>
              <w:rPr>
                <w:sz w:val="21"/>
                <w:szCs w:val="2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Real estate (commercial and church):</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Mortgage</w:t>
            </w:r>
          </w:p>
        </w:tc>
        <w:tc>
          <w:tcPr>
            <w:tcW w:w="17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410,748</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425,947</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415,564</w:t>
            </w:r>
          </w:p>
        </w:tc>
        <w:tc>
          <w:tcPr>
            <w:tcW w:w="2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423,641</w:t>
            </w:r>
          </w:p>
        </w:tc>
        <w:tc>
          <w:tcPr>
            <w:tcW w:w="3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455,190</w:t>
            </w:r>
          </w:p>
        </w:tc>
        <w:tc>
          <w:tcPr>
            <w:tcW w:w="20" w:type="dxa"/>
            <w:vAlign w:val="bottom"/>
          </w:tcPr>
          <w:p>
            <w:pPr>
              <w:spacing w:after="0"/>
              <w:rPr>
                <w:sz w:val="21"/>
                <w:szCs w:val="21"/>
                <w:color w:val="auto"/>
              </w:rPr>
            </w:pPr>
          </w:p>
        </w:tc>
      </w:tr>
      <w:tr>
        <w:trPr>
          <w:trHeight w:val="235"/>
        </w:trPr>
        <w:tc>
          <w:tcPr>
            <w:tcW w:w="412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35,307</w:t>
            </w: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17,477</w:t>
            </w:r>
          </w:p>
        </w:tc>
        <w:tc>
          <w:tcPr>
            <w:tcW w:w="34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30,139</w:t>
            </w:r>
          </w:p>
        </w:tc>
        <w:tc>
          <w:tcPr>
            <w:tcW w:w="2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18,612</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16,449</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17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3,374</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6,639</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19,831</w:t>
            </w:r>
          </w:p>
        </w:tc>
        <w:tc>
          <w:tcPr>
            <w:tcW w:w="2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23,348</w:t>
            </w:r>
          </w:p>
        </w:tc>
        <w:tc>
          <w:tcPr>
            <w:tcW w:w="3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9,167</w:t>
            </w:r>
          </w:p>
        </w:tc>
        <w:tc>
          <w:tcPr>
            <w:tcW w:w="20" w:type="dxa"/>
            <w:vAlign w:val="bottom"/>
          </w:tcPr>
          <w:p>
            <w:pPr>
              <w:spacing w:after="0"/>
              <w:rPr>
                <w:sz w:val="21"/>
                <w:szCs w:val="2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37"/>
        </w:trPr>
        <w:tc>
          <w:tcPr>
            <w:tcW w:w="412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loans</w:t>
            </w:r>
          </w:p>
        </w:tc>
        <w:tc>
          <w:tcPr>
            <w:tcW w:w="1880" w:type="dxa"/>
            <w:vAlign w:val="bottom"/>
            <w:tcBorders>
              <w:top w:val="single" w:sz="8" w:color="auto"/>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686,231</w:t>
            </w:r>
          </w:p>
        </w:tc>
        <w:tc>
          <w:tcPr>
            <w:tcW w:w="3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664,866</w:t>
            </w:r>
          </w:p>
        </w:tc>
        <w:tc>
          <w:tcPr>
            <w:tcW w:w="3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659,055</w:t>
            </w:r>
          </w:p>
        </w:tc>
        <w:tc>
          <w:tcPr>
            <w:tcW w:w="28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669,346</w:t>
            </w:r>
          </w:p>
        </w:tc>
        <w:tc>
          <w:tcPr>
            <w:tcW w:w="3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652,177</w:t>
            </w:r>
          </w:p>
        </w:tc>
        <w:tc>
          <w:tcPr>
            <w:tcW w:w="20" w:type="dxa"/>
            <w:vAlign w:val="bottom"/>
          </w:tcPr>
          <w:p>
            <w:pPr>
              <w:spacing w:after="0"/>
              <w:rPr>
                <w:sz w:val="20"/>
                <w:szCs w:val="20"/>
                <w:color w:val="auto"/>
              </w:rPr>
            </w:pPr>
          </w:p>
        </w:tc>
      </w:tr>
      <w:tr>
        <w:trPr>
          <w:trHeight w:val="430"/>
        </w:trPr>
        <w:tc>
          <w:tcPr>
            <w:tcW w:w="4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1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Loans by Maturity</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One Year</w:t>
            </w:r>
          </w:p>
        </w:tc>
        <w:tc>
          <w:tcPr>
            <w:tcW w:w="260" w:type="dxa"/>
            <w:vAlign w:val="bottom"/>
          </w:tcPr>
          <w:p>
            <w:pPr>
              <w:spacing w:after="0"/>
              <w:rPr>
                <w:sz w:val="21"/>
                <w:szCs w:val="21"/>
                <w:color w:val="auto"/>
              </w:rPr>
            </w:pPr>
          </w:p>
        </w:tc>
        <w:tc>
          <w:tcPr>
            <w:tcW w:w="1880" w:type="dxa"/>
            <w:vAlign w:val="bottom"/>
            <w:gridSpan w:val="3"/>
          </w:tcPr>
          <w:p>
            <w:pPr>
              <w:jc w:val="right"/>
              <w:ind w:right="532"/>
              <w:spacing w:after="0"/>
              <w:rPr>
                <w:sz w:val="20"/>
                <w:szCs w:val="20"/>
                <w:color w:val="auto"/>
              </w:rPr>
            </w:pPr>
            <w:r>
              <w:rPr>
                <w:rFonts w:ascii="Arial" w:cs="Arial" w:eastAsia="Arial" w:hAnsi="Arial"/>
                <w:sz w:val="18"/>
                <w:szCs w:val="18"/>
                <w:b w:val="1"/>
                <w:bCs w:val="1"/>
                <w:color w:val="auto"/>
              </w:rPr>
              <w:t>Over 1 Year</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Over</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2"/>
        </w:trPr>
        <w:tc>
          <w:tcPr>
            <w:tcW w:w="1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8"/>
                <w:szCs w:val="18"/>
                <w:b w:val="1"/>
                <w:bCs w:val="1"/>
                <w:color w:val="auto"/>
              </w:rPr>
              <w:t>Or Less</w:t>
            </w: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w w:val="99"/>
              </w:rPr>
              <w:t>Through 5 Years</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rPr>
              <w:t>5 Years</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8"/>
        </w:trPr>
        <w:tc>
          <w:tcPr>
            <w:tcW w:w="1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w w:val="97"/>
              </w:rPr>
              <w:t>Fixed</w:t>
            </w:r>
          </w:p>
        </w:tc>
        <w:tc>
          <w:tcPr>
            <w:tcW w:w="2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Floating</w:t>
            </w:r>
          </w:p>
        </w:tc>
        <w:tc>
          <w:tcPr>
            <w:tcW w:w="26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Fixed</w:t>
            </w:r>
          </w:p>
        </w:tc>
        <w:tc>
          <w:tcPr>
            <w:tcW w:w="2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w w:val="85"/>
              </w:rPr>
              <w:t>Floating</w:t>
            </w:r>
          </w:p>
        </w:tc>
        <w:tc>
          <w:tcPr>
            <w:tcW w:w="28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Fixed</w:t>
            </w:r>
          </w:p>
        </w:tc>
        <w:tc>
          <w:tcPr>
            <w:tcW w:w="20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Floating</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25"/>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2"/>
              <w:spacing w:after="0" w:line="326" w:lineRule="exact"/>
              <w:rPr>
                <w:sz w:val="20"/>
                <w:szCs w:val="20"/>
                <w:color w:val="auto"/>
              </w:rPr>
            </w:pPr>
            <w:r>
              <w:rPr>
                <w:rFonts w:ascii="Arial" w:cs="Arial" w:eastAsia="Arial" w:hAnsi="Arial"/>
                <w:sz w:val="18"/>
                <w:szCs w:val="18"/>
                <w:b w:val="1"/>
                <w:bCs w:val="1"/>
                <w:color w:val="auto"/>
                <w:w w:val="85"/>
              </w:rPr>
              <w:t xml:space="preserve">Rate </w:t>
            </w:r>
            <w:r>
              <w:rPr>
                <w:rFonts w:ascii="Arial" w:cs="Arial" w:eastAsia="Arial" w:hAnsi="Arial"/>
                <w:sz w:val="29"/>
                <w:szCs w:val="29"/>
                <w:b w:val="1"/>
                <w:bCs w:val="1"/>
                <w:color w:val="auto"/>
                <w:w w:val="85"/>
                <w:vertAlign w:val="superscript"/>
              </w:rPr>
              <w:t>(1)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2"/>
              <w:spacing w:after="0" w:line="326" w:lineRule="exact"/>
              <w:rPr>
                <w:sz w:val="20"/>
                <w:szCs w:val="20"/>
                <w:color w:val="auto"/>
              </w:rPr>
            </w:pPr>
            <w:r>
              <w:rPr>
                <w:rFonts w:ascii="Arial" w:cs="Arial" w:eastAsia="Arial" w:hAnsi="Arial"/>
                <w:sz w:val="18"/>
                <w:szCs w:val="18"/>
                <w:b w:val="1"/>
                <w:bCs w:val="1"/>
                <w:color w:val="auto"/>
                <w:w w:val="82"/>
              </w:rPr>
              <w:t xml:space="preserve">Rate </w:t>
            </w:r>
            <w:r>
              <w:rPr>
                <w:rFonts w:ascii="Arial" w:cs="Arial" w:eastAsia="Arial" w:hAnsi="Arial"/>
                <w:sz w:val="29"/>
                <w:szCs w:val="29"/>
                <w:b w:val="1"/>
                <w:bCs w:val="1"/>
                <w:color w:val="auto"/>
                <w:w w:val="82"/>
                <w:vertAlign w:val="superscript"/>
              </w:rPr>
              <w:t>(1)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2"/>
              <w:spacing w:after="0" w:line="326" w:lineRule="exact"/>
              <w:rPr>
                <w:sz w:val="20"/>
                <w:szCs w:val="20"/>
                <w:color w:val="auto"/>
              </w:rPr>
            </w:pPr>
            <w:r>
              <w:rPr>
                <w:rFonts w:ascii="Arial" w:cs="Arial" w:eastAsia="Arial" w:hAnsi="Arial"/>
                <w:sz w:val="18"/>
                <w:szCs w:val="18"/>
                <w:b w:val="1"/>
                <w:bCs w:val="1"/>
                <w:color w:val="auto"/>
                <w:w w:val="85"/>
              </w:rPr>
              <w:t xml:space="preserve">Rate </w:t>
            </w:r>
            <w:r>
              <w:rPr>
                <w:rFonts w:ascii="Arial" w:cs="Arial" w:eastAsia="Arial" w:hAnsi="Arial"/>
                <w:sz w:val="29"/>
                <w:szCs w:val="29"/>
                <w:b w:val="1"/>
                <w:bCs w:val="1"/>
                <w:color w:val="auto"/>
                <w:w w:val="85"/>
                <w:vertAlign w:val="superscript"/>
              </w:rPr>
              <w:t>(1)</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r>
      <w:tr>
        <w:trPr>
          <w:trHeight w:val="237"/>
        </w:trPr>
        <w:tc>
          <w:tcPr>
            <w:tcW w:w="3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2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7,524</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66,574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66,735</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42,466</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31,655</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21,440</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r>
      <w:tr>
        <w:trPr>
          <w:trHeight w:val="235"/>
        </w:trPr>
        <w:tc>
          <w:tcPr>
            <w:tcW w:w="30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30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45,089</w:t>
            </w: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4,542</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267,081</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9,147</w:t>
            </w:r>
          </w:p>
        </w:tc>
        <w:tc>
          <w:tcPr>
            <w:tcW w:w="2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77,954</w:t>
            </w:r>
          </w:p>
        </w:tc>
        <w:tc>
          <w:tcPr>
            <w:tcW w:w="2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6,935</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410,748</w:t>
            </w:r>
          </w:p>
        </w:tc>
      </w:tr>
      <w:tr>
        <w:trPr>
          <w:trHeight w:val="235"/>
        </w:trPr>
        <w:tc>
          <w:tcPr>
            <w:tcW w:w="3020" w:type="dxa"/>
            <w:vAlign w:val="bottom"/>
            <w:gridSpan w:val="2"/>
          </w:tcPr>
          <w:p>
            <w:pPr>
              <w:ind w:left="280"/>
              <w:spacing w:after="0"/>
              <w:rPr>
                <w:sz w:val="20"/>
                <w:szCs w:val="20"/>
                <w:color w:val="auto"/>
              </w:rPr>
            </w:pPr>
            <w:r>
              <w:rPr>
                <w:rFonts w:ascii="Arial" w:cs="Arial" w:eastAsia="Arial" w:hAnsi="Arial"/>
                <w:sz w:val="18"/>
                <w:szCs w:val="18"/>
                <w:color w:val="auto"/>
              </w:rPr>
              <w:t>Construction</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15,230</w:t>
            </w:r>
          </w:p>
        </w:tc>
        <w:tc>
          <w:tcPr>
            <w:tcW w:w="2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8,768</w:t>
            </w: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8,927</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35,307</w:t>
            </w:r>
          </w:p>
        </w:tc>
      </w:tr>
      <w:tr>
        <w:trPr>
          <w:trHeight w:val="251"/>
        </w:trPr>
        <w:tc>
          <w:tcPr>
            <w:tcW w:w="3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3,168</w:t>
            </w: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r>
      <w:tr>
        <w:trPr>
          <w:trHeight w:val="237"/>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30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 loans</w:t>
            </w:r>
          </w:p>
        </w:tc>
        <w:tc>
          <w:tcPr>
            <w:tcW w:w="128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71,011</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72,726</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342,790</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51,613</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110,789</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37,302</w:t>
            </w: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r>
    </w:tbl>
    <w:p>
      <w:pPr>
        <w:spacing w:after="0" w:line="13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have been classified as having "floating" interest rates if the rate specified in the loan varies with the prime commercial rate of interest.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 concentrations of loans exceeding 10% of total loans, which are not otherwise disclosed in the loan portfolio composition table and as are discussed in Item 8, Note 4, of this report. As can be seen in the loan composition table above and as discussed in Item 8, Note 4, the Company's primary market niche for banking services is privately held businesses and churches and church-related ministries.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$250,000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changes from December 31, 2016 to December 31, 2017:</w:t>
      </w:r>
    </w:p>
    <w:p>
      <w:pPr>
        <w:spacing w:after="0" w:line="225"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Total loans increased $21,365,000, or 3%, to $686,231,000. Additional details regarding the types and maturities of loans in the loan portfolio are contained in the tables above and in Item 8, Note 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changes from December 31, 2015 to December 31, 2016:</w:t>
      </w:r>
    </w:p>
    <w:p>
      <w:pPr>
        <w:spacing w:after="0" w:line="225"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Total loans increased $5,811,000, or 1%, to $664,866,000. Additional details regarding the types and maturities of loans in the loan portfolio are contained in the tables above and in Item 8, Note 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recorded no provision for loan losses in 2017, ($1,500,000) in 2016 and ($850,000) in 2015. The amount of the provisions for loan losses was derived from the Company’s quarterly analysis of the ALLL. The amount of the provision will fluctuate as determined by these quarterly analyses. The Company had net loan recoveries of $30,000, $40,000, and $591,000 in 2017, 2016, and 2015, respectively. The ALLL was $10,205,000 at December 31, 2017 compared to $10,175,000 at December 31, 2016 and $11,635,000 at December 31, 2015. The year-end 2017 and 2016 allowance represented 1.5% of outstanding loans, while the allowance represented 1.8% of outstanding loans at year-end 2015. From December 31, 2016 to December 31, 2017, the level of nonperforming loans decreased from $245,000 to $0. Nonperforming loans are more fully explained in the section entitled “Nonperforming Assets.”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 </w:t>
      </w:r>
      <w:r>
        <w:rPr>
          <w:rFonts w:ascii="Arial" w:cs="Arial" w:eastAsia="Arial" w:hAnsi="Arial"/>
          <w:sz w:val="18"/>
          <w:szCs w:val="18"/>
          <w:i w:val="1"/>
          <w:iCs w:val="1"/>
          <w:color w:val="auto"/>
        </w:rPr>
        <w:t>Allowance for Credit Losses</w:t>
      </w:r>
      <w:r>
        <w:rPr>
          <w:rFonts w:ascii="Arial" w:cs="Arial" w:eastAsia="Arial" w:hAnsi="Arial"/>
          <w:sz w:val="18"/>
          <w:szCs w:val="18"/>
          <w:color w:val="auto"/>
        </w:rPr>
        <w:t xml:space="preserve"> and 2) estimated credit losses inherent in the remainder of the loan portfolio in accordance with FASB ASC 450 - </w:t>
      </w:r>
      <w:r>
        <w:rPr>
          <w:rFonts w:ascii="Arial" w:cs="Arial" w:eastAsia="Arial" w:hAnsi="Arial"/>
          <w:sz w:val="18"/>
          <w:szCs w:val="18"/>
          <w:i w:val="1"/>
          <w:iCs w:val="1"/>
          <w:color w:val="auto"/>
        </w:rPr>
        <w:t>Contingencies</w:t>
      </w:r>
      <w:r>
        <w:rPr>
          <w:rFonts w:ascii="Arial" w:cs="Arial" w:eastAsia="Arial" w:hAnsi="Arial"/>
          <w:sz w:val="18"/>
          <w:szCs w:val="18"/>
          <w:color w:val="auto"/>
        </w:rPr>
        <w:t>. Estimated credit losses is an estimate of the current amount of loans that is probable the Company will be unable to collect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terms.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values, trends in credit quality at the Company and in the banking industry and trends in risk-rating agencies are also considered.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summarizes activity in the ALLL and the allocation of the allowance to the Company’s loan categories.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20"/>
                <w:szCs w:val="20"/>
                <w:color w:val="auto"/>
              </w:rPr>
            </w:pPr>
            <w:r>
              <w:rPr>
                <w:rFonts w:ascii="Arial" w:cs="Arial" w:eastAsia="Arial" w:hAnsi="Arial"/>
                <w:sz w:val="18"/>
                <w:szCs w:val="18"/>
                <w:b w:val="1"/>
                <w:bCs w:val="1"/>
                <w:color w:val="auto"/>
              </w:rPr>
              <w:t>Summary of Loan Loss Experience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55"/>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7"/>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r>
      <w:tr>
        <w:trPr>
          <w:trHeight w:val="243"/>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year</w:t>
            </w: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10,175</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11,635</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11,894</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11,679</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12,357</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Loans charged-off:</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1,307</w:t>
            </w:r>
          </w:p>
        </w:tc>
      </w:tr>
      <w:tr>
        <w:trPr>
          <w:trHeight w:val="235"/>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(commercial and church):</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2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233</w:t>
            </w:r>
          </w:p>
        </w:tc>
      </w:tr>
      <w:tr>
        <w:trPr>
          <w:trHeight w:val="235"/>
        </w:trPr>
        <w:tc>
          <w:tcPr>
            <w:tcW w:w="528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44"/>
        </w:trPr>
        <w:tc>
          <w:tcPr>
            <w:tcW w:w="52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1,540</w:t>
            </w:r>
          </w:p>
        </w:tc>
      </w:tr>
      <w:tr>
        <w:trPr>
          <w:trHeight w:val="243"/>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Recoveries of loans previously charged-off:</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280" w:type="dxa"/>
            <w:vAlign w:val="bottom"/>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47</w:t>
            </w:r>
          </w:p>
        </w:tc>
      </w:tr>
      <w:tr>
        <w:trPr>
          <w:trHeight w:val="251"/>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Real estate (commercial and church):</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280" w:type="dxa"/>
            <w:vAlign w:val="bottom"/>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315</w:t>
            </w:r>
          </w:p>
        </w:tc>
      </w:tr>
      <w:tr>
        <w:trPr>
          <w:trHeight w:val="251"/>
        </w:trPr>
        <w:tc>
          <w:tcPr>
            <w:tcW w:w="52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recoveries of loans previously charged-off</w:t>
            </w:r>
          </w:p>
        </w:tc>
        <w:tc>
          <w:tcPr>
            <w:tcW w:w="20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621</w:t>
            </w:r>
          </w:p>
        </w:tc>
        <w:tc>
          <w:tcPr>
            <w:tcW w:w="30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362</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Net loans (recovered) charged-off</w:t>
            </w:r>
          </w:p>
        </w:tc>
        <w:tc>
          <w:tcPr>
            <w:tcW w:w="20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1,178</w:t>
            </w:r>
          </w:p>
        </w:tc>
      </w:tr>
      <w:tr>
        <w:trPr>
          <w:trHeight w:val="244"/>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Provision (credited) charged to expense</w:t>
            </w: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(1,500)</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500</w:t>
            </w:r>
          </w:p>
        </w:tc>
      </w:tr>
      <w:tr>
        <w:trPr>
          <w:trHeight w:val="23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year</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10,205</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10,175</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11,635</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11,894</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11,679</w:t>
            </w:r>
          </w:p>
        </w:tc>
      </w:tr>
      <w:tr>
        <w:trPr>
          <w:trHeight w:val="243"/>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280" w:type="dxa"/>
            <w:vAlign w:val="bottom"/>
          </w:tcPr>
          <w:p>
            <w:pPr>
              <w:ind w:left="540"/>
              <w:spacing w:after="0"/>
              <w:rPr>
                <w:sz w:val="20"/>
                <w:szCs w:val="20"/>
                <w:color w:val="auto"/>
              </w:rPr>
            </w:pPr>
            <w:r>
              <w:rPr>
                <w:rFonts w:ascii="Arial" w:cs="Arial" w:eastAsia="Arial" w:hAnsi="Arial"/>
                <w:sz w:val="18"/>
                <w:szCs w:val="18"/>
                <w:color w:val="auto"/>
              </w:rPr>
              <w:t>Average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663,653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678,061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671,019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663,824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659,422</w:t>
            </w:r>
          </w:p>
        </w:tc>
      </w:tr>
      <w:tr>
        <w:trPr>
          <w:trHeight w:val="251"/>
        </w:trPr>
        <w:tc>
          <w:tcPr>
            <w:tcW w:w="5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December 31</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686,231</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664,866</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659,055</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669,346</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652,177</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Ratio of allowance for loan losses to loans outstanding:</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Average</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1.77%</w:t>
            </w:r>
          </w:p>
        </w:tc>
      </w:tr>
      <w:tr>
        <w:trPr>
          <w:trHeight w:val="235"/>
        </w:trPr>
        <w:tc>
          <w:tcPr>
            <w:tcW w:w="5280" w:type="dxa"/>
            <w:vAlign w:val="bottom"/>
          </w:tcPr>
          <w:p>
            <w:pPr>
              <w:ind w:left="54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4"/>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Ratio of net (recoveries) charge-offs to average loans outstanding</w:t>
            </w: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311"/>
        </w:trPr>
        <w:tc>
          <w:tcPr>
            <w:tcW w:w="5280" w:type="dxa"/>
            <w:vAlign w:val="bottom"/>
          </w:tcPr>
          <w:p>
            <w:pPr>
              <w:spacing w:after="0" w:line="310" w:lineRule="exact"/>
              <w:rPr>
                <w:sz w:val="20"/>
                <w:szCs w:val="20"/>
                <w:color w:val="auto"/>
              </w:rPr>
            </w:pPr>
            <w:r>
              <w:rPr>
                <w:rFonts w:ascii="Arial" w:cs="Arial" w:eastAsia="Arial" w:hAnsi="Arial"/>
                <w:sz w:val="18"/>
                <w:szCs w:val="18"/>
                <w:color w:val="auto"/>
              </w:rPr>
              <w:t xml:space="preserve">Allocation of allowance for loan losses </w:t>
            </w:r>
            <w:r>
              <w:rPr>
                <w:rFonts w:ascii="Arial" w:cs="Arial" w:eastAsia="Arial" w:hAnsi="Arial"/>
                <w:sz w:val="29"/>
                <w:szCs w:val="29"/>
                <w:b w:val="1"/>
                <w:bCs w:val="1"/>
                <w:color w:val="auto"/>
                <w:vertAlign w:val="superscript"/>
              </w:rPr>
              <w:t>(1)</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3,652</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3,261</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3,083</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3,515</w:t>
            </w:r>
          </w:p>
        </w:tc>
        <w:tc>
          <w:tcPr>
            <w:tcW w:w="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3,139</w:t>
            </w:r>
          </w:p>
        </w:tc>
      </w:tr>
      <w:tr>
        <w:trPr>
          <w:trHeight w:val="235"/>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(commercial and church):</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2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5,356</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5,689</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6,885</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7,076</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7,439</w:t>
            </w:r>
          </w:p>
        </w:tc>
      </w:tr>
      <w:tr>
        <w:trPr>
          <w:trHeight w:val="235"/>
        </w:trPr>
        <w:tc>
          <w:tcPr>
            <w:tcW w:w="528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124</w:t>
            </w:r>
          </w:p>
        </w:tc>
      </w:tr>
      <w:tr>
        <w:trPr>
          <w:trHeight w:val="251"/>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Industrial Revenue Bond</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155</w:t>
            </w:r>
          </w:p>
        </w:tc>
      </w:tr>
      <w:tr>
        <w:trPr>
          <w:trHeight w:val="311"/>
        </w:trPr>
        <w:tc>
          <w:tcPr>
            <w:tcW w:w="5280" w:type="dxa"/>
            <w:vAlign w:val="bottom"/>
            <w:tcBorders>
              <w:bottom w:val="single" w:sz="8" w:color="auto"/>
            </w:tcBorders>
          </w:tcPr>
          <w:p>
            <w:pPr>
              <w:ind w:left="280"/>
              <w:spacing w:after="0" w:line="31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b w:val="1"/>
                <w:bCs w:val="1"/>
                <w:color w:val="auto"/>
                <w:vertAlign w:val="superscript"/>
              </w:rPr>
              <w:t>(2)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879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992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1,121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769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822</w:t>
            </w:r>
          </w:p>
        </w:tc>
      </w:tr>
      <w:tr>
        <w:trPr>
          <w:trHeight w:val="230"/>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10,205</w:t>
            </w:r>
          </w:p>
        </w:tc>
        <w:tc>
          <w:tcPr>
            <w:tcW w:w="3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10,175</w:t>
            </w:r>
          </w:p>
        </w:tc>
        <w:tc>
          <w:tcPr>
            <w:tcW w:w="3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11,635</w:t>
            </w:r>
          </w:p>
        </w:tc>
        <w:tc>
          <w:tcPr>
            <w:tcW w:w="3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11,894</w:t>
            </w:r>
          </w:p>
        </w:tc>
        <w:tc>
          <w:tcPr>
            <w:tcW w:w="3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11,679</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Percentage of categories to total loans: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30.4%</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26.3%</w:t>
            </w:r>
          </w:p>
        </w:tc>
      </w:tr>
      <w:tr>
        <w:trPr>
          <w:trHeight w:val="235"/>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(commercial and church):</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280" w:type="dxa"/>
            <w:vAlign w:val="bottom"/>
            <w:shd w:val="clear" w:color="auto" w:fill="C0C0C0"/>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63.1%</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69.8%</w:t>
            </w:r>
          </w:p>
        </w:tc>
      </w:tr>
      <w:tr>
        <w:trPr>
          <w:trHeight w:val="235"/>
        </w:trPr>
        <w:tc>
          <w:tcPr>
            <w:tcW w:w="528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1"/>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Industrial Revenue Bond</w:t>
            </w: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w:t>
            </w:r>
          </w:p>
        </w:tc>
      </w:tr>
    </w:tbl>
    <w:p>
      <w:pPr>
        <w:spacing w:after="0" w:line="131"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6"/>
          <w:szCs w:val="26"/>
          <w:b w:val="1"/>
          <w:bCs w:val="1"/>
          <w:color w:val="auto"/>
          <w:vertAlign w:val="superscript"/>
        </w:rPr>
      </w:pPr>
      <w:r>
        <w:rPr>
          <w:rFonts w:ascii="Arial" w:cs="Arial" w:eastAsia="Arial" w:hAnsi="Arial"/>
          <w:sz w:val="16"/>
          <w:szCs w:val="16"/>
          <w:color w:val="auto"/>
        </w:rPr>
        <w:t>Although specific allocations exist, the entire allowance is available to absorb losses in any particular loan category.</w:t>
      </w:r>
    </w:p>
    <w:p>
      <w:pPr>
        <w:spacing w:after="0" w:line="7" w:lineRule="exact"/>
        <w:rPr>
          <w:rFonts w:ascii="Arial" w:cs="Arial" w:eastAsia="Arial" w:hAnsi="Arial"/>
          <w:sz w:val="26"/>
          <w:szCs w:val="26"/>
          <w:b w:val="1"/>
          <w:bCs w:val="1"/>
          <w:color w:val="auto"/>
          <w:vertAlign w:val="superscript"/>
        </w:rPr>
      </w:pPr>
    </w:p>
    <w:p>
      <w:pPr>
        <w:ind w:left="220" w:hanging="212"/>
        <w:spacing w:after="0" w:line="181" w:lineRule="auto"/>
        <w:tabs>
          <w:tab w:leader="none" w:pos="220" w:val="left"/>
        </w:tabs>
        <w:numPr>
          <w:ilvl w:val="0"/>
          <w:numId w:val="10"/>
        </w:numPr>
        <w:rPr>
          <w:rFonts w:ascii="Arial" w:cs="Arial" w:eastAsia="Arial" w:hAnsi="Arial"/>
          <w:sz w:val="24"/>
          <w:szCs w:val="24"/>
          <w:b w:val="1"/>
          <w:bCs w:val="1"/>
          <w:color w:val="auto"/>
          <w:vertAlign w:val="superscript"/>
        </w:rPr>
      </w:pPr>
      <w:r>
        <w:rPr>
          <w:rFonts w:ascii="Arial" w:cs="Arial" w:eastAsia="Arial" w:hAnsi="Arial"/>
          <w:sz w:val="15"/>
          <w:szCs w:val="15"/>
          <w:color w:val="auto"/>
        </w:rPr>
        <w:t>Includes unallocated allowance of $877,000 and $992,000 in 2017 and 2016, respectively.</w:t>
      </w:r>
    </w:p>
    <w:p>
      <w:pPr>
        <w:sectPr>
          <w:pgSz w:w="11900" w:h="16838" w:orient="portrait"/>
          <w:cols w:equalWidth="0" w:num="1">
            <w:col w:w="11420"/>
          </w:cols>
          <w:pgMar w:left="240" w:top="125" w:right="239" w:bottom="873"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873"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loans are defined as loans on non-accrual status and loans 90 days or more past due but still accruing. Nonperforming assets include nonperforming loans plus foreclosed real estate. Troubled debt restructurings are not included in nonperforming loans unless they are on non-accrual status or past due 90 days or more.</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Interest on nonaccrual loans, which would have been recorded under the original terms of the loans, was approximately $24,000 and $66,000 for the years ended December 31, 2017 and 2016, respectively. Of this amount, approximately $17,000 and $47,000 was actually recorded as interest income on such loans during the years ended December 31, 2017 and 2016, respectively.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nonaccrual loans at December 31, 2017. Total nonaccrual loans at December 31, 2016 consisted of one loan totaling $245,000, which was paid off in October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assets at December 31, 2017 and December 31,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have any foreign loans. The Company's loan portfolio does not include a significant amount of single family real estate mortgages, as the Company does not market its services to retail customers. Also, the Company had no sub-prime mortgage loans or residential development loans in its portfolio in any of the years presented.</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does not have any other interest-earning assets which would have been included in nonaccrual, past due or restructured loans if such assets were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20"/>
                <w:szCs w:val="20"/>
                <w:color w:val="auto"/>
              </w:rPr>
            </w:pPr>
            <w:r>
              <w:rPr>
                <w:rFonts w:ascii="Arial" w:cs="Arial" w:eastAsia="Arial" w:hAnsi="Arial"/>
                <w:sz w:val="18"/>
                <w:szCs w:val="18"/>
                <w:b w:val="1"/>
                <w:bCs w:val="1"/>
                <w:color w:val="auto"/>
              </w:rPr>
              <w:t>Summary of Nonperforming Assets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55"/>
        </w:trPr>
        <w:tc>
          <w:tcPr>
            <w:tcW w:w="6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37"/>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2014</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2013</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6820" w:type="dxa"/>
            <w:vAlign w:val="bottom"/>
          </w:tcPr>
          <w:p>
            <w:pPr>
              <w:ind w:left="280"/>
              <w:spacing w:after="0"/>
              <w:rPr>
                <w:sz w:val="20"/>
                <w:szCs w:val="20"/>
                <w:color w:val="auto"/>
              </w:rPr>
            </w:pPr>
            <w:r>
              <w:rPr>
                <w:rFonts w:ascii="Arial" w:cs="Arial" w:eastAsia="Arial" w:hAnsi="Arial"/>
                <w:sz w:val="18"/>
                <w:szCs w:val="18"/>
                <w:color w:val="auto"/>
              </w:rPr>
              <w:t>Nonaccrual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1"/>
        </w:trPr>
        <w:tc>
          <w:tcPr>
            <w:tcW w:w="6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Contractually past due 90 days or more and still accruing</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Real estate – mortgage:</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8"/>
        </w:trPr>
        <w:tc>
          <w:tcPr>
            <w:tcW w:w="6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Nonaccrual</w:t>
            </w:r>
          </w:p>
        </w:tc>
        <w:tc>
          <w:tcPr>
            <w:tcW w:w="140" w:type="dxa"/>
            <w:vAlign w:val="bottom"/>
            <w:shd w:val="clear" w:color="auto" w:fill="C0C0C0"/>
          </w:tcPr>
          <w:p>
            <w:pPr>
              <w:spacing w:after="0"/>
              <w:rPr>
                <w:sz w:val="24"/>
                <w:szCs w:val="24"/>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(1)</w:t>
            </w:r>
          </w:p>
        </w:tc>
        <w:tc>
          <w:tcPr>
            <w:tcW w:w="24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72"/>
              <w:spacing w:after="0" w:line="277" w:lineRule="exact"/>
              <w:rPr>
                <w:sz w:val="20"/>
                <w:szCs w:val="20"/>
                <w:color w:val="auto"/>
              </w:rPr>
            </w:pPr>
            <w:r>
              <w:rPr>
                <w:rFonts w:ascii="Arial" w:cs="Arial" w:eastAsia="Arial" w:hAnsi="Arial"/>
                <w:sz w:val="18"/>
                <w:szCs w:val="18"/>
                <w:color w:val="auto"/>
                <w:w w:val="98"/>
              </w:rPr>
              <w:t>3,135</w:t>
            </w:r>
            <w:r>
              <w:rPr>
                <w:rFonts w:ascii="Arial" w:cs="Arial" w:eastAsia="Arial" w:hAnsi="Arial"/>
                <w:sz w:val="29"/>
                <w:szCs w:val="29"/>
                <w:color w:val="auto"/>
                <w:w w:val="98"/>
                <w:vertAlign w:val="superscript"/>
              </w:rPr>
              <w:t>(1)</w:t>
            </w:r>
          </w:p>
        </w:tc>
        <w:tc>
          <w:tcPr>
            <w:tcW w:w="22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1,786</w:t>
            </w:r>
          </w:p>
        </w:tc>
      </w:tr>
      <w:tr>
        <w:trPr>
          <w:trHeight w:val="237"/>
        </w:trPr>
        <w:tc>
          <w:tcPr>
            <w:tcW w:w="6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Contractually past due 90 days or more and still accruing</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Total nonperforming loans</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1,797</w:t>
            </w:r>
          </w:p>
        </w:tc>
      </w:tr>
      <w:tr>
        <w:trPr>
          <w:trHeight w:val="237"/>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foreclosed assets</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8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nonperforming assets</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245</w:t>
            </w: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3,135</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488</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1,797</w:t>
            </w:r>
          </w:p>
        </w:tc>
      </w:tr>
    </w:tbl>
    <w:p>
      <w:pPr>
        <w:spacing w:after="0" w:line="235" w:lineRule="exact"/>
        <w:rPr>
          <w:sz w:val="20"/>
          <w:szCs w:val="20"/>
          <w:color w:val="auto"/>
        </w:rPr>
      </w:pPr>
    </w:p>
    <w:p>
      <w:pPr>
        <w:ind w:left="220" w:right="20" w:hanging="212"/>
        <w:spacing w:after="0" w:line="217" w:lineRule="auto"/>
        <w:tabs>
          <w:tab w:leader="none" w:pos="220" w:val="left"/>
        </w:tabs>
        <w:numPr>
          <w:ilvl w:val="0"/>
          <w:numId w:val="11"/>
        </w:numPr>
        <w:rPr>
          <w:rFonts w:ascii="Arial" w:cs="Arial" w:eastAsia="Arial" w:hAnsi="Arial"/>
          <w:sz w:val="26"/>
          <w:szCs w:val="26"/>
          <w:b w:val="1"/>
          <w:bCs w:val="1"/>
          <w:color w:val="auto"/>
          <w:vertAlign w:val="superscript"/>
        </w:rPr>
      </w:pPr>
      <w:r>
        <w:rPr>
          <w:rFonts w:ascii="Arial" w:cs="Arial" w:eastAsia="Arial" w:hAnsi="Arial"/>
          <w:sz w:val="16"/>
          <w:szCs w:val="16"/>
          <w:color w:val="auto"/>
        </w:rPr>
        <w:t>In October 2017, one nonaccrual loan with a balance of $215,000 was paid in full. In February 2016, one nonaccrual loan with a balance of $2,727,000 was paid in full.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2017 compared to 2016 include the following significant pre-tax components:</w:t>
      </w:r>
    </w:p>
    <w:p>
      <w:pPr>
        <w:spacing w:after="0" w:line="225"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Salaries and employee benefits expense increased $4,758,000, or 7%, to $77,339,000 as the Company invested in staff and technology to win and support new business. Outside service expense increased $1,355,000, or 24%, for continual technology advancements to support customers. Equipment expense increased $620,000 to $5,071,000 primarily due to depreciation of internally developed software.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2016 compared to 2015 include the following significant pre-tax components:</w:t>
      </w:r>
    </w:p>
    <w:p>
      <w:pPr>
        <w:spacing w:after="0" w:line="225" w:lineRule="exact"/>
        <w:rPr>
          <w:sz w:val="20"/>
          <w:szCs w:val="20"/>
          <w:color w:val="auto"/>
        </w:rPr>
      </w:pPr>
    </w:p>
    <w:p>
      <w:pPr>
        <w:jc w:val="both"/>
        <w:ind w:left="280"/>
        <w:spacing w:after="0" w:line="256" w:lineRule="auto"/>
        <w:rPr>
          <w:sz w:val="20"/>
          <w:szCs w:val="20"/>
          <w:color w:val="auto"/>
        </w:rPr>
      </w:pPr>
      <w:r>
        <w:rPr>
          <w:rFonts w:ascii="Arial" w:cs="Arial" w:eastAsia="Arial" w:hAnsi="Arial"/>
          <w:sz w:val="18"/>
          <w:szCs w:val="18"/>
          <w:color w:val="auto"/>
        </w:rPr>
        <w:t>Salaries and employee benefits expense increased $2,267,000, or 3%, to $72,581,000 as the Company invested in staff and technology to win and support new business. Equipment expense increased $160,000 to $4,451,000 primarily due to depreciation of internally developed software. Other operating expense increased $1,273,000, or 11%, to $12,643,000 primarily due to a one-time litigation settlement that occurred in 2015 ($800,000 reduction in other operating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TCJA was enacted.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ectPr>
          <w:pgSz w:w="11900" w:h="16838" w:orient="portrait"/>
          <w:cols w:equalWidth="0" w:num="1">
            <w:col w:w="11420"/>
          </w:cols>
          <w:pgMar w:left="240" w:top="125" w:right="239" w:bottom="846"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846"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Also on December 22, 2017, the SEC issued Staff Accounting Bulletin No. 118 (SAB 118), which provides guidance on accounting for tax effects of the TCJA. SAB 118 provides a measurement period of up to one year from the enactment date to complete the accounting. Based on the information available and current interpretation of the rules, the Company has made provisional estimates of the impact of the reduction in the corporate tax rate and remeasurement of certain deferred tax assets and liabilities based on the rate at which they are expected to reverse in the future. The final analysis and measurement will be completed during 2018 when the Company files the 2017 U.S. federal income tax return.</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more fully described in this Item 7 and Note 13, the Company’s 2017 results of operations are skewed by a one-time, non-cash charge to income tax expense of $1,824,000, triggered by the passage of the TCJA. While the reduction in the federal corporate tax rate negatively impacted 2017 earnings, the rate reduction is projected to significantly boost after-tax earnings in the future.</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Taxable-equivalent adjustments noted throughout this report are the result of increasing income from tax-free loans and investments by an amount equal to the taxes that would be paid if the income were fully taxable based on a 35% federal tax rate, thus making tax-exempt yields comparable to taxable asset yields. Beginning January 1, 2018, taxable-equivalent adjustments will be based upon the new tax rate of 21% as a result of the TCJA.</w:t>
      </w:r>
    </w:p>
    <w:p>
      <w:pPr>
        <w:spacing w:after="0" w:line="16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Income tax expense in 2017 totaled $9,885,000 compared to $7,716,000 and $7,978,000 in 2016 and 2015, respectively. When measured as a percent of pre-tax income, the Company’s effective tax rate was 28% in 2017, 24% in 2016, and 26% in 2015. The increase in 2017 tax expense was primarily the result of a one-time, non-cash charge of $1,824,000 triggered by the passage of the TCJA on December 22, 2017. The charge consists of the following:</w:t>
      </w:r>
    </w:p>
    <w:p>
      <w:pPr>
        <w:spacing w:after="0" w:line="161" w:lineRule="exact"/>
        <w:rPr>
          <w:sz w:val="20"/>
          <w:szCs w:val="20"/>
          <w:color w:val="auto"/>
        </w:rPr>
      </w:pPr>
    </w:p>
    <w:p>
      <w:pPr>
        <w:ind w:left="540" w:hanging="26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8"/>
          <w:szCs w:val="18"/>
          <w:color w:val="auto"/>
        </w:rPr>
        <w:t>The deferred tax inventory was revalued at the new rate of 21% and resulted in a net credit of $462,000.</w:t>
      </w:r>
    </w:p>
    <w:p>
      <w:pPr>
        <w:spacing w:after="0" w:line="15" w:lineRule="exact"/>
        <w:rPr>
          <w:rFonts w:ascii="Arial" w:cs="Arial" w:eastAsia="Arial" w:hAnsi="Arial"/>
          <w:sz w:val="17"/>
          <w:szCs w:val="17"/>
          <w:color w:val="auto"/>
        </w:rPr>
      </w:pPr>
    </w:p>
    <w:p>
      <w:pPr>
        <w:ind w:left="540" w:right="20" w:hanging="262"/>
        <w:spacing w:after="0" w:line="261"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8"/>
          <w:szCs w:val="18"/>
          <w:color w:val="auto"/>
        </w:rPr>
        <w:t>AOCI related to pension and unrealized gains/losses on securities available for sale was revalued at the new rate of 21% and resulted in a net charge of $2,286,000.</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effective tax rate for 2017 including and excluding the one-time TCJA charge was 28% and 25%, respectively. As a result of the lower TCJA rates, the effective rate for 2018 is anticipated to decrease by approximately 25% vs. the 2017 rate excluding the TCJA charge. The Company’s effective tax rate has traditionally been lower than the statutory rate because of investments and loans that are tax exempt.</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Also as a result of the TCJA, the FASB issued ASU 2018-02 allowing a one-time reclassification from AOCI to retained earnings for any amounts “stranded” in AOCI as a result of entries required by TCJA. Accordingly, the Company early adopted and recorded a $2,286,000 reclassification from AOCI to retained earnings at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Investment portfolio changes from December 31, 2016 to December 31, 2017:</w:t>
      </w:r>
    </w:p>
    <w:p>
      <w:pPr>
        <w:spacing w:after="0" w:line="225" w:lineRule="exact"/>
        <w:rPr>
          <w:sz w:val="20"/>
          <w:szCs w:val="20"/>
          <w:color w:val="auto"/>
        </w:rPr>
      </w:pPr>
    </w:p>
    <w:p>
      <w:pPr>
        <w:jc w:val="both"/>
        <w:ind w:left="280" w:right="20"/>
        <w:spacing w:after="0" w:line="289" w:lineRule="auto"/>
        <w:rPr>
          <w:sz w:val="20"/>
          <w:szCs w:val="20"/>
          <w:color w:val="auto"/>
        </w:rPr>
      </w:pPr>
      <w:r>
        <w:rPr>
          <w:rFonts w:ascii="Arial" w:cs="Arial" w:eastAsia="Arial" w:hAnsi="Arial"/>
          <w:sz w:val="16"/>
          <w:szCs w:val="16"/>
          <w:color w:val="auto"/>
        </w:rPr>
        <w:t>State and political subdivision securities increased $46,898,000, or 12.7%, to $417,032,000. U.S. government agency securities increased $32,828,000 to $45,500,000.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this period, the Company purchased state and political subdivision along with U.S. government agency securities. These securities all had A or better credit ratings and maturities approaching 15 years. With the additional liquidity provided by the increase in deposits and accounts and drafts payable, the Company made these purchases to continue to reduce the level of short-term rate sensitive assets. All purchases were made in accordance with the Company’s investment policy.</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was no single issuer of securities in the investment portfolio at December 31, 2017 for which the aggregate amortized cost exceeded 10% of total shareholders'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20"/>
                <w:szCs w:val="20"/>
                <w:color w:val="auto"/>
              </w:rPr>
            </w:pPr>
            <w:r>
              <w:rPr>
                <w:rFonts w:ascii="Arial" w:cs="Arial" w:eastAsia="Arial" w:hAnsi="Arial"/>
                <w:sz w:val="18"/>
                <w:szCs w:val="18"/>
                <w:b w:val="1"/>
                <w:bCs w:val="1"/>
                <w:color w:val="auto"/>
              </w:rPr>
              <w:t>Investments by Type</w:t>
            </w:r>
          </w:p>
        </w:tc>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5"/>
        </w:trPr>
        <w:tc>
          <w:tcPr>
            <w:tcW w:w="3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7"/>
              </w:rPr>
              <w:t>December 31,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r>
      <w:tr>
        <w:trPr>
          <w:trHeight w:val="243"/>
        </w:trPr>
        <w:tc>
          <w:tcPr>
            <w:tcW w:w="392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43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417,032</w:t>
            </w:r>
          </w:p>
        </w:tc>
        <w:tc>
          <w:tcPr>
            <w:tcW w:w="3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370,134</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369,070</w:t>
            </w:r>
          </w:p>
        </w:tc>
        <w:tc>
          <w:tcPr>
            <w:tcW w:w="20" w:type="dxa"/>
            <w:vAlign w:val="bottom"/>
          </w:tcPr>
          <w:p>
            <w:pPr>
              <w:spacing w:after="0"/>
              <w:rPr>
                <w:sz w:val="21"/>
                <w:szCs w:val="21"/>
                <w:color w:val="auto"/>
              </w:rPr>
            </w:pPr>
          </w:p>
        </w:tc>
      </w:tr>
      <w:tr>
        <w:trPr>
          <w:trHeight w:val="235"/>
        </w:trPr>
        <w:tc>
          <w:tcPr>
            <w:tcW w:w="3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45,500</w:t>
            </w:r>
          </w:p>
        </w:tc>
        <w:tc>
          <w:tcPr>
            <w:tcW w:w="38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12,672</w:t>
            </w:r>
          </w:p>
        </w:tc>
        <w:tc>
          <w:tcPr>
            <w:tcW w:w="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39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418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7,991</w:t>
            </w:r>
          </w:p>
        </w:tc>
        <w:tc>
          <w:tcPr>
            <w:tcW w:w="3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7,746</w:t>
            </w:r>
          </w:p>
        </w:tc>
        <w:tc>
          <w:tcPr>
            <w:tcW w:w="3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6,626</w:t>
            </w:r>
          </w:p>
        </w:tc>
        <w:tc>
          <w:tcPr>
            <w:tcW w:w="20" w:type="dxa"/>
            <w:vAlign w:val="bottom"/>
          </w:tcPr>
          <w:p>
            <w:pPr>
              <w:spacing w:after="0"/>
              <w:rPr>
                <w:sz w:val="21"/>
                <w:szCs w:val="2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4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470,523</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390,552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375,696</w:t>
            </w:r>
          </w:p>
        </w:tc>
      </w:tr>
      <w:tr>
        <w:trPr>
          <w:trHeight w:val="430"/>
        </w:trPr>
        <w:tc>
          <w:tcPr>
            <w:tcW w:w="3920" w:type="dxa"/>
            <w:vAlign w:val="bottom"/>
            <w:tcBorders>
              <w:top w:val="single" w:sz="8" w:color="auto"/>
            </w:tcBorders>
          </w:tcPr>
          <w:p>
            <w:pPr>
              <w:spacing w:after="0"/>
              <w:rPr>
                <w:sz w:val="24"/>
                <w:szCs w:val="24"/>
                <w:color w:val="auto"/>
              </w:rPr>
            </w:pPr>
          </w:p>
        </w:tc>
        <w:tc>
          <w:tcPr>
            <w:tcW w:w="4180" w:type="dxa"/>
            <w:vAlign w:val="bottom"/>
            <w:tcBorders>
              <w:top w:val="single" w:sz="8" w:color="auto"/>
            </w:tcBorders>
          </w:tcPr>
          <w:p>
            <w:pPr>
              <w:jc w:val="right"/>
              <w:ind w:right="2212"/>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92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4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Investment Securities by Maturity</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46"/>
        </w:trPr>
        <w:tc>
          <w:tcPr>
            <w:tcW w:w="1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w w:val="94"/>
              </w:rPr>
              <w:t>Within 1</w:t>
            </w:r>
          </w:p>
        </w:tc>
        <w:tc>
          <w:tcPr>
            <w:tcW w:w="11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Over 1 to 5</w:t>
            </w:r>
          </w:p>
        </w:tc>
        <w:tc>
          <w:tcPr>
            <w:tcW w:w="20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4"/>
              </w:rPr>
              <w:t>Over 5 to</w:t>
            </w:r>
          </w:p>
        </w:tc>
        <w:tc>
          <w:tcPr>
            <w:tcW w:w="220" w:type="dxa"/>
            <w:vAlign w:val="bottom"/>
          </w:tcPr>
          <w:p>
            <w:pPr>
              <w:spacing w:after="0"/>
              <w:rPr>
                <w:sz w:val="24"/>
                <w:szCs w:val="24"/>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Over</w:t>
            </w:r>
          </w:p>
        </w:tc>
        <w:tc>
          <w:tcPr>
            <w:tcW w:w="760" w:type="dxa"/>
            <w:vAlign w:val="bottom"/>
          </w:tcPr>
          <w:p>
            <w:pPr>
              <w:spacing w:after="0"/>
              <w:rPr>
                <w:sz w:val="24"/>
                <w:szCs w:val="24"/>
                <w:color w:val="auto"/>
              </w:rPr>
            </w:pPr>
          </w:p>
        </w:tc>
      </w:tr>
      <w:tr>
        <w:trPr>
          <w:trHeight w:val="25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8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Years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10 Years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10 Years</w:t>
            </w: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Yield</w:t>
            </w:r>
          </w:p>
        </w:tc>
      </w:tr>
      <w:tr>
        <w:trPr>
          <w:trHeight w:val="311"/>
        </w:trPr>
        <w:tc>
          <w:tcPr>
            <w:tcW w:w="43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16,143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56,929</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246,512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97,448</w:t>
            </w:r>
          </w:p>
        </w:tc>
        <w:tc>
          <w:tcPr>
            <w:tcW w:w="760" w:type="dxa"/>
            <w:vAlign w:val="bottom"/>
            <w:shd w:val="clear" w:color="auto" w:fill="C0C0C0"/>
          </w:tcPr>
          <w:p>
            <w:pPr>
              <w:ind w:left="80"/>
              <w:spacing w:after="0" w:line="310" w:lineRule="exact"/>
              <w:rPr>
                <w:sz w:val="20"/>
                <w:szCs w:val="20"/>
                <w:color w:val="auto"/>
              </w:rPr>
            </w:pPr>
            <w:r>
              <w:rPr>
                <w:rFonts w:ascii="Arial" w:cs="Arial" w:eastAsia="Arial" w:hAnsi="Arial"/>
                <w:sz w:val="18"/>
                <w:szCs w:val="18"/>
                <w:color w:val="auto"/>
                <w:w w:val="82"/>
              </w:rPr>
              <w:t xml:space="preserve">4.01% </w:t>
            </w:r>
            <w:r>
              <w:rPr>
                <w:rFonts w:ascii="Arial" w:cs="Arial" w:eastAsia="Arial" w:hAnsi="Arial"/>
                <w:sz w:val="29"/>
                <w:szCs w:val="29"/>
                <w:b w:val="1"/>
                <w:bCs w:val="1"/>
                <w:color w:val="auto"/>
                <w:w w:val="82"/>
                <w:vertAlign w:val="superscript"/>
              </w:rPr>
              <w:t>(1)</w:t>
            </w:r>
          </w:p>
        </w:tc>
      </w:tr>
      <w:tr>
        <w:trPr>
          <w:trHeight w:val="235"/>
        </w:trPr>
        <w:tc>
          <w:tcPr>
            <w:tcW w:w="436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88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17,449</w:t>
            </w:r>
          </w:p>
        </w:tc>
        <w:tc>
          <w:tcPr>
            <w:tcW w:w="22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28,051</w:t>
            </w:r>
          </w:p>
        </w:tc>
        <w:tc>
          <w:tcPr>
            <w:tcW w:w="760" w:type="dxa"/>
            <w:vAlign w:val="bottom"/>
          </w:tcPr>
          <w:p>
            <w:pPr>
              <w:ind w:left="100"/>
              <w:spacing w:after="0"/>
              <w:rPr>
                <w:sz w:val="20"/>
                <w:szCs w:val="20"/>
                <w:color w:val="auto"/>
              </w:rPr>
            </w:pPr>
            <w:r>
              <w:rPr>
                <w:rFonts w:ascii="Arial" w:cs="Arial" w:eastAsia="Arial" w:hAnsi="Arial"/>
                <w:sz w:val="18"/>
                <w:szCs w:val="18"/>
                <w:color w:val="auto"/>
              </w:rPr>
              <w:t>2.11%</w:t>
            </w:r>
          </w:p>
        </w:tc>
      </w:tr>
      <w:tr>
        <w:trPr>
          <w:trHeight w:val="244"/>
        </w:trPr>
        <w:tc>
          <w:tcPr>
            <w:tcW w:w="436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8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6,495</w:t>
            </w: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1,496</w:t>
            </w:r>
          </w:p>
        </w:tc>
        <w:tc>
          <w:tcPr>
            <w:tcW w:w="2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1.38%</w:t>
            </w:r>
          </w:p>
        </w:tc>
      </w:tr>
      <w:tr>
        <w:trPr>
          <w:trHeight w:val="237"/>
        </w:trPr>
        <w:tc>
          <w:tcPr>
            <w:tcW w:w="43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Total investments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22,638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58,425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263,961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125,499</w:t>
            </w: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3.78%</w:t>
            </w:r>
          </w:p>
        </w:tc>
      </w:tr>
      <w:tr>
        <w:trPr>
          <w:trHeight w:val="311"/>
        </w:trPr>
        <w:tc>
          <w:tcPr>
            <w:tcW w:w="4360" w:type="dxa"/>
            <w:vAlign w:val="bottom"/>
            <w:tcBorders>
              <w:bottom w:val="single" w:sz="8" w:color="auto"/>
            </w:tcBorders>
            <w:gridSpan w:val="2"/>
            <w:shd w:val="clear" w:color="auto" w:fill="C0C0C0"/>
          </w:tcPr>
          <w:p>
            <w:pPr>
              <w:spacing w:after="0" w:line="310"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9"/>
                <w:szCs w:val="29"/>
                <w:b w:val="1"/>
                <w:bCs w:val="1"/>
                <w:color w:val="auto"/>
                <w:vertAlign w:val="superscript"/>
              </w:rPr>
              <w:t>(1)</w:t>
            </w:r>
          </w:p>
        </w:tc>
        <w:tc>
          <w:tcPr>
            <w:tcW w:w="1880" w:type="dxa"/>
            <w:vAlign w:val="bottom"/>
            <w:tcBorders>
              <w:bottom w:val="single" w:sz="8" w:color="auto"/>
            </w:tcBorders>
            <w:shd w:val="clear" w:color="auto" w:fill="C0C0C0"/>
          </w:tcPr>
          <w:p>
            <w:pPr>
              <w:spacing w:after="0"/>
              <w:rPr>
                <w:sz w:val="24"/>
                <w:szCs w:val="24"/>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4.58%</w:t>
            </w:r>
          </w:p>
        </w:tc>
        <w:tc>
          <w:tcPr>
            <w:tcW w:w="240" w:type="dxa"/>
            <w:vAlign w:val="bottom"/>
            <w:tcBorders>
              <w:bottom w:val="single" w:sz="8" w:color="auto"/>
            </w:tcBorders>
            <w:shd w:val="clear" w:color="auto" w:fill="C0C0C0"/>
          </w:tcPr>
          <w:p>
            <w:pPr>
              <w:spacing w:after="0"/>
              <w:rPr>
                <w:sz w:val="24"/>
                <w:szCs w:val="24"/>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shd w:val="clear" w:color="auto" w:fill="C0C0C0"/>
          </w:tcPr>
          <w:p>
            <w:pPr>
              <w:spacing w:after="0"/>
              <w:rPr>
                <w:sz w:val="24"/>
                <w:szCs w:val="24"/>
                <w:color w:val="auto"/>
              </w:rPr>
            </w:pP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auto"/>
            </w:tcBorders>
            <w:shd w:val="clear" w:color="auto" w:fill="C0C0C0"/>
          </w:tcPr>
          <w:p>
            <w:pPr>
              <w:spacing w:after="0"/>
              <w:rPr>
                <w:sz w:val="24"/>
                <w:szCs w:val="24"/>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3.33%</w:t>
            </w:r>
          </w:p>
        </w:tc>
        <w:tc>
          <w:tcPr>
            <w:tcW w:w="76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3.78%</w:t>
            </w:r>
          </w:p>
        </w:tc>
      </w:tr>
    </w:tbl>
    <w:p>
      <w:pPr>
        <w:spacing w:after="0" w:line="131"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26"/>
          <w:szCs w:val="26"/>
          <w:b w:val="1"/>
          <w:bCs w:val="1"/>
          <w:color w:val="auto"/>
          <w:vertAlign w:val="superscript"/>
        </w:rPr>
      </w:pPr>
      <w:r>
        <w:rPr>
          <w:rFonts w:ascii="Arial" w:cs="Arial" w:eastAsia="Arial" w:hAnsi="Arial"/>
          <w:sz w:val="16"/>
          <w:szCs w:val="16"/>
          <w:color w:val="auto"/>
        </w:rPr>
        <w:t>Yields are presented on a tax-equivalent basis assuming a tax rate of 35%.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and Accounts and Drafts Payable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Noninterest-bearing demand deposits increased 31% from December 31, 2016 to $281,541,000 at December 31, 2017. The average balances of these deposits increased 9% in 2017 to $209,014,000. These balances are primarily maintained by commercial customers, faith-based ministries, and new payment and information processing relationships and can fluctuate on a daily basis.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Interest-bearing deposits decreased $10,758,000, or 3%, to $396,547,000 at December 31, 2017. The average balances of these deposits decreased to $393,476,000 in 2017 from $422,660,000 in 2016.</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Accounts and drafts payable generated by the Company in its payment processing operations increased $19,601,000, or 3%, to $661,888,000 at December 31, 2017. The average balance of these funds increased $58,207,000, or 9%, to $713,052,000 in 2017. This increase was the result of continued growth in the customer base and a strengthening global economy. Due to the Company’s payment processing cycle, average balances are much more indicative of the underlying activity than period-end balances since point-in-time comparisons can be misleading if the comparison dates fall on different days of the week.</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tcPr>
          <w:p>
            <w:pPr>
              <w:spacing w:after="0"/>
              <w:rPr>
                <w:sz w:val="20"/>
                <w:szCs w:val="20"/>
                <w:color w:val="auto"/>
              </w:rPr>
            </w:pPr>
            <w:r>
              <w:rPr>
                <w:rFonts w:ascii="Arial" w:cs="Arial" w:eastAsia="Arial" w:hAnsi="Arial"/>
                <w:sz w:val="18"/>
                <w:szCs w:val="18"/>
                <w:b w:val="1"/>
                <w:bCs w:val="1"/>
                <w:color w:val="auto"/>
              </w:rPr>
              <w:t>Maturities of Certificates of Deposit as of December 31, 2017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46"/>
        </w:trPr>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ind w:left="140"/>
              <w:spacing w:after="0"/>
              <w:rPr>
                <w:sz w:val="20"/>
                <w:szCs w:val="20"/>
                <w:color w:val="auto"/>
              </w:rPr>
            </w:pPr>
            <w:r>
              <w:rPr>
                <w:rFonts w:ascii="Arial" w:cs="Arial" w:eastAsia="Arial" w:hAnsi="Arial"/>
                <w:sz w:val="18"/>
                <w:szCs w:val="18"/>
                <w:b w:val="1"/>
                <w:bCs w:val="1"/>
                <w:color w:val="auto"/>
                <w:w w:val="94"/>
              </w:rPr>
              <w:t>$100 to Less</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250 or</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2"/>
        </w:trPr>
        <w:tc>
          <w:tcPr>
            <w:tcW w:w="7180" w:type="dxa"/>
            <w:vAlign w:val="bottom"/>
            <w:tcBorders>
              <w:bottom w:val="single" w:sz="8" w:color="C0C0C0"/>
            </w:tcBorders>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100 or Less</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Than $250</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More</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Total</w:t>
            </w:r>
          </w:p>
        </w:tc>
      </w:tr>
      <w:tr>
        <w:trPr>
          <w:trHeight w:val="243"/>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Three months or less</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1,201</w:t>
            </w:r>
          </w:p>
        </w:tc>
        <w:tc>
          <w:tcPr>
            <w:tcW w:w="40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17,442</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3,539</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22,182</w:t>
            </w: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Three to six months</w:t>
            </w: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14,399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19,128</w:t>
            </w:r>
          </w:p>
        </w:tc>
      </w:tr>
      <w:tr>
        <w:trPr>
          <w:trHeight w:val="251"/>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Six to twelve months</w:t>
            </w:r>
          </w:p>
        </w:tc>
        <w:tc>
          <w:tcPr>
            <w:tcW w:w="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5,511</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6,804</w:t>
            </w: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Over twelve months</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4,384</w:t>
            </w:r>
          </w:p>
        </w:tc>
      </w:tr>
      <w:tr>
        <w:trPr>
          <w:trHeight w:val="21"/>
        </w:trPr>
        <w:tc>
          <w:tcPr>
            <w:tcW w:w="71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42"/>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33,385</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16,455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52,498</w:t>
            </w:r>
          </w:p>
        </w:tc>
      </w:tr>
      <w:tr>
        <w:trPr>
          <w:trHeight w:val="28"/>
        </w:trPr>
        <w:tc>
          <w:tcPr>
            <w:tcW w:w="71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balances of liquid assets consist of cash and cash equivalents, which include cash and due from banks, interest-bearing deposits in other financial institutions, federal funds sold, and money market funds, totaled $228,110,000 at December 31, 2017, a decrease of $38,633,000, or 14%, from December 31, 2016. At December 31, 2017, these assets represented 14% of total assets. Cash and cash equivalents are the Company’s and its subsidiaries’ primary source of liquidity to meet future expected and unexpected loan demand, depositor withdrawals or reductions in accounts and drafts payable.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in debt securities available-for-sale at fair value was $470,523,000 at December 31, 2017, an increase of $79,971,000, or 20%, from December 31, 2016. These assets represented 29% of total assets at December 31, 2017 and were primarily state and political subdivision securities. Of the total portfolio, 5% mature in one year or less, 12% mature after one year through five years and 83% mature after five years.</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the Bank had unsecured lines of credit at correspondent banks to purchase federal funds up to a maximum of $68,000,000 at the following banks: US Bank, $20,000,000; Wells Fargo Bank, $15,000,000; PNC Bank, $12,000,000; Frost National Bank, $10,000,000; JPM Chase Bank, $6,000,000; and UMB Bank $5,000,000. As of December 31, 2017, the Bank had secured lines of credit with the Federal Home Loan Bank (“FHLB”) of $204,789,000 collateralized by commercial mortgage loans. At December 31, 2017, the Company had a line of credit from UMB Bank of $50,000,000 and First Tennessee Bank of $50,000,000 collateralized by state and political subdivision securities. There were no amounts outstanding under any of the lines of credit discussed above at December 31, 2017 or 2016.</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cash flows provided by operating activities for the years 2017, 2016 and 2015 were $38,890,000, $35,189,000 and $33,493,000,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2018. The Company anticipates the annual capital expenditures for 2018 should range from $4 million to $6 million. Capital expenditures in 2018 are expected to consist of equipment and software related to the payment and information processing services business.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invoices are processed) from the Company’s transportation customers.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2017, new business was added in both the transportation and facility expense management operations, driven by both successful marketing efforts and the solid market leadership position held by Cass.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2017 as shown in Item 8, Note 2 of this report. All share and per share data have been restated to give effect to the 10% stock dividend issued on December 15,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 2017, cash dividends paid were $.87 per share for a total of $10,675,000, an increase of $696,000, or 7%, compared to $.81 per share for a total of $9,979,000 in 2016. The increase is attributable to the per-share amount paid and the increase in outstanding shares as a result of the stock dividend.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Shareholders’ equity was $225,088,000, or 14% of total assets, at December 31, 2017, an increase of $17,053,000 over the balance at December 31, 2016. This increase resulted primarily from net income of $25,014,000, an increase in other comprehensive income of $3,509,000, and an increase in additional paid in capital related to equity compensation of $2,340,000. These increases were partially offset by cash dividends of $10,675,000 and the repurchase of treasury shares of $2,270,000.</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As of December 31, 2017, unappropriated retained earnings of $30,137,000 were available at the Bank for the declaration of dividends to the Company without prior approval from regulatory authorities.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The Company repurchased 41,846 shares at an aggregate cost of $2,270,000 during the year ended December 31, 2017 and 205,835 shares at an aggregate cost of $9,215,000 during the year ended December 31, 2016. As of December 31, 2017, 500,000 shares remained available for repurchase under the program. A portion of the repurchased shares may be used for the Company's employee benefit plans, and the balance will be available for other general corporate purposes. The stock repurchase authorization does not have an expiration date and the pace of repurchase activity will depend on factors such as levels of cash generation from operations, cash requirements for investments, repayment of debt, current stock price, and other factors. The Company may repurchase shares from time to time on the open market or in private transactions, including structured transactions. The stock repurchase program may be modified or discontinued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Contractual Obligations and Off-Balance Sheet Arrangements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and commitments under operating and capital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2017,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December 31, 2017, the balance of loan commitments, standby and commercial letters of credit were $87,013,000, $14,347,000 and $3,246,000,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December 31,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Amount of Commitment Expiration per Period</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3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w w:val="98"/>
              </w:rPr>
              <w:t>Less than 1</w:t>
            </w:r>
          </w:p>
        </w:tc>
        <w:tc>
          <w:tcPr>
            <w:tcW w:w="240" w:type="dxa"/>
            <w:vAlign w:val="bottom"/>
          </w:tcPr>
          <w:p>
            <w:pPr>
              <w:spacing w:after="0"/>
              <w:rPr>
                <w:sz w:val="19"/>
                <w:szCs w:val="19"/>
                <w:color w:val="auto"/>
              </w:rPr>
            </w:pPr>
          </w:p>
        </w:tc>
        <w:tc>
          <w:tcPr>
            <w:tcW w:w="740" w:type="dxa"/>
            <w:vAlign w:val="bottom"/>
          </w:tcPr>
          <w:p>
            <w:pPr>
              <w:jc w:val="right"/>
              <w:ind w:right="29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840" w:type="dxa"/>
            <w:vAlign w:val="bottom"/>
          </w:tcPr>
          <w:p>
            <w:pPr>
              <w:jc w:val="right"/>
              <w:ind w:right="412"/>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Over</w:t>
            </w:r>
          </w:p>
        </w:tc>
        <w:tc>
          <w:tcPr>
            <w:tcW w:w="20" w:type="dxa"/>
            <w:vAlign w:val="bottom"/>
          </w:tcPr>
          <w:p>
            <w:pPr>
              <w:spacing w:after="0"/>
              <w:rPr>
                <w:sz w:val="19"/>
                <w:szCs w:val="19"/>
                <w:color w:val="auto"/>
              </w:rPr>
            </w:pPr>
          </w:p>
        </w:tc>
      </w:tr>
      <w:tr>
        <w:trPr>
          <w:trHeight w:val="251"/>
        </w:trPr>
        <w:tc>
          <w:tcPr>
            <w:tcW w:w="4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320" w:type="dxa"/>
            <w:vAlign w:val="bottom"/>
          </w:tcPr>
          <w:p>
            <w:pPr>
              <w:spacing w:after="0"/>
              <w:rPr>
                <w:sz w:val="21"/>
                <w:szCs w:val="21"/>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1"/>
                <w:szCs w:val="21"/>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1"/>
                <w:szCs w:val="21"/>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w w:val="85"/>
              </w:rPr>
              <w:t>Years</w:t>
            </w:r>
          </w:p>
        </w:tc>
        <w:tc>
          <w:tcPr>
            <w:tcW w:w="62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5 Years</w:t>
            </w:r>
          </w:p>
        </w:tc>
      </w:tr>
      <w:tr>
        <w:trPr>
          <w:trHeight w:val="243"/>
        </w:trPr>
        <w:tc>
          <w:tcPr>
            <w:tcW w:w="43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2420" w:type="dxa"/>
            <w:vAlign w:val="bottom"/>
            <w:tcBorders>
              <w:top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6,463</w:t>
            </w:r>
          </w:p>
        </w:tc>
        <w:tc>
          <w:tcPr>
            <w:tcW w:w="32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1,518</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2,515</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2,204</w:t>
            </w:r>
          </w:p>
        </w:tc>
        <w:tc>
          <w:tcPr>
            <w:tcW w:w="12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1"/>
                <w:szCs w:val="2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Time deposits</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52,498</w:t>
            </w:r>
          </w:p>
        </w:tc>
        <w:tc>
          <w:tcPr>
            <w:tcW w:w="32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48,115</w:t>
            </w:r>
          </w:p>
        </w:tc>
        <w:tc>
          <w:tcPr>
            <w:tcW w:w="24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2,919</w:t>
            </w:r>
          </w:p>
        </w:tc>
        <w:tc>
          <w:tcPr>
            <w:tcW w:w="2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438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58,961</w:t>
            </w:r>
          </w:p>
        </w:tc>
        <w:tc>
          <w:tcPr>
            <w:tcW w:w="32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49,633</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5,434</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3,668</w:t>
            </w:r>
          </w:p>
        </w:tc>
        <w:tc>
          <w:tcPr>
            <w:tcW w:w="120" w:type="dxa"/>
            <w:vAlign w:val="bottom"/>
            <w:tcBorders>
              <w:top w:val="single" w:sz="8" w:color="auto"/>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the Company made no contribution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1"/>
        </w:trPr>
        <w:tc>
          <w:tcPr>
            <w:tcW w:w="5660" w:type="dxa"/>
            <w:vAlign w:val="bottom"/>
            <w:gridSpan w:val="2"/>
          </w:tcPr>
          <w:p>
            <w:pPr>
              <w:spacing w:after="0"/>
              <w:rPr>
                <w:sz w:val="20"/>
                <w:szCs w:val="20"/>
                <w:color w:val="auto"/>
              </w:rPr>
            </w:pPr>
            <w:r>
              <w:rPr>
                <w:rFonts w:ascii="Arial" w:cs="Arial" w:eastAsia="Arial" w:hAnsi="Arial"/>
                <w:sz w:val="18"/>
                <w:szCs w:val="18"/>
                <w:color w:val="auto"/>
              </w:rPr>
              <w:t>For 2017, these assumptions were as follows:</w:t>
            </w:r>
          </w:p>
        </w:tc>
        <w:tc>
          <w:tcPr>
            <w:tcW w:w="1200" w:type="dxa"/>
            <w:vAlign w:val="bottom"/>
          </w:tcPr>
          <w:p>
            <w:pPr>
              <w:spacing w:after="0"/>
              <w:rPr>
                <w:sz w:val="24"/>
                <w:szCs w:val="24"/>
                <w:color w:val="auto"/>
              </w:rPr>
            </w:pPr>
          </w:p>
        </w:tc>
      </w:tr>
      <w:tr>
        <w:trPr>
          <w:trHeight w:val="455"/>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Assumption</w:t>
            </w:r>
          </w:p>
        </w:tc>
        <w:tc>
          <w:tcPr>
            <w:tcW w:w="120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b w:val="1"/>
                <w:bCs w:val="1"/>
                <w:color w:val="auto"/>
                <w:w w:val="87"/>
              </w:rPr>
              <w:t>Rate</w:t>
            </w:r>
          </w:p>
        </w:tc>
      </w:tr>
      <w:tr>
        <w:trPr>
          <w:trHeight w:val="243"/>
        </w:trPr>
        <w:tc>
          <w:tcPr>
            <w:tcW w:w="5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1200" w:type="dxa"/>
            <w:vAlign w:val="bottom"/>
            <w:shd w:val="clear" w:color="auto" w:fill="C0C0C0"/>
          </w:tcPr>
          <w:p>
            <w:pPr>
              <w:jc w:val="center"/>
              <w:ind w:left="652"/>
              <w:spacing w:after="0"/>
              <w:rPr>
                <w:sz w:val="20"/>
                <w:szCs w:val="20"/>
                <w:color w:val="auto"/>
              </w:rPr>
            </w:pPr>
            <w:r>
              <w:rPr>
                <w:rFonts w:ascii="Arial" w:cs="Arial" w:eastAsia="Arial" w:hAnsi="Arial"/>
                <w:sz w:val="18"/>
                <w:szCs w:val="18"/>
                <w:color w:val="auto"/>
                <w:w w:val="90"/>
              </w:rPr>
              <w:t>4.25%</w:t>
            </w:r>
          </w:p>
        </w:tc>
      </w:tr>
      <w:tr>
        <w:trPr>
          <w:trHeight w:val="235"/>
        </w:trPr>
        <w:tc>
          <w:tcPr>
            <w:tcW w:w="5660" w:type="dxa"/>
            <w:vAlign w:val="bottom"/>
            <w:gridSpan w:val="2"/>
          </w:tcPr>
          <w:p>
            <w:pPr>
              <w:spacing w:after="0"/>
              <w:rPr>
                <w:sz w:val="20"/>
                <w:szCs w:val="20"/>
                <w:color w:val="auto"/>
              </w:rPr>
            </w:pPr>
            <w:r>
              <w:rPr>
                <w:rFonts w:ascii="Arial" w:cs="Arial" w:eastAsia="Arial" w:hAnsi="Arial"/>
                <w:sz w:val="18"/>
                <w:szCs w:val="18"/>
                <w:color w:val="auto"/>
              </w:rPr>
              <w:t>Rate of increase in compensation levels</w:t>
            </w:r>
          </w:p>
        </w:tc>
        <w:tc>
          <w:tcPr>
            <w:tcW w:w="1200" w:type="dxa"/>
            <w:vAlign w:val="bottom"/>
          </w:tcPr>
          <w:p>
            <w:pPr>
              <w:jc w:val="center"/>
              <w:ind w:left="612"/>
              <w:spacing w:after="0"/>
              <w:rPr>
                <w:sz w:val="20"/>
                <w:szCs w:val="20"/>
                <w:color w:val="auto"/>
              </w:rPr>
            </w:pPr>
            <w:r>
              <w:rPr>
                <w:rFonts w:ascii="Arial" w:cs="Arial" w:eastAsia="Arial" w:hAnsi="Arial"/>
                <w:sz w:val="18"/>
                <w:szCs w:val="18"/>
                <w:color w:val="auto"/>
                <w:w w:val="81"/>
              </w:rPr>
              <w:t>(a)</w:t>
            </w:r>
          </w:p>
        </w:tc>
      </w:tr>
      <w:tr>
        <w:trPr>
          <w:trHeight w:val="244"/>
        </w:trPr>
        <w:tc>
          <w:tcPr>
            <w:tcW w:w="566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Expected long-term rate of return on assets</w:t>
            </w:r>
          </w:p>
        </w:tc>
        <w:tc>
          <w:tcPr>
            <w:tcW w:w="1200" w:type="dxa"/>
            <w:vAlign w:val="bottom"/>
            <w:tcBorders>
              <w:bottom w:val="single" w:sz="8" w:color="auto"/>
            </w:tcBorders>
            <w:shd w:val="clear" w:color="auto" w:fill="C0C0C0"/>
          </w:tcPr>
          <w:p>
            <w:pPr>
              <w:jc w:val="center"/>
              <w:ind w:left="652"/>
              <w:spacing w:after="0"/>
              <w:rPr>
                <w:sz w:val="20"/>
                <w:szCs w:val="20"/>
                <w:color w:val="auto"/>
              </w:rPr>
            </w:pPr>
            <w:r>
              <w:rPr>
                <w:rFonts w:ascii="Arial" w:cs="Arial" w:eastAsia="Arial" w:hAnsi="Arial"/>
                <w:sz w:val="18"/>
                <w:szCs w:val="18"/>
                <w:color w:val="auto"/>
                <w:w w:val="90"/>
              </w:rPr>
              <w:t>6.50%</w:t>
            </w:r>
          </w:p>
        </w:tc>
      </w:tr>
      <w:tr>
        <w:trPr>
          <w:trHeight w:val="471"/>
        </w:trPr>
        <w:tc>
          <w:tcPr>
            <w:tcW w:w="5660" w:type="dxa"/>
            <w:vAlign w:val="bottom"/>
            <w:gridSpan w:val="2"/>
          </w:tcPr>
          <w:p>
            <w:pPr>
              <w:spacing w:after="0"/>
              <w:rPr>
                <w:sz w:val="20"/>
                <w:szCs w:val="20"/>
                <w:color w:val="auto"/>
              </w:rPr>
            </w:pPr>
            <w:r>
              <w:rPr>
                <w:rFonts w:ascii="Arial" w:cs="Arial" w:eastAsia="Arial" w:hAnsi="Arial"/>
                <w:sz w:val="18"/>
                <w:szCs w:val="18"/>
                <w:color w:val="auto"/>
              </w:rPr>
              <w:t>(a) 6.00% graded down to 3.25% over the first seven years of service.</w:t>
            </w:r>
          </w:p>
        </w:tc>
        <w:tc>
          <w:tcPr>
            <w:tcW w:w="1200" w:type="dxa"/>
            <w:vAlign w:val="bottom"/>
          </w:tcPr>
          <w:p>
            <w:pPr>
              <w:spacing w:after="0"/>
              <w:rPr>
                <w:sz w:val="24"/>
                <w:szCs w:val="24"/>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3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Company faces market risk to the extent that its net interest income and its fair market value of equity are affected by changes in market interest rates. The asset/liability management discipline as applied by the Company seeks to limit the volatility, to the extent possible, of both net interest income and the fair market value of equity that can result from changes in market interest rates. This is accomplished by limiting the maturities of fixed rate investments, loans, and deposits; matching fixed rate assets and liabilities to the extent possible; and optimizing the mix of fees and net interest income. However, as discussed below, the Company's asset/liability position often differs significantly from most other financial holding companies with significant positive cumulative "gaps" shown for each time horizon presented. This asset sensitive position is caused primarily by the operations of the Company, which generate large balances of accounts and drafts payable. These balances, which are noninterest bearing, contribute to the Company’s historical high net interest margin but cause the Company to become susceptible to changes in interest rates, with a decreasing net interest margin and fair market value of equity in periods of declining interest rates and an increasing net interest margin and fair market value of equity in periods of rising interest rates.</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ALCO measures the Company's interest rate risk sensitivity on a quarterly basis to monitor and manage the variability of earnings and fair market value of equity in various interest rate environments. The ALCO evaluates the Company's risk position to determine whether the level of exposure is significant enough to hedge a potential decline in earnings and value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9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9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Another measurement tool used by management is net interest income simulation, which forecasts net interest income during the coming 12 months under different interest rate scenarios in order to quantify potential changes in short-term accounting income.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2017, from an immediate and sustained parallel change in interest rates is shown below.</w:t>
      </w:r>
    </w:p>
    <w:p>
      <w:pPr>
        <w:spacing w:after="0" w:line="17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 The table below contains the analysis, which illustrates the effects of an immediate and sustained parallel change in interest rates as of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Change in Interest Rates</w:t>
            </w:r>
          </w:p>
        </w:tc>
        <w:tc>
          <w:tcPr>
            <w:tcW w:w="39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 Change in Net Interest Income</w:t>
            </w:r>
          </w:p>
        </w:tc>
        <w:tc>
          <w:tcPr>
            <w:tcW w:w="3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 Change in Fair Market Value of Equity</w:t>
            </w:r>
          </w:p>
        </w:tc>
        <w:tc>
          <w:tcPr>
            <w:tcW w:w="20" w:type="dxa"/>
            <w:vAlign w:val="bottom"/>
          </w:tcPr>
          <w:p>
            <w:pPr>
              <w:spacing w:after="0"/>
              <w:rPr>
                <w:sz w:val="20"/>
                <w:szCs w:val="20"/>
                <w:color w:val="auto"/>
              </w:rPr>
            </w:pPr>
          </w:p>
        </w:tc>
      </w:tr>
      <w:tr>
        <w:trPr>
          <w:trHeight w:val="243"/>
        </w:trPr>
        <w:tc>
          <w:tcPr>
            <w:tcW w:w="3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+200 basis points</w:t>
            </w:r>
          </w:p>
        </w:tc>
        <w:tc>
          <w:tcPr>
            <w:tcW w:w="3900" w:type="dxa"/>
            <w:vAlign w:val="bottom"/>
            <w:shd w:val="clear" w:color="auto" w:fill="C0C0C0"/>
          </w:tcPr>
          <w:p>
            <w:pPr>
              <w:jc w:val="right"/>
              <w:ind w:right="1572"/>
              <w:spacing w:after="0"/>
              <w:rPr>
                <w:sz w:val="20"/>
                <w:szCs w:val="20"/>
                <w:color w:val="auto"/>
              </w:rPr>
            </w:pPr>
            <w:r>
              <w:rPr>
                <w:rFonts w:ascii="Arial" w:cs="Arial" w:eastAsia="Arial" w:hAnsi="Arial"/>
                <w:sz w:val="18"/>
                <w:szCs w:val="18"/>
                <w:color w:val="auto"/>
              </w:rPr>
              <w:t>3%</w:t>
            </w:r>
          </w:p>
        </w:tc>
        <w:tc>
          <w:tcPr>
            <w:tcW w:w="3980" w:type="dxa"/>
            <w:vAlign w:val="bottom"/>
            <w:shd w:val="clear" w:color="auto" w:fill="C0C0C0"/>
          </w:tcPr>
          <w:p>
            <w:pPr>
              <w:jc w:val="right"/>
              <w:ind w:right="16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35"/>
        </w:trPr>
        <w:tc>
          <w:tcPr>
            <w:tcW w:w="3540" w:type="dxa"/>
            <w:vAlign w:val="bottom"/>
          </w:tcPr>
          <w:p>
            <w:pPr>
              <w:jc w:val="center"/>
              <w:spacing w:after="0"/>
              <w:rPr>
                <w:sz w:val="20"/>
                <w:szCs w:val="20"/>
                <w:color w:val="auto"/>
              </w:rPr>
            </w:pPr>
            <w:r>
              <w:rPr>
                <w:rFonts w:ascii="Arial" w:cs="Arial" w:eastAsia="Arial" w:hAnsi="Arial"/>
                <w:sz w:val="18"/>
                <w:szCs w:val="18"/>
                <w:color w:val="auto"/>
                <w:w w:val="86"/>
              </w:rPr>
              <w:t>+100 basis points</w:t>
            </w:r>
          </w:p>
        </w:tc>
        <w:tc>
          <w:tcPr>
            <w:tcW w:w="3900" w:type="dxa"/>
            <w:vAlign w:val="bottom"/>
          </w:tcPr>
          <w:p>
            <w:pPr>
              <w:jc w:val="right"/>
              <w:ind w:right="1572"/>
              <w:spacing w:after="0"/>
              <w:rPr>
                <w:sz w:val="20"/>
                <w:szCs w:val="20"/>
                <w:color w:val="auto"/>
              </w:rPr>
            </w:pPr>
            <w:r>
              <w:rPr>
                <w:rFonts w:ascii="Arial" w:cs="Arial" w:eastAsia="Arial" w:hAnsi="Arial"/>
                <w:sz w:val="18"/>
                <w:szCs w:val="18"/>
                <w:color w:val="auto"/>
              </w:rPr>
              <w:t>2%</w:t>
            </w:r>
          </w:p>
        </w:tc>
        <w:tc>
          <w:tcPr>
            <w:tcW w:w="3980" w:type="dxa"/>
            <w:vAlign w:val="bottom"/>
          </w:tcPr>
          <w:p>
            <w:pPr>
              <w:jc w:val="right"/>
              <w:ind w:right="16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r>
      <w:tr>
        <w:trPr>
          <w:trHeight w:val="251"/>
        </w:trPr>
        <w:tc>
          <w:tcPr>
            <w:tcW w:w="3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Stable rates</w:t>
            </w:r>
          </w:p>
        </w:tc>
        <w:tc>
          <w:tcPr>
            <w:tcW w:w="3900" w:type="dxa"/>
            <w:vAlign w:val="bottom"/>
            <w:shd w:val="clear" w:color="auto" w:fill="C0C0C0"/>
          </w:tcPr>
          <w:p>
            <w:pPr>
              <w:jc w:val="right"/>
              <w:ind w:right="1712"/>
              <w:spacing w:after="0"/>
              <w:rPr>
                <w:sz w:val="20"/>
                <w:szCs w:val="20"/>
                <w:color w:val="auto"/>
              </w:rPr>
            </w:pPr>
            <w:r>
              <w:rPr>
                <w:rFonts w:ascii="Arial" w:cs="Arial" w:eastAsia="Arial" w:hAnsi="Arial"/>
                <w:sz w:val="18"/>
                <w:szCs w:val="18"/>
                <w:color w:val="auto"/>
              </w:rPr>
              <w:t>—</w:t>
            </w:r>
          </w:p>
        </w:tc>
        <w:tc>
          <w:tcPr>
            <w:tcW w:w="3980" w:type="dxa"/>
            <w:vAlign w:val="bottom"/>
            <w:shd w:val="clear" w:color="auto" w:fill="C0C0C0"/>
          </w:tcPr>
          <w:p>
            <w:pPr>
              <w:jc w:val="right"/>
              <w:ind w:right="17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3540" w:type="dxa"/>
            <w:vAlign w:val="bottom"/>
          </w:tcPr>
          <w:p>
            <w:pPr>
              <w:jc w:val="center"/>
              <w:spacing w:after="0"/>
              <w:rPr>
                <w:sz w:val="20"/>
                <w:szCs w:val="20"/>
                <w:color w:val="auto"/>
              </w:rPr>
            </w:pPr>
            <w:r>
              <w:rPr>
                <w:rFonts w:ascii="Arial" w:cs="Arial" w:eastAsia="Arial" w:hAnsi="Arial"/>
                <w:sz w:val="18"/>
                <w:szCs w:val="18"/>
                <w:color w:val="auto"/>
                <w:w w:val="86"/>
              </w:rPr>
              <w:t>-100 basis points</w:t>
            </w:r>
          </w:p>
        </w:tc>
        <w:tc>
          <w:tcPr>
            <w:tcW w:w="3900" w:type="dxa"/>
            <w:vAlign w:val="bottom"/>
          </w:tcPr>
          <w:p>
            <w:pPr>
              <w:jc w:val="right"/>
              <w:ind w:right="1512"/>
              <w:spacing w:after="0"/>
              <w:rPr>
                <w:sz w:val="20"/>
                <w:szCs w:val="20"/>
                <w:color w:val="auto"/>
              </w:rPr>
            </w:pPr>
            <w:r>
              <w:rPr>
                <w:rFonts w:ascii="Arial" w:cs="Arial" w:eastAsia="Arial" w:hAnsi="Arial"/>
                <w:sz w:val="18"/>
                <w:szCs w:val="18"/>
                <w:color w:val="auto"/>
              </w:rPr>
              <w:t>(5%)</w:t>
            </w:r>
          </w:p>
        </w:tc>
        <w:tc>
          <w:tcPr>
            <w:tcW w:w="3980" w:type="dxa"/>
            <w:vAlign w:val="bottom"/>
          </w:tcPr>
          <w:p>
            <w:pPr>
              <w:jc w:val="right"/>
              <w:ind w:right="157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r>
      <w:tr>
        <w:trPr>
          <w:trHeight w:val="251"/>
        </w:trPr>
        <w:tc>
          <w:tcPr>
            <w:tcW w:w="3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-200 basis points</w:t>
            </w:r>
          </w:p>
        </w:tc>
        <w:tc>
          <w:tcPr>
            <w:tcW w:w="3900" w:type="dxa"/>
            <w:vAlign w:val="bottom"/>
            <w:shd w:val="clear" w:color="auto" w:fill="C0C0C0"/>
          </w:tcPr>
          <w:p>
            <w:pPr>
              <w:jc w:val="right"/>
              <w:ind w:right="1512"/>
              <w:spacing w:after="0"/>
              <w:rPr>
                <w:sz w:val="20"/>
                <w:szCs w:val="20"/>
                <w:color w:val="auto"/>
              </w:rPr>
            </w:pPr>
            <w:r>
              <w:rPr>
                <w:rFonts w:ascii="Arial" w:cs="Arial" w:eastAsia="Arial" w:hAnsi="Arial"/>
                <w:sz w:val="18"/>
                <w:szCs w:val="18"/>
                <w:color w:val="auto"/>
              </w:rPr>
              <w:t>(8%)</w:t>
            </w:r>
          </w:p>
        </w:tc>
        <w:tc>
          <w:tcPr>
            <w:tcW w:w="3980" w:type="dxa"/>
            <w:vAlign w:val="bottom"/>
            <w:shd w:val="clear" w:color="auto" w:fill="C0C0C0"/>
          </w:tcPr>
          <w:p>
            <w:pPr>
              <w:jc w:val="right"/>
              <w:ind w:right="157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430"/>
        </w:trPr>
        <w:tc>
          <w:tcPr>
            <w:tcW w:w="3540" w:type="dxa"/>
            <w:vAlign w:val="bottom"/>
          </w:tcPr>
          <w:p>
            <w:pPr>
              <w:spacing w:after="0"/>
              <w:rPr>
                <w:sz w:val="24"/>
                <w:szCs w:val="24"/>
                <w:color w:val="auto"/>
              </w:rPr>
            </w:pPr>
          </w:p>
        </w:tc>
        <w:tc>
          <w:tcPr>
            <w:tcW w:w="3900" w:type="dxa"/>
            <w:vAlign w:val="bottom"/>
          </w:tcPr>
          <w:p>
            <w:pPr>
              <w:jc w:val="right"/>
              <w:ind w:right="1552"/>
              <w:spacing w:after="0"/>
              <w:rPr>
                <w:sz w:val="20"/>
                <w:szCs w:val="20"/>
                <w:color w:val="auto"/>
              </w:rPr>
            </w:pPr>
            <w:r>
              <w:rPr>
                <w:rFonts w:ascii="Arial" w:cs="Arial" w:eastAsia="Arial" w:hAnsi="Arial"/>
                <w:sz w:val="18"/>
                <w:szCs w:val="18"/>
                <w:color w:val="auto"/>
              </w:rPr>
              <w:t>31</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5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Position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interest rate risk position at December 31, 2017 for the various time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Variable</w:t>
            </w:r>
          </w:p>
        </w:tc>
        <w:tc>
          <w:tcPr>
            <w:tcW w:w="26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color w:val="auto"/>
              </w:rPr>
              <w:t>0-90</w:t>
            </w:r>
          </w:p>
        </w:tc>
        <w:tc>
          <w:tcPr>
            <w:tcW w:w="22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91-180</w:t>
            </w:r>
          </w:p>
        </w:tc>
        <w:tc>
          <w:tcPr>
            <w:tcW w:w="9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181-364</w:t>
            </w:r>
          </w:p>
        </w:tc>
        <w:tc>
          <w:tcPr>
            <w:tcW w:w="240" w:type="dxa"/>
            <w:vAlign w:val="bottom"/>
          </w:tcPr>
          <w:p>
            <w:pPr>
              <w:spacing w:after="0"/>
              <w:rPr>
                <w:sz w:val="19"/>
                <w:szCs w:val="19"/>
                <w:color w:val="auto"/>
              </w:rPr>
            </w:pPr>
          </w:p>
        </w:tc>
        <w:tc>
          <w:tcPr>
            <w:tcW w:w="780" w:type="dxa"/>
            <w:vAlign w:val="bottom"/>
          </w:tcPr>
          <w:p>
            <w:pPr>
              <w:jc w:val="right"/>
              <w:ind w:right="312"/>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Over</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Days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Days</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2"/>
              </w:rPr>
              <w:t>Days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3"/>
              </w:rPr>
              <w:t>Years</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7"/>
              </w:rPr>
              <w:t>5 Years</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r>
      <w:tr>
        <w:trPr>
          <w:trHeight w:val="243"/>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Earning assets:</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35"/>
        </w:trPr>
        <w:tc>
          <w:tcPr>
            <w:tcW w:w="4280" w:type="dxa"/>
            <w:vAlign w:val="bottom"/>
          </w:tcPr>
          <w:p>
            <w:pPr>
              <w:ind w:left="280"/>
              <w:spacing w:after="0"/>
              <w:rPr>
                <w:sz w:val="20"/>
                <w:szCs w:val="20"/>
                <w:color w:val="auto"/>
              </w:rPr>
            </w:pPr>
            <w:r>
              <w:rPr>
                <w:rFonts w:ascii="Arial" w:cs="Arial" w:eastAsia="Arial" w:hAnsi="Arial"/>
                <w:sz w:val="18"/>
                <w:szCs w:val="18"/>
                <w:color w:val="auto"/>
              </w:rPr>
              <w:t>Loans: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1"/>
        </w:trPr>
        <w:tc>
          <w:tcPr>
            <w:tcW w:w="4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160,196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5,165</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17,377</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46,747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342,583</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110,789</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682,857</w:t>
            </w:r>
          </w:p>
        </w:tc>
      </w:tr>
      <w:tr>
        <w:trPr>
          <w:trHeight w:val="235"/>
        </w:trPr>
        <w:tc>
          <w:tcPr>
            <w:tcW w:w="4280" w:type="dxa"/>
            <w:vAlign w:val="bottom"/>
          </w:tcPr>
          <w:p>
            <w:pPr>
              <w:ind w:left="540"/>
              <w:spacing w:after="0"/>
              <w:rPr>
                <w:sz w:val="20"/>
                <w:szCs w:val="20"/>
                <w:color w:val="auto"/>
              </w:rPr>
            </w:pPr>
            <w:r>
              <w:rPr>
                <w:rFonts w:ascii="Arial" w:cs="Arial" w:eastAsia="Arial" w:hAnsi="Arial"/>
                <w:sz w:val="18"/>
                <w:szCs w:val="18"/>
                <w:color w:val="auto"/>
              </w:rPr>
              <w:t>Tax-exempt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3,168</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318"/>
        </w:trPr>
        <w:tc>
          <w:tcPr>
            <w:tcW w:w="428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9"/>
                <w:szCs w:val="29"/>
                <w:b w:val="1"/>
                <w:bCs w:val="1"/>
                <w:color w:val="auto"/>
                <w:vertAlign w:val="superscript"/>
              </w:rPr>
              <w:t>(1)</w:t>
            </w:r>
            <w:r>
              <w:rPr>
                <w:rFonts w:ascii="Arial" w:cs="Arial" w:eastAsia="Arial" w:hAnsi="Arial"/>
                <w:sz w:val="18"/>
                <w:szCs w:val="18"/>
                <w:color w:val="auto"/>
              </w:rPr>
              <w:t>:</w:t>
            </w:r>
          </w:p>
        </w:tc>
        <w:tc>
          <w:tcPr>
            <w:tcW w:w="300" w:type="dxa"/>
            <w:vAlign w:val="bottom"/>
            <w:shd w:val="clear" w:color="auto" w:fill="C0C0C0"/>
          </w:tcPr>
          <w:p>
            <w:pPr>
              <w:spacing w:after="0"/>
              <w:rPr>
                <w:sz w:val="24"/>
                <w:szCs w:val="24"/>
                <w:color w:val="auto"/>
              </w:rPr>
            </w:pPr>
          </w:p>
        </w:tc>
        <w:tc>
          <w:tcPr>
            <w:tcW w:w="84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70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78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r>
      <w:tr>
        <w:trPr>
          <w:trHeight w:val="235"/>
        </w:trPr>
        <w:tc>
          <w:tcPr>
            <w:tcW w:w="4280" w:type="dxa"/>
            <w:vAlign w:val="bottom"/>
          </w:tcPr>
          <w:p>
            <w:pPr>
              <w:ind w:left="540"/>
              <w:spacing w:after="0"/>
              <w:rPr>
                <w:sz w:val="20"/>
                <w:szCs w:val="20"/>
                <w:color w:val="auto"/>
              </w:rPr>
            </w:pPr>
            <w:r>
              <w:rPr>
                <w:rFonts w:ascii="Arial" w:cs="Arial" w:eastAsia="Arial" w:hAnsi="Arial"/>
                <w:sz w:val="18"/>
                <w:szCs w:val="18"/>
                <w:color w:val="auto"/>
              </w:rPr>
              <w:t>Tax-exempt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5,221</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7,028</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57,726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344,528</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417,032</w:t>
            </w:r>
          </w:p>
        </w:tc>
      </w:tr>
      <w:tr>
        <w:trPr>
          <w:trHeight w:val="251"/>
        </w:trPr>
        <w:tc>
          <w:tcPr>
            <w:tcW w:w="4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U.S. government agencies</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45,500</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45,500</w:t>
            </w:r>
          </w:p>
        </w:tc>
      </w:tr>
      <w:tr>
        <w:trPr>
          <w:trHeight w:val="235"/>
        </w:trPr>
        <w:tc>
          <w:tcPr>
            <w:tcW w:w="4280" w:type="dxa"/>
            <w:vAlign w:val="bottom"/>
          </w:tcPr>
          <w:p>
            <w:pPr>
              <w:ind w:left="5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4,995</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7,991</w:t>
            </w:r>
          </w:p>
        </w:tc>
      </w:tr>
      <w:tr>
        <w:trPr>
          <w:trHeight w:val="251"/>
        </w:trPr>
        <w:tc>
          <w:tcPr>
            <w:tcW w:w="4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Investments in the FHLB and FRB</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1,190</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1,190</w:t>
            </w:r>
          </w:p>
        </w:tc>
      </w:tr>
      <w:tr>
        <w:trPr>
          <w:trHeight w:val="237"/>
        </w:trPr>
        <w:tc>
          <w:tcPr>
            <w:tcW w:w="4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5"/>
              </w:rPr>
              <w:t>Federal funds sold and other short-term investments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210,688</w:t>
            </w:r>
          </w:p>
        </w:tc>
      </w:tr>
      <w:tr>
        <w:trPr>
          <w:trHeight w:val="237"/>
        </w:trPr>
        <w:tc>
          <w:tcPr>
            <w:tcW w:w="4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earning assets</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372,074</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11,886</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19,906</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61,938</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402,011</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500,817</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7"/>
              </w:rPr>
              <w:t>1,368,632</w:t>
            </w: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rPr>
              <w:t>Interest-sensitive liabilities: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1"/>
        </w:trPr>
        <w:tc>
          <w:tcPr>
            <w:tcW w:w="4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Money market accounts</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260,418</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260,418</w:t>
            </w:r>
          </w:p>
        </w:tc>
      </w:tr>
      <w:tr>
        <w:trPr>
          <w:trHeight w:val="235"/>
        </w:trPr>
        <w:tc>
          <w:tcPr>
            <w:tcW w:w="4280" w:type="dxa"/>
            <w:vAlign w:val="bottom"/>
          </w:tcPr>
          <w:p>
            <w:pPr>
              <w:ind w:left="280"/>
              <w:spacing w:after="0"/>
              <w:rPr>
                <w:sz w:val="20"/>
                <w:szCs w:val="20"/>
                <w:color w:val="auto"/>
              </w:rPr>
            </w:pPr>
            <w:r>
              <w:rPr>
                <w:rFonts w:ascii="Arial" w:cs="Arial" w:eastAsia="Arial" w:hAnsi="Arial"/>
                <w:sz w:val="18"/>
                <w:szCs w:val="18"/>
                <w:color w:val="auto"/>
              </w:rPr>
              <w:t>Now accounts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72,463</w:t>
            </w:r>
          </w:p>
        </w:tc>
        <w:tc>
          <w:tcPr>
            <w:tcW w:w="2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72,463</w:t>
            </w:r>
          </w:p>
        </w:tc>
      </w:tr>
      <w:tr>
        <w:trPr>
          <w:trHeight w:val="251"/>
        </w:trPr>
        <w:tc>
          <w:tcPr>
            <w:tcW w:w="4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Savings deposits</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11,168</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11,168</w:t>
            </w:r>
          </w:p>
        </w:tc>
      </w:tr>
      <w:tr>
        <w:trPr>
          <w:trHeight w:val="235"/>
        </w:trPr>
        <w:tc>
          <w:tcPr>
            <w:tcW w:w="4280" w:type="dxa"/>
            <w:vAlign w:val="bottom"/>
          </w:tcPr>
          <w:p>
            <w:pPr>
              <w:ind w:left="280"/>
              <w:spacing w:after="0"/>
              <w:rPr>
                <w:sz w:val="20"/>
                <w:szCs w:val="20"/>
                <w:color w:val="auto"/>
              </w:rPr>
            </w:pPr>
            <w:r>
              <w:rPr>
                <w:rFonts w:ascii="Arial" w:cs="Arial" w:eastAsia="Arial" w:hAnsi="Arial"/>
                <w:sz w:val="18"/>
                <w:szCs w:val="18"/>
                <w:color w:val="auto"/>
              </w:rPr>
              <w:t>Time deposits: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5"/>
        </w:trPr>
        <w:tc>
          <w:tcPr>
            <w:tcW w:w="4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$250K and more</w:t>
            </w:r>
          </w:p>
        </w:tc>
        <w:tc>
          <w:tcPr>
            <w:tcW w:w="300" w:type="dxa"/>
            <w:vAlign w:val="bottom"/>
            <w:shd w:val="clear" w:color="auto" w:fill="C0C0C0"/>
          </w:tcPr>
          <w:p>
            <w:pPr>
              <w:spacing w:after="0"/>
              <w:rPr>
                <w:sz w:val="20"/>
                <w:szCs w:val="20"/>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3,540</w:t>
            </w:r>
          </w:p>
        </w:tc>
        <w:tc>
          <w:tcPr>
            <w:tcW w:w="220" w:type="dxa"/>
            <w:vAlign w:val="bottom"/>
            <w:shd w:val="clear" w:color="auto" w:fill="C0C0C0"/>
          </w:tcPr>
          <w:p>
            <w:pPr>
              <w:spacing w:after="0"/>
              <w:rPr>
                <w:sz w:val="20"/>
                <w:szCs w:val="20"/>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5,511</w:t>
            </w:r>
          </w:p>
        </w:tc>
        <w:tc>
          <w:tcPr>
            <w:tcW w:w="24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3,212</w:t>
            </w: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16,455</w:t>
            </w:r>
          </w:p>
        </w:tc>
      </w:tr>
      <w:tr>
        <w:trPr>
          <w:trHeight w:val="259"/>
        </w:trPr>
        <w:tc>
          <w:tcPr>
            <w:tcW w:w="428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r>
      <w:tr>
        <w:trPr>
          <w:trHeight w:val="235"/>
        </w:trPr>
        <w:tc>
          <w:tcPr>
            <w:tcW w:w="4280" w:type="dxa"/>
            <w:vAlign w:val="bottom"/>
          </w:tcPr>
          <w:p>
            <w:pPr>
              <w:ind w:left="540"/>
              <w:spacing w:after="0"/>
              <w:rPr>
                <w:sz w:val="20"/>
                <w:szCs w:val="20"/>
                <w:color w:val="auto"/>
              </w:rPr>
            </w:pPr>
            <w:r>
              <w:rPr>
                <w:rFonts w:ascii="Arial" w:cs="Arial" w:eastAsia="Arial" w:hAnsi="Arial"/>
                <w:sz w:val="18"/>
                <w:szCs w:val="18"/>
                <w:color w:val="auto"/>
              </w:rPr>
              <w:t>Less than $250K</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18,643</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14,936</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1,293</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36,043</w:t>
            </w:r>
          </w:p>
        </w:tc>
      </w:tr>
      <w:tr>
        <w:trPr>
          <w:trHeight w:val="244"/>
        </w:trPr>
        <w:tc>
          <w:tcPr>
            <w:tcW w:w="42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w w:val="88"/>
              </w:rPr>
              <w:t>Federal funds purchased and other short-term borrowing</w:t>
            </w:r>
          </w:p>
        </w:tc>
        <w:tc>
          <w:tcPr>
            <w:tcW w:w="3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interest-bearing liabilities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22,183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396,547</w:t>
            </w:r>
          </w:p>
        </w:tc>
      </w:tr>
      <w:tr>
        <w:trPr>
          <w:trHeight w:val="243"/>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Interest sensitivity gap:</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35"/>
        </w:trPr>
        <w:tc>
          <w:tcPr>
            <w:tcW w:w="4280" w:type="dxa"/>
            <w:vAlign w:val="bottom"/>
          </w:tcPr>
          <w:p>
            <w:pPr>
              <w:ind w:left="280"/>
              <w:spacing w:after="0"/>
              <w:rPr>
                <w:sz w:val="20"/>
                <w:szCs w:val="20"/>
                <w:color w:val="auto"/>
              </w:rPr>
            </w:pPr>
            <w:r>
              <w:rPr>
                <w:rFonts w:ascii="Arial" w:cs="Arial" w:eastAsia="Arial" w:hAnsi="Arial"/>
                <w:sz w:val="18"/>
                <w:szCs w:val="18"/>
                <w:color w:val="auto"/>
              </w:rPr>
              <w:t>Periodic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(10,297)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397,628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500,817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972,085</w:t>
            </w:r>
          </w:p>
        </w:tc>
      </w:tr>
      <w:tr>
        <w:trPr>
          <w:trHeight w:val="251"/>
        </w:trPr>
        <w:tc>
          <w:tcPr>
            <w:tcW w:w="4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Cumulative</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28,025</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17,728</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18,506</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73,640</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471,268</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972,085</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972,085</w:t>
            </w: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w w:val="89"/>
              </w:rPr>
              <w:t>Ratio of interest-bearing assets to interest-bearing liabilities: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1"/>
        </w:trPr>
        <w:tc>
          <w:tcPr>
            <w:tcW w:w="4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Periodic</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9.10</w:t>
            </w: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91.72</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3.45</w:t>
            </w:r>
          </w:p>
        </w:tc>
      </w:tr>
      <w:tr>
        <w:trPr>
          <w:trHeight w:val="237"/>
        </w:trPr>
        <w:tc>
          <w:tcPr>
            <w:tcW w:w="4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Cumulative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vertAlign w:val="superscript"/>
        </w:rPr>
        <w:t>(1)</w:t>
      </w:r>
      <w:r>
        <w:rPr>
          <w:rFonts w:ascii="Arial" w:cs="Arial" w:eastAsia="Arial" w:hAnsi="Arial"/>
          <w:sz w:val="18"/>
          <w:szCs w:val="18"/>
          <w:color w:val="auto"/>
        </w:rPr>
        <w:t xml:space="preserve"> Balances shown reflect earliest re-pricing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864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20" w:type="dxa"/>
            <w:vAlign w:val="bottom"/>
            <w:gridSpan w:val="2"/>
          </w:tcPr>
          <w:p>
            <w:pPr>
              <w:jc w:val="center"/>
              <w:ind w:left="137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320" w:type="dxa"/>
            <w:vAlign w:val="bottom"/>
            <w:gridSpan w:val="2"/>
          </w:tcPr>
          <w:p>
            <w:pPr>
              <w:jc w:val="center"/>
              <w:ind w:left="1392"/>
              <w:spacing w:after="0"/>
              <w:rPr>
                <w:sz w:val="20"/>
                <w:szCs w:val="20"/>
                <w:color w:val="auto"/>
              </w:rPr>
            </w:pPr>
            <w:r>
              <w:rPr>
                <w:rFonts w:ascii="Arial" w:cs="Arial" w:eastAsia="Arial" w:hAnsi="Arial"/>
                <w:sz w:val="18"/>
                <w:szCs w:val="18"/>
                <w:b w:val="1"/>
                <w:bCs w:val="1"/>
                <w:color w:val="auto"/>
                <w:w w:val="96"/>
              </w:rPr>
              <w:t>CONSOLIDATED BALANCE SHEETS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40" w:type="dxa"/>
            <w:vAlign w:val="bottom"/>
            <w:gridSpan w:val="5"/>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tcBorders>
              <w:top w:val="single" w:sz="8" w:color="auto"/>
            </w:tcBorders>
            <w:gridSpan w:val="4"/>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17,422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152,056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136,852</w:t>
            </w:r>
          </w:p>
        </w:tc>
        <w:tc>
          <w:tcPr>
            <w:tcW w:w="0" w:type="dxa"/>
            <w:vAlign w:val="bottom"/>
          </w:tcPr>
          <w:p>
            <w:pPr>
              <w:spacing w:after="0"/>
              <w:rPr>
                <w:sz w:val="1"/>
                <w:szCs w:val="1"/>
                <w:color w:val="auto"/>
              </w:rPr>
            </w:pPr>
          </w:p>
        </w:tc>
      </w:tr>
      <w:tr>
        <w:trPr>
          <w:trHeight w:val="237"/>
        </w:trPr>
        <w:tc>
          <w:tcPr>
            <w:tcW w:w="8640" w:type="dxa"/>
            <w:vAlign w:val="bottom"/>
            <w:gridSpan w:val="5"/>
          </w:tcPr>
          <w:p>
            <w:pPr>
              <w:spacing w:after="0"/>
              <w:rPr>
                <w:sz w:val="20"/>
                <w:szCs w:val="20"/>
                <w:color w:val="auto"/>
              </w:rPr>
            </w:pPr>
            <w:r>
              <w:rPr>
                <w:rFonts w:ascii="Arial" w:cs="Arial" w:eastAsia="Arial" w:hAnsi="Arial"/>
                <w:sz w:val="18"/>
                <w:szCs w:val="18"/>
                <w:color w:val="auto"/>
              </w:rPr>
              <w:t>Federal funds sold and other short-term investments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58,632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118,077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tcBorders>
              <w:top w:val="single" w:sz="8" w:color="C0C0C0"/>
            </w:tcBorders>
            <w:gridSpan w:val="4"/>
            <w:shd w:val="clear" w:color="auto" w:fill="C0C0C0"/>
          </w:tcPr>
          <w:p>
            <w:pPr>
              <w:ind w:left="5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228,110</w:t>
            </w:r>
          </w:p>
        </w:tc>
        <w:tc>
          <w:tcPr>
            <w:tcW w:w="28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92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29"/>
        </w:trPr>
        <w:tc>
          <w:tcPr>
            <w:tcW w:w="8640" w:type="dxa"/>
            <w:vAlign w:val="bottom"/>
            <w:gridSpan w:val="5"/>
          </w:tcPr>
          <w:p>
            <w:pPr>
              <w:spacing w:after="0"/>
              <w:rPr>
                <w:sz w:val="20"/>
                <w:szCs w:val="20"/>
                <w:color w:val="auto"/>
              </w:rPr>
            </w:pPr>
            <w:r>
              <w:rPr>
                <w:rFonts w:ascii="Arial" w:cs="Arial" w:eastAsia="Arial" w:hAnsi="Arial"/>
                <w:sz w:val="18"/>
                <w:szCs w:val="18"/>
                <w:color w:val="auto"/>
              </w:rPr>
              <w:t>Securities available-for-sale, at fair value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470,523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390,552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4140" w:type="dxa"/>
            <w:vAlign w:val="bottom"/>
            <w:shd w:val="clear" w:color="auto" w:fill="C0C0C0"/>
          </w:tcPr>
          <w:p>
            <w:pPr>
              <w:spacing w:after="0"/>
              <w:rPr>
                <w:sz w:val="21"/>
                <w:szCs w:val="21"/>
                <w:color w:val="auto"/>
              </w:rPr>
            </w:pPr>
          </w:p>
        </w:tc>
        <w:tc>
          <w:tcPr>
            <w:tcW w:w="3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686,231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664,866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ind w:left="520"/>
              <w:spacing w:after="0"/>
              <w:rPr>
                <w:sz w:val="20"/>
                <w:szCs w:val="20"/>
                <w:color w:val="auto"/>
              </w:rPr>
            </w:pPr>
            <w:r>
              <w:rPr>
                <w:rFonts w:ascii="Arial" w:cs="Arial" w:eastAsia="Arial" w:hAnsi="Arial"/>
                <w:sz w:val="18"/>
                <w:szCs w:val="18"/>
                <w:color w:val="auto"/>
              </w:rPr>
              <w:t>Less allowance for loan losses</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10,205</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7940" w:type="dxa"/>
            <w:vAlign w:val="bottom"/>
            <w:tcBorders>
              <w:bottom w:val="single" w:sz="8" w:color="C0C0C0"/>
            </w:tcBorders>
            <w:gridSpan w:val="3"/>
          </w:tcPr>
          <w:p>
            <w:pPr>
              <w:ind w:left="120"/>
              <w:spacing w:after="0"/>
              <w:rPr>
                <w:sz w:val="20"/>
                <w:szCs w:val="20"/>
                <w:color w:val="auto"/>
              </w:rPr>
            </w:pPr>
            <w:r>
              <w:rPr>
                <w:rFonts w:ascii="Arial" w:cs="Arial" w:eastAsia="Arial" w:hAnsi="Arial"/>
                <w:sz w:val="18"/>
                <w:szCs w:val="18"/>
                <w:color w:val="auto"/>
              </w:rPr>
              <w:t>Loans, net</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676,026</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654,691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21,586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21,086</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Investments in bank-owned life insurance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16,927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Payments in excess of funding</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139,103</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105,347</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12,569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1,996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36,369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shd w:val="clear" w:color="auto" w:fill="C0C0C0"/>
          </w:tcPr>
          <w:p>
            <w:pPr>
              <w:spacing w:after="0" w:line="20" w:lineRule="exact"/>
              <w:rPr>
                <w:sz w:val="1"/>
                <w:szCs w:val="1"/>
                <w:color w:val="auto"/>
              </w:rPr>
            </w:pPr>
          </w:p>
        </w:tc>
        <w:tc>
          <w:tcPr>
            <w:tcW w:w="620" w:type="dxa"/>
            <w:vAlign w:val="bottom"/>
            <w:shd w:val="clear" w:color="auto" w:fill="C0C0C0"/>
          </w:tcPr>
          <w:p>
            <w:pPr>
              <w:spacing w:after="0" w:line="20" w:lineRule="exact"/>
              <w:rPr>
                <w:sz w:val="1"/>
                <w:szCs w:val="1"/>
                <w:color w:val="auto"/>
              </w:rPr>
            </w:pPr>
          </w:p>
        </w:tc>
        <w:tc>
          <w:tcPr>
            <w:tcW w:w="4140" w:type="dxa"/>
            <w:vAlign w:val="bottom"/>
            <w:shd w:val="clear" w:color="auto" w:fill="C0C0C0"/>
          </w:tcPr>
          <w:p>
            <w:pPr>
              <w:spacing w:after="0" w:line="20" w:lineRule="exact"/>
              <w:rPr>
                <w:sz w:val="1"/>
                <w:szCs w:val="1"/>
                <w:color w:val="auto"/>
              </w:rPr>
            </w:pPr>
          </w:p>
        </w:tc>
        <w:tc>
          <w:tcPr>
            <w:tcW w:w="3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794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1,603,209</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1,504,839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 w:type="dxa"/>
            <w:vAlign w:val="bottom"/>
            <w:tcBorders>
              <w:top w:val="single" w:sz="8" w:color="C0C0C0"/>
            </w:tcBorders>
            <w:shd w:val="clear" w:color="auto" w:fill="C0C0C0"/>
          </w:tcPr>
          <w:p>
            <w:pPr>
              <w:spacing w:after="0"/>
              <w:rPr>
                <w:sz w:val="19"/>
                <w:szCs w:val="19"/>
                <w:color w:val="auto"/>
              </w:rPr>
            </w:pPr>
          </w:p>
        </w:tc>
        <w:tc>
          <w:tcPr>
            <w:tcW w:w="620" w:type="dxa"/>
            <w:vAlign w:val="bottom"/>
            <w:tcBorders>
              <w:top w:val="single" w:sz="8" w:color="C0C0C0"/>
            </w:tcBorders>
            <w:shd w:val="clear" w:color="auto" w:fill="C0C0C0"/>
          </w:tcPr>
          <w:p>
            <w:pPr>
              <w:spacing w:after="0"/>
              <w:rPr>
                <w:sz w:val="19"/>
                <w:szCs w:val="19"/>
                <w:color w:val="auto"/>
              </w:rPr>
            </w:pPr>
          </w:p>
        </w:tc>
        <w:tc>
          <w:tcPr>
            <w:tcW w:w="4140" w:type="dxa"/>
            <w:vAlign w:val="bottom"/>
            <w:tcBorders>
              <w:top w:val="single" w:sz="8" w:color="C0C0C0"/>
            </w:tcBorders>
            <w:shd w:val="clear" w:color="auto" w:fill="C0C0C0"/>
          </w:tcPr>
          <w:p>
            <w:pPr>
              <w:spacing w:after="0"/>
              <w:rPr>
                <w:sz w:val="19"/>
                <w:szCs w:val="19"/>
                <w:color w:val="auto"/>
              </w:rPr>
            </w:pPr>
          </w:p>
        </w:tc>
        <w:tc>
          <w:tcPr>
            <w:tcW w:w="318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92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92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ind w:left="520"/>
              <w:spacing w:after="0"/>
              <w:rPr>
                <w:sz w:val="20"/>
                <w:szCs w:val="20"/>
                <w:color w:val="auto"/>
              </w:rPr>
            </w:pPr>
            <w:r>
              <w:rPr>
                <w:rFonts w:ascii="Arial" w:cs="Arial" w:eastAsia="Arial" w:hAnsi="Arial"/>
                <w:sz w:val="18"/>
                <w:szCs w:val="18"/>
                <w:color w:val="auto"/>
              </w:rPr>
              <w:t>Noninterest-bearing</w:t>
            </w:r>
          </w:p>
        </w:tc>
        <w:tc>
          <w:tcPr>
            <w:tcW w:w="4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281,541</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214,656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tcBorders>
              <w:bottom w:val="single" w:sz="8" w:color="C0C0C0"/>
            </w:tcBorders>
            <w:gridSpan w:val="4"/>
          </w:tcPr>
          <w:p>
            <w:pPr>
              <w:ind w:left="520"/>
              <w:spacing w:after="0"/>
              <w:rPr>
                <w:sz w:val="20"/>
                <w:szCs w:val="20"/>
                <w:color w:val="auto"/>
              </w:rPr>
            </w:pPr>
            <w:r>
              <w:rPr>
                <w:rFonts w:ascii="Arial" w:cs="Arial" w:eastAsia="Arial" w:hAnsi="Arial"/>
                <w:sz w:val="18"/>
                <w:szCs w:val="18"/>
                <w:color w:val="auto"/>
              </w:rPr>
              <w:t>Interest-bearing</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396,547</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407,305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794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Total deposits</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678,088</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621,961</w:t>
            </w:r>
          </w:p>
        </w:tc>
        <w:tc>
          <w:tcPr>
            <w:tcW w:w="0" w:type="dxa"/>
            <w:vAlign w:val="bottom"/>
          </w:tcPr>
          <w:p>
            <w:pPr>
              <w:spacing w:after="0"/>
              <w:rPr>
                <w:sz w:val="1"/>
                <w:szCs w:val="1"/>
                <w:color w:val="auto"/>
              </w:rPr>
            </w:pPr>
          </w:p>
        </w:tc>
      </w:tr>
      <w:tr>
        <w:trPr>
          <w:trHeight w:val="229"/>
        </w:trPr>
        <w:tc>
          <w:tcPr>
            <w:tcW w:w="8640" w:type="dxa"/>
            <w:vAlign w:val="bottom"/>
            <w:gridSpan w:val="5"/>
          </w:tcPr>
          <w:p>
            <w:pPr>
              <w:spacing w:after="0"/>
              <w:rPr>
                <w:sz w:val="20"/>
                <w:szCs w:val="20"/>
                <w:color w:val="auto"/>
              </w:rPr>
            </w:pPr>
            <w:r>
              <w:rPr>
                <w:rFonts w:ascii="Arial" w:cs="Arial" w:eastAsia="Arial" w:hAnsi="Arial"/>
                <w:sz w:val="18"/>
                <w:szCs w:val="18"/>
                <w:color w:val="auto"/>
              </w:rPr>
              <w:t>Accounts and drafts payable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661,888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642,287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38,145</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32,556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940" w:type="dxa"/>
            <w:vAlign w:val="bottom"/>
            <w:gridSpan w:val="3"/>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1,378,121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1,296,804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w w:val="91"/>
              </w:rPr>
              <w:t>Common stock, par value $.50 per share; 40,000,000 shares authorized, 13,047,858 and 11,931,147 shares issued at</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20" w:type="dxa"/>
            <w:vAlign w:val="bottom"/>
            <w:gridSpan w:val="4"/>
            <w:shd w:val="clear" w:color="auto" w:fill="C0C0C0"/>
          </w:tcPr>
          <w:p>
            <w:pPr>
              <w:ind w:left="260"/>
              <w:spacing w:after="0"/>
              <w:rPr>
                <w:sz w:val="20"/>
                <w:szCs w:val="20"/>
                <w:color w:val="auto"/>
              </w:rPr>
            </w:pPr>
            <w:r>
              <w:rPr>
                <w:rFonts w:ascii="Arial" w:cs="Arial" w:eastAsia="Arial" w:hAnsi="Arial"/>
                <w:sz w:val="18"/>
                <w:szCs w:val="18"/>
                <w:color w:val="auto"/>
              </w:rPr>
              <w:t>December 31, 2017 and 2016, respectively</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6,524</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204,631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128,455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59,314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118,363</w:t>
            </w:r>
          </w:p>
        </w:tc>
        <w:tc>
          <w:tcPr>
            <w:tcW w:w="0" w:type="dxa"/>
            <w:vAlign w:val="bottom"/>
          </w:tcPr>
          <w:p>
            <w:pPr>
              <w:spacing w:after="0"/>
              <w:rPr>
                <w:sz w:val="1"/>
                <w:szCs w:val="1"/>
                <w:color w:val="auto"/>
              </w:rPr>
            </w:pPr>
          </w:p>
        </w:tc>
      </w:tr>
      <w:tr>
        <w:trPr>
          <w:trHeight w:val="235"/>
        </w:trPr>
        <w:tc>
          <w:tcPr>
            <w:tcW w:w="8640" w:type="dxa"/>
            <w:vAlign w:val="bottom"/>
            <w:gridSpan w:val="5"/>
          </w:tcPr>
          <w:p>
            <w:pPr>
              <w:spacing w:after="0"/>
              <w:rPr>
                <w:sz w:val="20"/>
                <w:szCs w:val="20"/>
                <w:color w:val="auto"/>
              </w:rPr>
            </w:pPr>
            <w:r>
              <w:rPr>
                <w:rFonts w:ascii="Arial" w:cs="Arial" w:eastAsia="Arial" w:hAnsi="Arial"/>
                <w:sz w:val="18"/>
                <w:szCs w:val="18"/>
                <w:color w:val="auto"/>
                <w:w w:val="95"/>
              </w:rPr>
              <w:t>Common shares in treasury, at cost (760,962 and 742,681 shares at December 31, 2017 and 2016, respectively)</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(32,061)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4"/>
            <w:shd w:val="clear" w:color="auto" w:fill="C0C0C0"/>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(13,320)</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7940" w:type="dxa"/>
            <w:vAlign w:val="bottom"/>
            <w:tcBorders>
              <w:bottom w:val="single" w:sz="8" w:color="C0C0C0"/>
            </w:tcBorders>
            <w:gridSpan w:val="3"/>
          </w:tcPr>
          <w:p>
            <w:pPr>
              <w:ind w:left="1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225,088</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208,035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7940" w:type="dxa"/>
            <w:vAlign w:val="bottom"/>
            <w:gridSpan w:val="3"/>
            <w:shd w:val="clear" w:color="auto" w:fill="C0C0C0"/>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1,603,209</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1,504,839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shd w:val="clear" w:color="auto" w:fill="C0C0C0"/>
          </w:tcPr>
          <w:p>
            <w:pPr>
              <w:spacing w:after="0"/>
              <w:rPr>
                <w:sz w:val="2"/>
                <w:szCs w:val="2"/>
                <w:color w:val="auto"/>
              </w:rPr>
            </w:pPr>
          </w:p>
        </w:tc>
        <w:tc>
          <w:tcPr>
            <w:tcW w:w="620" w:type="dxa"/>
            <w:vAlign w:val="bottom"/>
            <w:shd w:val="clear" w:color="auto" w:fill="C0C0C0"/>
          </w:tcPr>
          <w:p>
            <w:pPr>
              <w:spacing w:after="0"/>
              <w:rPr>
                <w:sz w:val="2"/>
                <w:szCs w:val="2"/>
                <w:color w:val="auto"/>
              </w:rPr>
            </w:pPr>
          </w:p>
        </w:tc>
        <w:tc>
          <w:tcPr>
            <w:tcW w:w="4140" w:type="dxa"/>
            <w:vAlign w:val="bottom"/>
            <w:shd w:val="clear" w:color="auto" w:fill="C0C0C0"/>
          </w:tcPr>
          <w:p>
            <w:pPr>
              <w:spacing w:after="0"/>
              <w:rPr>
                <w:sz w:val="2"/>
                <w:szCs w:val="2"/>
                <w:color w:val="auto"/>
              </w:rPr>
            </w:pPr>
          </w:p>
        </w:tc>
        <w:tc>
          <w:tcPr>
            <w:tcW w:w="318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312"/>
              <w:spacing w:after="0"/>
              <w:rPr>
                <w:sz w:val="20"/>
                <w:szCs w:val="20"/>
                <w:color w:val="auto"/>
              </w:rPr>
            </w:pPr>
            <w:r>
              <w:rPr>
                <w:rFonts w:ascii="Arial" w:cs="Arial" w:eastAsia="Arial" w:hAnsi="Arial"/>
                <w:sz w:val="18"/>
                <w:szCs w:val="18"/>
                <w:b w:val="1"/>
                <w:bCs w:val="1"/>
                <w:color w:val="auto"/>
                <w:w w:val="94"/>
              </w:rPr>
              <w:t>For the Years Ended December 31,</w:t>
            </w:r>
          </w:p>
        </w:tc>
        <w:tc>
          <w:tcPr>
            <w:tcW w:w="0" w:type="dxa"/>
            <w:vAlign w:val="bottom"/>
          </w:tcPr>
          <w:p>
            <w:pPr>
              <w:spacing w:after="0"/>
              <w:rPr>
                <w:sz w:val="1"/>
                <w:szCs w:val="1"/>
                <w:color w:val="auto"/>
              </w:rPr>
            </w:pPr>
          </w:p>
        </w:tc>
      </w:tr>
      <w:tr>
        <w:trPr>
          <w:trHeight w:val="237"/>
        </w:trPr>
        <w:tc>
          <w:tcPr>
            <w:tcW w:w="77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28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93,322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83,713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78,622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Gains on sales of securities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760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520"/>
              <w:spacing w:after="0"/>
              <w:rPr>
                <w:sz w:val="20"/>
                <w:szCs w:val="20"/>
                <w:color w:val="auto"/>
              </w:rPr>
            </w:pPr>
            <w:r>
              <w:rPr>
                <w:rFonts w:ascii="Arial" w:cs="Arial" w:eastAsia="Arial" w:hAnsi="Arial"/>
                <w:sz w:val="18"/>
                <w:szCs w:val="18"/>
                <w:color w:val="auto"/>
              </w:rPr>
              <w:t>Total fee revenue and other income</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95,512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86,136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83,368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28,641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29,063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28,669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Taxable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10,439</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9,658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vMerge w:val="restart"/>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vMerge w:val="continue"/>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41,977</w:t>
            </w:r>
          </w:p>
        </w:tc>
        <w:tc>
          <w:tcPr>
            <w:tcW w:w="1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39,930</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38,710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Borders>
              <w:top w:val="single" w:sz="8" w:color="C0C0C0"/>
            </w:tcBorders>
            <w:shd w:val="clear" w:color="auto" w:fill="C0C0C0"/>
          </w:tcPr>
          <w:p>
            <w:pPr>
              <w:spacing w:after="0"/>
              <w:rPr>
                <w:sz w:val="17"/>
                <w:szCs w:val="17"/>
                <w:color w:val="auto"/>
              </w:rPr>
            </w:pPr>
          </w:p>
        </w:tc>
        <w:tc>
          <w:tcPr>
            <w:tcW w:w="280" w:type="dxa"/>
            <w:vAlign w:val="bottom"/>
            <w:tcBorders>
              <w:top w:val="single" w:sz="8" w:color="C0C0C0"/>
            </w:tcBorders>
            <w:shd w:val="clear" w:color="auto" w:fill="C0C0C0"/>
          </w:tcPr>
          <w:p>
            <w:pPr>
              <w:spacing w:after="0"/>
              <w:rPr>
                <w:sz w:val="17"/>
                <w:szCs w:val="17"/>
                <w:color w:val="auto"/>
              </w:rPr>
            </w:pPr>
          </w:p>
        </w:tc>
        <w:tc>
          <w:tcPr>
            <w:tcW w:w="180" w:type="dxa"/>
            <w:vAlign w:val="bottom"/>
            <w:tcBorders>
              <w:top w:val="single" w:sz="8" w:color="auto"/>
            </w:tcBorders>
            <w:shd w:val="clear" w:color="auto" w:fill="C0C0C0"/>
          </w:tcPr>
          <w:p>
            <w:pPr>
              <w:spacing w:after="0"/>
              <w:rPr>
                <w:sz w:val="17"/>
                <w:szCs w:val="17"/>
                <w:color w:val="auto"/>
              </w:rPr>
            </w:pPr>
          </w:p>
        </w:tc>
        <w:tc>
          <w:tcPr>
            <w:tcW w:w="700" w:type="dxa"/>
            <w:vAlign w:val="bottom"/>
            <w:tcBorders>
              <w:top w:val="single" w:sz="8" w:color="auto"/>
            </w:tcBorders>
            <w:shd w:val="clear" w:color="auto" w:fill="C0C0C0"/>
          </w:tcPr>
          <w:p>
            <w:pPr>
              <w:spacing w:after="0"/>
              <w:rPr>
                <w:sz w:val="17"/>
                <w:szCs w:val="17"/>
                <w:color w:val="auto"/>
              </w:rPr>
            </w:pPr>
          </w:p>
        </w:tc>
        <w:tc>
          <w:tcPr>
            <w:tcW w:w="140" w:type="dxa"/>
            <w:vAlign w:val="bottom"/>
            <w:tcBorders>
              <w:top w:val="single" w:sz="8" w:color="C0C0C0"/>
            </w:tcBorders>
            <w:shd w:val="clear" w:color="auto" w:fill="C0C0C0"/>
          </w:tcPr>
          <w:p>
            <w:pPr>
              <w:spacing w:after="0"/>
              <w:rPr>
                <w:sz w:val="17"/>
                <w:szCs w:val="17"/>
                <w:color w:val="auto"/>
              </w:rPr>
            </w:pPr>
          </w:p>
        </w:tc>
        <w:tc>
          <w:tcPr>
            <w:tcW w:w="140" w:type="dxa"/>
            <w:vAlign w:val="bottom"/>
            <w:tcBorders>
              <w:top w:val="single" w:sz="8" w:color="C0C0C0"/>
            </w:tcBorders>
            <w:shd w:val="clear" w:color="auto" w:fill="C0C0C0"/>
          </w:tcPr>
          <w:p>
            <w:pPr>
              <w:spacing w:after="0"/>
              <w:rPr>
                <w:sz w:val="17"/>
                <w:szCs w:val="17"/>
                <w:color w:val="auto"/>
              </w:rPr>
            </w:pPr>
          </w:p>
        </w:tc>
        <w:tc>
          <w:tcPr>
            <w:tcW w:w="200" w:type="dxa"/>
            <w:vAlign w:val="bottom"/>
            <w:tcBorders>
              <w:top w:val="single" w:sz="8" w:color="auto"/>
            </w:tcBorders>
            <w:shd w:val="clear" w:color="auto" w:fill="C0C0C0"/>
          </w:tcPr>
          <w:p>
            <w:pPr>
              <w:spacing w:after="0"/>
              <w:rPr>
                <w:sz w:val="17"/>
                <w:szCs w:val="17"/>
                <w:color w:val="auto"/>
              </w:rPr>
            </w:pPr>
          </w:p>
        </w:tc>
        <w:tc>
          <w:tcPr>
            <w:tcW w:w="780" w:type="dxa"/>
            <w:vAlign w:val="bottom"/>
            <w:tcBorders>
              <w:top w:val="single" w:sz="8" w:color="auto"/>
            </w:tcBorders>
            <w:shd w:val="clear" w:color="auto" w:fill="C0C0C0"/>
          </w:tcPr>
          <w:p>
            <w:pPr>
              <w:spacing w:after="0"/>
              <w:rPr>
                <w:sz w:val="17"/>
                <w:szCs w:val="17"/>
                <w:color w:val="auto"/>
              </w:rPr>
            </w:pPr>
          </w:p>
        </w:tc>
        <w:tc>
          <w:tcPr>
            <w:tcW w:w="280" w:type="dxa"/>
            <w:vAlign w:val="bottom"/>
            <w:tcBorders>
              <w:top w:val="single" w:sz="8" w:color="C0C0C0"/>
            </w:tcBorders>
            <w:shd w:val="clear" w:color="auto" w:fill="C0C0C0"/>
          </w:tcPr>
          <w:p>
            <w:pPr>
              <w:spacing w:after="0"/>
              <w:rPr>
                <w:sz w:val="17"/>
                <w:szCs w:val="17"/>
                <w:color w:val="auto"/>
              </w:rPr>
            </w:pPr>
          </w:p>
        </w:tc>
        <w:tc>
          <w:tcPr>
            <w:tcW w:w="200" w:type="dxa"/>
            <w:vAlign w:val="bottom"/>
            <w:tcBorders>
              <w:top w:val="single" w:sz="8" w:color="auto"/>
            </w:tcBorders>
            <w:shd w:val="clear" w:color="auto" w:fill="C0C0C0"/>
          </w:tcPr>
          <w:p>
            <w:pPr>
              <w:spacing w:after="0"/>
              <w:rPr>
                <w:sz w:val="17"/>
                <w:szCs w:val="17"/>
                <w:color w:val="auto"/>
              </w:rPr>
            </w:pPr>
          </w:p>
        </w:tc>
        <w:tc>
          <w:tcPr>
            <w:tcW w:w="780" w:type="dxa"/>
            <w:vAlign w:val="bottom"/>
            <w:tcBorders>
              <w:top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2,187</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2,029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520"/>
              <w:spacing w:after="0"/>
              <w:rPr>
                <w:sz w:val="20"/>
                <w:szCs w:val="20"/>
                <w:color w:val="auto"/>
              </w:rPr>
            </w:pPr>
            <w:r>
              <w:rPr>
                <w:rFonts w:ascii="Arial" w:cs="Arial" w:eastAsia="Arial" w:hAnsi="Arial"/>
                <w:sz w:val="18"/>
                <w:szCs w:val="18"/>
                <w:color w:val="auto"/>
              </w:rPr>
              <w:t>Total interest expense</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vMerge w:val="restart"/>
            <w:shd w:val="clear" w:color="auto" w:fill="C0C0C0"/>
          </w:tcPr>
          <w:p>
            <w:pPr>
              <w:ind w:left="80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vMerge w:val="continue"/>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39,790</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37,901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36,599</w:t>
            </w: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vMerge w:val="restart"/>
            <w:shd w:val="clear" w:color="auto" w:fill="C0C0C0"/>
          </w:tcPr>
          <w:p>
            <w:pPr>
              <w:ind w:left="800"/>
              <w:spacing w:after="0"/>
              <w:rPr>
                <w:sz w:val="20"/>
                <w:szCs w:val="20"/>
                <w:color w:val="auto"/>
              </w:rPr>
            </w:pPr>
            <w:r>
              <w:rPr>
                <w:rFonts w:ascii="Arial" w:cs="Arial" w:eastAsia="Arial" w:hAnsi="Arial"/>
                <w:sz w:val="18"/>
                <w:szCs w:val="18"/>
                <w:color w:val="auto"/>
              </w:rPr>
              <w:t>Net interest income after provision for loan losses</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vMerge w:val="continue"/>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39,790</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39,401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800"/>
              <w:spacing w:after="0"/>
              <w:rPr>
                <w:sz w:val="20"/>
                <w:szCs w:val="20"/>
                <w:color w:val="auto"/>
              </w:rPr>
            </w:pPr>
            <w:r>
              <w:rPr>
                <w:rFonts w:ascii="Arial" w:cs="Arial" w:eastAsia="Arial" w:hAnsi="Arial"/>
                <w:sz w:val="18"/>
                <w:szCs w:val="18"/>
                <w:color w:val="auto"/>
              </w:rPr>
              <w:t>Total net revenue</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135,302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125,537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120,817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Operating Expense: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Personnel</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77,339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72,581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70,314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3,480</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3,390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4,451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Other operating</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14,086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12,643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vMerge w:val="restart"/>
            <w:shd w:val="clear" w:color="auto" w:fill="C0C0C0"/>
          </w:tcPr>
          <w:p>
            <w:pPr>
              <w:ind w:left="520"/>
              <w:spacing w:after="0"/>
              <w:rPr>
                <w:sz w:val="20"/>
                <w:szCs w:val="20"/>
                <w:color w:val="auto"/>
              </w:rPr>
            </w:pPr>
            <w:r>
              <w:rPr>
                <w:rFonts w:ascii="Arial" w:cs="Arial" w:eastAsia="Arial" w:hAnsi="Arial"/>
                <w:sz w:val="18"/>
                <w:szCs w:val="18"/>
                <w:color w:val="auto"/>
              </w:rPr>
              <w:t>Total operating expense</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vMerge w:val="continue"/>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100,403</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93,473</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89,783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80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34,899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32,064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9,885</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7,716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25,014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2.04</w:t>
            </w:r>
          </w:p>
        </w:tc>
        <w:tc>
          <w:tcPr>
            <w:tcW w:w="3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1.99</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8"/>
        </w:trPr>
        <w:tc>
          <w:tcPr>
            <w:tcW w:w="77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8"/>
                <w:szCs w:val="18"/>
                <w:b w:val="1"/>
                <w:bCs w:val="1"/>
                <w:color w:val="auto"/>
                <w:w w:val="95"/>
              </w:rPr>
              <w:t>For the Years Ended December 31,</w:t>
            </w:r>
          </w:p>
        </w:tc>
      </w:tr>
      <w:tr>
        <w:trPr>
          <w:trHeight w:val="23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r>
      <w:tr>
        <w:trPr>
          <w:trHeight w:val="243"/>
        </w:trPr>
        <w:tc>
          <w:tcPr>
            <w:tcW w:w="7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25,014</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23,056</w:t>
            </w:r>
          </w:p>
        </w:tc>
      </w:tr>
      <w:tr>
        <w:trPr>
          <w:trHeight w:val="251"/>
        </w:trPr>
        <w:tc>
          <w:tcPr>
            <w:tcW w:w="792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7920" w:type="dxa"/>
            <w:vAlign w:val="bottom"/>
          </w:tcPr>
          <w:p>
            <w:pPr>
              <w:ind w:left="280"/>
              <w:spacing w:after="0"/>
              <w:rPr>
                <w:sz w:val="20"/>
                <w:szCs w:val="20"/>
                <w:color w:val="auto"/>
              </w:rPr>
            </w:pPr>
            <w:r>
              <w:rPr>
                <w:rFonts w:ascii="Arial" w:cs="Arial" w:eastAsia="Arial" w:hAnsi="Arial"/>
                <w:sz w:val="18"/>
                <w:szCs w:val="18"/>
                <w:color w:val="auto"/>
              </w:rPr>
              <w:t>Net unrealized gain (loss) on securities available-for-sale</w:t>
            </w:r>
          </w:p>
        </w:tc>
        <w:tc>
          <w:tcPr>
            <w:tcW w:w="2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6,637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1,527</w:t>
            </w:r>
          </w:p>
        </w:tc>
      </w:tr>
      <w:tr>
        <w:trPr>
          <w:trHeight w:val="251"/>
        </w:trPr>
        <w:tc>
          <w:tcPr>
            <w:tcW w:w="79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(2,465)</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3,954</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(567)</w:t>
            </w:r>
          </w:p>
        </w:tc>
      </w:tr>
      <w:tr>
        <w:trPr>
          <w:trHeight w:val="235"/>
        </w:trPr>
        <w:tc>
          <w:tcPr>
            <w:tcW w:w="7920" w:type="dxa"/>
            <w:vAlign w:val="bottom"/>
          </w:tcPr>
          <w:p>
            <w:pPr>
              <w:ind w:left="280"/>
              <w:spacing w:after="0"/>
              <w:rPr>
                <w:sz w:val="20"/>
                <w:szCs w:val="20"/>
                <w:color w:val="auto"/>
              </w:rPr>
            </w:pPr>
            <w:r>
              <w:rPr>
                <w:rFonts w:ascii="Arial" w:cs="Arial" w:eastAsia="Arial" w:hAnsi="Arial"/>
                <w:sz w:val="18"/>
                <w:szCs w:val="18"/>
                <w:color w:val="auto"/>
              </w:rPr>
              <w:t>Reclassification adjustments for gains included in net income</w:t>
            </w:r>
          </w:p>
        </w:tc>
        <w:tc>
          <w:tcPr>
            <w:tcW w:w="2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51"/>
        </w:trPr>
        <w:tc>
          <w:tcPr>
            <w:tcW w:w="79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1,081</w:t>
            </w:r>
          </w:p>
        </w:tc>
      </w:tr>
      <w:tr>
        <w:trPr>
          <w:trHeight w:val="235"/>
        </w:trPr>
        <w:tc>
          <w:tcPr>
            <w:tcW w:w="7920" w:type="dxa"/>
            <w:vAlign w:val="bottom"/>
          </w:tcPr>
          <w:p>
            <w:pPr>
              <w:ind w:left="280"/>
              <w:spacing w:after="0"/>
              <w:rPr>
                <w:sz w:val="20"/>
                <w:szCs w:val="20"/>
                <w:color w:val="auto"/>
              </w:rPr>
            </w:pPr>
            <w:r>
              <w:rPr>
                <w:rFonts w:ascii="Arial" w:cs="Arial" w:eastAsia="Arial" w:hAnsi="Arial"/>
                <w:sz w:val="18"/>
                <w:szCs w:val="18"/>
                <w:color w:val="auto"/>
              </w:rPr>
              <w:t>FASB ASC 715 adjustment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6,256</w:t>
            </w:r>
          </w:p>
        </w:tc>
      </w:tr>
      <w:tr>
        <w:trPr>
          <w:trHeight w:val="251"/>
        </w:trPr>
        <w:tc>
          <w:tcPr>
            <w:tcW w:w="79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(2,324)</w:t>
            </w:r>
          </w:p>
        </w:tc>
      </w:tr>
      <w:tr>
        <w:trPr>
          <w:trHeight w:val="237"/>
        </w:trPr>
        <w:tc>
          <w:tcPr>
            <w:tcW w:w="792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7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28,523</w:t>
            </w:r>
          </w:p>
        </w:tc>
        <w:tc>
          <w:tcPr>
            <w:tcW w:w="26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16,469</w:t>
            </w: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26,023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8"/>
                <w:szCs w:val="18"/>
                <w:b w:val="1"/>
                <w:bCs w:val="1"/>
                <w:color w:val="auto"/>
                <w:w w:val="96"/>
              </w:rPr>
              <w:t>For the Years Ended December 31,</w:t>
            </w:r>
          </w:p>
        </w:tc>
        <w:tc>
          <w:tcPr>
            <w:tcW w:w="0" w:type="dxa"/>
            <w:vAlign w:val="bottom"/>
          </w:tcPr>
          <w:p>
            <w:pPr>
              <w:spacing w:after="0"/>
              <w:rPr>
                <w:sz w:val="1"/>
                <w:szCs w:val="1"/>
                <w:color w:val="auto"/>
              </w:rPr>
            </w:pPr>
          </w:p>
        </w:tc>
      </w:tr>
      <w:tr>
        <w:trPr>
          <w:trHeight w:val="237"/>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25,014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24,348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11,341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gains on sales of securities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2,339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Provisions for loan losses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3,997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(Decrease) increase in current income tax liability</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(3,026)</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8,008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accounts receivable</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(4,656)</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(4,070)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Other operating activities, net</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38,890</w:t>
            </w:r>
          </w:p>
        </w:tc>
        <w:tc>
          <w:tcPr>
            <w:tcW w:w="26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35,189</w:t>
            </w:r>
          </w:p>
        </w:tc>
        <w:tc>
          <w:tcPr>
            <w:tcW w:w="28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33,493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21,491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99,347</w:t>
            </w: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44,156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43,524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38,460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(124,777)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(96,290)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(161,279)</w:t>
            </w: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Net (increase) decrease in loans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10,882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payments in excess of funding</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(33,756)</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37"/>
        </w:trPr>
        <w:tc>
          <w:tcPr>
            <w:tcW w:w="754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8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(139,839)</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(41,551)</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8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noninterest-bearing demand deposits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66,885</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32,833</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Net (decrease) increase in interest-bearing demand and savings deposits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(51,440)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23,536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time deposits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(3,286)</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(5,916)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Net increase (decrease) in accounts and drafts payable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19,601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(78,169)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(10,675)</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(1,378)</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62,316</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19,933</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(38,633)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13,571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(41,163)</w:t>
            </w: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266,743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253,172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294,335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year</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228,110</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266,743</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253,172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20" w:type="dxa"/>
            <w:vAlign w:val="bottom"/>
            <w:shd w:val="clear" w:color="auto" w:fill="C0C0C0"/>
          </w:tcPr>
          <w:p>
            <w:pPr>
              <w:ind w:left="520"/>
              <w:spacing w:after="0"/>
              <w:rPr>
                <w:sz w:val="20"/>
                <w:szCs w:val="20"/>
                <w:color w:val="auto"/>
              </w:rPr>
            </w:pPr>
            <w:r>
              <w:rPr>
                <w:rFonts w:ascii="Arial" w:cs="Arial" w:eastAsia="Arial" w:hAnsi="Arial"/>
                <w:sz w:val="18"/>
                <w:szCs w:val="18"/>
                <w:color w:val="auto"/>
              </w:rPr>
              <w:t>Cash paid for interest</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2,178</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2,017</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7,677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55" w:lineRule="exact"/>
        <w:rPr>
          <w:sz w:val="20"/>
          <w:szCs w:val="20"/>
          <w:color w:val="auto"/>
        </w:rPr>
      </w:pPr>
    </w:p>
    <w:p>
      <w:pPr>
        <w:jc w:val="right"/>
        <w:ind w:right="1220"/>
        <w:spacing w:after="0"/>
        <w:rPr>
          <w:sz w:val="20"/>
          <w:szCs w:val="20"/>
          <w:color w:val="auto"/>
        </w:rPr>
      </w:pPr>
      <w:r>
        <w:rPr>
          <w:rFonts w:ascii="Arial" w:cs="Arial" w:eastAsia="Arial" w:hAnsi="Arial"/>
          <w:sz w:val="14"/>
          <w:szCs w:val="14"/>
          <w:b w:val="1"/>
          <w:bCs w:val="1"/>
          <w:color w:val="auto"/>
        </w:rPr>
        <w:t>Accumulated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except per share data)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Balance, December 31,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dividends ($.77 per share)</w:t>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Issuance of 47,065 common shares pursuant to stock-based compensation plan, net </w:t>
      </w:r>
      <w:r>
        <w:rPr>
          <w:rFonts w:ascii="Arial" w:cs="Arial" w:eastAsia="Arial" w:hAnsi="Arial"/>
          <w:sz w:val="17"/>
          <w:szCs w:val="17"/>
          <w:b w:val="1"/>
          <w:bCs w:val="1"/>
          <w:color w:val="auto"/>
          <w:vertAlign w:val="superscript"/>
        </w:rPr>
        <w:t>(1)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Exercise of SARs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Purchase of 238,053 common shares </w:t>
      </w:r>
      <w:r>
        <w:rPr>
          <w:rFonts w:ascii="Arial" w:cs="Arial" w:eastAsia="Arial" w:hAnsi="Arial"/>
          <w:sz w:val="22"/>
          <w:szCs w:val="22"/>
          <w:b w:val="1"/>
          <w:bCs w:val="1"/>
          <w:color w:val="auto"/>
          <w:vertAlign w:val="superscript"/>
        </w:rPr>
        <w:t>(1)</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Balance, December 31, 2015</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w w:val="87"/>
              </w:rPr>
              <w:t>Retained</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87"/>
              </w:rPr>
              <w:t>Treasury</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41"/>
        </w:trPr>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5,966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126,169</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90,635</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(12,707)</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(9,631)</w:t>
            </w:r>
          </w:p>
        </w:tc>
        <w:tc>
          <w:tcPr>
            <w:tcW w:w="280" w:type="dxa"/>
            <w:vAlign w:val="bottom"/>
          </w:tcPr>
          <w:p>
            <w:pPr>
              <w:spacing w:after="0"/>
              <w:rPr>
                <w:sz w:val="17"/>
                <w:szCs w:val="17"/>
                <w:color w:val="auto"/>
              </w:rPr>
            </w:pPr>
          </w:p>
        </w:tc>
        <w:tc>
          <w:tcPr>
            <w:tcW w:w="160" w:type="dxa"/>
            <w:vAlign w:val="bottom"/>
          </w:tcPr>
          <w:p>
            <w:pPr>
              <w:jc w:val="right"/>
              <w:ind w:right="2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w w:val="98"/>
              </w:rPr>
              <w:t>200,432</w:t>
            </w:r>
          </w:p>
        </w:tc>
      </w:tr>
      <w:tr>
        <w:trPr>
          <w:trHeight w:val="243"/>
        </w:trPr>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23,056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23,056</w:t>
            </w:r>
          </w:p>
        </w:tc>
      </w:tr>
      <w:tr>
        <w:trPr>
          <w:trHeight w:val="243"/>
        </w:trPr>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(9,697)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(9,697)</w:t>
            </w:r>
          </w:p>
        </w:tc>
      </w:tr>
      <w:tr>
        <w:trPr>
          <w:trHeight w:val="284"/>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797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243"/>
        </w:trPr>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293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43"/>
        </w:trPr>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2,058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2,058</w:t>
            </w:r>
          </w:p>
        </w:tc>
      </w:tr>
      <w:tr>
        <w:trPr>
          <w:trHeight w:val="257"/>
        </w:trPr>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(10,591)</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(10,591)</w:t>
            </w:r>
          </w:p>
        </w:tc>
      </w:tr>
      <w:tr>
        <w:trPr>
          <w:trHeight w:val="270"/>
        </w:trPr>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2,967</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2,967</w:t>
            </w:r>
          </w:p>
        </w:tc>
      </w:tr>
      <w:tr>
        <w:trPr>
          <w:trHeight w:val="41"/>
        </w:trPr>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5,966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126,290</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103,994</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(22,208)</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(6,664)</w:t>
            </w:r>
          </w:p>
        </w:tc>
        <w:tc>
          <w:tcPr>
            <w:tcW w:w="280" w:type="dxa"/>
            <w:vAlign w:val="bottom"/>
          </w:tcPr>
          <w:p>
            <w:pPr>
              <w:spacing w:after="0"/>
              <w:rPr>
                <w:sz w:val="17"/>
                <w:szCs w:val="17"/>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w w:val="98"/>
              </w:rPr>
              <w:t>207,378</w:t>
            </w:r>
          </w:p>
        </w:tc>
      </w:tr>
      <w:tr>
        <w:trPr>
          <w:trHeight w:val="41"/>
        </w:trPr>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-1465580</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-1148715</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-814070</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-505460</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-170815</wp:posOffset>
            </wp:positionV>
            <wp:extent cx="72466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660"/>
            <w:col w:w="6100"/>
          </w:cols>
          <w:pgMar w:left="240" w:top="125"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left w:val="single" w:sz="8" w:color="C0C0C0"/>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24,348</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24,348</w:t>
            </w:r>
          </w:p>
        </w:tc>
        <w:tc>
          <w:tcPr>
            <w:tcW w:w="40" w:type="dxa"/>
            <w:vAlign w:val="bottom"/>
            <w:tcBorders>
              <w:bottom w:val="single" w:sz="8" w:color="C0C0C0"/>
            </w:tcBorders>
            <w:shd w:val="clear" w:color="auto" w:fill="C0C0C0"/>
          </w:tcPr>
          <w:p>
            <w:pPr>
              <w:spacing w:after="0"/>
              <w:rPr>
                <w:sz w:val="19"/>
                <w:szCs w:val="19"/>
                <w:color w:val="auto"/>
              </w:rPr>
            </w:pP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Cash dividends ($.81 per share)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(9,979)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(9,979)</w:t>
            </w:r>
          </w:p>
        </w:tc>
        <w:tc>
          <w:tcPr>
            <w:tcW w:w="40" w:type="dxa"/>
            <w:vAlign w:val="bottom"/>
          </w:tcPr>
          <w:p>
            <w:pPr>
              <w:spacing w:after="0"/>
              <w:rPr>
                <w:sz w:val="17"/>
                <w:szCs w:val="17"/>
                <w:color w:val="auto"/>
              </w:rPr>
            </w:pPr>
          </w:p>
        </w:tc>
      </w:tr>
      <w:tr>
        <w:trPr>
          <w:trHeight w:val="41"/>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84"/>
        </w:trPr>
        <w:tc>
          <w:tcPr>
            <w:tcW w:w="5320" w:type="dxa"/>
            <w:vAlign w:val="bottom"/>
            <w:shd w:val="clear" w:color="auto" w:fill="C0C0C0"/>
          </w:tcPr>
          <w:p>
            <w:pPr>
              <w:spacing w:after="0"/>
              <w:rPr>
                <w:sz w:val="20"/>
                <w:szCs w:val="20"/>
                <w:color w:val="auto"/>
              </w:rPr>
            </w:pPr>
            <w:r>
              <w:rPr>
                <w:rFonts w:ascii="Arial" w:cs="Arial" w:eastAsia="Arial" w:hAnsi="Arial"/>
                <w:sz w:val="14"/>
                <w:szCs w:val="14"/>
                <w:color w:val="auto"/>
                <w:w w:val="97"/>
              </w:rPr>
              <w:t xml:space="preserve">Issuance of 39,816 common shares pursuant to stock-based compensation plan, net </w:t>
            </w:r>
            <w:r>
              <w:rPr>
                <w:rFonts w:ascii="Arial" w:cs="Arial" w:eastAsia="Arial" w:hAnsi="Arial"/>
                <w:sz w:val="22"/>
                <w:szCs w:val="22"/>
                <w:b w:val="1"/>
                <w:bCs w:val="1"/>
                <w:color w:val="auto"/>
                <w:w w:val="97"/>
                <w:vertAlign w:val="superscript"/>
              </w:rPr>
              <w:t>(1)</w:t>
            </w:r>
          </w:p>
        </w:tc>
        <w:tc>
          <w:tcPr>
            <w:tcW w:w="16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(1,231</w:t>
            </w:r>
          </w:p>
        </w:tc>
        <w:tc>
          <w:tcPr>
            <w:tcW w:w="320" w:type="dxa"/>
            <w:vAlign w:val="bottom"/>
            <w:tcBorders>
              <w:left w:val="single" w:sz="8" w:color="C0C0C0"/>
            </w:tcBorders>
            <w:shd w:val="clear" w:color="auto" w:fill="C0C0C0"/>
          </w:tcPr>
          <w:p>
            <w:pPr>
              <w:jc w:val="right"/>
              <w:ind w:right="227"/>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4"/>
                <w:szCs w:val="14"/>
                <w:color w:val="auto"/>
              </w:rPr>
              <w:t>566</w:t>
            </w:r>
          </w:p>
        </w:tc>
        <w:tc>
          <w:tcPr>
            <w:tcW w:w="28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(665</w:t>
            </w:r>
          </w:p>
        </w:tc>
        <w:tc>
          <w:tcPr>
            <w:tcW w:w="40" w:type="dxa"/>
            <w:vAlign w:val="bottom"/>
            <w:shd w:val="clear" w:color="auto" w:fill="C0C0C0"/>
          </w:tcPr>
          <w:p>
            <w:pPr>
              <w:jc w:val="right"/>
              <w:spacing w:after="0"/>
              <w:rPr>
                <w:sz w:val="20"/>
                <w:szCs w:val="20"/>
                <w:color w:val="auto"/>
              </w:rPr>
            </w:pPr>
            <w:r>
              <w:rPr>
                <w:rFonts w:ascii="Arial" w:cs="Arial" w:eastAsia="Arial" w:hAnsi="Arial"/>
                <w:sz w:val="8"/>
                <w:szCs w:val="8"/>
                <w:color w:val="auto"/>
                <w:w w:val="73"/>
              </w:rPr>
              <w:t>)</w:t>
            </w: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Exercise of SARs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(713)</w:t>
            </w:r>
          </w:p>
        </w:tc>
        <w:tc>
          <w:tcPr>
            <w:tcW w:w="40" w:type="dxa"/>
            <w:vAlign w:val="bottom"/>
          </w:tcPr>
          <w:p>
            <w:pPr>
              <w:spacing w:after="0"/>
              <w:rPr>
                <w:sz w:val="17"/>
                <w:szCs w:val="17"/>
                <w:color w:val="auto"/>
              </w:rPr>
            </w:pPr>
          </w:p>
        </w:tc>
      </w:tr>
      <w:tr>
        <w:trPr>
          <w:trHeight w:val="41"/>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3"/>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1,959</w:t>
            </w:r>
          </w:p>
        </w:tc>
        <w:tc>
          <w:tcPr>
            <w:tcW w:w="320" w:type="dxa"/>
            <w:vAlign w:val="bottom"/>
            <w:tcBorders>
              <w:left w:val="single" w:sz="8" w:color="C0C0C0"/>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1,959</w:t>
            </w:r>
          </w:p>
        </w:tc>
        <w:tc>
          <w:tcPr>
            <w:tcW w:w="40" w:type="dxa"/>
            <w:vAlign w:val="bottom"/>
            <w:tcBorders>
              <w:bottom w:val="single" w:sz="8" w:color="C0C0C0"/>
            </w:tcBorders>
            <w:shd w:val="clear" w:color="auto" w:fill="C0C0C0"/>
          </w:tcPr>
          <w:p>
            <w:pPr>
              <w:spacing w:after="0"/>
              <w:rPr>
                <w:sz w:val="19"/>
                <w:szCs w:val="19"/>
                <w:color w:val="auto"/>
              </w:rPr>
            </w:pPr>
          </w:p>
        </w:tc>
      </w:tr>
      <w:tr>
        <w:trPr>
          <w:trHeight w:val="284"/>
        </w:trPr>
        <w:tc>
          <w:tcPr>
            <w:tcW w:w="5320" w:type="dxa"/>
            <w:vAlign w:val="bottom"/>
          </w:tcPr>
          <w:p>
            <w:pPr>
              <w:spacing w:after="0"/>
              <w:rPr>
                <w:sz w:val="20"/>
                <w:szCs w:val="20"/>
                <w:color w:val="auto"/>
              </w:rPr>
            </w:pPr>
            <w:r>
              <w:rPr>
                <w:rFonts w:ascii="Arial" w:cs="Arial" w:eastAsia="Arial" w:hAnsi="Arial"/>
                <w:sz w:val="14"/>
                <w:szCs w:val="14"/>
                <w:color w:val="auto"/>
              </w:rPr>
              <w:t xml:space="preserve">Purchase of 205,835 common shares </w:t>
            </w:r>
            <w:r>
              <w:rPr>
                <w:rFonts w:ascii="Arial" w:cs="Arial" w:eastAsia="Arial" w:hAnsi="Arial"/>
                <w:sz w:val="22"/>
                <w:szCs w:val="22"/>
                <w:b w:val="1"/>
                <w:bCs w:val="1"/>
                <w:color w:val="auto"/>
                <w:vertAlign w:val="superscript"/>
              </w:rPr>
              <w:t>(1)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(9,215)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(9,215)</w:t>
            </w:r>
          </w:p>
        </w:tc>
        <w:tc>
          <w:tcPr>
            <w:tcW w:w="40" w:type="dxa"/>
            <w:vAlign w:val="bottom"/>
          </w:tcPr>
          <w:p>
            <w:pPr>
              <w:spacing w:after="0"/>
              <w:rPr>
                <w:sz w:val="24"/>
                <w:szCs w:val="24"/>
                <w:color w:val="auto"/>
              </w:rPr>
            </w:pPr>
          </w:p>
        </w:tc>
      </w:tr>
      <w:tr>
        <w:trPr>
          <w:trHeight w:val="223"/>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Excess tax benefits associated with stock based compensation</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2,801</w:t>
            </w:r>
          </w:p>
        </w:tc>
        <w:tc>
          <w:tcPr>
            <w:tcW w:w="320" w:type="dxa"/>
            <w:vAlign w:val="bottom"/>
            <w:tcBorders>
              <w:left w:val="single" w:sz="8" w:color="C0C0C0"/>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2,801</w:t>
            </w:r>
          </w:p>
        </w:tc>
        <w:tc>
          <w:tcPr>
            <w:tcW w:w="40" w:type="dxa"/>
            <w:vAlign w:val="bottom"/>
            <w:tcBorders>
              <w:bottom w:val="single" w:sz="8" w:color="C0C0C0"/>
            </w:tcBorders>
            <w:shd w:val="clear" w:color="auto" w:fill="C0C0C0"/>
          </w:tcPr>
          <w:p>
            <w:pPr>
              <w:spacing w:after="0"/>
              <w:rPr>
                <w:sz w:val="19"/>
                <w:szCs w:val="19"/>
                <w:color w:val="auto"/>
              </w:rPr>
            </w:pP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(7,879)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(7,879)</w:t>
            </w:r>
          </w:p>
        </w:tc>
        <w:tc>
          <w:tcPr>
            <w:tcW w:w="40" w:type="dxa"/>
            <w:vAlign w:val="bottom"/>
          </w:tcPr>
          <w:p>
            <w:pPr>
              <w:spacing w:after="0"/>
              <w:rPr>
                <w:sz w:val="17"/>
                <w:szCs w:val="17"/>
                <w:color w:val="auto"/>
              </w:rPr>
            </w:pPr>
          </w:p>
        </w:tc>
      </w:tr>
      <w:tr>
        <w:trPr>
          <w:trHeight w:val="41"/>
        </w:trPr>
        <w:tc>
          <w:tcPr>
            <w:tcW w:w="532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42"/>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Balance, December 31, 2016</w:t>
            </w:r>
          </w:p>
        </w:tc>
        <w:tc>
          <w:tcPr>
            <w:tcW w:w="160" w:type="dxa"/>
            <w:vAlign w:val="bottom"/>
            <w:tcBorders>
              <w:bottom w:val="single" w:sz="8" w:color="C0C0C0"/>
            </w:tcBorders>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5,966</w:t>
            </w:r>
          </w:p>
        </w:tc>
        <w:tc>
          <w:tcPr>
            <w:tcW w:w="3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128,455</w:t>
            </w:r>
          </w:p>
        </w:tc>
        <w:tc>
          <w:tcPr>
            <w:tcW w:w="480" w:type="dxa"/>
            <w:vAlign w:val="bottom"/>
            <w:tcBorders>
              <w:left w:val="single" w:sz="8" w:color="C0C0C0"/>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w w:val="98"/>
              </w:rPr>
              <w:t>118,363</w:t>
            </w:r>
          </w:p>
        </w:tc>
        <w:tc>
          <w:tcPr>
            <w:tcW w:w="42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(30,206)</w:t>
            </w:r>
          </w:p>
        </w:tc>
        <w:tc>
          <w:tcPr>
            <w:tcW w:w="5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0C0C0"/>
            </w:tcBorders>
            <w:shd w:val="clear" w:color="auto" w:fill="C0C0C0"/>
          </w:tcPr>
          <w:p>
            <w:pPr>
              <w:jc w:val="right"/>
              <w:ind w:right="172"/>
              <w:spacing w:after="0"/>
              <w:rPr>
                <w:sz w:val="20"/>
                <w:szCs w:val="20"/>
                <w:color w:val="auto"/>
              </w:rPr>
            </w:pPr>
            <w:r>
              <w:rPr>
                <w:rFonts w:ascii="Arial" w:cs="Arial" w:eastAsia="Arial" w:hAnsi="Arial"/>
                <w:sz w:val="14"/>
                <w:szCs w:val="14"/>
                <w:color w:val="auto"/>
              </w:rPr>
              <w:t>(14,543)</w:t>
            </w:r>
          </w:p>
        </w:tc>
        <w:tc>
          <w:tcPr>
            <w:tcW w:w="4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208,035</w:t>
            </w:r>
          </w:p>
        </w:tc>
        <w:tc>
          <w:tcPr>
            <w:tcW w:w="40" w:type="dxa"/>
            <w:vAlign w:val="bottom"/>
            <w:tcBorders>
              <w:bottom w:val="single" w:sz="8" w:color="C0C0C0"/>
            </w:tcBorders>
            <w:shd w:val="clear" w:color="auto" w:fill="C0C0C0"/>
          </w:tcPr>
          <w:p>
            <w:pPr>
              <w:spacing w:after="0"/>
              <w:rPr>
                <w:sz w:val="20"/>
                <w:szCs w:val="20"/>
                <w:color w:val="auto"/>
              </w:rPr>
            </w:pPr>
          </w:p>
        </w:tc>
      </w:tr>
      <w:tr>
        <w:trPr>
          <w:trHeight w:val="237"/>
        </w:trPr>
        <w:tc>
          <w:tcPr>
            <w:tcW w:w="5320" w:type="dxa"/>
            <w:vAlign w:val="bottom"/>
            <w:tcBorders>
              <w:top w:val="single" w:sz="8" w:color="C0C0C0"/>
            </w:tcBorders>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c>
          <w:tcPr>
            <w:tcW w:w="380" w:type="dxa"/>
            <w:vAlign w:val="bottom"/>
            <w:tcBorders>
              <w:top w:val="single" w:sz="8" w:color="auto"/>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320" w:type="dxa"/>
            <w:vAlign w:val="bottom"/>
            <w:tcBorders>
              <w:top w:val="single" w:sz="8" w:color="C0C0C0"/>
              <w:left w:val="single" w:sz="8" w:color="C0C0C0"/>
            </w:tcBorders>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c>
          <w:tcPr>
            <w:tcW w:w="62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c>
          <w:tcPr>
            <w:tcW w:w="60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auto"/>
            </w:tcBorders>
            <w:shd w:val="clear" w:color="auto" w:fill="C0C0C0"/>
          </w:tcPr>
          <w:p>
            <w:pPr>
              <w:spacing w:after="0"/>
              <w:rPr>
                <w:sz w:val="20"/>
                <w:szCs w:val="20"/>
                <w:color w:val="auto"/>
              </w:rPr>
            </w:pPr>
          </w:p>
        </w:tc>
        <w:tc>
          <w:tcPr>
            <w:tcW w:w="86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c>
          <w:tcPr>
            <w:tcW w:w="580" w:type="dxa"/>
            <w:vAlign w:val="bottom"/>
            <w:tcBorders>
              <w:top w:val="single" w:sz="8" w:color="auto"/>
            </w:tcBorders>
            <w:shd w:val="clear" w:color="auto" w:fill="C0C0C0"/>
          </w:tcPr>
          <w:p>
            <w:pPr>
              <w:spacing w:after="0"/>
              <w:rPr>
                <w:sz w:val="20"/>
                <w:szCs w:val="20"/>
                <w:color w:val="auto"/>
              </w:rPr>
            </w:pPr>
          </w:p>
        </w:tc>
        <w:tc>
          <w:tcPr>
            <w:tcW w:w="40" w:type="dxa"/>
            <w:vAlign w:val="bottom"/>
            <w:tcBorders>
              <w:top w:val="single" w:sz="8" w:color="auto"/>
            </w:tcBorders>
            <w:shd w:val="clear" w:color="auto" w:fill="C0C0C0"/>
          </w:tcPr>
          <w:p>
            <w:pPr>
              <w:spacing w:after="0"/>
              <w:rPr>
                <w:sz w:val="20"/>
                <w:szCs w:val="20"/>
                <w:color w:val="auto"/>
              </w:rPr>
            </w:pP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25,014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25,014</w:t>
            </w:r>
          </w:p>
        </w:tc>
        <w:tc>
          <w:tcPr>
            <w:tcW w:w="40" w:type="dxa"/>
            <w:vAlign w:val="bottom"/>
          </w:tcPr>
          <w:p>
            <w:pPr>
              <w:spacing w:after="0"/>
              <w:rPr>
                <w:sz w:val="17"/>
                <w:szCs w:val="17"/>
                <w:color w:val="auto"/>
              </w:rPr>
            </w:pPr>
          </w:p>
        </w:tc>
      </w:tr>
      <w:tr>
        <w:trPr>
          <w:trHeight w:val="41"/>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3"/>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Cash dividends ($.87 per share)</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left w:val="single" w:sz="8" w:color="C0C0C0"/>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(10,675)</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(10,675)</w:t>
            </w:r>
          </w:p>
        </w:tc>
        <w:tc>
          <w:tcPr>
            <w:tcW w:w="40" w:type="dxa"/>
            <w:vAlign w:val="bottom"/>
            <w:tcBorders>
              <w:bottom w:val="single" w:sz="8" w:color="C0C0C0"/>
            </w:tcBorders>
            <w:shd w:val="clear" w:color="auto" w:fill="C0C0C0"/>
          </w:tcPr>
          <w:p>
            <w:pPr>
              <w:spacing w:after="0"/>
              <w:rPr>
                <w:sz w:val="19"/>
                <w:szCs w:val="19"/>
                <w:color w:val="auto"/>
              </w:rPr>
            </w:pP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Stock dividend</w:t>
            </w:r>
          </w:p>
        </w:tc>
        <w:tc>
          <w:tcPr>
            <w:tcW w:w="1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558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75,108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(75,674)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7"/>
                <w:szCs w:val="17"/>
                <w:color w:val="auto"/>
              </w:rPr>
            </w:pPr>
          </w:p>
        </w:tc>
      </w:tr>
      <w:tr>
        <w:trPr>
          <w:trHeight w:val="41"/>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84"/>
        </w:trPr>
        <w:tc>
          <w:tcPr>
            <w:tcW w:w="5320" w:type="dxa"/>
            <w:vAlign w:val="bottom"/>
            <w:shd w:val="clear" w:color="auto" w:fill="C0C0C0"/>
          </w:tcPr>
          <w:p>
            <w:pPr>
              <w:spacing w:after="0"/>
              <w:rPr>
                <w:sz w:val="20"/>
                <w:szCs w:val="20"/>
                <w:color w:val="auto"/>
              </w:rPr>
            </w:pPr>
            <w:r>
              <w:rPr>
                <w:rFonts w:ascii="Arial" w:cs="Arial" w:eastAsia="Arial" w:hAnsi="Arial"/>
                <w:sz w:val="14"/>
                <w:szCs w:val="14"/>
                <w:color w:val="auto"/>
                <w:w w:val="97"/>
              </w:rPr>
              <w:t xml:space="preserve">Issuance of 24,482 common shares pursuant to stock-based compensation plan, net </w:t>
            </w:r>
            <w:r>
              <w:rPr>
                <w:rFonts w:ascii="Arial" w:cs="Arial" w:eastAsia="Arial" w:hAnsi="Arial"/>
                <w:sz w:val="22"/>
                <w:szCs w:val="22"/>
                <w:b w:val="1"/>
                <w:bCs w:val="1"/>
                <w:color w:val="auto"/>
                <w:w w:val="97"/>
                <w:vertAlign w:val="superscript"/>
              </w:rPr>
              <w:t>(1)</w:t>
            </w:r>
          </w:p>
        </w:tc>
        <w:tc>
          <w:tcPr>
            <w:tcW w:w="160" w:type="dxa"/>
            <w:vAlign w:val="bottom"/>
            <w:shd w:val="clear" w:color="auto" w:fill="C0C0C0"/>
          </w:tcPr>
          <w:p>
            <w:pPr>
              <w:spacing w:after="0"/>
              <w:rPr>
                <w:sz w:val="24"/>
                <w:szCs w:val="24"/>
                <w:color w:val="auto"/>
              </w:rPr>
            </w:pPr>
          </w:p>
        </w:tc>
        <w:tc>
          <w:tcPr>
            <w:tcW w:w="38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(821</w:t>
            </w:r>
          </w:p>
        </w:tc>
        <w:tc>
          <w:tcPr>
            <w:tcW w:w="320" w:type="dxa"/>
            <w:vAlign w:val="bottom"/>
            <w:tcBorders>
              <w:left w:val="single" w:sz="8" w:color="C0C0C0"/>
            </w:tcBorders>
            <w:shd w:val="clear" w:color="auto" w:fill="C0C0C0"/>
          </w:tcPr>
          <w:p>
            <w:pPr>
              <w:jc w:val="right"/>
              <w:ind w:right="227"/>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4"/>
                <w:szCs w:val="14"/>
                <w:color w:val="auto"/>
              </w:rPr>
              <w:t>273</w:t>
            </w:r>
          </w:p>
        </w:tc>
        <w:tc>
          <w:tcPr>
            <w:tcW w:w="28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86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(548</w:t>
            </w:r>
          </w:p>
        </w:tc>
        <w:tc>
          <w:tcPr>
            <w:tcW w:w="40" w:type="dxa"/>
            <w:vAlign w:val="bottom"/>
            <w:shd w:val="clear" w:color="auto" w:fill="C0C0C0"/>
          </w:tcPr>
          <w:p>
            <w:pPr>
              <w:jc w:val="right"/>
              <w:spacing w:after="0"/>
              <w:rPr>
                <w:sz w:val="20"/>
                <w:szCs w:val="20"/>
                <w:color w:val="auto"/>
              </w:rPr>
            </w:pPr>
            <w:r>
              <w:rPr>
                <w:rFonts w:ascii="Arial" w:cs="Arial" w:eastAsia="Arial" w:hAnsi="Arial"/>
                <w:sz w:val="8"/>
                <w:szCs w:val="8"/>
                <w:color w:val="auto"/>
                <w:w w:val="73"/>
              </w:rPr>
              <w:t>)</w:t>
            </w: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Exercise of SARs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7"/>
                <w:szCs w:val="17"/>
                <w:color w:val="auto"/>
              </w:rPr>
            </w:pPr>
          </w:p>
        </w:tc>
      </w:tr>
      <w:tr>
        <w:trPr>
          <w:trHeight w:val="41"/>
        </w:trPr>
        <w:tc>
          <w:tcPr>
            <w:tcW w:w="5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3"/>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2,340</w:t>
            </w:r>
          </w:p>
        </w:tc>
        <w:tc>
          <w:tcPr>
            <w:tcW w:w="320" w:type="dxa"/>
            <w:vAlign w:val="bottom"/>
            <w:tcBorders>
              <w:left w:val="single" w:sz="8" w:color="C0C0C0"/>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2,340</w:t>
            </w:r>
          </w:p>
        </w:tc>
        <w:tc>
          <w:tcPr>
            <w:tcW w:w="40" w:type="dxa"/>
            <w:vAlign w:val="bottom"/>
            <w:tcBorders>
              <w:bottom w:val="single" w:sz="8" w:color="C0C0C0"/>
            </w:tcBorders>
            <w:shd w:val="clear" w:color="auto" w:fill="C0C0C0"/>
          </w:tcPr>
          <w:p>
            <w:pPr>
              <w:spacing w:after="0"/>
              <w:rPr>
                <w:sz w:val="19"/>
                <w:szCs w:val="19"/>
                <w:color w:val="auto"/>
              </w:rPr>
            </w:pPr>
          </w:p>
        </w:tc>
      </w:tr>
      <w:tr>
        <w:trPr>
          <w:trHeight w:val="284"/>
        </w:trPr>
        <w:tc>
          <w:tcPr>
            <w:tcW w:w="5320" w:type="dxa"/>
            <w:vAlign w:val="bottom"/>
          </w:tcPr>
          <w:p>
            <w:pPr>
              <w:spacing w:after="0"/>
              <w:rPr>
                <w:sz w:val="20"/>
                <w:szCs w:val="20"/>
                <w:color w:val="auto"/>
              </w:rPr>
            </w:pPr>
            <w:r>
              <w:rPr>
                <w:rFonts w:ascii="Arial" w:cs="Arial" w:eastAsia="Arial" w:hAnsi="Arial"/>
                <w:sz w:val="14"/>
                <w:szCs w:val="14"/>
                <w:color w:val="auto"/>
              </w:rPr>
              <w:t xml:space="preserve">Purchase of 41,846 common shares </w:t>
            </w:r>
            <w:r>
              <w:rPr>
                <w:rFonts w:ascii="Arial" w:cs="Arial" w:eastAsia="Arial" w:hAnsi="Arial"/>
                <w:sz w:val="22"/>
                <w:szCs w:val="22"/>
                <w:b w:val="1"/>
                <w:bCs w:val="1"/>
                <w:color w:val="auto"/>
                <w:vertAlign w:val="superscript"/>
              </w:rPr>
              <w:t>(1)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(2,270)</w:t>
            </w:r>
          </w:p>
        </w:tc>
        <w:tc>
          <w:tcPr>
            <w:tcW w:w="40" w:type="dxa"/>
            <w:vAlign w:val="bottom"/>
          </w:tcPr>
          <w:p>
            <w:pPr>
              <w:spacing w:after="0"/>
              <w:rPr>
                <w:sz w:val="24"/>
                <w:szCs w:val="24"/>
                <w:color w:val="auto"/>
              </w:rPr>
            </w:pPr>
          </w:p>
        </w:tc>
      </w:tr>
      <w:tr>
        <w:trPr>
          <w:trHeight w:val="223"/>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Other comprehensive income</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left w:val="single" w:sz="8" w:color="C0C0C0"/>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3,509</w:t>
            </w: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3,509</w:t>
            </w:r>
          </w:p>
        </w:tc>
        <w:tc>
          <w:tcPr>
            <w:tcW w:w="40" w:type="dxa"/>
            <w:vAlign w:val="bottom"/>
            <w:tcBorders>
              <w:bottom w:val="single" w:sz="8" w:color="C0C0C0"/>
            </w:tcBorders>
            <w:shd w:val="clear" w:color="auto" w:fill="C0C0C0"/>
          </w:tcPr>
          <w:p>
            <w:pPr>
              <w:spacing w:after="0"/>
              <w:rPr>
                <w:sz w:val="19"/>
                <w:szCs w:val="19"/>
                <w:color w:val="auto"/>
              </w:rPr>
            </w:pPr>
          </w:p>
        </w:tc>
      </w:tr>
      <w:tr>
        <w:trPr>
          <w:trHeight w:val="202"/>
        </w:trPr>
        <w:tc>
          <w:tcPr>
            <w:tcW w:w="5320" w:type="dxa"/>
            <w:vAlign w:val="bottom"/>
          </w:tcPr>
          <w:p>
            <w:pPr>
              <w:spacing w:after="0"/>
              <w:rPr>
                <w:sz w:val="20"/>
                <w:szCs w:val="20"/>
                <w:color w:val="auto"/>
              </w:rPr>
            </w:pPr>
            <w:r>
              <w:rPr>
                <w:rFonts w:ascii="Arial" w:cs="Arial" w:eastAsia="Arial" w:hAnsi="Arial"/>
                <w:sz w:val="14"/>
                <w:szCs w:val="14"/>
                <w:color w:val="auto"/>
              </w:rPr>
              <w:t>Other comprehensive income reclassification for ASU 2018-02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2,286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(2,286)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41"/>
        </w:trPr>
        <w:tc>
          <w:tcPr>
            <w:tcW w:w="532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7"/>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Balance, December 31, 2017</w:t>
            </w:r>
          </w:p>
        </w:tc>
        <w:tc>
          <w:tcPr>
            <w:tcW w:w="160" w:type="dxa"/>
            <w:vAlign w:val="bottom"/>
            <w:tcBorders>
              <w:bottom w:val="single" w:sz="8" w:color="C0C0C0"/>
            </w:tcBorders>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6,524</w:t>
            </w:r>
          </w:p>
        </w:tc>
        <w:tc>
          <w:tcPr>
            <w:tcW w:w="3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204,631</w:t>
            </w:r>
          </w:p>
        </w:tc>
        <w:tc>
          <w:tcPr>
            <w:tcW w:w="480" w:type="dxa"/>
            <w:vAlign w:val="bottom"/>
            <w:tcBorders>
              <w:left w:val="single" w:sz="8" w:color="C0C0C0"/>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59,314</w:t>
            </w:r>
          </w:p>
        </w:tc>
        <w:tc>
          <w:tcPr>
            <w:tcW w:w="42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(32,061)</w:t>
            </w:r>
          </w:p>
        </w:tc>
        <w:tc>
          <w:tcPr>
            <w:tcW w:w="5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0C0C0"/>
            </w:tcBorders>
            <w:shd w:val="clear" w:color="auto" w:fill="C0C0C0"/>
          </w:tcPr>
          <w:p>
            <w:pPr>
              <w:jc w:val="right"/>
              <w:ind w:right="172"/>
              <w:spacing w:after="0"/>
              <w:rPr>
                <w:sz w:val="20"/>
                <w:szCs w:val="20"/>
                <w:color w:val="auto"/>
              </w:rPr>
            </w:pPr>
            <w:r>
              <w:rPr>
                <w:rFonts w:ascii="Arial" w:cs="Arial" w:eastAsia="Arial" w:hAnsi="Arial"/>
                <w:sz w:val="14"/>
                <w:szCs w:val="14"/>
                <w:color w:val="auto"/>
              </w:rPr>
              <w:t>(13,320)</w:t>
            </w:r>
          </w:p>
        </w:tc>
        <w:tc>
          <w:tcPr>
            <w:tcW w:w="4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225,088</w:t>
            </w:r>
          </w:p>
        </w:tc>
        <w:tc>
          <w:tcPr>
            <w:tcW w:w="40" w:type="dxa"/>
            <w:vAlign w:val="bottom"/>
            <w:tcBorders>
              <w:bottom w:val="single" w:sz="8" w:color="C0C0C0"/>
            </w:tcBorders>
            <w:shd w:val="clear" w:color="auto" w:fill="C0C0C0"/>
          </w:tcPr>
          <w:p>
            <w:pPr>
              <w:spacing w:after="0"/>
              <w:rPr>
                <w:sz w:val="18"/>
                <w:szCs w:val="18"/>
                <w:color w:val="auto"/>
              </w:rPr>
            </w:pPr>
          </w:p>
        </w:tc>
      </w:tr>
      <w:tr>
        <w:trPr>
          <w:trHeight w:val="27"/>
        </w:trPr>
        <w:tc>
          <w:tcPr>
            <w:tcW w:w="53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left w:val="single" w:sz="8" w:color="auto"/>
            </w:tcBorders>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ind w:right="4100" w:firstLine="8"/>
        <w:spacing w:after="0" w:line="451" w:lineRule="auto"/>
        <w:tabs>
          <w:tab w:leader="none" w:pos="216" w:val="left"/>
        </w:tabs>
        <w:numPr>
          <w:ilvl w:val="0"/>
          <w:numId w:val="14"/>
        </w:numPr>
        <w:rPr>
          <w:rFonts w:ascii="Arial" w:cs="Arial" w:eastAsia="Arial" w:hAnsi="Arial"/>
          <w:sz w:val="25"/>
          <w:szCs w:val="25"/>
          <w:b w:val="1"/>
          <w:bCs w:val="1"/>
          <w:color w:val="auto"/>
          <w:vertAlign w:val="superscript"/>
        </w:rPr>
      </w:pPr>
      <w:r>
        <w:rPr>
          <w:rFonts w:ascii="Arial" w:cs="Arial" w:eastAsia="Arial" w:hAnsi="Arial"/>
          <w:sz w:val="15"/>
          <w:szCs w:val="15"/>
          <w:color w:val="auto"/>
        </w:rPr>
        <w:t>Share and per share figures adjusted for the 10% stock dividend that occurred on December 15, 2017 See accompanying notes to consolidated financial statements.</w:t>
      </w: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Summary of Operations </w:t>
      </w:r>
      <w:r>
        <w:rPr>
          <w:rFonts w:ascii="Arial" w:cs="Arial" w:eastAsia="Arial" w:hAnsi="Arial"/>
          <w:sz w:val="16"/>
          <w:szCs w:val="16"/>
          <w:color w:val="auto"/>
        </w:rPr>
        <w:t>Cass Information Systems, Inc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provides payment and information services, which include processing and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transportation, energy, telecommunications and environmental invoices. These services include the acquisition and management of data, information delivery and financial exchange. The consolidated balance sheet captions, “Accounts and drafts payable” and “Payments in excess of funding,” represent the Company’s resulting financial position related to the payment services that are performed for customers. The Company also provides a full range of banking services to individual, corporate and institutional customers through Cass Commercial Bank (the “Bank”), its wholly owned bank subsidiary.</w:t>
      </w:r>
    </w:p>
    <w:p>
      <w:pPr>
        <w:spacing w:after="0" w:line="16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b w:val="1"/>
          <w:bCs w:val="1"/>
          <w:i w:val="1"/>
          <w:iCs w:val="1"/>
          <w:color w:val="auto"/>
        </w:rPr>
        <w:t xml:space="preserve">Basis of Presentation </w:t>
      </w:r>
      <w:r>
        <w:rPr>
          <w:rFonts w:ascii="Arial" w:cs="Arial" w:eastAsia="Arial" w:hAnsi="Arial"/>
          <w:sz w:val="15"/>
          <w:szCs w:val="15"/>
          <w:color w:val="auto"/>
        </w:rPr>
        <w:t>The accounting and reporting policies of the Company and its subsidiaries conform to U.S. generally accepted accounting principles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(“GAAP”). The consolidated financial statements include the accounts of the Company and its wholly owned subsidiaries after elimination of intercompany transactions. Certain amounts in the 2016 and 2015 consolidated financial statements have been reclassified to conform to the 2017 presentation. Such reclassifications have no effect on previously reported net income or shareholders’ equity. The Company issued a 10% stock dividend on December 15, 2017. The share and per share information have been restated unless indicated otherwise for all periods presented in the accompanying consolidated financial statements.</w:t>
      </w:r>
    </w:p>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In preparing the consolidated financial statements, Company management is required to make estimates and assumptions which significantly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in the consolidated financial statements.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For purposes of the consolidated statements of cash flows, the Company considers cash and due from banks,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in other financial institutions, federal funds sold and other short-term investments as segregated in the accompanying consolidated balance sheets to be cash equivalents.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Investment in Debt Securities </w:t>
      </w:r>
      <w:r>
        <w:rPr>
          <w:rFonts w:ascii="Arial" w:cs="Arial" w:eastAsia="Arial" w:hAnsi="Arial"/>
          <w:sz w:val="16"/>
          <w:szCs w:val="16"/>
          <w:color w:val="auto"/>
        </w:rPr>
        <w:t>The Company classifies its debt marketable securities as available-for-sale. Securities classified as available-for-sale are carried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fair value. Unrealized gains and losses, net of the related tax effect, are excluded from earnings and reported in accumulated other comprehensive income, a component of shareholders’ equity. A decline in the fair value of any available-for-sale security below cost that is deemed other than temporary results in a charge to earnings and the establishment of a new cost basis for the security. To determine whether impairment is other than temporary, the Company considers guidance provided in the Financial Accounting Standards Board (“FASB”) Accounting Standards Codification (“ASC”) Topic 320 -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When determining whether a debt security is other-than-temporarily impaired, the Company assesses whether it has the intent to sell the security and</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it is more likely than not that the Company will be required to sell prior to recovery of the amortized cost basis. Evidence considered in this assessment includes the reasons for impairment, the severity and duration of the impairment, changes in value subsequent to year-end and forecasted performance of the investee. Premiums and discounts are amortized or accreted to interest income over the estimated lives of the securities using the level-yield method. Interest income is recognized when earned. Gains and losses are calculated using the specific identification method.</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Allowance for Loan Losses (“ALLL”) </w:t>
      </w:r>
      <w:r>
        <w:rPr>
          <w:rFonts w:ascii="Arial" w:cs="Arial" w:eastAsia="Arial" w:hAnsi="Arial"/>
          <w:sz w:val="16"/>
          <w:szCs w:val="16"/>
          <w:color w:val="auto"/>
        </w:rPr>
        <w:t>The ALLL is increased by provisions charged to expense and is available to absorb charge-offs, net of recoveries.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Management utilizes a systematic, documented approach in determining the appropriate level of the ALLL. Management’s approach provides for estimated credit losses on individually evaluated loans in accordance with FASB ASC 310 - </w:t>
      </w:r>
      <w:r>
        <w:rPr>
          <w:rFonts w:ascii="Arial" w:cs="Arial" w:eastAsia="Arial" w:hAnsi="Arial"/>
          <w:sz w:val="16"/>
          <w:szCs w:val="16"/>
          <w:i w:val="1"/>
          <w:iCs w:val="1"/>
          <w:color w:val="auto"/>
        </w:rPr>
        <w:t>Allowance for Credit Losses</w:t>
      </w:r>
      <w:r>
        <w:rPr>
          <w:rFonts w:ascii="Arial" w:cs="Arial" w:eastAsia="Arial" w:hAnsi="Arial"/>
          <w:sz w:val="16"/>
          <w:szCs w:val="16"/>
          <w:color w:val="auto"/>
        </w:rPr>
        <w:t xml:space="preserve"> (“ASC 310”). These estimates are based upon a number of factors, such as payment history, financial condition of the borrower, expected future cash flows and discounted collateral exposure.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Estimated credit losses inherent in the remainder of the portfolio are estimated in accordance with FASB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These loans are segmented into groups based on similar risk characteristics. Historical loss rates for each risk group, which are updated quarterly, are generally quantified using all recorded loan charge-offs and recoveries over a prescribed look-back period. These historical loss rates for each risk group are used as the starting point to determine the level of the allowance. The Company’s methodology incorporates an estimated loss emergence period for each risk group. The loss emergence period is the period of time from when a borrower experiences a loss event and when the actual loss is recognized in the financial statements, generally at the time of initial charge-off of the loan balance. The Company’s methodology also includes qualitative risk factors that allow management to adjust its estimates of losses based on the most recent information available and to address other limitations in the quantitative component that is based on historical loss rates. Such risk factors are generally reviewed and updated quarterly, as appropriate, and are adjusted to reflect changes in national and local economic conditions and developments, the volume and severity of delinquent and internally classified loans, loan concentrations, assessment of trends in collateral values, assessment of changes in borrowers’ financial stability, and changes in lending policies and procedures, including underwriting standards and collections, charge-off and recovery practices.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the ALLL is adequate to absorb probable losses in the loan portfolio. Additionally, various regulatory agencies, as an integral part of their examination process, periodically review the Company’s ALLL. Such agencies may require the Company to increase the ALLL based on their judgments and interpretations about information available to them at the time of their examinations.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Premises and Equipment </w:t>
      </w:r>
      <w:r>
        <w:rPr>
          <w:rFonts w:ascii="Arial" w:cs="Arial" w:eastAsia="Arial" w:hAnsi="Arial"/>
          <w:sz w:val="16"/>
          <w:szCs w:val="16"/>
          <w:color w:val="auto"/>
        </w:rPr>
        <w:t>Premises and equipment are stated at cost less accumulated depreciation and amortization. Depreciation is computed over the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Cost in excess of fair value of net assets acquired has resulted from business acquisitions. Goodwill and intangible assets with indefinite useful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not amortized, but instead are tested for impairment at least annually. Intangible assets with definite useful lives are amortized on a straight-line basis over their respective estimated useful lives.</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Non-marketable Equity Investments </w:t>
      </w:r>
      <w:r>
        <w:rPr>
          <w:rFonts w:ascii="Arial" w:cs="Arial" w:eastAsia="Arial" w:hAnsi="Arial"/>
          <w:sz w:val="18"/>
          <w:szCs w:val="18"/>
          <w:color w:val="auto"/>
        </w:rPr>
        <w:t>The Company accounts for non-marketable equity investments, in which it holds less than a 20% ownership, under the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Under the cost method of accounting, investments are carried at cost and are adjusted only for other than temporary declines in fair value, distributions of earnings and additional investments. The Company periodically evaluates whether any declines in fair value of its investments are other than temporary. In performing this evaluation, the Company considers various factors including any decline in market price, where available, the investee's financial condition, results of operations, operating trends and other financial ratios. Non-marketable equity investments are included in other assets on the consolidated balance sheets.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Foreclosed Assets </w:t>
      </w:r>
      <w:r>
        <w:rPr>
          <w:rFonts w:ascii="Arial" w:cs="Arial" w:eastAsia="Arial" w:hAnsi="Arial"/>
          <w:sz w:val="16"/>
          <w:szCs w:val="16"/>
          <w:color w:val="auto"/>
        </w:rPr>
        <w:t>Real estate acquired as a result of foreclosure is initially recorded at fair value less estimated selling costs. Fair value is generally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receipt of appraisals. Any write down to fair value at the time the property is acquired is recorded as a charge-off to the allowance for loan losses. Any decline in the fair value of the property subsequent to acquisition is recorded as a charge to non-interest expense.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Treasury Stock </w:t>
      </w:r>
      <w:r>
        <w:rPr>
          <w:rFonts w:ascii="Arial" w:cs="Arial" w:eastAsia="Arial" w:hAnsi="Arial"/>
          <w:sz w:val="18"/>
          <w:szCs w:val="18"/>
          <w:color w:val="auto"/>
        </w:rPr>
        <w:t>Purchases of the Company’s common stock are recorded at cost. Upon reissuance, treasury stock is reduced based upon the average cost basis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held.</w:t>
      </w:r>
    </w:p>
    <w:p>
      <w:pPr>
        <w:spacing w:after="0" w:line="18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 xml:space="preserve">Comprehensive Income </w:t>
      </w:r>
      <w:r>
        <w:rPr>
          <w:rFonts w:ascii="Arial" w:cs="Arial" w:eastAsia="Arial" w:hAnsi="Arial"/>
          <w:sz w:val="15"/>
          <w:szCs w:val="15"/>
          <w:color w:val="auto"/>
        </w:rPr>
        <w:t>Comprehensive income consists of net income, changes in net unrealized gains (losses) on available-for-sale securities and pension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liability adjustments and is presented in the accompanying consolidated statements of shareholders' equity and consolidated statements of comprehensive income.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Interest on loans is recognized based upon the principal amounts outstanding. It is the Company’s policy to discontinue the accrual of interest when there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Impairment of Loans </w:t>
      </w:r>
      <w:r>
        <w:rPr>
          <w:rFonts w:ascii="Arial" w:cs="Arial" w:eastAsia="Arial" w:hAnsi="Arial"/>
          <w:sz w:val="16"/>
          <w:szCs w:val="16"/>
          <w:color w:val="auto"/>
        </w:rPr>
        <w:t>A loan is considered impaired when it is probable that a creditor will be unable to collect all amounts due, both principal and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the contractual terms of the loan agreement. When measuring impairment, the expected future cash flows of an impaired loan are discounted at the loan's effective interest rate. Alternatively, impairment could be measured by reference to an observable market price, if one exists, or the fair value of the collateral for a collateral-dependent loan. Regardless of the historical measurement method used, the Company measures impairment based on the fair value of the collateral when the Company determines foreclosure is probable. Additionally, impairment of a restructured loan is measured by discounting the total expected future cash flows at the loan's effective rate of interest as stated in the original loan agreement. The Company uses its nonaccrual methods as discussed above for recognizing interest on impaired loans.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Information Services Revenue </w:t>
      </w:r>
      <w:r>
        <w:rPr>
          <w:rFonts w:ascii="Arial" w:cs="Arial" w:eastAsia="Arial" w:hAnsi="Arial"/>
          <w:sz w:val="16"/>
          <w:szCs w:val="16"/>
          <w:color w:val="auto"/>
        </w:rPr>
        <w:t>A majority of the Company’s revenues are attributable to fees for providing services. These services include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invoice rating, payment processing,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Deferred tax assets and liabilities are recognized for the estimated future tax consequences attributable to differences between the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carrying amounts of existing assets and liabilities and their respective tax bases.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earnings per share is computed by dividing net income by the weighted average number of common shares outstanding.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is computed by dividing net income by the sum of the weighted average number of common shares outstanding and the weighted average number of potential common shares outstanding.</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follows FASB ASC 718 -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Stock Options and Other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718”),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that all stock-based compensation be recognized as an expense in the financial statements and that such cost be measured at the fair value of the award. FASB ASC 718 also requires that excess tax benefits related to stock option exercises and restricted stock awards be reflected as financing cash inflows instead of operating cash inflows.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Pension Plans </w:t>
      </w:r>
      <w:r>
        <w:rPr>
          <w:rFonts w:ascii="Arial" w:cs="Arial" w:eastAsia="Arial" w:hAnsi="Arial"/>
          <w:sz w:val="16"/>
          <w:szCs w:val="16"/>
          <w:color w:val="auto"/>
        </w:rPr>
        <w:t>The amounts recognized in the consolidated financial statements related to pension are determined from actuarial valuations. Inherent in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valuations are assumptions including expected return on plan assets, discount rates at which the liabilities could be settled at December 31, 2017, rate of increase in future compensation levels and mortality rates. These assumptions are updated annually and are disclosed in Note 10. The Company follows FASB ASC 715 - </w:t>
      </w:r>
      <w:r>
        <w:rPr>
          <w:rFonts w:ascii="Arial" w:cs="Arial" w:eastAsia="Arial" w:hAnsi="Arial"/>
          <w:sz w:val="16"/>
          <w:szCs w:val="16"/>
          <w:i w:val="1"/>
          <w:iCs w:val="1"/>
          <w:color w:val="auto"/>
        </w:rPr>
        <w:t xml:space="preserve">Compensation – Retirement Benefits </w:t>
      </w:r>
      <w:r>
        <w:rPr>
          <w:rFonts w:ascii="Arial" w:cs="Arial" w:eastAsia="Arial" w:hAnsi="Arial"/>
          <w:sz w:val="16"/>
          <w:szCs w:val="16"/>
          <w:color w:val="auto"/>
        </w:rPr>
        <w:t>(“ASC 715”), which requires companies to recognize the overfunded or underfunded status of a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Fair Value Measurements </w:t>
      </w:r>
      <w:r>
        <w:rPr>
          <w:rFonts w:ascii="Arial" w:cs="Arial" w:eastAsia="Arial" w:hAnsi="Arial"/>
          <w:sz w:val="16"/>
          <w:szCs w:val="16"/>
          <w:color w:val="auto"/>
        </w:rPr>
        <w:t>The Company follows the provisions of FASB ASC 820 -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impaired loans and other real estate owned at their fair value on a nonrecurring basis. The nonrecurring fair value adjustments typically involve application of lower-of-cost-or-market accounting or impairment write-downs of individual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(“ASU”) No.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ASU supersedes revenue recognition requirements in Topic 605, Revenue Recognition, including most industry-specific revenue recognition guidance in the FASB Accounting Standards Codification (“ASC”).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 The Company’s revenue is comprised of net interest income on financial assets and liabilities, which is explicitly excluded from the scope, and non-interest income. The Company will use the modified retrospective transition approach and there will not be a significant impact on the Company’s consolidated financial statements or results of operations.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ASU No. 2016-01 – </w:t>
      </w:r>
      <w:r>
        <w:rPr>
          <w:rFonts w:ascii="Arial" w:cs="Arial" w:eastAsia="Arial" w:hAnsi="Arial"/>
          <w:sz w:val="16"/>
          <w:szCs w:val="16"/>
          <w:i w:val="1"/>
          <w:iCs w:val="1"/>
          <w:color w:val="auto"/>
        </w:rPr>
        <w:t>Financial Instruments – Overall (ASC Subtopic 825-10)</w:t>
      </w:r>
      <w:r>
        <w:rPr>
          <w:rFonts w:ascii="Arial" w:cs="Arial" w:eastAsia="Arial" w:hAnsi="Arial"/>
          <w:sz w:val="16"/>
          <w:szCs w:val="16"/>
          <w:color w:val="auto"/>
        </w:rPr>
        <w:t>. The ASU requires an entity to: (i) measure equity investments at fair value through net income, with certain exceptions; (ii) present in OCI the changes in instrument-specific credit risk for financial liabilities measured using the fair value option; (iii) present financial assets and financial liabilities by measurement category and form of financial asset; (iv) calculate the fair value of financial instruments for disclosure purposes based on an exit price and; (v) assess a valuation allowance on deferred tax assets related to unrealized losses of AFS debt securities in combination with other deferred tax assets. The standard is effective for fiscal periods beginning January 1, 2018 and will not have a significant impact on the Company’s consolidated financial statements or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impact of the adoption of this ASU is currently being evaluated but is not expected to have a material impact on the Company’s consolidated financial statements or results of operations.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2018, the FASB issued ASU No. 2018-02 –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The ASU provides for the reclassification of the effect of remeasuring deferred tax balances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items within AOCI to retained earnings resulting from the TCJA. The Company early adopted, and as a result, reclassified $2,286,000 from AOCI to retained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Regulatory Restrictions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2017 and 2016, the Company and the Bank met all capital adequacy requirements to which they are subject.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 2013, the Federal Reserve Board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Wall Street Reform and Consumer Protection Act. Among other things, the Basel III Capital Rules establish stricter capital requirements and calculation standards, as well as more restrictive risk weightings for certain loans and facilities. The Basel III Capital Rules were effective for the Company and the Bank on January 1, 2015 (subject to a phase-in period).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is also subject to the regulatory framework for prompt corrective action. As of December 31, 2017,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Subsidiary dividends can be a significant source of funds for payment of dividends by the Company to its shareholders. At December 31, 2017, unappropriated retained earnings of $30,137,000 were available at the Bank for the declaration of dividends to the Company without prior approval from regulatory authorities. However, dividends paid by the Bank to the Company would be prohibited if the effect thereof would cause the Bank’s capital to be reduced below applicable minimum capital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restricted funds on deposit used to meet regulatory reserve requirements at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actual and required capital amounts and ratios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center"/>
              <w:ind w:left="272"/>
              <w:spacing w:after="0"/>
              <w:rPr>
                <w:sz w:val="20"/>
                <w:szCs w:val="20"/>
                <w:color w:val="auto"/>
              </w:rPr>
            </w:pPr>
            <w:r>
              <w:rPr>
                <w:rFonts w:ascii="Arial" w:cs="Arial" w:eastAsia="Arial" w:hAnsi="Arial"/>
                <w:sz w:val="18"/>
                <w:szCs w:val="18"/>
                <w:b w:val="1"/>
                <w:bCs w:val="1"/>
                <w:color w:val="auto"/>
                <w:w w:val="93"/>
              </w:rPr>
              <w:t>Capital</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Requirement to be</w:t>
            </w:r>
          </w:p>
        </w:tc>
      </w:tr>
      <w:tr>
        <w:trPr>
          <w:trHeight w:val="252"/>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center"/>
              <w:ind w:right="132"/>
              <w:spacing w:after="0"/>
              <w:rPr>
                <w:sz w:val="20"/>
                <w:szCs w:val="20"/>
                <w:color w:val="auto"/>
              </w:rPr>
            </w:pPr>
            <w:r>
              <w:rPr>
                <w:rFonts w:ascii="Arial" w:cs="Arial" w:eastAsia="Arial" w:hAnsi="Arial"/>
                <w:sz w:val="18"/>
                <w:szCs w:val="18"/>
                <w:b w:val="1"/>
                <w:bCs w:val="1"/>
                <w:color w:val="auto"/>
                <w:w w:val="88"/>
              </w:rPr>
              <w:t>Requirements</w:t>
            </w:r>
          </w:p>
        </w:tc>
        <w:tc>
          <w:tcPr>
            <w:tcW w:w="220" w:type="dxa"/>
            <w:vAlign w:val="bottom"/>
          </w:tcPr>
          <w:p>
            <w:pPr>
              <w:spacing w:after="0"/>
              <w:rPr>
                <w:sz w:val="21"/>
                <w:szCs w:val="21"/>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Well-Capitalized</w:t>
            </w: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1"/>
              </w:rPr>
              <w:t>Amount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Ratio</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5"/>
              </w:rPr>
              <w:t>Amount</w:t>
            </w: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Ratio</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Amount</w:t>
            </w:r>
          </w:p>
        </w:tc>
        <w:tc>
          <w:tcPr>
            <w:tcW w:w="68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Ratio</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7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At December 31, 2017</w:t>
            </w:r>
          </w:p>
        </w:tc>
        <w:tc>
          <w:tcPr>
            <w:tcW w:w="40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6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234,389</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83,233</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w w:val="95"/>
              </w:rPr>
              <w:t>N/A%</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122,440</w:t>
            </w:r>
          </w:p>
        </w:tc>
        <w:tc>
          <w:tcPr>
            <w:tcW w:w="700" w:type="dxa"/>
            <w:vAlign w:val="bottom"/>
          </w:tcPr>
          <w:p>
            <w:pPr>
              <w:ind w:left="20"/>
              <w:spacing w:after="0"/>
              <w:rPr>
                <w:sz w:val="20"/>
                <w:szCs w:val="20"/>
                <w:color w:val="auto"/>
              </w:rPr>
            </w:pPr>
            <w:r>
              <w:rPr>
                <w:rFonts w:ascii="Arial" w:cs="Arial" w:eastAsia="Arial" w:hAnsi="Arial"/>
                <w:sz w:val="18"/>
                <w:szCs w:val="18"/>
                <w:color w:val="auto"/>
              </w:rPr>
              <w:t>17.01</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57,568</w:t>
            </w:r>
          </w:p>
        </w:tc>
        <w:tc>
          <w:tcPr>
            <w:tcW w:w="600" w:type="dxa"/>
            <w:vAlign w:val="bottom"/>
          </w:tcPr>
          <w:p>
            <w:pPr>
              <w:ind w:left="2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71,960</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spacing w:after="0"/>
              <w:rPr>
                <w:sz w:val="20"/>
                <w:szCs w:val="20"/>
                <w:color w:val="auto"/>
              </w:rPr>
            </w:pPr>
            <w:r>
              <w:rPr>
                <w:rFonts w:ascii="Arial" w:cs="Arial" w:eastAsia="Arial" w:hAnsi="Arial"/>
                <w:sz w:val="18"/>
                <w:szCs w:val="18"/>
                <w:color w:val="auto"/>
              </w:rPr>
              <w:t>Common Equity Tier I Capital (to risk-weighted assets)</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224,184</w:t>
            </w:r>
          </w:p>
        </w:tc>
        <w:tc>
          <w:tcPr>
            <w:tcW w:w="700" w:type="dxa"/>
            <w:vAlign w:val="bottom"/>
          </w:tcPr>
          <w:p>
            <w:pPr>
              <w:ind w:left="20"/>
              <w:spacing w:after="0"/>
              <w:rPr>
                <w:sz w:val="20"/>
                <w:szCs w:val="20"/>
                <w:color w:val="auto"/>
              </w:rPr>
            </w:pPr>
            <w:r>
              <w:rPr>
                <w:rFonts w:ascii="Arial" w:cs="Arial" w:eastAsia="Arial" w:hAnsi="Arial"/>
                <w:sz w:val="18"/>
                <w:szCs w:val="18"/>
                <w:color w:val="auto"/>
              </w:rPr>
              <w:t>21.55</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46,819</w:t>
            </w:r>
          </w:p>
        </w:tc>
        <w:tc>
          <w:tcPr>
            <w:tcW w:w="600" w:type="dxa"/>
            <w:vAlign w:val="bottom"/>
          </w:tcPr>
          <w:p>
            <w:pPr>
              <w:ind w:left="2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114,603</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32,382</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46,774</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Tier I capital (to risk-weighted assets)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224,184</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21.55</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62,425</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114,603</w:t>
            </w:r>
          </w:p>
        </w:tc>
        <w:tc>
          <w:tcPr>
            <w:tcW w:w="700" w:type="dxa"/>
            <w:vAlign w:val="bottom"/>
          </w:tcPr>
          <w:p>
            <w:pPr>
              <w:ind w:left="20"/>
              <w:spacing w:after="0"/>
              <w:rPr>
                <w:sz w:val="20"/>
                <w:szCs w:val="20"/>
                <w:color w:val="auto"/>
              </w:rPr>
            </w:pPr>
            <w:r>
              <w:rPr>
                <w:rFonts w:ascii="Arial" w:cs="Arial" w:eastAsia="Arial" w:hAnsi="Arial"/>
                <w:sz w:val="18"/>
                <w:szCs w:val="18"/>
                <w:color w:val="auto"/>
              </w:rPr>
              <w:t>15.93</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43,176</w:t>
            </w:r>
          </w:p>
        </w:tc>
        <w:tc>
          <w:tcPr>
            <w:tcW w:w="600" w:type="dxa"/>
            <w:vAlign w:val="bottom"/>
          </w:tcPr>
          <w:p>
            <w:pPr>
              <w:ind w:left="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57,568</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average assets)</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224,184</w:t>
            </w:r>
          </w:p>
        </w:tc>
        <w:tc>
          <w:tcPr>
            <w:tcW w:w="700" w:type="dxa"/>
            <w:vAlign w:val="bottom"/>
          </w:tcPr>
          <w:p>
            <w:pPr>
              <w:ind w:left="20"/>
              <w:spacing w:after="0"/>
              <w:rPr>
                <w:sz w:val="20"/>
                <w:szCs w:val="20"/>
                <w:color w:val="auto"/>
              </w:rPr>
            </w:pPr>
            <w:r>
              <w:rPr>
                <w:rFonts w:ascii="Arial" w:cs="Arial" w:eastAsia="Arial" w:hAnsi="Arial"/>
                <w:sz w:val="18"/>
                <w:szCs w:val="18"/>
                <w:color w:val="auto"/>
              </w:rPr>
              <w:t>13.87</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64,649</w:t>
            </w:r>
          </w:p>
        </w:tc>
        <w:tc>
          <w:tcPr>
            <w:tcW w:w="600" w:type="dxa"/>
            <w:vAlign w:val="bottom"/>
          </w:tcPr>
          <w:p>
            <w:pPr>
              <w:ind w:left="2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244"/>
        </w:trPr>
        <w:tc>
          <w:tcPr>
            <w:tcW w:w="20" w:type="dxa"/>
            <w:vAlign w:val="bottom"/>
          </w:tcPr>
          <w:p>
            <w:pPr>
              <w:spacing w:after="0"/>
              <w:rPr>
                <w:sz w:val="21"/>
                <w:szCs w:val="21"/>
                <w:color w:val="auto"/>
              </w:rPr>
            </w:pPr>
          </w:p>
        </w:tc>
        <w:tc>
          <w:tcPr>
            <w:tcW w:w="5720" w:type="dxa"/>
            <w:vAlign w:val="bottom"/>
            <w:tcBorders>
              <w:bottom w:val="single" w:sz="8" w:color="auto"/>
            </w:tcBorders>
            <w:shd w:val="clear" w:color="auto" w:fill="C0C0C0"/>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114,603</w:t>
            </w:r>
          </w:p>
        </w:tc>
        <w:tc>
          <w:tcPr>
            <w:tcW w:w="7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14.99</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30,581</w:t>
            </w:r>
          </w:p>
        </w:tc>
        <w:tc>
          <w:tcPr>
            <w:tcW w:w="6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38,227</w:t>
            </w:r>
          </w:p>
        </w:tc>
        <w:tc>
          <w:tcPr>
            <w:tcW w:w="6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72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219,747</w:t>
            </w:r>
          </w:p>
        </w:tc>
        <w:tc>
          <w:tcPr>
            <w:tcW w:w="700" w:type="dxa"/>
            <w:vAlign w:val="bottom"/>
          </w:tcPr>
          <w:p>
            <w:pPr>
              <w:ind w:left="20"/>
              <w:spacing w:after="0"/>
              <w:rPr>
                <w:sz w:val="20"/>
                <w:szCs w:val="20"/>
                <w:color w:val="auto"/>
              </w:rPr>
            </w:pPr>
            <w:r>
              <w:rPr>
                <w:rFonts w:ascii="Arial" w:cs="Arial" w:eastAsia="Arial" w:hAnsi="Arial"/>
                <w:sz w:val="18"/>
                <w:szCs w:val="18"/>
                <w:color w:val="auto"/>
              </w:rPr>
              <w:t>22.75%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77,272</w:t>
            </w:r>
          </w:p>
        </w:tc>
        <w:tc>
          <w:tcPr>
            <w:tcW w:w="600" w:type="dxa"/>
            <w:vAlign w:val="bottom"/>
          </w:tcPr>
          <w:p>
            <w:pPr>
              <w:ind w:left="20"/>
              <w:spacing w:after="0"/>
              <w:rPr>
                <w:sz w:val="20"/>
                <w:szCs w:val="20"/>
                <w:color w:val="auto"/>
              </w:rPr>
            </w:pPr>
            <w:r>
              <w:rPr>
                <w:rFonts w:ascii="Arial" w:cs="Arial" w:eastAsia="Arial" w:hAnsi="Arial"/>
                <w:sz w:val="18"/>
                <w:szCs w:val="18"/>
                <w:color w:val="auto"/>
              </w:rPr>
              <w:t>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w w:val="99"/>
              </w:rPr>
              <w:t>N/A%</w:t>
            </w: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110,576</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16.72</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52,898</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66,123</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Common Equity Tier I Capital (to risk-weighted assets)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209,572</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21.70</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43,466</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102,769</w:t>
            </w:r>
          </w:p>
        </w:tc>
        <w:tc>
          <w:tcPr>
            <w:tcW w:w="700" w:type="dxa"/>
            <w:vAlign w:val="bottom"/>
          </w:tcPr>
          <w:p>
            <w:pPr>
              <w:ind w:left="20"/>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29,755</w:t>
            </w:r>
          </w:p>
        </w:tc>
        <w:tc>
          <w:tcPr>
            <w:tcW w:w="600" w:type="dxa"/>
            <w:vAlign w:val="bottom"/>
          </w:tcPr>
          <w:p>
            <w:pPr>
              <w:ind w:left="2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42,980</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209,572</w:t>
            </w:r>
          </w:p>
        </w:tc>
        <w:tc>
          <w:tcPr>
            <w:tcW w:w="700" w:type="dxa"/>
            <w:vAlign w:val="bottom"/>
          </w:tcPr>
          <w:p>
            <w:pPr>
              <w:ind w:left="20"/>
              <w:spacing w:after="0"/>
              <w:rPr>
                <w:sz w:val="20"/>
                <w:szCs w:val="20"/>
                <w:color w:val="auto"/>
              </w:rPr>
            </w:pPr>
            <w:r>
              <w:rPr>
                <w:rFonts w:ascii="Arial" w:cs="Arial" w:eastAsia="Arial" w:hAnsi="Arial"/>
                <w:sz w:val="18"/>
                <w:szCs w:val="18"/>
                <w:color w:val="auto"/>
              </w:rPr>
              <w:t>21.70</w:t>
            </w:r>
          </w:p>
        </w:tc>
        <w:tc>
          <w:tcPr>
            <w:tcW w:w="2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57,954</w:t>
            </w:r>
          </w:p>
        </w:tc>
        <w:tc>
          <w:tcPr>
            <w:tcW w:w="600" w:type="dxa"/>
            <w:vAlign w:val="bottom"/>
          </w:tcPr>
          <w:p>
            <w:pPr>
              <w:ind w:left="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102,769</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15.54</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39,674</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52,898</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Tier I capital (to average assets)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Cass Information Systems, Inc.</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209,572</w:t>
            </w:r>
          </w:p>
        </w:tc>
        <w:tc>
          <w:tcPr>
            <w:tcW w:w="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13.83</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60,620</w:t>
            </w:r>
          </w:p>
        </w:tc>
        <w:tc>
          <w:tcPr>
            <w:tcW w:w="600" w:type="dxa"/>
            <w:vAlign w:val="bottom"/>
            <w:shd w:val="clear" w:color="auto" w:fill="C0C0C0"/>
          </w:tcPr>
          <w:p>
            <w:pPr>
              <w:ind w:left="2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Cass Commercial Bank</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102,769</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13.98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29,409</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36,761</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Securities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at December 31, 2017 and 2016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 measured at fair value on a recurring basis. The amortized cost, gross unrealized gains, gross unrealized losses and fair value of debt and equity securities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w w:val="98"/>
              </w:rPr>
              <w:t>December 31, 2017</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8"/>
        </w:trPr>
        <w:tc>
          <w:tcPr>
            <w:tcW w:w="6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80"/>
              </w:rPr>
              <w:t>Gross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6700" w:type="dxa"/>
            <w:vAlign w:val="bottom"/>
          </w:tcPr>
          <w:p>
            <w:pPr>
              <w:spacing w:after="0"/>
              <w:rPr>
                <w:sz w:val="21"/>
                <w:szCs w:val="21"/>
                <w:color w:val="auto"/>
              </w:rPr>
            </w:pPr>
          </w:p>
        </w:tc>
        <w:tc>
          <w:tcPr>
            <w:tcW w:w="13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0"/>
              </w:rPr>
              <w:t>Amortized</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21"/>
                <w:szCs w:val="21"/>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Unrealized</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408,165</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9,528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417,032</w:t>
            </w: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46,222</w:t>
            </w:r>
          </w:p>
        </w:tc>
        <w:tc>
          <w:tcPr>
            <w:tcW w:w="2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45,500</w:t>
            </w:r>
          </w:p>
        </w:tc>
      </w:tr>
      <w:tr>
        <w:trPr>
          <w:trHeight w:val="244"/>
        </w:trPr>
        <w:tc>
          <w:tcPr>
            <w:tcW w:w="67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4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7,991</w:t>
            </w:r>
          </w:p>
        </w:tc>
        <w:tc>
          <w:tcPr>
            <w:tcW w:w="2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7,991</w:t>
            </w:r>
          </w:p>
        </w:tc>
      </w:tr>
      <w:tr>
        <w:trPr>
          <w:trHeight w:val="237"/>
        </w:trPr>
        <w:tc>
          <w:tcPr>
            <w:tcW w:w="6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462,378</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470,523</w:t>
            </w:r>
          </w:p>
        </w:tc>
      </w:tr>
      <w:tr>
        <w:trPr>
          <w:trHeight w:val="480"/>
        </w:trPr>
        <w:tc>
          <w:tcPr>
            <w:tcW w:w="67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w w:val="98"/>
              </w:rPr>
              <w:t>December 31, 2016</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28"/>
        </w:trPr>
        <w:tc>
          <w:tcPr>
            <w:tcW w:w="6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80"/>
              </w:rPr>
              <w:t>Gross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6700" w:type="dxa"/>
            <w:vAlign w:val="bottom"/>
          </w:tcPr>
          <w:p>
            <w:pPr>
              <w:spacing w:after="0"/>
              <w:rPr>
                <w:sz w:val="21"/>
                <w:szCs w:val="21"/>
                <w:color w:val="auto"/>
              </w:rPr>
            </w:pPr>
          </w:p>
        </w:tc>
        <w:tc>
          <w:tcPr>
            <w:tcW w:w="13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0"/>
              </w:rPr>
              <w:t>Amortized</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21"/>
                <w:szCs w:val="21"/>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Unrealized</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368,223</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5,239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3,328</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370,134</w:t>
            </w: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13,075</w:t>
            </w:r>
          </w:p>
        </w:tc>
        <w:tc>
          <w:tcPr>
            <w:tcW w:w="2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12,672</w:t>
            </w:r>
          </w:p>
        </w:tc>
      </w:tr>
      <w:tr>
        <w:trPr>
          <w:trHeight w:val="244"/>
        </w:trPr>
        <w:tc>
          <w:tcPr>
            <w:tcW w:w="67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4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7,746</w:t>
            </w:r>
          </w:p>
        </w:tc>
        <w:tc>
          <w:tcPr>
            <w:tcW w:w="2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7,746</w:t>
            </w:r>
          </w:p>
        </w:tc>
      </w:tr>
      <w:tr>
        <w:trPr>
          <w:trHeight w:val="237"/>
        </w:trPr>
        <w:tc>
          <w:tcPr>
            <w:tcW w:w="6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389,044</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390,552</w:t>
            </w:r>
          </w:p>
        </w:tc>
      </w:tr>
    </w:tbl>
    <w:p>
      <w:pPr>
        <w:spacing w:after="0" w:line="200" w:lineRule="exact"/>
        <w:rPr>
          <w:sz w:val="20"/>
          <w:szCs w:val="20"/>
          <w:color w:val="auto"/>
        </w:rPr>
      </w:pPr>
    </w:p>
    <w:p>
      <w:pPr>
        <w:sectPr>
          <w:pgSz w:w="11900" w:h="16838" w:orient="portrait"/>
          <w:cols w:equalWidth="0" w:num="1">
            <w:col w:w="11420"/>
          </w:cols>
          <w:pgMar w:left="240" w:top="125" w:right="239" w:bottom="9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9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1"/>
        </w:trPr>
        <w:tc>
          <w:tcPr>
            <w:tcW w:w="4740" w:type="dxa"/>
            <w:vAlign w:val="bottom"/>
            <w:gridSpan w:val="3"/>
          </w:tcPr>
          <w:p>
            <w:pPr>
              <w:spacing w:after="0"/>
              <w:rPr>
                <w:sz w:val="20"/>
                <w:szCs w:val="20"/>
                <w:color w:val="auto"/>
              </w:rPr>
            </w:pPr>
            <w:r>
              <w:rPr>
                <w:rFonts w:ascii="Arial" w:cs="Arial" w:eastAsia="Arial" w:hAnsi="Arial"/>
                <w:sz w:val="18"/>
                <w:szCs w:val="18"/>
                <w:color w:val="auto"/>
                <w:w w:val="90"/>
              </w:rPr>
              <w:t>The fair values of securities with unrealized losses are as follows: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w w:val="86"/>
              </w:rPr>
              <w:t>December 31, 2017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1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3"/>
              </w:rPr>
              <w:t>Less than 12 months</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6"/>
              </w:rPr>
              <w:t>12 months or more</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9"/>
                <w:szCs w:val="19"/>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w w:val="85"/>
              </w:rPr>
              <w:t>Estimated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9"/>
                <w:szCs w:val="19"/>
                <w:color w:val="auto"/>
              </w:rPr>
            </w:pPr>
          </w:p>
        </w:tc>
      </w:tr>
      <w:tr>
        <w:trPr>
          <w:trHeight w:val="251"/>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1060" w:type="dxa"/>
            <w:vAlign w:val="bottom"/>
            <w:gridSpan w:val="2"/>
          </w:tcPr>
          <w:p>
            <w:pPr>
              <w:ind w:left="30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1"/>
                <w:szCs w:val="21"/>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w w:val="87"/>
              </w:rPr>
              <w:t>Fair value</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77"/>
              </w:rPr>
              <w:t>Losses</w:t>
            </w:r>
          </w:p>
        </w:tc>
      </w:tr>
      <w:tr>
        <w:trPr>
          <w:trHeight w:val="243"/>
        </w:trPr>
        <w:tc>
          <w:tcPr>
            <w:tcW w:w="4740" w:type="dxa"/>
            <w:vAlign w:val="bottom"/>
            <w:tcBorders>
              <w:top w:val="single" w:sz="8" w:color="auto"/>
            </w:tcBorders>
            <w:gridSpan w:val="3"/>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34,755</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123</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31,251</w:t>
            </w:r>
          </w:p>
        </w:tc>
        <w:tc>
          <w:tcPr>
            <w:tcW w:w="680" w:type="dxa"/>
            <w:vAlign w:val="bottom"/>
            <w:tcBorders>
              <w:top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86"/>
              </w:rPr>
              <w:t>538</w:t>
            </w:r>
          </w:p>
        </w:tc>
        <w:tc>
          <w:tcPr>
            <w:tcW w:w="2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66,006</w:t>
            </w:r>
          </w:p>
        </w:tc>
        <w:tc>
          <w:tcPr>
            <w:tcW w:w="8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661</w:t>
            </w:r>
          </w:p>
        </w:tc>
        <w:tc>
          <w:tcPr>
            <w:tcW w:w="20" w:type="dxa"/>
            <w:vAlign w:val="bottom"/>
          </w:tcPr>
          <w:p>
            <w:pPr>
              <w:spacing w:after="0"/>
              <w:rPr>
                <w:sz w:val="21"/>
                <w:szCs w:val="21"/>
                <w:color w:val="auto"/>
              </w:rPr>
            </w:pPr>
          </w:p>
        </w:tc>
      </w:tr>
      <w:tr>
        <w:trPr>
          <w:trHeight w:val="235"/>
        </w:trPr>
        <w:tc>
          <w:tcPr>
            <w:tcW w:w="474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34,183</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11,317</w:t>
            </w:r>
          </w:p>
        </w:tc>
        <w:tc>
          <w:tcPr>
            <w:tcW w:w="680" w:type="dxa"/>
            <w:vAlign w:val="bottom"/>
          </w:tcPr>
          <w:p>
            <w:pPr>
              <w:spacing w:after="0"/>
              <w:rPr>
                <w:sz w:val="20"/>
                <w:szCs w:val="20"/>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w w:val="86"/>
              </w:rPr>
              <w:t>346</w:t>
            </w:r>
          </w:p>
        </w:tc>
        <w:tc>
          <w:tcPr>
            <w:tcW w:w="220" w:type="dxa"/>
            <w:vAlign w:val="bottom"/>
          </w:tcPr>
          <w:p>
            <w:pPr>
              <w:spacing w:after="0"/>
              <w:rPr>
                <w:sz w:val="20"/>
                <w:szCs w:val="20"/>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45,500</w:t>
            </w: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20"/>
                <w:szCs w:val="20"/>
                <w:color w:val="auto"/>
              </w:rPr>
            </w:pPr>
          </w:p>
        </w:tc>
      </w:tr>
      <w:tr>
        <w:trPr>
          <w:trHeight w:val="244"/>
        </w:trPr>
        <w:tc>
          <w:tcPr>
            <w:tcW w:w="4740" w:type="dxa"/>
            <w:vAlign w:val="bottom"/>
            <w:tcBorders>
              <w:bottom w:val="single" w:sz="8" w:color="auto"/>
            </w:tcBorders>
            <w:gridSpan w:val="3"/>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47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68,938</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42,568</w:t>
            </w: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884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111,506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20"/>
                <w:szCs w:val="20"/>
                <w:color w:val="auto"/>
              </w:rPr>
            </w:pPr>
          </w:p>
        </w:tc>
      </w:tr>
      <w:tr>
        <w:trPr>
          <w:trHeight w:val="471"/>
        </w:trPr>
        <w:tc>
          <w:tcPr>
            <w:tcW w:w="1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w w:val="86"/>
              </w:rPr>
              <w:t>December 31, 2016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1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3"/>
              </w:rPr>
              <w:t>Less than 12 months</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6"/>
              </w:rPr>
              <w:t>12 months or more</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Estimated</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9"/>
                <w:szCs w:val="19"/>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w w:val="85"/>
              </w:rPr>
              <w:t>Estimated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9"/>
                <w:szCs w:val="19"/>
                <w:color w:val="auto"/>
              </w:rPr>
            </w:pPr>
          </w:p>
        </w:tc>
      </w:tr>
      <w:tr>
        <w:trPr>
          <w:trHeight w:val="251"/>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1"/>
                <w:szCs w:val="21"/>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80"/>
              </w:rPr>
              <w:t>Losses</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1060" w:type="dxa"/>
            <w:vAlign w:val="bottom"/>
            <w:gridSpan w:val="2"/>
          </w:tcPr>
          <w:p>
            <w:pPr>
              <w:ind w:left="30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1"/>
                <w:szCs w:val="21"/>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w w:val="87"/>
              </w:rPr>
              <w:t>Fair value</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77"/>
              </w:rPr>
              <w:t>Losses</w:t>
            </w:r>
          </w:p>
        </w:tc>
      </w:tr>
      <w:tr>
        <w:trPr>
          <w:trHeight w:val="243"/>
        </w:trPr>
        <w:tc>
          <w:tcPr>
            <w:tcW w:w="4740" w:type="dxa"/>
            <w:vAlign w:val="bottom"/>
            <w:tcBorders>
              <w:top w:val="single" w:sz="8" w:color="auto"/>
            </w:tcBorders>
            <w:gridSpan w:val="3"/>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140,384</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3,328</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140,384</w:t>
            </w:r>
          </w:p>
        </w:tc>
        <w:tc>
          <w:tcPr>
            <w:tcW w:w="8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$3,328</w:t>
            </w:r>
          </w:p>
        </w:tc>
        <w:tc>
          <w:tcPr>
            <w:tcW w:w="20" w:type="dxa"/>
            <w:vAlign w:val="bottom"/>
          </w:tcPr>
          <w:p>
            <w:pPr>
              <w:spacing w:after="0"/>
              <w:rPr>
                <w:sz w:val="21"/>
                <w:szCs w:val="21"/>
                <w:color w:val="auto"/>
              </w:rPr>
            </w:pPr>
          </w:p>
        </w:tc>
      </w:tr>
      <w:tr>
        <w:trPr>
          <w:trHeight w:val="235"/>
        </w:trPr>
        <w:tc>
          <w:tcPr>
            <w:tcW w:w="474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12,672</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12,672</w:t>
            </w: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0"/>
                <w:szCs w:val="20"/>
                <w:color w:val="auto"/>
              </w:rPr>
            </w:pPr>
          </w:p>
        </w:tc>
      </w:tr>
      <w:tr>
        <w:trPr>
          <w:trHeight w:val="244"/>
        </w:trPr>
        <w:tc>
          <w:tcPr>
            <w:tcW w:w="4740" w:type="dxa"/>
            <w:vAlign w:val="bottom"/>
            <w:tcBorders>
              <w:bottom w:val="single" w:sz="8" w:color="auto"/>
            </w:tcBorders>
            <w:gridSpan w:val="3"/>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11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47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153,056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153,056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0" w:type="dxa"/>
            <w:vAlign w:val="bottom"/>
            <w:tcBorders>
              <w:bottom w:val="single" w:sz="8" w:color="auto"/>
            </w:tcBorders>
          </w:tcPr>
          <w:p>
            <w:pPr>
              <w:spacing w:after="0"/>
              <w:rPr>
                <w:sz w:val="20"/>
                <w:szCs w:val="20"/>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There were 64 securities, or 17% of the total (24 greater than 12 months), in an unrealized loss position as of December 31, 2017 compared to 108 securities (none greater than 12 months) in an unrealized loss position as of December 31, 2016. All unrealized losses are reviewed to determine whether the losses are other than temporary. Management believes that all unrealized losses are temporary since they are market driven, the Company does not have the intent to sell the security, and it is more likely than not that the Company will not be required to sell prior to recovery of the amortized basis.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gridSpan w:val="4"/>
          </w:tcPr>
          <w:p>
            <w:pPr>
              <w:ind w:left="48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Amortized Cost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r>
      <w:tr>
        <w:trPr>
          <w:trHeight w:val="243"/>
        </w:trPr>
        <w:tc>
          <w:tcPr>
            <w:tcW w:w="632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22,492</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22,638</w:t>
            </w:r>
          </w:p>
        </w:tc>
        <w:tc>
          <w:tcPr>
            <w:tcW w:w="20" w:type="dxa"/>
            <w:vAlign w:val="bottom"/>
          </w:tcPr>
          <w:p>
            <w:pPr>
              <w:spacing w:after="0"/>
              <w:rPr>
                <w:sz w:val="21"/>
                <w:szCs w:val="21"/>
                <w:color w:val="auto"/>
              </w:rPr>
            </w:pPr>
          </w:p>
        </w:tc>
      </w:tr>
      <w:tr>
        <w:trPr>
          <w:trHeight w:val="235"/>
        </w:trPr>
        <w:tc>
          <w:tcPr>
            <w:tcW w:w="632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6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57,922</w:t>
            </w:r>
          </w:p>
        </w:tc>
        <w:tc>
          <w:tcPr>
            <w:tcW w:w="3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58,425</w:t>
            </w:r>
          </w:p>
        </w:tc>
      </w:tr>
      <w:tr>
        <w:trPr>
          <w:trHeight w:val="251"/>
        </w:trPr>
        <w:tc>
          <w:tcPr>
            <w:tcW w:w="632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60" w:type="dxa"/>
            <w:vAlign w:val="bottom"/>
            <w:shd w:val="clear" w:color="auto" w:fill="C0C0C0"/>
          </w:tcPr>
          <w:p>
            <w:pPr>
              <w:spacing w:after="0"/>
              <w:rPr>
                <w:sz w:val="21"/>
                <w:szCs w:val="21"/>
                <w:color w:val="auto"/>
              </w:rPr>
            </w:pPr>
          </w:p>
        </w:tc>
        <w:tc>
          <w:tcPr>
            <w:tcW w:w="14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256,396</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263,961</w:t>
            </w:r>
          </w:p>
        </w:tc>
        <w:tc>
          <w:tcPr>
            <w:tcW w:w="20" w:type="dxa"/>
            <w:vAlign w:val="bottom"/>
          </w:tcPr>
          <w:p>
            <w:pPr>
              <w:spacing w:after="0"/>
              <w:rPr>
                <w:sz w:val="21"/>
                <w:szCs w:val="21"/>
                <w:color w:val="auto"/>
              </w:rPr>
            </w:pPr>
          </w:p>
        </w:tc>
      </w:tr>
      <w:tr>
        <w:trPr>
          <w:trHeight w:val="235"/>
        </w:trPr>
        <w:tc>
          <w:tcPr>
            <w:tcW w:w="6320" w:type="dxa"/>
            <w:vAlign w:val="bottom"/>
          </w:tcPr>
          <w:p>
            <w:pPr>
              <w:spacing w:after="0"/>
              <w:rPr>
                <w:sz w:val="20"/>
                <w:szCs w:val="20"/>
                <w:color w:val="auto"/>
              </w:rPr>
            </w:pPr>
            <w:r>
              <w:rPr>
                <w:rFonts w:ascii="Arial" w:cs="Arial" w:eastAsia="Arial" w:hAnsi="Arial"/>
                <w:sz w:val="18"/>
                <w:szCs w:val="18"/>
                <w:color w:val="auto"/>
              </w:rPr>
              <w:t>Due after 10 years</w:t>
            </w:r>
          </w:p>
        </w:tc>
        <w:tc>
          <w:tcPr>
            <w:tcW w:w="36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125,568</w:t>
            </w:r>
          </w:p>
        </w:tc>
        <w:tc>
          <w:tcPr>
            <w:tcW w:w="3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125,499</w:t>
            </w:r>
          </w:p>
        </w:tc>
      </w:tr>
      <w:tr>
        <w:trPr>
          <w:trHeight w:val="244"/>
        </w:trPr>
        <w:tc>
          <w:tcPr>
            <w:tcW w:w="63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No stated maturity</w:t>
            </w:r>
          </w:p>
        </w:tc>
        <w:tc>
          <w:tcPr>
            <w:tcW w:w="360" w:type="dxa"/>
            <w:vAlign w:val="bottom"/>
            <w:tcBorders>
              <w:bottom w:val="single" w:sz="8" w:color="auto"/>
            </w:tcBorders>
            <w:shd w:val="clear" w:color="auto" w:fill="C0C0C0"/>
          </w:tcPr>
          <w:p>
            <w:pPr>
              <w:spacing w:after="0"/>
              <w:rPr>
                <w:sz w:val="21"/>
                <w:szCs w:val="21"/>
                <w:color w:val="auto"/>
              </w:rPr>
            </w:pPr>
          </w:p>
        </w:tc>
        <w:tc>
          <w:tcPr>
            <w:tcW w:w="14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63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462,378</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470,523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premium related to the purchase of state and political subdivisions was $7,147,000 and $5,749,000 in 2017 and 2016,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of debt securities pledged to secure public deposits, securities sold under agreements to repurchase and for other purposes at December 31, 2017 and 2016 was $3,750,000.</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Proceeds from sales of debt securities classified as available-for-sale were $0 in 2017, $21,491,000 in 2016, and $99,347,000 in 2015. Gross realized gains on the sales in 2017, 2016 and 2015 were $0, $387,000, and $2,910,000, respectively. There were no gross realized losses on sales in 2017, 2016 or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originates commercial, industrial and real estate loans to businesses and faith-based ministries throughout the metropolitan St. Louis, Missouri area, Orange County, California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 loans secured by mortgages that are extended to faith-based ministries in its market area and selected cities in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1"/>
        </w:trPr>
        <w:tc>
          <w:tcPr>
            <w:tcW w:w="4600" w:type="dxa"/>
            <w:vAlign w:val="bottom"/>
            <w:gridSpan w:val="2"/>
          </w:tcPr>
          <w:p>
            <w:pPr>
              <w:spacing w:after="0"/>
              <w:rPr>
                <w:sz w:val="20"/>
                <w:szCs w:val="20"/>
                <w:color w:val="auto"/>
              </w:rPr>
            </w:pPr>
            <w:r>
              <w:rPr>
                <w:rFonts w:ascii="Arial" w:cs="Arial" w:eastAsia="Arial" w:hAnsi="Arial"/>
                <w:sz w:val="18"/>
                <w:szCs w:val="18"/>
                <w:color w:val="auto"/>
              </w:rPr>
              <w:t>A summary of loan categories is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5"/>
              </w:rPr>
              <w:t>December 31,</w:t>
            </w:r>
          </w:p>
        </w:tc>
      </w:tr>
      <w:tr>
        <w:trPr>
          <w:trHeight w:val="237"/>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2016</w:t>
            </w:r>
          </w:p>
        </w:tc>
      </w:tr>
      <w:tr>
        <w:trPr>
          <w:trHeight w:val="243"/>
        </w:trPr>
        <w:tc>
          <w:tcPr>
            <w:tcW w:w="46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236,394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214,767</w:t>
            </w:r>
          </w:p>
        </w:tc>
      </w:tr>
      <w:tr>
        <w:trPr>
          <w:trHeight w:val="235"/>
        </w:trPr>
        <w:tc>
          <w:tcPr>
            <w:tcW w:w="46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6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94,675</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104,779</w:t>
            </w:r>
          </w:p>
        </w:tc>
      </w:tr>
      <w:tr>
        <w:trPr>
          <w:trHeight w:val="251"/>
        </w:trPr>
        <w:tc>
          <w:tcPr>
            <w:tcW w:w="460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9,359</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6,325</w:t>
            </w:r>
          </w:p>
        </w:tc>
      </w:tr>
      <w:tr>
        <w:trPr>
          <w:trHeight w:val="235"/>
        </w:trPr>
        <w:tc>
          <w:tcPr>
            <w:tcW w:w="4600" w:type="dxa"/>
            <w:vAlign w:val="bottom"/>
            <w:gridSpan w:val="2"/>
          </w:tcPr>
          <w:p>
            <w:pPr>
              <w:ind w:left="280"/>
              <w:spacing w:after="0"/>
              <w:rPr>
                <w:sz w:val="20"/>
                <w:szCs w:val="20"/>
                <w:color w:val="auto"/>
              </w:rPr>
            </w:pPr>
            <w:r>
              <w:rPr>
                <w:rFonts w:ascii="Arial" w:cs="Arial" w:eastAsia="Arial" w:hAnsi="Arial"/>
                <w:sz w:val="18"/>
                <w:szCs w:val="18"/>
                <w:color w:val="auto"/>
              </w:rPr>
              <w:t>Church, church-related:</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60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86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316,073</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321,168</w:t>
            </w:r>
          </w:p>
        </w:tc>
      </w:tr>
      <w:tr>
        <w:trPr>
          <w:trHeight w:val="235"/>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25,948</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11,152</w:t>
            </w:r>
          </w:p>
        </w:tc>
      </w:tr>
      <w:tr>
        <w:trPr>
          <w:trHeight w:val="251"/>
        </w:trPr>
        <w:tc>
          <w:tcPr>
            <w:tcW w:w="46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3,374</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w:t>
            </w:r>
          </w:p>
        </w:tc>
      </w:tr>
      <w:tr>
        <w:trPr>
          <w:trHeight w:val="237"/>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408</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4600" w:type="dxa"/>
            <w:vAlign w:val="bottom"/>
            <w:tcBorders>
              <w:bottom w:val="single" w:sz="8" w:color="auto"/>
            </w:tcBorders>
            <w:gridSpan w:val="2"/>
            <w:shd w:val="clear" w:color="auto" w:fill="C0C0C0"/>
          </w:tcPr>
          <w:p>
            <w:pPr>
              <w:ind w:left="540"/>
              <w:spacing w:after="0"/>
              <w:rPr>
                <w:sz w:val="20"/>
                <w:szCs w:val="20"/>
                <w:color w:val="auto"/>
              </w:rPr>
            </w:pPr>
            <w:r>
              <w:rPr>
                <w:rFonts w:ascii="Arial" w:cs="Arial" w:eastAsia="Arial" w:hAnsi="Arial"/>
                <w:sz w:val="18"/>
                <w:szCs w:val="18"/>
                <w:color w:val="auto"/>
              </w:rPr>
              <w:t>Total loans</w:t>
            </w:r>
          </w:p>
        </w:tc>
        <w:tc>
          <w:tcPr>
            <w:tcW w:w="15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20" w:type="dxa"/>
            <w:vAlign w:val="bottom"/>
            <w:tcBorders>
              <w:bottom w:val="single" w:sz="8" w:color="auto"/>
            </w:tcBorders>
            <w:shd w:val="clear" w:color="auto" w:fill="C0C0C0"/>
          </w:tcPr>
          <w:p>
            <w:pPr>
              <w:spacing w:after="0"/>
              <w:rPr>
                <w:sz w:val="20"/>
                <w:szCs w:val="20"/>
                <w:color w:val="auto"/>
              </w:rPr>
            </w:pPr>
          </w:p>
        </w:tc>
        <w:tc>
          <w:tcPr>
            <w:tcW w:w="340" w:type="dxa"/>
            <w:vAlign w:val="bottom"/>
            <w:tcBorders>
              <w:bottom w:val="single" w:sz="8" w:color="auto"/>
            </w:tcBorders>
            <w:shd w:val="clear" w:color="auto" w:fill="C0C0C0"/>
          </w:tcPr>
          <w:p>
            <w:pPr>
              <w:spacing w:after="0"/>
              <w:rPr>
                <w:sz w:val="20"/>
                <w:szCs w:val="20"/>
                <w:color w:val="auto"/>
              </w:rPr>
            </w:pPr>
          </w:p>
        </w:tc>
        <w:tc>
          <w:tcPr>
            <w:tcW w:w="420" w:type="dxa"/>
            <w:vAlign w:val="bottom"/>
            <w:tcBorders>
              <w:bottom w:val="single" w:sz="8" w:color="auto"/>
            </w:tcBorders>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686,231</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664,866</w:t>
            </w:r>
          </w:p>
        </w:tc>
      </w:tr>
      <w:tr>
        <w:trPr>
          <w:trHeight w:val="430"/>
        </w:trPr>
        <w:tc>
          <w:tcPr>
            <w:tcW w:w="7140" w:type="dxa"/>
            <w:vAlign w:val="bottom"/>
            <w:gridSpan w:val="5"/>
          </w:tcPr>
          <w:p>
            <w:pPr>
              <w:spacing w:after="0"/>
              <w:rPr>
                <w:sz w:val="20"/>
                <w:szCs w:val="20"/>
                <w:color w:val="auto"/>
              </w:rPr>
            </w:pPr>
            <w:r>
              <w:rPr>
                <w:rFonts w:ascii="Arial" w:cs="Arial" w:eastAsia="Arial" w:hAnsi="Arial"/>
                <w:sz w:val="18"/>
                <w:szCs w:val="18"/>
                <w:color w:val="auto"/>
              </w:rPr>
              <w:t>The following table presents the aging of loans by loan categories at December 31, 2017:</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9"/>
              </w:rPr>
              <w:t>Performing</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5"/>
          </w:tcPr>
          <w:p>
            <w:pPr>
              <w:ind w:left="60"/>
              <w:spacing w:after="0"/>
              <w:rPr>
                <w:sz w:val="20"/>
                <w:szCs w:val="20"/>
                <w:color w:val="auto"/>
              </w:rPr>
            </w:pPr>
            <w:r>
              <w:rPr>
                <w:rFonts w:ascii="Arial" w:cs="Arial" w:eastAsia="Arial" w:hAnsi="Arial"/>
                <w:sz w:val="18"/>
                <w:szCs w:val="18"/>
                <w:b w:val="1"/>
                <w:bCs w:val="1"/>
                <w:color w:val="auto"/>
              </w:rPr>
              <w:t>Nonperforming</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90 Days</w:t>
            </w: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2"/>
        </w:trPr>
        <w:tc>
          <w:tcPr>
            <w:tcW w:w="1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30-59</w:t>
            </w:r>
          </w:p>
        </w:tc>
        <w:tc>
          <w:tcPr>
            <w:tcW w:w="620" w:type="dxa"/>
            <w:vAlign w:val="bottom"/>
            <w:gridSpan w:val="2"/>
          </w:tcPr>
          <w:p>
            <w:pPr>
              <w:ind w:left="160"/>
              <w:spacing w:after="0"/>
              <w:rPr>
                <w:sz w:val="20"/>
                <w:szCs w:val="20"/>
                <w:color w:val="auto"/>
              </w:rPr>
            </w:pPr>
            <w:r>
              <w:rPr>
                <w:rFonts w:ascii="Arial" w:cs="Arial" w:eastAsia="Arial" w:hAnsi="Arial"/>
                <w:sz w:val="18"/>
                <w:szCs w:val="18"/>
                <w:b w:val="1"/>
                <w:bCs w:val="1"/>
                <w:color w:val="auto"/>
                <w:w w:val="95"/>
              </w:rPr>
              <w:t>60-89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and</w:t>
            </w:r>
          </w:p>
        </w:tc>
        <w:tc>
          <w:tcPr>
            <w:tcW w:w="2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21"/>
                <w:szCs w:val="21"/>
                <w:color w:val="auto"/>
              </w:rPr>
            </w:pPr>
          </w:p>
        </w:tc>
        <w:tc>
          <w:tcPr>
            <w:tcW w:w="74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Total</w:t>
            </w:r>
          </w:p>
        </w:tc>
      </w:tr>
      <w:tr>
        <w:trPr>
          <w:trHeight w:val="252"/>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5"/>
              </w:rPr>
              <w:t>Current</w:t>
            </w:r>
          </w:p>
        </w:tc>
        <w:tc>
          <w:tcPr>
            <w:tcW w:w="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Days</w:t>
            </w:r>
          </w:p>
        </w:tc>
        <w:tc>
          <w:tcPr>
            <w:tcW w:w="7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Days</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w w:val="92"/>
              </w:rPr>
              <w:t>Over</w:t>
            </w:r>
          </w:p>
        </w:tc>
        <w:tc>
          <w:tcPr>
            <w:tcW w:w="8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accrual</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Loans</w:t>
            </w:r>
          </w:p>
        </w:tc>
      </w:tr>
      <w:tr>
        <w:trPr>
          <w:trHeight w:val="243"/>
        </w:trPr>
        <w:tc>
          <w:tcPr>
            <w:tcW w:w="46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6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236,394</w:t>
            </w:r>
          </w:p>
        </w:tc>
        <w:tc>
          <w:tcPr>
            <w:tcW w:w="3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r>
      <w:tr>
        <w:trPr>
          <w:trHeight w:val="235"/>
        </w:trPr>
        <w:tc>
          <w:tcPr>
            <w:tcW w:w="46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6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94,675</w:t>
            </w:r>
          </w:p>
        </w:tc>
        <w:tc>
          <w:tcPr>
            <w:tcW w:w="34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94,675</w:t>
            </w:r>
          </w:p>
        </w:tc>
      </w:tr>
      <w:tr>
        <w:trPr>
          <w:trHeight w:val="251"/>
        </w:trPr>
        <w:tc>
          <w:tcPr>
            <w:tcW w:w="460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9,359</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r>
      <w:tr>
        <w:trPr>
          <w:trHeight w:val="235"/>
        </w:trPr>
        <w:tc>
          <w:tcPr>
            <w:tcW w:w="4600" w:type="dxa"/>
            <w:vAlign w:val="bottom"/>
            <w:gridSpan w:val="2"/>
          </w:tcPr>
          <w:p>
            <w:pPr>
              <w:ind w:left="280"/>
              <w:spacing w:after="0"/>
              <w:rPr>
                <w:sz w:val="20"/>
                <w:szCs w:val="20"/>
                <w:color w:val="auto"/>
              </w:rPr>
            </w:pPr>
            <w:r>
              <w:rPr>
                <w:rFonts w:ascii="Arial" w:cs="Arial" w:eastAsia="Arial" w:hAnsi="Arial"/>
                <w:sz w:val="18"/>
                <w:szCs w:val="18"/>
                <w:color w:val="auto"/>
              </w:rPr>
              <w:t>Church, church-related:</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60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316,073</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r>
      <w:tr>
        <w:trPr>
          <w:trHeight w:val="235"/>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25,948</w:t>
            </w:r>
          </w:p>
        </w:tc>
        <w:tc>
          <w:tcPr>
            <w:tcW w:w="34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25,948</w:t>
            </w:r>
          </w:p>
        </w:tc>
      </w:tr>
      <w:tr>
        <w:trPr>
          <w:trHeight w:val="251"/>
        </w:trPr>
        <w:tc>
          <w:tcPr>
            <w:tcW w:w="46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5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3,374</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r>
      <w:tr>
        <w:trPr>
          <w:trHeight w:val="237"/>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w:t>
            </w: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46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686,231</w:t>
            </w:r>
          </w:p>
        </w:tc>
        <w:tc>
          <w:tcPr>
            <w:tcW w:w="34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by loan categories at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center"/>
              <w:ind w:left="472"/>
              <w:spacing w:after="0"/>
              <w:rPr>
                <w:sz w:val="20"/>
                <w:szCs w:val="20"/>
                <w:color w:val="auto"/>
              </w:rPr>
            </w:pPr>
            <w:r>
              <w:rPr>
                <w:rFonts w:ascii="Arial" w:cs="Arial" w:eastAsia="Arial" w:hAnsi="Arial"/>
                <w:sz w:val="18"/>
                <w:szCs w:val="18"/>
                <w:b w:val="1"/>
                <w:bCs w:val="1"/>
                <w:color w:val="auto"/>
                <w:w w:val="89"/>
              </w:rPr>
              <w:t>Performing</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rPr>
              <w:t>Nonperforming</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37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gridSpan w:val="2"/>
          </w:tcPr>
          <w:p>
            <w:pPr>
              <w:jc w:val="center"/>
              <w:ind w:right="52"/>
              <w:spacing w:after="0"/>
              <w:rPr>
                <w:sz w:val="20"/>
                <w:szCs w:val="20"/>
                <w:color w:val="auto"/>
              </w:rPr>
            </w:pPr>
            <w:r>
              <w:rPr>
                <w:rFonts w:ascii="Arial" w:cs="Arial" w:eastAsia="Arial" w:hAnsi="Arial"/>
                <w:sz w:val="18"/>
                <w:szCs w:val="18"/>
                <w:b w:val="1"/>
                <w:bCs w:val="1"/>
                <w:color w:val="auto"/>
                <w:w w:val="88"/>
              </w:rPr>
              <w:t>90 Days</w:t>
            </w: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37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b w:val="1"/>
                <w:bCs w:val="1"/>
                <w:color w:val="auto"/>
              </w:rPr>
              <w:t>30-59</w:t>
            </w: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5"/>
              </w:rPr>
              <w:t>60-89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21"/>
                <w:szCs w:val="2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52"/>
        </w:trPr>
        <w:tc>
          <w:tcPr>
            <w:tcW w:w="3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w w:val="98"/>
              </w:rPr>
              <w:t>Current</w:t>
            </w: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Days</w:t>
            </w: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Days</w:t>
            </w:r>
          </w:p>
        </w:tc>
        <w:tc>
          <w:tcPr>
            <w:tcW w:w="100" w:type="dxa"/>
            <w:vAlign w:val="bottom"/>
          </w:tcPr>
          <w:p>
            <w:pPr>
              <w:spacing w:after="0"/>
              <w:rPr>
                <w:sz w:val="21"/>
                <w:szCs w:val="21"/>
                <w:color w:val="auto"/>
              </w:rPr>
            </w:pPr>
          </w:p>
        </w:tc>
        <w:tc>
          <w:tcPr>
            <w:tcW w:w="680" w:type="dxa"/>
            <w:vAlign w:val="bottom"/>
          </w:tcPr>
          <w:p>
            <w:pPr>
              <w:jc w:val="center"/>
              <w:ind w:right="132"/>
              <w:spacing w:after="0"/>
              <w:rPr>
                <w:sz w:val="20"/>
                <w:szCs w:val="20"/>
                <w:color w:val="auto"/>
              </w:rPr>
            </w:pPr>
            <w:r>
              <w:rPr>
                <w:rFonts w:ascii="Arial" w:cs="Arial" w:eastAsia="Arial" w:hAnsi="Arial"/>
                <w:sz w:val="18"/>
                <w:szCs w:val="18"/>
                <w:b w:val="1"/>
                <w:bCs w:val="1"/>
                <w:color w:val="auto"/>
                <w:w w:val="92"/>
              </w:rPr>
              <w:t>Over</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accrual</w:t>
            </w: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Loans</w:t>
            </w:r>
          </w:p>
        </w:tc>
      </w:tr>
      <w:tr>
        <w:trPr>
          <w:trHeight w:val="243"/>
        </w:trPr>
        <w:tc>
          <w:tcPr>
            <w:tcW w:w="37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60" w:type="dxa"/>
            <w:vAlign w:val="bottom"/>
            <w:tcBorders>
              <w:top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214,767</w:t>
            </w:r>
          </w:p>
        </w:tc>
        <w:tc>
          <w:tcPr>
            <w:tcW w:w="34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214,767</w:t>
            </w:r>
          </w:p>
        </w:tc>
        <w:tc>
          <w:tcPr>
            <w:tcW w:w="20" w:type="dxa"/>
            <w:vAlign w:val="bottom"/>
          </w:tcPr>
          <w:p>
            <w:pPr>
              <w:spacing w:after="0"/>
              <w:rPr>
                <w:sz w:val="21"/>
                <w:szCs w:val="21"/>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Real estate</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104,534</w:t>
            </w:r>
          </w:p>
        </w:tc>
        <w:tc>
          <w:tcPr>
            <w:tcW w:w="34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104,779</w:t>
            </w:r>
          </w:p>
        </w:tc>
      </w:tr>
      <w:tr>
        <w:trPr>
          <w:trHeight w:val="251"/>
        </w:trPr>
        <w:tc>
          <w:tcPr>
            <w:tcW w:w="37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6,325</w:t>
            </w:r>
          </w:p>
        </w:tc>
        <w:tc>
          <w:tcPr>
            <w:tcW w:w="340" w:type="dxa"/>
            <w:vAlign w:val="bottom"/>
            <w:shd w:val="clear" w:color="auto" w:fill="C0C0C0"/>
          </w:tcPr>
          <w:p>
            <w:pPr>
              <w:spacing w:after="0"/>
              <w:rPr>
                <w:sz w:val="21"/>
                <w:szCs w:val="21"/>
                <w:color w:val="auto"/>
              </w:rPr>
            </w:pPr>
          </w:p>
        </w:tc>
        <w:tc>
          <w:tcPr>
            <w:tcW w:w="4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58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r>
      <w:tr>
        <w:trPr>
          <w:trHeight w:val="235"/>
        </w:trPr>
        <w:tc>
          <w:tcPr>
            <w:tcW w:w="378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321,168</w:t>
            </w:r>
          </w:p>
        </w:tc>
        <w:tc>
          <w:tcPr>
            <w:tcW w:w="340" w:type="dxa"/>
            <w:vAlign w:val="bottom"/>
            <w:shd w:val="clear" w:color="auto" w:fill="C0C0C0"/>
          </w:tcPr>
          <w:p>
            <w:pPr>
              <w:spacing w:after="0"/>
              <w:rPr>
                <w:sz w:val="21"/>
                <w:szCs w:val="21"/>
                <w:color w:val="auto"/>
              </w:rPr>
            </w:pPr>
          </w:p>
        </w:tc>
        <w:tc>
          <w:tcPr>
            <w:tcW w:w="4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58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321,168</w:t>
            </w:r>
          </w:p>
        </w:tc>
        <w:tc>
          <w:tcPr>
            <w:tcW w:w="20" w:type="dxa"/>
            <w:vAlign w:val="bottom"/>
          </w:tcPr>
          <w:p>
            <w:pPr>
              <w:spacing w:after="0"/>
              <w:rPr>
                <w:sz w:val="21"/>
                <w:szCs w:val="21"/>
                <w:color w:val="auto"/>
              </w:rPr>
            </w:pPr>
          </w:p>
        </w:tc>
      </w:tr>
      <w:tr>
        <w:trPr>
          <w:trHeight w:val="235"/>
        </w:trPr>
        <w:tc>
          <w:tcPr>
            <w:tcW w:w="37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11,152</w:t>
            </w:r>
          </w:p>
        </w:tc>
        <w:tc>
          <w:tcPr>
            <w:tcW w:w="34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11,152</w:t>
            </w:r>
          </w:p>
        </w:tc>
      </w:tr>
      <w:tr>
        <w:trPr>
          <w:trHeight w:val="251"/>
        </w:trPr>
        <w:tc>
          <w:tcPr>
            <w:tcW w:w="378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6,639</w:t>
            </w:r>
          </w:p>
        </w:tc>
        <w:tc>
          <w:tcPr>
            <w:tcW w:w="340" w:type="dxa"/>
            <w:vAlign w:val="bottom"/>
            <w:shd w:val="clear" w:color="auto" w:fill="C0C0C0"/>
          </w:tcPr>
          <w:p>
            <w:pPr>
              <w:spacing w:after="0"/>
              <w:rPr>
                <w:sz w:val="21"/>
                <w:szCs w:val="21"/>
                <w:color w:val="auto"/>
              </w:rPr>
            </w:pPr>
          </w:p>
        </w:tc>
        <w:tc>
          <w:tcPr>
            <w:tcW w:w="4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58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w:t>
            </w:r>
          </w:p>
        </w:tc>
        <w:tc>
          <w:tcPr>
            <w:tcW w:w="20" w:type="dxa"/>
            <w:vAlign w:val="bottom"/>
          </w:tcPr>
          <w:p>
            <w:pPr>
              <w:spacing w:after="0"/>
              <w:rPr>
                <w:sz w:val="21"/>
                <w:szCs w:val="2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37"/>
        </w:trPr>
        <w:tc>
          <w:tcPr>
            <w:tcW w:w="378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664,609</w:t>
            </w:r>
          </w:p>
        </w:tc>
        <w:tc>
          <w:tcPr>
            <w:tcW w:w="340" w:type="dxa"/>
            <w:vAlign w:val="bottom"/>
            <w:tcBorders>
              <w:top w:val="single" w:sz="8" w:color="auto"/>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245</w:t>
            </w:r>
          </w:p>
        </w:tc>
        <w:tc>
          <w:tcPr>
            <w:tcW w:w="2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664,866</w:t>
            </w:r>
          </w:p>
        </w:tc>
        <w:tc>
          <w:tcPr>
            <w:tcW w:w="20" w:type="dxa"/>
            <w:vAlign w:val="bottom"/>
          </w:tcPr>
          <w:p>
            <w:pPr>
              <w:spacing w:after="0"/>
              <w:rPr>
                <w:sz w:val="20"/>
                <w:szCs w:val="20"/>
                <w:color w:val="auto"/>
              </w:rPr>
            </w:pPr>
          </w:p>
        </w:tc>
      </w:tr>
      <w:tr>
        <w:trPr>
          <w:trHeight w:val="430"/>
        </w:trPr>
        <w:tc>
          <w:tcPr>
            <w:tcW w:w="3780" w:type="dxa"/>
            <w:vAlign w:val="bottom"/>
          </w:tcPr>
          <w:p>
            <w:pPr>
              <w:spacing w:after="0"/>
              <w:rPr>
                <w:sz w:val="24"/>
                <w:szCs w:val="24"/>
                <w:color w:val="auto"/>
              </w:rPr>
            </w:pPr>
          </w:p>
        </w:tc>
        <w:tc>
          <w:tcPr>
            <w:tcW w:w="21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51"/>
        </w:trPr>
        <w:tc>
          <w:tcPr>
            <w:tcW w:w="9240" w:type="dxa"/>
            <w:vAlign w:val="bottom"/>
            <w:gridSpan w:val="7"/>
          </w:tcPr>
          <w:p>
            <w:pPr>
              <w:spacing w:after="0"/>
              <w:rPr>
                <w:sz w:val="20"/>
                <w:szCs w:val="20"/>
                <w:color w:val="auto"/>
              </w:rPr>
            </w:pPr>
            <w:r>
              <w:rPr>
                <w:rFonts w:ascii="Arial" w:cs="Arial" w:eastAsia="Arial" w:hAnsi="Arial"/>
                <w:sz w:val="18"/>
                <w:szCs w:val="18"/>
                <w:color w:val="auto"/>
                <w:w w:val="89"/>
              </w:rPr>
              <w:t>The following table presents the credit exposure of the loan portfolio by internally assigned credit grade as of December 31, 2017:</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6"/>
        </w:trPr>
        <w:tc>
          <w:tcPr>
            <w:tcW w:w="1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b w:val="1"/>
                <w:bCs w:val="1"/>
                <w:color w:val="auto"/>
                <w:w w:val="82"/>
              </w:rPr>
              <w:t>Loans</w:t>
            </w:r>
          </w:p>
        </w:tc>
        <w:tc>
          <w:tcPr>
            <w:tcW w:w="240" w:type="dxa"/>
            <w:vAlign w:val="bottom"/>
          </w:tcPr>
          <w:p>
            <w:pPr>
              <w:spacing w:after="0"/>
              <w:rPr>
                <w:sz w:val="24"/>
                <w:szCs w:val="24"/>
                <w:color w:val="auto"/>
              </w:rPr>
            </w:pPr>
          </w:p>
        </w:tc>
        <w:tc>
          <w:tcPr>
            <w:tcW w:w="130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Performing</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Nonperforming</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Subject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 to</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Loans Subject</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Normal</w:t>
            </w:r>
          </w:p>
        </w:tc>
        <w:tc>
          <w:tcPr>
            <w:tcW w:w="240" w:type="dxa"/>
            <w:vAlign w:val="bottom"/>
          </w:tcPr>
          <w:p>
            <w:pPr>
              <w:spacing w:after="0"/>
              <w:rPr>
                <w:sz w:val="21"/>
                <w:szCs w:val="21"/>
                <w:color w:val="auto"/>
              </w:rPr>
            </w:pPr>
          </w:p>
        </w:tc>
        <w:tc>
          <w:tcPr>
            <w:tcW w:w="130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Special</w:t>
            </w:r>
          </w:p>
        </w:tc>
        <w:tc>
          <w:tcPr>
            <w:tcW w:w="280" w:type="dxa"/>
            <w:vAlign w:val="bottom"/>
          </w:tcPr>
          <w:p>
            <w:pPr>
              <w:spacing w:after="0"/>
              <w:rPr>
                <w:sz w:val="21"/>
                <w:szCs w:val="21"/>
                <w:color w:val="auto"/>
              </w:rPr>
            </w:pPr>
          </w:p>
        </w:tc>
        <w:tc>
          <w:tcPr>
            <w:tcW w:w="116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to Special</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26"/>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3360" w:type="dxa"/>
            <w:vAlign w:val="bottom"/>
            <w:tcBorders>
              <w:bottom w:val="single" w:sz="8" w:color="auto"/>
            </w:tcBorders>
            <w:gridSpan w:val="2"/>
          </w:tcPr>
          <w:p>
            <w:pPr>
              <w:jc w:val="center"/>
              <w:ind w:left="1912"/>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(1)</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7"/>
              </w:rPr>
              <w:t>Monitoring</w:t>
            </w:r>
            <w:r>
              <w:rPr>
                <w:rFonts w:ascii="Arial" w:cs="Arial" w:eastAsia="Arial" w:hAnsi="Arial"/>
                <w:sz w:val="29"/>
                <w:szCs w:val="29"/>
                <w:b w:val="1"/>
                <w:bCs w:val="1"/>
                <w:color w:val="auto"/>
                <w:w w:val="87"/>
                <w:vertAlign w:val="superscript"/>
              </w:rPr>
              <w:t>(2)</w:t>
            </w:r>
          </w:p>
        </w:tc>
        <w:tc>
          <w:tcPr>
            <w:tcW w:w="1440" w:type="dxa"/>
            <w:vAlign w:val="bottom"/>
            <w:tcBorders>
              <w:bottom w:val="single" w:sz="8" w:color="auto"/>
            </w:tcBorders>
            <w:gridSpan w:val="2"/>
          </w:tcPr>
          <w:p>
            <w:pPr>
              <w:jc w:val="center"/>
              <w:spacing w:after="0" w:line="326" w:lineRule="exact"/>
              <w:rPr>
                <w:sz w:val="20"/>
                <w:szCs w:val="20"/>
                <w:color w:val="auto"/>
              </w:rPr>
            </w:pPr>
            <w:r>
              <w:rPr>
                <w:rFonts w:ascii="Arial" w:cs="Arial" w:eastAsia="Arial" w:hAnsi="Arial"/>
                <w:sz w:val="18"/>
                <w:szCs w:val="18"/>
                <w:b w:val="1"/>
                <w:bCs w:val="1"/>
                <w:color w:val="auto"/>
                <w:w w:val="89"/>
              </w:rPr>
              <w:t>Monitoring</w:t>
            </w:r>
            <w:r>
              <w:rPr>
                <w:rFonts w:ascii="Arial" w:cs="Arial" w:eastAsia="Arial" w:hAnsi="Arial"/>
                <w:sz w:val="29"/>
                <w:szCs w:val="29"/>
                <w:b w:val="1"/>
                <w:bCs w:val="1"/>
                <w:color w:val="auto"/>
                <w:w w:val="89"/>
                <w:vertAlign w:val="superscript"/>
              </w:rPr>
              <w:t>(2)</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5"/>
              </w:rPr>
              <w:t>Total Loans</w:t>
            </w:r>
          </w:p>
        </w:tc>
      </w:tr>
      <w:tr>
        <w:trPr>
          <w:trHeight w:val="237"/>
        </w:trPr>
        <w:tc>
          <w:tcPr>
            <w:tcW w:w="40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234,271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2,123</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r>
      <w:tr>
        <w:trPr>
          <w:trHeight w:val="235"/>
        </w:trPr>
        <w:tc>
          <w:tcPr>
            <w:tcW w:w="4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0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26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06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93,788</w:t>
            </w:r>
          </w:p>
        </w:tc>
        <w:tc>
          <w:tcPr>
            <w:tcW w:w="24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20"/>
                <w:szCs w:val="20"/>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94,675</w:t>
            </w:r>
          </w:p>
        </w:tc>
      </w:tr>
      <w:tr>
        <w:trPr>
          <w:trHeight w:val="251"/>
        </w:trPr>
        <w:tc>
          <w:tcPr>
            <w:tcW w:w="406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9,359</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160" w:type="dxa"/>
            <w:vAlign w:val="bottom"/>
            <w:shd w:val="clear" w:color="auto" w:fill="C0C0C0"/>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r>
      <w:tr>
        <w:trPr>
          <w:trHeight w:val="235"/>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Church, church-related:</w:t>
            </w:r>
          </w:p>
        </w:tc>
        <w:tc>
          <w:tcPr>
            <w:tcW w:w="2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06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316,042</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0C0C0"/>
          </w:tcPr>
          <w:p>
            <w:pPr>
              <w:spacing w:after="0"/>
              <w:rPr>
                <w:sz w:val="21"/>
                <w:szCs w:val="21"/>
                <w:color w:val="auto"/>
              </w:rPr>
            </w:pPr>
          </w:p>
        </w:tc>
        <w:tc>
          <w:tcPr>
            <w:tcW w:w="1160" w:type="dxa"/>
            <w:vAlign w:val="bottom"/>
            <w:shd w:val="clear" w:color="auto" w:fill="C0C0C0"/>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r>
      <w:tr>
        <w:trPr>
          <w:trHeight w:val="235"/>
        </w:trPr>
        <w:tc>
          <w:tcPr>
            <w:tcW w:w="406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25,948</w:t>
            </w:r>
          </w:p>
        </w:tc>
        <w:tc>
          <w:tcPr>
            <w:tcW w:w="24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25,948</w:t>
            </w:r>
          </w:p>
        </w:tc>
      </w:tr>
      <w:tr>
        <w:trPr>
          <w:trHeight w:val="251"/>
        </w:trPr>
        <w:tc>
          <w:tcPr>
            <w:tcW w:w="40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26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3,374</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160" w:type="dxa"/>
            <w:vAlign w:val="bottom"/>
            <w:shd w:val="clear" w:color="auto" w:fill="C0C0C0"/>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r>
      <w:tr>
        <w:trPr>
          <w:trHeight w:val="237"/>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406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683,190</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3,041</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0C0C0"/>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r>
    </w:tbl>
    <w:p>
      <w:pPr>
        <w:spacing w:after="0" w:line="18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subject to normal monitoring involve borrowers of acceptable-to-strong credit quality and risk, who have the apparent ability to satisfy their loan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obligation.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Loans subject to special monitoring possess some credit deficiency or potential weakness which requires a high level of management attention.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credit exposure of the loan portfolio by internally assigned credit grade as of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2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Loans</w:t>
            </w:r>
          </w:p>
        </w:tc>
        <w:tc>
          <w:tcPr>
            <w:tcW w:w="240" w:type="dxa"/>
            <w:vAlign w:val="bottom"/>
          </w:tcPr>
          <w:p>
            <w:pPr>
              <w:spacing w:after="0"/>
              <w:rPr>
                <w:sz w:val="19"/>
                <w:szCs w:val="19"/>
                <w:color w:val="auto"/>
              </w:rPr>
            </w:pPr>
          </w:p>
        </w:tc>
        <w:tc>
          <w:tcPr>
            <w:tcW w:w="130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Performing</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Nonperforming</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39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32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Subject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 to</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9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32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Normal</w:t>
            </w:r>
          </w:p>
        </w:tc>
        <w:tc>
          <w:tcPr>
            <w:tcW w:w="240" w:type="dxa"/>
            <w:vAlign w:val="bottom"/>
          </w:tcPr>
          <w:p>
            <w:pPr>
              <w:spacing w:after="0"/>
              <w:rPr>
                <w:sz w:val="21"/>
                <w:szCs w:val="21"/>
                <w:color w:val="auto"/>
              </w:rPr>
            </w:pPr>
          </w:p>
        </w:tc>
        <w:tc>
          <w:tcPr>
            <w:tcW w:w="130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30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Special</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32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87"/>
              </w:rPr>
              <w:t>Monitoring</w:t>
            </w:r>
            <w:r>
              <w:rPr>
                <w:rFonts w:ascii="Arial" w:cs="Arial" w:eastAsia="Arial" w:hAnsi="Arial"/>
                <w:sz w:val="29"/>
                <w:szCs w:val="29"/>
                <w:b w:val="1"/>
                <w:bCs w:val="1"/>
                <w:color w:val="auto"/>
                <w:w w:val="87"/>
                <w:vertAlign w:val="superscript"/>
              </w:rPr>
              <w:t>(1)</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7"/>
              </w:rPr>
              <w:t>Monitoring</w:t>
            </w:r>
            <w:r>
              <w:rPr>
                <w:rFonts w:ascii="Arial" w:cs="Arial" w:eastAsia="Arial" w:hAnsi="Arial"/>
                <w:sz w:val="29"/>
                <w:szCs w:val="29"/>
                <w:b w:val="1"/>
                <w:bCs w:val="1"/>
                <w:color w:val="auto"/>
                <w:w w:val="87"/>
                <w:vertAlign w:val="superscript"/>
              </w:rPr>
              <w:t>(2)</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7"/>
              </w:rPr>
              <w:t>Monitoring</w:t>
            </w:r>
            <w:r>
              <w:rPr>
                <w:rFonts w:ascii="Arial" w:cs="Arial" w:eastAsia="Arial" w:hAnsi="Arial"/>
                <w:sz w:val="29"/>
                <w:szCs w:val="29"/>
                <w:b w:val="1"/>
                <w:bCs w:val="1"/>
                <w:color w:val="auto"/>
                <w:w w:val="87"/>
                <w:vertAlign w:val="superscript"/>
              </w:rPr>
              <w:t>(2)</w:t>
            </w: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7"/>
              </w:rPr>
              <w:t>Total Loans</w:t>
            </w:r>
          </w:p>
        </w:tc>
      </w:tr>
      <w:tr>
        <w:trPr>
          <w:trHeight w:val="237"/>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213,024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1,743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214,767</w:t>
            </w:r>
          </w:p>
        </w:tc>
      </w:tr>
      <w:tr>
        <w:trPr>
          <w:trHeight w:val="235"/>
        </w:trPr>
        <w:tc>
          <w:tcPr>
            <w:tcW w:w="3900" w:type="dxa"/>
            <w:vAlign w:val="bottom"/>
          </w:tcPr>
          <w:p>
            <w:pPr>
              <w:spacing w:after="0"/>
              <w:rPr>
                <w:sz w:val="20"/>
                <w:szCs w:val="20"/>
                <w:color w:val="auto"/>
              </w:rPr>
            </w:pPr>
            <w:r>
              <w:rPr>
                <w:rFonts w:ascii="Arial" w:cs="Arial" w:eastAsia="Arial" w:hAnsi="Arial"/>
                <w:sz w:val="18"/>
                <w:szCs w:val="18"/>
                <w:color w:val="auto"/>
              </w:rPr>
              <w:t>Real estate</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3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080" w:type="dxa"/>
            <w:vAlign w:val="bottom"/>
            <w:shd w:val="clear" w:color="auto" w:fill="C0C0C0"/>
          </w:tcPr>
          <w:p>
            <w:pPr>
              <w:spacing w:after="0"/>
              <w:rPr>
                <w:sz w:val="21"/>
                <w:szCs w:val="21"/>
                <w:color w:val="auto"/>
              </w:rPr>
            </w:pPr>
          </w:p>
        </w:tc>
        <w:tc>
          <w:tcPr>
            <w:tcW w:w="1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390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08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103,778</w:t>
            </w:r>
          </w:p>
        </w:tc>
        <w:tc>
          <w:tcPr>
            <w:tcW w:w="24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104,779</w:t>
            </w:r>
          </w:p>
        </w:tc>
      </w:tr>
      <w:tr>
        <w:trPr>
          <w:trHeight w:val="251"/>
        </w:trPr>
        <w:tc>
          <w:tcPr>
            <w:tcW w:w="39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080" w:type="dxa"/>
            <w:vAlign w:val="bottom"/>
            <w:shd w:val="clear" w:color="auto" w:fill="C0C0C0"/>
          </w:tcPr>
          <w:p>
            <w:pPr>
              <w:spacing w:after="0"/>
              <w:rPr>
                <w:sz w:val="21"/>
                <w:szCs w:val="21"/>
                <w:color w:val="auto"/>
              </w:rPr>
            </w:pPr>
          </w:p>
        </w:tc>
        <w:tc>
          <w:tcPr>
            <w:tcW w:w="13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6,325</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6,325</w:t>
            </w:r>
          </w:p>
        </w:tc>
      </w:tr>
      <w:tr>
        <w:trPr>
          <w:trHeight w:val="235"/>
        </w:trPr>
        <w:tc>
          <w:tcPr>
            <w:tcW w:w="390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39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080" w:type="dxa"/>
            <w:vAlign w:val="bottom"/>
            <w:shd w:val="clear" w:color="auto" w:fill="C0C0C0"/>
          </w:tcPr>
          <w:p>
            <w:pPr>
              <w:spacing w:after="0"/>
              <w:rPr>
                <w:sz w:val="21"/>
                <w:szCs w:val="21"/>
                <w:color w:val="auto"/>
              </w:rPr>
            </w:pPr>
          </w:p>
        </w:tc>
        <w:tc>
          <w:tcPr>
            <w:tcW w:w="13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318,030</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3,138</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321,168</w:t>
            </w:r>
          </w:p>
        </w:tc>
      </w:tr>
      <w:tr>
        <w:trPr>
          <w:trHeight w:val="235"/>
        </w:trPr>
        <w:tc>
          <w:tcPr>
            <w:tcW w:w="390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08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11,152</w:t>
            </w:r>
          </w:p>
        </w:tc>
        <w:tc>
          <w:tcPr>
            <w:tcW w:w="24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11,152</w:t>
            </w:r>
          </w:p>
        </w:tc>
      </w:tr>
      <w:tr>
        <w:trPr>
          <w:trHeight w:val="251"/>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080" w:type="dxa"/>
            <w:vAlign w:val="bottom"/>
            <w:shd w:val="clear" w:color="auto" w:fill="C0C0C0"/>
          </w:tcPr>
          <w:p>
            <w:pPr>
              <w:spacing w:after="0"/>
              <w:rPr>
                <w:sz w:val="21"/>
                <w:szCs w:val="21"/>
                <w:color w:val="auto"/>
              </w:rPr>
            </w:pPr>
          </w:p>
        </w:tc>
        <w:tc>
          <w:tcPr>
            <w:tcW w:w="13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6,639</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3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658,984</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5,637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664,866</w:t>
            </w:r>
          </w:p>
        </w:tc>
      </w:tr>
    </w:tbl>
    <w:p>
      <w:pPr>
        <w:spacing w:after="0" w:line="262" w:lineRule="exact"/>
        <w:rPr>
          <w:sz w:val="20"/>
          <w:szCs w:val="20"/>
          <w:color w:val="auto"/>
        </w:rPr>
      </w:pPr>
    </w:p>
    <w:p>
      <w:pPr>
        <w:ind w:left="220" w:right="540" w:hanging="212"/>
        <w:spacing w:after="0" w:line="217" w:lineRule="auto"/>
        <w:tabs>
          <w:tab w:leader="none" w:pos="220" w:val="left"/>
        </w:tabs>
        <w:numPr>
          <w:ilvl w:val="0"/>
          <w:numId w:val="16"/>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subject to normal monitoring involve borrowers of acceptable-to-strong credit quality and risk, who have the apparent ability to satisfy their loan obligation.</w:t>
      </w:r>
    </w:p>
    <w:p>
      <w:pPr>
        <w:spacing w:after="0" w:line="1" w:lineRule="exact"/>
        <w:rPr>
          <w:rFonts w:ascii="Arial" w:cs="Arial" w:eastAsia="Arial" w:hAnsi="Arial"/>
          <w:sz w:val="26"/>
          <w:szCs w:val="26"/>
          <w:b w:val="1"/>
          <w:bCs w:val="1"/>
          <w:color w:val="auto"/>
          <w:vertAlign w:val="superscript"/>
        </w:rPr>
      </w:pPr>
    </w:p>
    <w:p>
      <w:pPr>
        <w:ind w:left="220" w:hanging="212"/>
        <w:spacing w:after="0" w:line="195" w:lineRule="auto"/>
        <w:tabs>
          <w:tab w:leader="none" w:pos="220" w:val="left"/>
        </w:tabs>
        <w:numPr>
          <w:ilvl w:val="0"/>
          <w:numId w:val="16"/>
        </w:numPr>
        <w:rPr>
          <w:rFonts w:ascii="Arial" w:cs="Arial" w:eastAsia="Arial" w:hAnsi="Arial"/>
          <w:sz w:val="26"/>
          <w:szCs w:val="26"/>
          <w:b w:val="1"/>
          <w:bCs w:val="1"/>
          <w:color w:val="auto"/>
          <w:vertAlign w:val="superscript"/>
        </w:rPr>
      </w:pPr>
      <w:r>
        <w:rPr>
          <w:rFonts w:ascii="Arial" w:cs="Arial" w:eastAsia="Arial" w:hAnsi="Arial"/>
          <w:sz w:val="16"/>
          <w:szCs w:val="16"/>
          <w:color w:val="auto"/>
        </w:rPr>
        <w:t>Loans subject to special monitoring possess some credit deficiency or potential weakness which requires a high level of management attention.</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There was no ALLL related to impaired loans at both December 31, 2017 and 2016. Nonaccrual loans were $0 and $245,000 at December 31, 2017 and 2016, respectively. There were no loans delinquent 90 days or more and still accruing interest at both December 31, 2017 and 2016. At December 31, 2017 and 2016, there were no loans classified as troubled debt restructuring. The average balances of impaired loans during 2017, 2016 and 2015 were $166,000, $333,000, and $3,188,000, respectively. Income that would have been recognized on non-accrual loans under the original terms of the contract was $24,000, $66,000 and $390,000 for 2017, 2016 and 2015, respectively. Income that was recognized on nonaccrual loans was $17,000, $47,000 and $34,000 for 2017, 2016 and 2015 respectively. There were no foreclosed assets as of December 31, 2017 or December 31, 2016.</w:t>
      </w:r>
    </w:p>
    <w:p>
      <w:pPr>
        <w:sectPr>
          <w:pgSz w:w="11900" w:h="16838" w:orient="portrait"/>
          <w:cols w:equalWidth="0" w:num="1">
            <w:col w:w="11420"/>
          </w:cols>
          <w:pgMar w:left="240" w:top="10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recorded investment or unpaid principal balance for impaired loans at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recorded investment and unpaid principal balance for impaired loans at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Related</w:t>
            </w:r>
          </w:p>
        </w:tc>
      </w:tr>
      <w:tr>
        <w:trPr>
          <w:trHeight w:val="243"/>
        </w:trPr>
        <w:tc>
          <w:tcPr>
            <w:tcW w:w="53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Unpaid</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Allowance</w:t>
            </w:r>
          </w:p>
        </w:tc>
      </w:tr>
      <w:tr>
        <w:trPr>
          <w:trHeight w:val="243"/>
        </w:trPr>
        <w:tc>
          <w:tcPr>
            <w:tcW w:w="5300" w:type="dxa"/>
            <w:vAlign w:val="bottom"/>
          </w:tcPr>
          <w:p>
            <w:pPr>
              <w:spacing w:after="0"/>
              <w:rPr>
                <w:sz w:val="21"/>
                <w:szCs w:val="21"/>
                <w:color w:val="auto"/>
              </w:rPr>
            </w:pPr>
          </w:p>
        </w:tc>
        <w:tc>
          <w:tcPr>
            <w:tcW w:w="42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Recorded</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1"/>
              </w:rPr>
              <w:t>for Loan</w:t>
            </w:r>
          </w:p>
        </w:tc>
      </w:tr>
      <w:tr>
        <w:trPr>
          <w:trHeight w:val="252"/>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220" w:type="dxa"/>
            <w:vAlign w:val="bottom"/>
            <w:tcBorders>
              <w:bottom w:val="single" w:sz="8" w:color="auto"/>
            </w:tcBorders>
            <w:gridSpan w:val="2"/>
          </w:tcPr>
          <w:p>
            <w:pPr>
              <w:ind w:left="3260"/>
              <w:spacing w:after="0"/>
              <w:rPr>
                <w:sz w:val="20"/>
                <w:szCs w:val="20"/>
                <w:color w:val="auto"/>
              </w:rPr>
            </w:pPr>
            <w:r>
              <w:rPr>
                <w:rFonts w:ascii="Arial" w:cs="Arial" w:eastAsia="Arial" w:hAnsi="Arial"/>
                <w:sz w:val="18"/>
                <w:szCs w:val="18"/>
                <w:b w:val="1"/>
                <w:bCs w:val="1"/>
                <w:color w:val="auto"/>
                <w:w w:val="98"/>
              </w:rPr>
              <w:t>Investment</w:t>
            </w: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Balance</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0"/>
              </w:rPr>
              <w:t>Losses</w:t>
            </w:r>
          </w:p>
        </w:tc>
      </w:tr>
      <w:tr>
        <w:trPr>
          <w:trHeight w:val="243"/>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35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5300" w:type="dxa"/>
            <w:vAlign w:val="bottom"/>
          </w:tcPr>
          <w:p>
            <w:pPr>
              <w:ind w:left="540"/>
              <w:spacing w:after="0"/>
              <w:rPr>
                <w:sz w:val="20"/>
                <w:szCs w:val="20"/>
                <w:color w:val="auto"/>
              </w:rPr>
            </w:pPr>
            <w:r>
              <w:rPr>
                <w:rFonts w:ascii="Arial" w:cs="Arial" w:eastAsia="Arial" w:hAnsi="Arial"/>
                <w:sz w:val="18"/>
                <w:szCs w:val="18"/>
                <w:color w:val="auto"/>
              </w:rPr>
              <w:t>Nonaccrual</w:t>
            </w:r>
          </w:p>
        </w:tc>
        <w:tc>
          <w:tcPr>
            <w:tcW w:w="3580" w:type="dxa"/>
            <w:vAlign w:val="bottom"/>
          </w:tcPr>
          <w:p>
            <w:pPr>
              <w:ind w:left="3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35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5300" w:type="dxa"/>
            <w:vAlign w:val="bottom"/>
          </w:tcPr>
          <w:p>
            <w:pPr>
              <w:ind w:left="280"/>
              <w:spacing w:after="0"/>
              <w:rPr>
                <w:sz w:val="20"/>
                <w:szCs w:val="20"/>
                <w:color w:val="auto"/>
              </w:rPr>
            </w:pPr>
            <w:r>
              <w:rPr>
                <w:rFonts w:ascii="Arial" w:cs="Arial" w:eastAsia="Arial" w:hAnsi="Arial"/>
                <w:sz w:val="18"/>
                <w:szCs w:val="18"/>
                <w:color w:val="auto"/>
              </w:rPr>
              <w:t>Commercial – Mortgage:</w:t>
            </w:r>
          </w:p>
        </w:tc>
        <w:tc>
          <w:tcPr>
            <w:tcW w:w="3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53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358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300" w:type="dxa"/>
            <w:vAlign w:val="bottom"/>
          </w:tcPr>
          <w:p>
            <w:pPr>
              <w:ind w:left="280"/>
              <w:spacing w:after="0"/>
              <w:rPr>
                <w:sz w:val="20"/>
                <w:szCs w:val="20"/>
                <w:color w:val="auto"/>
              </w:rPr>
            </w:pPr>
            <w:r>
              <w:rPr>
                <w:rFonts w:ascii="Arial" w:cs="Arial" w:eastAsia="Arial" w:hAnsi="Arial"/>
                <w:sz w:val="18"/>
                <w:szCs w:val="18"/>
                <w:color w:val="auto"/>
              </w:rPr>
              <w:t>Church – Mortgage:</w:t>
            </w:r>
          </w:p>
        </w:tc>
        <w:tc>
          <w:tcPr>
            <w:tcW w:w="3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530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358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impaired loans</w:t>
            </w:r>
          </w:p>
        </w:tc>
        <w:tc>
          <w:tcPr>
            <w:tcW w:w="358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does not record loans at fair value on a recurring basis. Once a loan is identified as impaired, management measures impairment in accordance with FASB ASC 310. At December 31, 2017, there were no impaired loans. At December 31, 2016, all impaired loans were evaluated based on the fair value of the collateral. The fair value of the collateral is based upon an observable market price or current appraised value and therefore, the Company classifies these assets as nonrecurring Level 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20"/>
                <w:szCs w:val="20"/>
                <w:color w:val="auto"/>
              </w:rPr>
            </w:pPr>
            <w:r>
              <w:rPr>
                <w:rFonts w:ascii="Arial" w:cs="Arial" w:eastAsia="Arial" w:hAnsi="Arial"/>
                <w:sz w:val="18"/>
                <w:szCs w:val="18"/>
                <w:color w:val="auto"/>
                <w:w w:val="93"/>
              </w:rPr>
              <w:t>A summary of the activity in the allowance for loan losses is as follows: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46"/>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December 31,</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Charge-</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December 31,</w:t>
            </w:r>
          </w:p>
        </w:tc>
      </w:tr>
      <w:tr>
        <w:trPr>
          <w:trHeight w:val="252"/>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4"/>
              </w:rPr>
              <w:t>Offs</w:t>
            </w:r>
          </w:p>
        </w:tc>
        <w:tc>
          <w:tcPr>
            <w:tcW w:w="11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7"/>
              </w:rPr>
              <w:t>Recoveries</w:t>
            </w: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Provision</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r>
      <w:tr>
        <w:trPr>
          <w:trHeight w:val="243"/>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3,261</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3,652</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r>
      <w:tr>
        <w:trPr>
          <w:trHeight w:val="235"/>
        </w:trPr>
        <w:tc>
          <w:tcPr>
            <w:tcW w:w="52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300" w:type="dxa"/>
            <w:vAlign w:val="bottom"/>
          </w:tcPr>
          <w:p>
            <w:pPr>
              <w:spacing w:after="0"/>
              <w:rPr>
                <w:sz w:val="20"/>
                <w:szCs w:val="20"/>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51"/>
        </w:trPr>
        <w:tc>
          <w:tcPr>
            <w:tcW w:w="5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30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r>
      <w:tr>
        <w:trPr>
          <w:trHeight w:val="235"/>
        </w:trPr>
        <w:tc>
          <w:tcPr>
            <w:tcW w:w="528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2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30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4,027</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3,962</w:t>
            </w:r>
          </w:p>
        </w:tc>
      </w:tr>
      <w:tr>
        <w:trPr>
          <w:trHeight w:val="235"/>
        </w:trPr>
        <w:tc>
          <w:tcPr>
            <w:tcW w:w="52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300" w:type="dxa"/>
            <w:vAlign w:val="bottom"/>
          </w:tcPr>
          <w:p>
            <w:pPr>
              <w:spacing w:after="0"/>
              <w:rPr>
                <w:sz w:val="20"/>
                <w:szCs w:val="20"/>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51"/>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w:t>
            </w:r>
          </w:p>
        </w:tc>
        <w:tc>
          <w:tcPr>
            <w:tcW w:w="30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0C0C0"/>
          </w:tcPr>
          <w:p>
            <w:pPr>
              <w:spacing w:after="0"/>
              <w:rPr>
                <w:sz w:val="21"/>
                <w:szCs w:val="21"/>
                <w:color w:val="auto"/>
              </w:rPr>
            </w:pP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992</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r>
      <w:tr>
        <w:trPr>
          <w:trHeight w:val="237"/>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10,175</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10,205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were no loans to affiliates of executive officers or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38"/>
        </w:trPr>
        <w:tc>
          <w:tcPr>
            <w:tcW w:w="1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5</w:t>
            </w:r>
          </w:p>
        </w:tc>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Premises and Equipment</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 summary of premises and equipment is as follows:</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2017</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2016</w:t>
            </w:r>
          </w:p>
        </w:tc>
      </w:tr>
      <w:tr>
        <w:trPr>
          <w:trHeight w:val="243"/>
        </w:trPr>
        <w:tc>
          <w:tcPr>
            <w:tcW w:w="55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Land</w:t>
            </w:r>
          </w:p>
        </w:tc>
        <w:tc>
          <w:tcPr>
            <w:tcW w:w="19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873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873</w:t>
            </w:r>
          </w:p>
        </w:tc>
      </w:tr>
      <w:tr>
        <w:trPr>
          <w:trHeight w:val="235"/>
        </w:trPr>
        <w:tc>
          <w:tcPr>
            <w:tcW w:w="55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13,386</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13,087</w:t>
            </w:r>
          </w:p>
        </w:tc>
      </w:tr>
      <w:tr>
        <w:trPr>
          <w:trHeight w:val="251"/>
        </w:trPr>
        <w:tc>
          <w:tcPr>
            <w:tcW w:w="55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2,120</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2,098</w:t>
            </w:r>
          </w:p>
        </w:tc>
      </w:tr>
      <w:tr>
        <w:trPr>
          <w:trHeight w:val="235"/>
        </w:trPr>
        <w:tc>
          <w:tcPr>
            <w:tcW w:w="550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14,801</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13,248</w:t>
            </w:r>
          </w:p>
        </w:tc>
      </w:tr>
      <w:tr>
        <w:trPr>
          <w:trHeight w:val="251"/>
        </w:trPr>
        <w:tc>
          <w:tcPr>
            <w:tcW w:w="55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Purchased software</w:t>
            </w:r>
          </w:p>
        </w:tc>
        <w:tc>
          <w:tcPr>
            <w:tcW w:w="1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4,819</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4,704</w:t>
            </w:r>
          </w:p>
        </w:tc>
      </w:tr>
      <w:tr>
        <w:trPr>
          <w:trHeight w:val="237"/>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Internally developed software</w:t>
            </w:r>
          </w:p>
        </w:tc>
        <w:tc>
          <w:tcPr>
            <w:tcW w:w="1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16,485</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14,377</w:t>
            </w:r>
          </w:p>
        </w:tc>
      </w:tr>
      <w:tr>
        <w:trPr>
          <w:trHeight w:val="243"/>
        </w:trPr>
        <w:tc>
          <w:tcPr>
            <w:tcW w:w="1320" w:type="dxa"/>
            <w:vAlign w:val="bottom"/>
            <w:shd w:val="clear" w:color="auto" w:fill="C0C0C0"/>
          </w:tcPr>
          <w:p>
            <w:pPr>
              <w:spacing w:after="0"/>
              <w:rPr>
                <w:sz w:val="21"/>
                <w:szCs w:val="21"/>
                <w:color w:val="auto"/>
              </w:rPr>
            </w:pPr>
          </w:p>
        </w:tc>
        <w:tc>
          <w:tcPr>
            <w:tcW w:w="4180" w:type="dxa"/>
            <w:vAlign w:val="bottom"/>
            <w:shd w:val="clear" w:color="auto" w:fill="C0C0C0"/>
          </w:tcPr>
          <w:p>
            <w:pPr>
              <w:spacing w:after="0"/>
              <w:rPr>
                <w:sz w:val="21"/>
                <w:szCs w:val="21"/>
                <w:color w:val="auto"/>
              </w:rPr>
            </w:pPr>
          </w:p>
        </w:tc>
        <w:tc>
          <w:tcPr>
            <w:tcW w:w="1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52,484</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48,387</w:t>
            </w:r>
          </w:p>
        </w:tc>
      </w:tr>
      <w:tr>
        <w:trPr>
          <w:trHeight w:val="237"/>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30,898</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27,301</w:t>
            </w:r>
          </w:p>
        </w:tc>
      </w:tr>
      <w:tr>
        <w:trPr>
          <w:trHeight w:val="237"/>
        </w:trPr>
        <w:tc>
          <w:tcPr>
            <w:tcW w:w="550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21,586</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21,086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charged to expense in 2017, 2016 and 2015 amounted to $3,627,000, $3,245,000 and $3,008,000, respectively.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and its subsidiaries lease various premises and equipment under operating lease agreements which expire at various dates through 2023. Rental expense for 2017, 2016 and 2015 was $1,499,000, $1,397,000 and $1,387,000, respectively. The following is a schedule, by year, of future minimum rental payments required under operating leases that have initial or remaining non-cancelable lease terms in excess of one year as of December 31,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43"/>
        </w:trPr>
        <w:tc>
          <w:tcPr>
            <w:tcW w:w="3580" w:type="dxa"/>
            <w:vAlign w:val="bottom"/>
            <w:shd w:val="clear" w:color="auto" w:fill="C0C0C0"/>
          </w:tcPr>
          <w:p>
            <w:pPr>
              <w:spacing w:after="0"/>
              <w:rPr>
                <w:sz w:val="20"/>
                <w:szCs w:val="20"/>
                <w:color w:val="auto"/>
              </w:rPr>
            </w:pPr>
            <w:r>
              <w:rPr>
                <w:rFonts w:ascii="Arial" w:cs="Arial" w:eastAsia="Arial" w:hAnsi="Arial"/>
                <w:sz w:val="18"/>
                <w:szCs w:val="18"/>
                <w:color w:val="auto"/>
              </w:rPr>
              <w:t>2018</w:t>
            </w:r>
          </w:p>
        </w:tc>
        <w:tc>
          <w:tcPr>
            <w:tcW w:w="27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1,518</w:t>
            </w: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2019</w:t>
            </w:r>
          </w:p>
        </w:tc>
        <w:tc>
          <w:tcPr>
            <w:tcW w:w="27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51"/>
        </w:trPr>
        <w:tc>
          <w:tcPr>
            <w:tcW w:w="3580" w:type="dxa"/>
            <w:vAlign w:val="bottom"/>
            <w:shd w:val="clear" w:color="auto" w:fill="C0C0C0"/>
          </w:tcPr>
          <w:p>
            <w:pPr>
              <w:spacing w:after="0"/>
              <w:rPr>
                <w:sz w:val="20"/>
                <w:szCs w:val="20"/>
                <w:color w:val="auto"/>
              </w:rPr>
            </w:pPr>
            <w:r>
              <w:rPr>
                <w:rFonts w:ascii="Arial" w:cs="Arial" w:eastAsia="Arial" w:hAnsi="Arial"/>
                <w:sz w:val="18"/>
                <w:szCs w:val="18"/>
                <w:color w:val="auto"/>
              </w:rPr>
              <w:t>2020</w:t>
            </w:r>
          </w:p>
        </w:tc>
        <w:tc>
          <w:tcPr>
            <w:tcW w:w="27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1,245</w:t>
            </w: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2021</w:t>
            </w:r>
          </w:p>
        </w:tc>
        <w:tc>
          <w:tcPr>
            <w:tcW w:w="27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51"/>
        </w:trPr>
        <w:tc>
          <w:tcPr>
            <w:tcW w:w="3580" w:type="dxa"/>
            <w:vAlign w:val="bottom"/>
            <w:shd w:val="clear" w:color="auto" w:fill="C0C0C0"/>
          </w:tcPr>
          <w:p>
            <w:pPr>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1,086</w:t>
            </w: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2023</w:t>
            </w:r>
          </w:p>
        </w:tc>
        <w:tc>
          <w:tcPr>
            <w:tcW w:w="2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37"/>
        </w:trPr>
        <w:tc>
          <w:tcPr>
            <w:tcW w:w="3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6,463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Intangible Assets</w:t>
      </w:r>
    </w:p>
    <w:p>
      <w:pPr>
        <w:spacing w:after="0" w:line="21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The Company accounts for intangible assets in accordance with FASB ASC 350 -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(“ASC 350”), which requires that intangibles with indefinite useful lives be tested annually for impairment and those with finite useful lives be amortized over their useful lives.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March 2017, the Company completed an acquisition and recorded intangible assets of $1,405,000. Those intangibles were valued as $979,000 for goodwill, $355,000 for the customer list and $71,000 for non-compete agreements.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55"/>
        </w:trPr>
        <w:tc>
          <w:tcPr>
            <w:tcW w:w="5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2017</w:t>
            </w:r>
          </w:p>
        </w:tc>
        <w:tc>
          <w:tcPr>
            <w:tcW w:w="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2016</w:t>
            </w:r>
          </w:p>
        </w:tc>
        <w:tc>
          <w:tcPr>
            <w:tcW w:w="620" w:type="dxa"/>
            <w:vAlign w:val="bottom"/>
            <w:tcBorders>
              <w:bottom w:val="single" w:sz="8" w:color="auto"/>
            </w:tcBorders>
          </w:tcPr>
          <w:p>
            <w:pPr>
              <w:spacing w:after="0"/>
              <w:rPr>
                <w:sz w:val="24"/>
                <w:szCs w:val="24"/>
                <w:color w:val="auto"/>
              </w:rPr>
            </w:pPr>
          </w:p>
        </w:tc>
      </w:tr>
      <w:tr>
        <w:trPr>
          <w:trHeight w:val="228"/>
        </w:trPr>
        <w:tc>
          <w:tcPr>
            <w:tcW w:w="5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Gross Carrying</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Gross Carrying</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Accumulated</w:t>
            </w:r>
          </w:p>
        </w:tc>
      </w:tr>
      <w:tr>
        <w:trPr>
          <w:trHeight w:val="25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Amount</w:t>
            </w:r>
          </w:p>
        </w:tc>
        <w:tc>
          <w:tcPr>
            <w:tcW w:w="15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Amount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43"/>
        </w:trPr>
        <w:tc>
          <w:tcPr>
            <w:tcW w:w="5620" w:type="dxa"/>
            <w:vAlign w:val="bottom"/>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35"/>
        </w:trPr>
        <w:tc>
          <w:tcPr>
            <w:tcW w:w="562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(2,702)</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3,933</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(2,342)</w:t>
            </w:r>
          </w:p>
        </w:tc>
      </w:tr>
      <w:tr>
        <w:trPr>
          <w:trHeight w:val="251"/>
        </w:trPr>
        <w:tc>
          <w:tcPr>
            <w:tcW w:w="56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Patent</w:t>
            </w: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562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261</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1"/>
        </w:trPr>
        <w:tc>
          <w:tcPr>
            <w:tcW w:w="56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Software</w:t>
            </w: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r>
      <w:tr>
        <w:trPr>
          <w:trHeight w:val="235"/>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51"/>
        </w:trPr>
        <w:tc>
          <w:tcPr>
            <w:tcW w:w="562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2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311"/>
        </w:trPr>
        <w:tc>
          <w:tcPr>
            <w:tcW w:w="5620" w:type="dxa"/>
            <w:vAlign w:val="bottom"/>
            <w:tcBorders>
              <w:bottom w:val="single" w:sz="8" w:color="auto"/>
            </w:tcBorders>
          </w:tcPr>
          <w:p>
            <w:pPr>
              <w:ind w:left="280"/>
              <w:spacing w:after="0" w:line="31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9"/>
                <w:szCs w:val="29"/>
                <w:b w:val="1"/>
                <w:bCs w:val="1"/>
                <w:color w:val="auto"/>
                <w:vertAlign w:val="superscript"/>
              </w:rPr>
              <w:t>(1)</w:t>
            </w: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12,796</w:t>
            </w: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11,817</w:t>
            </w: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56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64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(3,657)</w:t>
            </w:r>
          </w:p>
        </w:tc>
        <w:tc>
          <w:tcPr>
            <w:tcW w:w="28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16,817</w:t>
            </w:r>
          </w:p>
        </w:tc>
        <w:tc>
          <w:tcPr>
            <w:tcW w:w="64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(3,230)</w:t>
            </w:r>
          </w:p>
        </w:tc>
      </w:tr>
    </w:tbl>
    <w:p>
      <w:pPr>
        <w:spacing w:after="0" w:line="262"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5"/>
          <w:szCs w:val="15"/>
          <w:b w:val="1"/>
          <w:bCs w:val="1"/>
          <w:color w:val="auto"/>
        </w:rPr>
      </w:pPr>
      <w:r>
        <w:rPr>
          <w:rFonts w:ascii="Arial" w:cs="Arial" w:eastAsia="Arial" w:hAnsi="Arial"/>
          <w:sz w:val="18"/>
          <w:szCs w:val="18"/>
          <w:color w:val="auto"/>
        </w:rPr>
        <w:t>Amortization through December 31, 2001 prior to adoption of FASB ASC 350.</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$427,000, $408,000 and $408,000 for the years ended December 31, 2017, 2016 and 2015, respectively. Estimated future amortization of intangibles is $442,000 in 2018, $412,000 2019, $406,000 in both 2020 and 2021 and $88,000 in 2022.</w:t>
      </w:r>
    </w:p>
    <w:p>
      <w:pPr>
        <w:sectPr>
          <w:pgSz w:w="11900" w:h="16838" w:orient="portrait"/>
          <w:cols w:equalWidth="0" w:num="1">
            <w:col w:w="11420"/>
          </w:cols>
          <w:pgMar w:left="240" w:top="108" w:right="239" w:bottom="79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792"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38"/>
        </w:trPr>
        <w:tc>
          <w:tcPr>
            <w:tcW w:w="1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7</w:t>
            </w:r>
          </w:p>
        </w:tc>
        <w:tc>
          <w:tcPr>
            <w:tcW w:w="3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Interest-Bearing Deposits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Interest-bearing deposits consist of the following:</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r>
      <w:tr>
        <w:trPr>
          <w:trHeight w:val="243"/>
        </w:trPr>
        <w:tc>
          <w:tcPr>
            <w:tcW w:w="51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Interest-bearing demand deposits</w:t>
            </w:r>
          </w:p>
        </w:tc>
        <w:tc>
          <w:tcPr>
            <w:tcW w:w="18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332,881</w:t>
            </w:r>
          </w:p>
        </w:tc>
        <w:tc>
          <w:tcPr>
            <w:tcW w:w="4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322,091</w:t>
            </w:r>
          </w:p>
        </w:tc>
      </w:tr>
      <w:tr>
        <w:trPr>
          <w:trHeight w:val="235"/>
        </w:trPr>
        <w:tc>
          <w:tcPr>
            <w:tcW w:w="514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11,168</w:t>
            </w:r>
          </w:p>
        </w:tc>
        <w:tc>
          <w:tcPr>
            <w:tcW w:w="4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29,430</w:t>
            </w:r>
          </w:p>
        </w:tc>
      </w:tr>
      <w:tr>
        <w:trPr>
          <w:trHeight w:val="251"/>
        </w:trPr>
        <w:tc>
          <w:tcPr>
            <w:tcW w:w="51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Time deposits:</w:t>
            </w:r>
          </w:p>
        </w:tc>
        <w:tc>
          <w:tcPr>
            <w:tcW w:w="1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5140" w:type="dxa"/>
            <w:vAlign w:val="bottom"/>
            <w:gridSpan w:val="2"/>
          </w:tcPr>
          <w:p>
            <w:pPr>
              <w:ind w:left="280"/>
              <w:spacing w:after="0"/>
              <w:rPr>
                <w:sz w:val="20"/>
                <w:szCs w:val="20"/>
                <w:color w:val="auto"/>
              </w:rPr>
            </w:pPr>
            <w:r>
              <w:rPr>
                <w:rFonts w:ascii="Arial" w:cs="Arial" w:eastAsia="Arial" w:hAnsi="Arial"/>
                <w:sz w:val="18"/>
                <w:szCs w:val="18"/>
                <w:color w:val="auto"/>
              </w:rPr>
              <w:t>Less than $100</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2,658</w:t>
            </w:r>
          </w:p>
        </w:tc>
        <w:tc>
          <w:tcPr>
            <w:tcW w:w="4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3,523</w:t>
            </w:r>
          </w:p>
        </w:tc>
      </w:tr>
      <w:tr>
        <w:trPr>
          <w:trHeight w:val="251"/>
        </w:trPr>
        <w:tc>
          <w:tcPr>
            <w:tcW w:w="51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$100 to less than $250</w:t>
            </w:r>
          </w:p>
        </w:tc>
        <w:tc>
          <w:tcPr>
            <w:tcW w:w="1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33,385</w:t>
            </w:r>
          </w:p>
        </w:tc>
        <w:tc>
          <w:tcPr>
            <w:tcW w:w="4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37,179</w:t>
            </w:r>
          </w:p>
        </w:tc>
      </w:tr>
      <w:tr>
        <w:trPr>
          <w:trHeight w:val="237"/>
        </w:trPr>
        <w:tc>
          <w:tcPr>
            <w:tcW w:w="51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$250 or more</w:t>
            </w:r>
          </w:p>
        </w:tc>
        <w:tc>
          <w:tcPr>
            <w:tcW w:w="1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16,455</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15,082</w:t>
            </w:r>
          </w:p>
        </w:tc>
      </w:tr>
      <w:tr>
        <w:trPr>
          <w:trHeight w:val="237"/>
        </w:trPr>
        <w:tc>
          <w:tcPr>
            <w:tcW w:w="51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396,547</w:t>
            </w:r>
          </w:p>
        </w:tc>
        <w:tc>
          <w:tcPr>
            <w:tcW w:w="4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407,305</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interest rate</w:t>
            </w:r>
          </w:p>
        </w:tc>
        <w:tc>
          <w:tcPr>
            <w:tcW w:w="2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.56%</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0"/>
        </w:trPr>
        <w:tc>
          <w:tcPr>
            <w:tcW w:w="5320" w:type="dxa"/>
            <w:vAlign w:val="bottom"/>
          </w:tcPr>
          <w:p>
            <w:pPr>
              <w:spacing w:after="0"/>
              <w:rPr>
                <w:sz w:val="20"/>
                <w:szCs w:val="20"/>
                <w:color w:val="auto"/>
              </w:rPr>
            </w:pPr>
            <w:r>
              <w:rPr>
                <w:rFonts w:ascii="Arial" w:cs="Arial" w:eastAsia="Arial" w:hAnsi="Arial"/>
                <w:sz w:val="18"/>
                <w:szCs w:val="18"/>
                <w:color w:val="auto"/>
              </w:rPr>
              <w:t>Interest on deposits consists of the following:</w:t>
            </w:r>
          </w:p>
        </w:tc>
        <w:tc>
          <w:tcPr>
            <w:tcW w:w="2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5"/>
        </w:trPr>
        <w:tc>
          <w:tcPr>
            <w:tcW w:w="5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3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4"/>
              </w:rPr>
              <w:t>2017</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2015</w:t>
            </w: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Interest-bearing demand deposits</w:t>
            </w:r>
          </w:p>
        </w:tc>
        <w:tc>
          <w:tcPr>
            <w:tcW w:w="2960" w:type="dxa"/>
            <w:vAlign w:val="bottom"/>
            <w:shd w:val="clear" w:color="auto" w:fill="C0C0C0"/>
          </w:tcPr>
          <w:p>
            <w:pPr>
              <w:spacing w:after="0"/>
              <w:rPr>
                <w:sz w:val="21"/>
                <w:szCs w:val="21"/>
                <w:color w:val="auto"/>
              </w:rPr>
            </w:pPr>
          </w:p>
        </w:tc>
        <w:tc>
          <w:tcPr>
            <w:tcW w:w="5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1,611</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1,387</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1,392</w:t>
            </w: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Savings deposits</w:t>
            </w:r>
          </w:p>
        </w:tc>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1"/>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Time deposits:</w:t>
            </w:r>
          </w:p>
        </w:tc>
        <w:tc>
          <w:tcPr>
            <w:tcW w:w="29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5320" w:type="dxa"/>
            <w:vAlign w:val="bottom"/>
          </w:tcPr>
          <w:p>
            <w:pPr>
              <w:ind w:left="280"/>
              <w:spacing w:after="0"/>
              <w:rPr>
                <w:sz w:val="20"/>
                <w:szCs w:val="20"/>
                <w:color w:val="auto"/>
              </w:rPr>
            </w:pPr>
            <w:r>
              <w:rPr>
                <w:rFonts w:ascii="Arial" w:cs="Arial" w:eastAsia="Arial" w:hAnsi="Arial"/>
                <w:sz w:val="18"/>
                <w:szCs w:val="18"/>
                <w:color w:val="auto"/>
              </w:rPr>
              <w:t>Less than $100</w:t>
            </w:r>
          </w:p>
        </w:tc>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51"/>
        </w:trPr>
        <w:tc>
          <w:tcPr>
            <w:tcW w:w="5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$100 to less than $250</w:t>
            </w:r>
          </w:p>
        </w:tc>
        <w:tc>
          <w:tcPr>
            <w:tcW w:w="29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53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$250 or more</w:t>
            </w:r>
          </w:p>
        </w:tc>
        <w:tc>
          <w:tcPr>
            <w:tcW w:w="2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53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2,187</w:t>
            </w: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2,029</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2,111</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The scheduled maturities of time deposits are summarized as follows: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55"/>
        </w:trPr>
        <w:tc>
          <w:tcPr>
            <w:tcW w:w="6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Borders>
              <w:bottom w:val="single" w:sz="8" w:color="auto"/>
            </w:tcBorders>
          </w:tcPr>
          <w:p>
            <w:pPr>
              <w:spacing w:after="0"/>
              <w:rPr>
                <w:sz w:val="24"/>
                <w:szCs w:val="24"/>
                <w:color w:val="auto"/>
              </w:rPr>
            </w:pPr>
          </w:p>
        </w:tc>
      </w:tr>
      <w:tr>
        <w:trPr>
          <w:trHeight w:val="237"/>
        </w:trPr>
        <w:tc>
          <w:tcPr>
            <w:tcW w:w="6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20"/>
                <w:szCs w:val="20"/>
                <w:color w:val="auto"/>
              </w:rPr>
            </w:pPr>
          </w:p>
        </w:tc>
      </w:tr>
      <w:tr>
        <w:trPr>
          <w:trHeight w:val="228"/>
        </w:trPr>
        <w:tc>
          <w:tcPr>
            <w:tcW w:w="6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Percent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Percent</w:t>
            </w:r>
          </w:p>
        </w:tc>
      </w:tr>
      <w:tr>
        <w:trPr>
          <w:trHeight w:val="251"/>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8"/>
              </w:rPr>
              <w:t>Amount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of Total</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5"/>
              </w:rPr>
              <w:t>Amount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of Total</w:t>
            </w:r>
          </w:p>
        </w:tc>
      </w:tr>
      <w:tr>
        <w:trPr>
          <w:trHeight w:val="243"/>
        </w:trPr>
        <w:tc>
          <w:tcPr>
            <w:tcW w:w="6200" w:type="dxa"/>
            <w:vAlign w:val="bottom"/>
            <w:shd w:val="clear" w:color="auto" w:fill="C0C0C0"/>
          </w:tcPr>
          <w:p>
            <w:pPr>
              <w:spacing w:after="0"/>
              <w:rPr>
                <w:sz w:val="20"/>
                <w:szCs w:val="20"/>
                <w:color w:val="auto"/>
              </w:rPr>
            </w:pPr>
            <w:r>
              <w:rPr>
                <w:rFonts w:ascii="Arial" w:cs="Arial" w:eastAsia="Arial" w:hAnsi="Arial"/>
                <w:sz w:val="18"/>
                <w:szCs w:val="18"/>
                <w:color w:val="auto"/>
              </w:rPr>
              <w:t>Due within:</w:t>
            </w:r>
          </w:p>
        </w:tc>
        <w:tc>
          <w:tcPr>
            <w:tcW w:w="1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6200" w:type="dxa"/>
            <w:vAlign w:val="bottom"/>
          </w:tcPr>
          <w:p>
            <w:pPr>
              <w:ind w:left="280"/>
              <w:spacing w:after="0"/>
              <w:rPr>
                <w:sz w:val="20"/>
                <w:szCs w:val="20"/>
                <w:color w:val="auto"/>
              </w:rPr>
            </w:pPr>
            <w:r>
              <w:rPr>
                <w:rFonts w:ascii="Arial" w:cs="Arial" w:eastAsia="Arial" w:hAnsi="Arial"/>
                <w:sz w:val="18"/>
                <w:szCs w:val="18"/>
                <w:color w:val="auto"/>
              </w:rPr>
              <w:t>One year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48,370</w:t>
            </w:r>
          </w:p>
        </w:tc>
        <w:tc>
          <w:tcPr>
            <w:tcW w:w="720" w:type="dxa"/>
            <w:vAlign w:val="bottom"/>
          </w:tcPr>
          <w:p>
            <w:pPr>
              <w:jc w:val="right"/>
              <w:spacing w:after="0"/>
              <w:rPr>
                <w:sz w:val="20"/>
                <w:szCs w:val="20"/>
                <w:color w:val="auto"/>
              </w:rPr>
            </w:pPr>
            <w:r>
              <w:rPr>
                <w:rFonts w:ascii="Arial" w:cs="Arial" w:eastAsia="Arial" w:hAnsi="Arial"/>
                <w:sz w:val="18"/>
                <w:szCs w:val="18"/>
                <w:color w:val="auto"/>
              </w:rPr>
              <w:t>92.1%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48,740</w:t>
            </w:r>
          </w:p>
        </w:tc>
        <w:tc>
          <w:tcPr>
            <w:tcW w:w="70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51"/>
        </w:trPr>
        <w:tc>
          <w:tcPr>
            <w:tcW w:w="6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Two years</w:t>
            </w:r>
          </w:p>
        </w:tc>
        <w:tc>
          <w:tcPr>
            <w:tcW w:w="1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281</w:t>
            </w: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4,752</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8.5</w:t>
            </w:r>
          </w:p>
        </w:tc>
      </w:tr>
      <w:tr>
        <w:trPr>
          <w:trHeight w:val="235"/>
        </w:trPr>
        <w:tc>
          <w:tcPr>
            <w:tcW w:w="6200" w:type="dxa"/>
            <w:vAlign w:val="bottom"/>
          </w:tcPr>
          <w:p>
            <w:pPr>
              <w:ind w:left="280"/>
              <w:spacing w:after="0"/>
              <w:rPr>
                <w:sz w:val="20"/>
                <w:szCs w:val="20"/>
                <w:color w:val="auto"/>
              </w:rPr>
            </w:pPr>
            <w:r>
              <w:rPr>
                <w:rFonts w:ascii="Arial" w:cs="Arial" w:eastAsia="Arial" w:hAnsi="Arial"/>
                <w:sz w:val="18"/>
                <w:szCs w:val="18"/>
                <w:color w:val="auto"/>
              </w:rPr>
              <w:t>Three years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2,383</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155</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0.3</w:t>
            </w:r>
          </w:p>
        </w:tc>
      </w:tr>
      <w:tr>
        <w:trPr>
          <w:trHeight w:val="251"/>
        </w:trPr>
        <w:tc>
          <w:tcPr>
            <w:tcW w:w="6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Four years</w:t>
            </w:r>
          </w:p>
        </w:tc>
        <w:tc>
          <w:tcPr>
            <w:tcW w:w="1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32"/>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2,072</w:t>
            </w:r>
          </w:p>
        </w:tc>
        <w:tc>
          <w:tcPr>
            <w:tcW w:w="7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w:t>
            </w:r>
          </w:p>
        </w:tc>
      </w:tr>
      <w:tr>
        <w:trPr>
          <w:trHeight w:val="237"/>
        </w:trPr>
        <w:tc>
          <w:tcPr>
            <w:tcW w:w="62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Five years</w:t>
            </w: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1,439</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65</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0.1</w:t>
            </w:r>
          </w:p>
        </w:tc>
      </w:tr>
      <w:tr>
        <w:trPr>
          <w:trHeight w:val="237"/>
        </w:trPr>
        <w:tc>
          <w:tcPr>
            <w:tcW w:w="62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52,498</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55,784</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Unused Available Lines of Credit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the Bank had unsecured lines of credit at correspondent banks to purchase federal funds up to a maximum of $68,000,000 at the following banks: US Bank, $20,000,000; Wells Fargo Bank, $15,000,000; PNC Bank, $12,000,000; Frost National Bank, $10,000,000; JPM Chase Bank, $6,000,000; and UMB Bank $5,000,000. As of December 31, 2017, the Bank had secured lines of credit with the Federal Home Loan Bank (“FHLB”) of $204,789,000 collateralized by commercial mortgage loans. At December 31, 2017, the Company had a line of credit from UMB Bank of $50,000,000 and First Tennessee Bank of $50,000,000 collateralized by state and political subdivision securities. There were no amounts outstanding under any of the lines of credit discussed above at December 31, 2017 or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Earnings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activity in the outstanding shares of the Company’s common stock during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r>
      <w:tr>
        <w:trPr>
          <w:trHeight w:val="243"/>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Shares outstanding at January 1</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11,188,466</w:t>
            </w: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10% stock dividend issued December 15, 2017</w:t>
            </w:r>
          </w:p>
        </w:tc>
        <w:tc>
          <w:tcPr>
            <w:tcW w:w="2200" w:type="dxa"/>
            <w:vAlign w:val="bottom"/>
          </w:tcPr>
          <w:p>
            <w:pPr>
              <w:jc w:val="right"/>
              <w:spacing w:after="0"/>
              <w:rPr>
                <w:sz w:val="20"/>
                <w:szCs w:val="20"/>
                <w:color w:val="auto"/>
              </w:rPr>
            </w:pPr>
            <w:r>
              <w:rPr>
                <w:rFonts w:ascii="Arial" w:cs="Arial" w:eastAsia="Arial" w:hAnsi="Arial"/>
                <w:sz w:val="18"/>
                <w:szCs w:val="18"/>
                <w:color w:val="auto"/>
              </w:rPr>
              <w:t>1,116,711</w:t>
            </w: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Issuance of common stock:</w:t>
            </w:r>
          </w:p>
        </w:tc>
        <w:tc>
          <w:tcPr>
            <w:tcW w:w="2200" w:type="dxa"/>
            <w:vAlign w:val="bottom"/>
            <w:shd w:val="clear" w:color="auto" w:fill="C0C0C0"/>
          </w:tcPr>
          <w:p>
            <w:pPr>
              <w:spacing w:after="0"/>
              <w:rPr>
                <w:sz w:val="21"/>
                <w:szCs w:val="21"/>
                <w:color w:val="auto"/>
              </w:rPr>
            </w:pPr>
          </w:p>
        </w:tc>
      </w:tr>
      <w:tr>
        <w:trPr>
          <w:trHeight w:val="235"/>
        </w:trPr>
        <w:tc>
          <w:tcPr>
            <w:tcW w:w="4660" w:type="dxa"/>
            <w:vAlign w:val="bottom"/>
          </w:tcPr>
          <w:p>
            <w:pPr>
              <w:ind w:left="280"/>
              <w:spacing w:after="0"/>
              <w:rPr>
                <w:sz w:val="20"/>
                <w:szCs w:val="20"/>
                <w:color w:val="auto"/>
              </w:rPr>
            </w:pPr>
            <w:r>
              <w:rPr>
                <w:rFonts w:ascii="Arial" w:cs="Arial" w:eastAsia="Arial" w:hAnsi="Arial"/>
                <w:sz w:val="18"/>
                <w:szCs w:val="18"/>
                <w:color w:val="auto"/>
              </w:rPr>
              <w:t>Employee restricted stock grants</w:t>
            </w:r>
          </w:p>
        </w:tc>
        <w:tc>
          <w:tcPr>
            <w:tcW w:w="2200" w:type="dxa"/>
            <w:vAlign w:val="bottom"/>
          </w:tcPr>
          <w:p>
            <w:pPr>
              <w:jc w:val="right"/>
              <w:spacing w:after="0"/>
              <w:rPr>
                <w:sz w:val="20"/>
                <w:szCs w:val="20"/>
                <w:color w:val="auto"/>
              </w:rPr>
            </w:pPr>
            <w:r>
              <w:rPr>
                <w:rFonts w:ascii="Arial" w:cs="Arial" w:eastAsia="Arial" w:hAnsi="Arial"/>
                <w:sz w:val="18"/>
                <w:szCs w:val="18"/>
                <w:color w:val="auto"/>
              </w:rPr>
              <w:t>3,825</w:t>
            </w:r>
          </w:p>
        </w:tc>
      </w:tr>
      <w:tr>
        <w:trPr>
          <w:trHeight w:val="251"/>
        </w:trPr>
        <w:tc>
          <w:tcPr>
            <w:tcW w:w="4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Employee SARs exercised</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7,547</w:t>
            </w:r>
          </w:p>
        </w:tc>
      </w:tr>
      <w:tr>
        <w:trPr>
          <w:trHeight w:val="235"/>
        </w:trPr>
        <w:tc>
          <w:tcPr>
            <w:tcW w:w="4660" w:type="dxa"/>
            <w:vAlign w:val="bottom"/>
          </w:tcPr>
          <w:p>
            <w:pPr>
              <w:ind w:left="280"/>
              <w:spacing w:after="0"/>
              <w:rPr>
                <w:sz w:val="20"/>
                <w:szCs w:val="20"/>
                <w:color w:val="auto"/>
              </w:rPr>
            </w:pPr>
            <w:r>
              <w:rPr>
                <w:rFonts w:ascii="Arial" w:cs="Arial" w:eastAsia="Arial" w:hAnsi="Arial"/>
                <w:sz w:val="18"/>
                <w:szCs w:val="18"/>
                <w:color w:val="auto"/>
              </w:rPr>
              <w:t>Directors’ compensation</w:t>
            </w:r>
          </w:p>
        </w:tc>
        <w:tc>
          <w:tcPr>
            <w:tcW w:w="2200" w:type="dxa"/>
            <w:vAlign w:val="bottom"/>
          </w:tcPr>
          <w:p>
            <w:pPr>
              <w:jc w:val="right"/>
              <w:spacing w:after="0"/>
              <w:rPr>
                <w:sz w:val="20"/>
                <w:szCs w:val="20"/>
                <w:color w:val="auto"/>
              </w:rPr>
            </w:pPr>
            <w:r>
              <w:rPr>
                <w:rFonts w:ascii="Arial" w:cs="Arial" w:eastAsia="Arial" w:hAnsi="Arial"/>
                <w:sz w:val="18"/>
                <w:szCs w:val="18"/>
                <w:color w:val="auto"/>
              </w:rPr>
              <w:t>8,389</w:t>
            </w:r>
          </w:p>
        </w:tc>
      </w:tr>
      <w:tr>
        <w:trPr>
          <w:trHeight w:val="244"/>
        </w:trPr>
        <w:tc>
          <w:tcPr>
            <w:tcW w:w="4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Shares repurchased</w:t>
            </w:r>
          </w:p>
        </w:tc>
        <w:tc>
          <w:tcPr>
            <w:tcW w:w="2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(38,042)</w:t>
            </w:r>
          </w:p>
        </w:tc>
      </w:tr>
      <w:tr>
        <w:trPr>
          <w:trHeight w:val="23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outstanding at December 31</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12,286,896</w:t>
            </w: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r>
      <w:tr>
        <w:trPr>
          <w:trHeight w:val="243"/>
        </w:trPr>
        <w:tc>
          <w:tcPr>
            <w:tcW w:w="620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2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25,014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24,348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23,056</w:t>
            </w:r>
          </w:p>
        </w:tc>
      </w:tr>
      <w:tr>
        <w:trPr>
          <w:trHeight w:val="251"/>
        </w:trPr>
        <w:tc>
          <w:tcPr>
            <w:tcW w:w="6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12,250,465</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12,265,434</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12,494,466</w:t>
            </w:r>
          </w:p>
        </w:tc>
      </w:tr>
      <w:tr>
        <w:trPr>
          <w:trHeight w:val="237"/>
        </w:trPr>
        <w:tc>
          <w:tcPr>
            <w:tcW w:w="6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2.04</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1.99</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620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2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25,014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24,348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23,056</w:t>
            </w:r>
          </w:p>
        </w:tc>
      </w:tr>
      <w:tr>
        <w:trPr>
          <w:trHeight w:val="251"/>
        </w:trPr>
        <w:tc>
          <w:tcPr>
            <w:tcW w:w="6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12,250,465</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12,265,434</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12,494,466</w:t>
            </w:r>
          </w:p>
        </w:tc>
      </w:tr>
      <w:tr>
        <w:trPr>
          <w:trHeight w:val="235"/>
        </w:trPr>
        <w:tc>
          <w:tcPr>
            <w:tcW w:w="6200" w:type="dxa"/>
            <w:vAlign w:val="bottom"/>
          </w:tcPr>
          <w:p>
            <w:pPr>
              <w:ind w:left="280"/>
              <w:spacing w:after="0"/>
              <w:rPr>
                <w:sz w:val="20"/>
                <w:szCs w:val="20"/>
                <w:color w:val="auto"/>
              </w:rPr>
            </w:pPr>
            <w:r>
              <w:rPr>
                <w:rFonts w:ascii="Arial" w:cs="Arial" w:eastAsia="Arial" w:hAnsi="Arial"/>
                <w:sz w:val="18"/>
                <w:szCs w:val="18"/>
                <w:color w:val="auto"/>
              </w:rPr>
              <w:t>Effect of dilutive restricted stock, PBRS and SARs</w:t>
            </w:r>
          </w:p>
        </w:tc>
        <w:tc>
          <w:tcPr>
            <w:tcW w:w="15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179,445</w:t>
            </w:r>
          </w:p>
        </w:tc>
        <w:tc>
          <w:tcPr>
            <w:tcW w:w="3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172,386</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175,784</w:t>
            </w:r>
          </w:p>
        </w:tc>
      </w:tr>
      <w:tr>
        <w:trPr>
          <w:trHeight w:val="251"/>
        </w:trPr>
        <w:tc>
          <w:tcPr>
            <w:tcW w:w="62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 average common shares outstanding assuming dilution</w:t>
            </w:r>
          </w:p>
        </w:tc>
        <w:tc>
          <w:tcPr>
            <w:tcW w:w="15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12,429,910</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12,437,820</w:t>
            </w:r>
          </w:p>
        </w:tc>
        <w:tc>
          <w:tcPr>
            <w:tcW w:w="3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12,670,250</w:t>
            </w:r>
          </w:p>
        </w:tc>
      </w:tr>
      <w:tr>
        <w:trPr>
          <w:trHeight w:val="237"/>
        </w:trPr>
        <w:tc>
          <w:tcPr>
            <w:tcW w:w="6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Diluted earnings per share</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data have been restated to give effect to the 10% stock dividend issued on December 15,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a noncontributory defined-benefit pension plan (the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summary of the activity in the Plan’s projected benefit obligation, assets, funded status and amounts recognized in the Company’s consolidated balance sheets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r>
      <w:tr>
        <w:trPr>
          <w:trHeight w:val="243"/>
        </w:trPr>
        <w:tc>
          <w:tcPr>
            <w:tcW w:w="4460" w:type="dxa"/>
            <w:vAlign w:val="bottom"/>
            <w:shd w:val="clear" w:color="auto" w:fill="C0C0C0"/>
          </w:tcPr>
          <w:p>
            <w:pPr>
              <w:spacing w:after="0"/>
              <w:rPr>
                <w:sz w:val="20"/>
                <w:szCs w:val="20"/>
                <w:color w:val="auto"/>
              </w:rPr>
            </w:pPr>
            <w:r>
              <w:rPr>
                <w:rFonts w:ascii="Arial" w:cs="Arial" w:eastAsia="Arial" w:hAnsi="Arial"/>
                <w:sz w:val="18"/>
                <w:szCs w:val="18"/>
                <w:color w:val="auto"/>
              </w:rPr>
              <w:t>Projected benefit obligation:</w:t>
            </w:r>
          </w:p>
        </w:tc>
        <w:tc>
          <w:tcPr>
            <w:tcW w:w="26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5"/>
        </w:trPr>
        <w:tc>
          <w:tcPr>
            <w:tcW w:w="4460" w:type="dxa"/>
            <w:vAlign w:val="bottom"/>
          </w:tcPr>
          <w:p>
            <w:pPr>
              <w:ind w:left="280"/>
              <w:spacing w:after="0"/>
              <w:rPr>
                <w:sz w:val="20"/>
                <w:szCs w:val="20"/>
                <w:color w:val="auto"/>
              </w:rPr>
            </w:pPr>
            <w:r>
              <w:rPr>
                <w:rFonts w:ascii="Arial" w:cs="Arial" w:eastAsia="Arial" w:hAnsi="Arial"/>
                <w:sz w:val="18"/>
                <w:szCs w:val="18"/>
                <w:color w:val="auto"/>
              </w:rPr>
              <w:t>Balance, January 1</w:t>
            </w:r>
          </w:p>
        </w:tc>
        <w:tc>
          <w:tcPr>
            <w:tcW w:w="2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85,551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78,369</w:t>
            </w:r>
          </w:p>
        </w:tc>
      </w:tr>
      <w:tr>
        <w:trPr>
          <w:trHeight w:val="251"/>
        </w:trPr>
        <w:tc>
          <w:tcPr>
            <w:tcW w:w="4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Service cost</w:t>
            </w:r>
          </w:p>
        </w:tc>
        <w:tc>
          <w:tcPr>
            <w:tcW w:w="26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3,733</w:t>
            </w: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3,559</w:t>
            </w:r>
          </w:p>
        </w:tc>
      </w:tr>
      <w:tr>
        <w:trPr>
          <w:trHeight w:val="235"/>
        </w:trPr>
        <w:tc>
          <w:tcPr>
            <w:tcW w:w="446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64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3,621</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251"/>
        </w:trPr>
        <w:tc>
          <w:tcPr>
            <w:tcW w:w="4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Actuarial (gain) loss</w:t>
            </w:r>
          </w:p>
        </w:tc>
        <w:tc>
          <w:tcPr>
            <w:tcW w:w="26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7,916</w:t>
            </w: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2,003</w:t>
            </w:r>
          </w:p>
        </w:tc>
      </w:tr>
      <w:tr>
        <w:trPr>
          <w:trHeight w:val="237"/>
        </w:trPr>
        <w:tc>
          <w:tcPr>
            <w:tcW w:w="4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Benefits paid</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(2,031)</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37"/>
        </w:trPr>
        <w:tc>
          <w:tcPr>
            <w:tcW w:w="4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December 31</w:t>
            </w:r>
          </w:p>
        </w:tc>
        <w:tc>
          <w:tcPr>
            <w:tcW w:w="2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98,790</w:t>
            </w:r>
          </w:p>
        </w:tc>
        <w:tc>
          <w:tcPr>
            <w:tcW w:w="3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85,551</w:t>
            </w:r>
          </w:p>
        </w:tc>
      </w:tr>
      <w:tr>
        <w:trPr>
          <w:trHeight w:val="235"/>
        </w:trPr>
        <w:tc>
          <w:tcPr>
            <w:tcW w:w="4460" w:type="dxa"/>
            <w:vAlign w:val="bottom"/>
          </w:tcPr>
          <w:p>
            <w:pPr>
              <w:spacing w:after="0"/>
              <w:rPr>
                <w:sz w:val="20"/>
                <w:szCs w:val="20"/>
                <w:color w:val="auto"/>
              </w:rPr>
            </w:pPr>
            <w:r>
              <w:rPr>
                <w:rFonts w:ascii="Arial" w:cs="Arial" w:eastAsia="Arial" w:hAnsi="Arial"/>
                <w:sz w:val="18"/>
                <w:szCs w:val="18"/>
                <w:color w:val="auto"/>
              </w:rPr>
              <w:t>Plan assets:</w:t>
            </w:r>
          </w:p>
        </w:tc>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4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Fair value, January 1</w:t>
            </w:r>
          </w:p>
        </w:tc>
        <w:tc>
          <w:tcPr>
            <w:tcW w:w="26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73,168</w:t>
            </w:r>
          </w:p>
        </w:tc>
        <w:tc>
          <w:tcPr>
            <w:tcW w:w="3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71,174</w:t>
            </w:r>
          </w:p>
        </w:tc>
      </w:tr>
      <w:tr>
        <w:trPr>
          <w:trHeight w:val="235"/>
        </w:trPr>
        <w:tc>
          <w:tcPr>
            <w:tcW w:w="4460" w:type="dxa"/>
            <w:vAlign w:val="bottom"/>
          </w:tcPr>
          <w:p>
            <w:pPr>
              <w:ind w:left="280"/>
              <w:spacing w:after="0"/>
              <w:rPr>
                <w:sz w:val="20"/>
                <w:szCs w:val="20"/>
                <w:color w:val="auto"/>
              </w:rPr>
            </w:pPr>
            <w:r>
              <w:rPr>
                <w:rFonts w:ascii="Arial" w:cs="Arial" w:eastAsia="Arial" w:hAnsi="Arial"/>
                <w:sz w:val="18"/>
                <w:szCs w:val="18"/>
                <w:color w:val="auto"/>
              </w:rPr>
              <w:t>Actual return</w:t>
            </w:r>
          </w:p>
        </w:tc>
        <w:tc>
          <w:tcPr>
            <w:tcW w:w="264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10,290</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51"/>
        </w:trPr>
        <w:tc>
          <w:tcPr>
            <w:tcW w:w="4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Employer contribution</w:t>
            </w:r>
          </w:p>
        </w:tc>
        <w:tc>
          <w:tcPr>
            <w:tcW w:w="26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Benefits paid</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(2,031)</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37"/>
        </w:trPr>
        <w:tc>
          <w:tcPr>
            <w:tcW w:w="4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Fair value, December 31</w:t>
            </w:r>
          </w:p>
        </w:tc>
        <w:tc>
          <w:tcPr>
            <w:tcW w:w="2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81,427</w:t>
            </w:r>
          </w:p>
        </w:tc>
        <w:tc>
          <w:tcPr>
            <w:tcW w:w="3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73,168</w:t>
            </w:r>
          </w:p>
        </w:tc>
      </w:tr>
      <w:tr>
        <w:trPr>
          <w:trHeight w:val="235"/>
        </w:trPr>
        <w:tc>
          <w:tcPr>
            <w:tcW w:w="4460" w:type="dxa"/>
            <w:vAlign w:val="bottom"/>
          </w:tcPr>
          <w:p>
            <w:pPr>
              <w:spacing w:after="0"/>
              <w:rPr>
                <w:sz w:val="20"/>
                <w:szCs w:val="20"/>
                <w:color w:val="auto"/>
              </w:rPr>
            </w:pPr>
            <w:r>
              <w:rPr>
                <w:rFonts w:ascii="Arial" w:cs="Arial" w:eastAsia="Arial" w:hAnsi="Arial"/>
                <w:sz w:val="18"/>
                <w:szCs w:val="18"/>
                <w:color w:val="auto"/>
              </w:rPr>
              <w:t>Funded status:</w:t>
            </w:r>
          </w:p>
        </w:tc>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4"/>
        </w:trPr>
        <w:tc>
          <w:tcPr>
            <w:tcW w:w="4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Accrued pension liability</w:t>
            </w:r>
          </w:p>
        </w:tc>
        <w:tc>
          <w:tcPr>
            <w:tcW w:w="26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(17,363)</w:t>
            </w:r>
          </w:p>
        </w:tc>
        <w:tc>
          <w:tcPr>
            <w:tcW w:w="3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(12,383)</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Plan. For 2017, 2016 and 2015, the Plan’s expected benefit cash flows were discounted using the Citibank Above Median Curve. For 2017, the RP-2014 Mortality Table and the MP-2017 Mortality Improvement Table were used. For 2016, the RP-2014 Mortality Table and MP-2016 Mortality Improvement Table were used. For 2015, the RP-2014 Mortality Table and MP-2015 Mortality Improvement Table were used.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2015</w:t>
            </w:r>
          </w:p>
        </w:tc>
      </w:tr>
      <w:tr>
        <w:trPr>
          <w:trHeight w:val="243"/>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3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3.75%</w:t>
            </w: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4.25%</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4.50%</w:t>
            </w: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3860" w:type="dxa"/>
            <w:vAlign w:val="bottom"/>
          </w:tcPr>
          <w:p>
            <w:pPr>
              <w:jc w:val="center"/>
              <w:ind w:left="2852"/>
              <w:spacing w:after="0"/>
              <w:rPr>
                <w:sz w:val="20"/>
                <w:szCs w:val="20"/>
                <w:color w:val="auto"/>
              </w:rPr>
            </w:pPr>
            <w:r>
              <w:rPr>
                <w:rFonts w:ascii="Arial" w:cs="Arial" w:eastAsia="Arial" w:hAnsi="Arial"/>
                <w:sz w:val="18"/>
                <w:szCs w:val="18"/>
                <w:color w:val="auto"/>
                <w:w w:val="90"/>
              </w:rPr>
              <w:t>(a)</w:t>
            </w:r>
          </w:p>
        </w:tc>
        <w:tc>
          <w:tcPr>
            <w:tcW w:w="940" w:type="dxa"/>
            <w:vAlign w:val="bottom"/>
          </w:tcPr>
          <w:p>
            <w:pPr>
              <w:jc w:val="center"/>
              <w:spacing w:after="0"/>
              <w:rPr>
                <w:sz w:val="20"/>
                <w:szCs w:val="20"/>
                <w:color w:val="auto"/>
              </w:rPr>
            </w:pPr>
            <w:r>
              <w:rPr>
                <w:rFonts w:ascii="Arial" w:cs="Arial" w:eastAsia="Arial" w:hAnsi="Arial"/>
                <w:sz w:val="18"/>
                <w:szCs w:val="18"/>
                <w:color w:val="auto"/>
                <w:w w:val="81"/>
              </w:rPr>
              <w:t>(a)</w:t>
            </w:r>
          </w:p>
        </w:tc>
        <w:tc>
          <w:tcPr>
            <w:tcW w:w="740" w:type="dxa"/>
            <w:vAlign w:val="bottom"/>
          </w:tcPr>
          <w:p>
            <w:pPr>
              <w:jc w:val="center"/>
              <w:ind w:left="172"/>
              <w:spacing w:after="0"/>
              <w:rPr>
                <w:sz w:val="20"/>
                <w:szCs w:val="20"/>
                <w:color w:val="auto"/>
              </w:rPr>
            </w:pPr>
            <w:r>
              <w:rPr>
                <w:rFonts w:ascii="Arial" w:cs="Arial" w:eastAsia="Arial" w:hAnsi="Arial"/>
                <w:sz w:val="18"/>
                <w:szCs w:val="18"/>
                <w:color w:val="auto"/>
                <w:w w:val="90"/>
              </w:rPr>
              <w:t>(a)</w:t>
            </w:r>
          </w:p>
        </w:tc>
      </w:tr>
    </w:tbl>
    <w:p>
      <w:pPr>
        <w:spacing w:after="0" w:line="2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6.0% graded down to 3.25% over the first seven years of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accumulated benefit obligation was $85,236,000 and $74,425,000 as of December 31, 2017 and 2016, respectively. The Company does not expect to make a contribution to the Plan in 2018. The following pension benefit payments, which reflect expected future service, as appropriate, are expected to be paid by the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Amount</w:t>
            </w:r>
          </w:p>
        </w:tc>
      </w:tr>
      <w:tr>
        <w:trPr>
          <w:trHeight w:val="243"/>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2018</w:t>
            </w:r>
          </w:p>
        </w:tc>
        <w:tc>
          <w:tcPr>
            <w:tcW w:w="2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2,679,000</w:t>
            </w:r>
          </w:p>
        </w:tc>
      </w:tr>
      <w:tr>
        <w:trPr>
          <w:trHeight w:val="235"/>
        </w:trPr>
        <w:tc>
          <w:tcPr>
            <w:tcW w:w="3260" w:type="dxa"/>
            <w:vAlign w:val="bottom"/>
          </w:tcPr>
          <w:p>
            <w:pPr>
              <w:spacing w:after="0"/>
              <w:rPr>
                <w:sz w:val="20"/>
                <w:szCs w:val="20"/>
                <w:color w:val="auto"/>
              </w:rPr>
            </w:pPr>
            <w:r>
              <w:rPr>
                <w:rFonts w:ascii="Arial" w:cs="Arial" w:eastAsia="Arial" w:hAnsi="Arial"/>
                <w:sz w:val="18"/>
                <w:szCs w:val="18"/>
                <w:color w:val="auto"/>
              </w:rPr>
              <w:t>2019</w:t>
            </w:r>
          </w:p>
        </w:tc>
        <w:tc>
          <w:tcPr>
            <w:tcW w:w="2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2,823,000</w:t>
            </w:r>
          </w:p>
        </w:tc>
      </w:tr>
      <w:tr>
        <w:trPr>
          <w:trHeight w:val="251"/>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2020</w:t>
            </w:r>
          </w:p>
        </w:tc>
        <w:tc>
          <w:tcPr>
            <w:tcW w:w="266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3,045,000</w:t>
            </w:r>
          </w:p>
        </w:tc>
      </w:tr>
      <w:tr>
        <w:trPr>
          <w:trHeight w:val="235"/>
        </w:trPr>
        <w:tc>
          <w:tcPr>
            <w:tcW w:w="326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3,300,000</w:t>
            </w:r>
          </w:p>
        </w:tc>
      </w:tr>
      <w:tr>
        <w:trPr>
          <w:trHeight w:val="251"/>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3,693,000</w:t>
            </w:r>
          </w:p>
        </w:tc>
      </w:t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2023-2027</w:t>
            </w:r>
          </w:p>
        </w:tc>
        <w:tc>
          <w:tcPr>
            <w:tcW w:w="2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23,682,000</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spacing w:after="0"/>
              <w:rPr>
                <w:sz w:val="20"/>
                <w:szCs w:val="20"/>
                <w:color w:val="auto"/>
              </w:rPr>
            </w:pPr>
            <w:r>
              <w:rPr>
                <w:rFonts w:ascii="Arial" w:cs="Arial" w:eastAsia="Arial" w:hAnsi="Arial"/>
                <w:sz w:val="18"/>
                <w:szCs w:val="18"/>
                <w:color w:val="auto"/>
              </w:rPr>
              <w:t>The Plan’s pension cost included the following components: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46"/>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rPr>
              <w:t>For the Year Ended</w:t>
            </w:r>
          </w:p>
        </w:tc>
        <w:tc>
          <w:tcPr>
            <w:tcW w:w="800" w:type="dxa"/>
            <w:vAlign w:val="bottom"/>
          </w:tcPr>
          <w:p>
            <w:pPr>
              <w:spacing w:after="0"/>
              <w:rPr>
                <w:sz w:val="24"/>
                <w:szCs w:val="24"/>
                <w:color w:val="auto"/>
              </w:rPr>
            </w:pPr>
          </w:p>
        </w:tc>
      </w:tr>
      <w:tr>
        <w:trPr>
          <w:trHeight w:val="252"/>
        </w:trPr>
        <w:tc>
          <w:tcPr>
            <w:tcW w:w="7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5"/>
              </w:rPr>
              <w:t>December 31,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3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r>
      <w:tr>
        <w:trPr>
          <w:trHeight w:val="243"/>
        </w:trPr>
        <w:tc>
          <w:tcPr>
            <w:tcW w:w="792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3,733</w:t>
            </w:r>
          </w:p>
        </w:tc>
        <w:tc>
          <w:tcPr>
            <w:tcW w:w="4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3,559</w:t>
            </w:r>
          </w:p>
        </w:tc>
        <w:tc>
          <w:tcPr>
            <w:tcW w:w="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3,796</w:t>
            </w: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2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3,621</w:t>
            </w:r>
          </w:p>
        </w:tc>
        <w:tc>
          <w:tcPr>
            <w:tcW w:w="48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3,505</w:t>
            </w:r>
          </w:p>
        </w:tc>
        <w:tc>
          <w:tcPr>
            <w:tcW w:w="3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3,178</w:t>
            </w:r>
          </w:p>
        </w:tc>
      </w:tr>
      <w:tr>
        <w:trPr>
          <w:trHeight w:val="251"/>
        </w:trPr>
        <w:tc>
          <w:tcPr>
            <w:tcW w:w="792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(4,681)</w:t>
            </w:r>
          </w:p>
        </w:tc>
        <w:tc>
          <w:tcPr>
            <w:tcW w:w="4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(4,734)</w:t>
            </w:r>
          </w:p>
        </w:tc>
        <w:tc>
          <w:tcPr>
            <w:tcW w:w="3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(4,864)</w:t>
            </w:r>
          </w:p>
        </w:tc>
      </w:tr>
      <w:tr>
        <w:trPr>
          <w:trHeight w:val="23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1,382</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1,259</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1,542</w:t>
            </w:r>
          </w:p>
        </w:tc>
      </w:tr>
      <w:tr>
        <w:trPr>
          <w:trHeight w:val="237"/>
        </w:trPr>
        <w:tc>
          <w:tcPr>
            <w:tcW w:w="79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periodic pension cost</w:t>
            </w:r>
          </w:p>
        </w:tc>
        <w:tc>
          <w:tcPr>
            <w:tcW w:w="200" w:type="dxa"/>
            <w:vAlign w:val="bottom"/>
            <w:tcBorders>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4,055</w:t>
            </w:r>
          </w:p>
        </w:tc>
        <w:tc>
          <w:tcPr>
            <w:tcW w:w="4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3,589</w:t>
            </w:r>
          </w:p>
        </w:tc>
        <w:tc>
          <w:tcPr>
            <w:tcW w:w="3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3,652</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The following represent the major assumptions used to determine the net pension cost of the Plan:</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55"/>
        </w:trPr>
        <w:tc>
          <w:tcPr>
            <w:tcW w:w="7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2015</w:t>
            </w:r>
          </w:p>
        </w:tc>
      </w:tr>
      <w:tr>
        <w:trPr>
          <w:trHeight w:val="243"/>
        </w:trPr>
        <w:tc>
          <w:tcPr>
            <w:tcW w:w="796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1780" w:type="dxa"/>
            <w:vAlign w:val="bottom"/>
            <w:shd w:val="clear" w:color="auto" w:fill="C0C0C0"/>
          </w:tcPr>
          <w:p>
            <w:pPr>
              <w:jc w:val="center"/>
              <w:ind w:left="812"/>
              <w:spacing w:after="0"/>
              <w:rPr>
                <w:sz w:val="20"/>
                <w:szCs w:val="20"/>
                <w:color w:val="auto"/>
              </w:rPr>
            </w:pPr>
            <w:r>
              <w:rPr>
                <w:rFonts w:ascii="Arial" w:cs="Arial" w:eastAsia="Arial" w:hAnsi="Arial"/>
                <w:sz w:val="18"/>
                <w:szCs w:val="18"/>
                <w:color w:val="auto"/>
                <w:w w:val="86"/>
              </w:rPr>
              <w:t>4.25%</w:t>
            </w: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4.50%</w:t>
            </w:r>
          </w:p>
        </w:tc>
        <w:tc>
          <w:tcPr>
            <w:tcW w:w="740" w:type="dxa"/>
            <w:vAlign w:val="bottom"/>
            <w:shd w:val="clear" w:color="auto" w:fill="C0C0C0"/>
          </w:tcPr>
          <w:p>
            <w:pPr>
              <w:jc w:val="center"/>
              <w:ind w:left="192"/>
              <w:spacing w:after="0"/>
              <w:rPr>
                <w:sz w:val="20"/>
                <w:szCs w:val="20"/>
                <w:color w:val="auto"/>
              </w:rPr>
            </w:pPr>
            <w:r>
              <w:rPr>
                <w:rFonts w:ascii="Arial" w:cs="Arial" w:eastAsia="Arial" w:hAnsi="Arial"/>
                <w:sz w:val="18"/>
                <w:szCs w:val="18"/>
                <w:color w:val="auto"/>
                <w:w w:val="90"/>
              </w:rPr>
              <w:t>4.00%</w:t>
            </w: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1780" w:type="dxa"/>
            <w:vAlign w:val="bottom"/>
          </w:tcPr>
          <w:p>
            <w:pPr>
              <w:jc w:val="center"/>
              <w:ind w:left="772"/>
              <w:spacing w:after="0"/>
              <w:rPr>
                <w:sz w:val="20"/>
                <w:szCs w:val="20"/>
                <w:color w:val="auto"/>
              </w:rPr>
            </w:pPr>
            <w:r>
              <w:rPr>
                <w:rFonts w:ascii="Arial" w:cs="Arial" w:eastAsia="Arial" w:hAnsi="Arial"/>
                <w:sz w:val="18"/>
                <w:szCs w:val="18"/>
                <w:color w:val="auto"/>
                <w:w w:val="90"/>
              </w:rPr>
              <w:t>(a)</w:t>
            </w:r>
          </w:p>
        </w:tc>
        <w:tc>
          <w:tcPr>
            <w:tcW w:w="940" w:type="dxa"/>
            <w:vAlign w:val="bottom"/>
          </w:tcPr>
          <w:p>
            <w:pPr>
              <w:jc w:val="center"/>
              <w:spacing w:after="0"/>
              <w:rPr>
                <w:sz w:val="20"/>
                <w:szCs w:val="20"/>
                <w:color w:val="auto"/>
              </w:rPr>
            </w:pPr>
            <w:r>
              <w:rPr>
                <w:rFonts w:ascii="Arial" w:cs="Arial" w:eastAsia="Arial" w:hAnsi="Arial"/>
                <w:sz w:val="18"/>
                <w:szCs w:val="18"/>
                <w:color w:val="auto"/>
                <w:w w:val="81"/>
              </w:rPr>
              <w:t>(a)</w:t>
            </w:r>
          </w:p>
        </w:tc>
        <w:tc>
          <w:tcPr>
            <w:tcW w:w="740" w:type="dxa"/>
            <w:vAlign w:val="bottom"/>
          </w:tcPr>
          <w:p>
            <w:pPr>
              <w:jc w:val="center"/>
              <w:ind w:left="172"/>
              <w:spacing w:after="0"/>
              <w:rPr>
                <w:sz w:val="20"/>
                <w:szCs w:val="20"/>
                <w:color w:val="auto"/>
              </w:rPr>
            </w:pPr>
            <w:r>
              <w:rPr>
                <w:rFonts w:ascii="Arial" w:cs="Arial" w:eastAsia="Arial" w:hAnsi="Arial"/>
                <w:sz w:val="18"/>
                <w:szCs w:val="18"/>
                <w:color w:val="auto"/>
                <w:w w:val="90"/>
              </w:rPr>
              <w:t>(a)</w:t>
            </w:r>
          </w:p>
        </w:tc>
      </w:tr>
      <w:tr>
        <w:trPr>
          <w:trHeight w:val="251"/>
        </w:trPr>
        <w:tc>
          <w:tcPr>
            <w:tcW w:w="7960" w:type="dxa"/>
            <w:vAlign w:val="bottom"/>
            <w:shd w:val="clear" w:color="auto" w:fill="C0C0C0"/>
          </w:tcPr>
          <w:p>
            <w:pPr>
              <w:spacing w:after="0"/>
              <w:rPr>
                <w:sz w:val="20"/>
                <w:szCs w:val="20"/>
                <w:color w:val="auto"/>
              </w:rPr>
            </w:pPr>
            <w:r>
              <w:rPr>
                <w:rFonts w:ascii="Arial" w:cs="Arial" w:eastAsia="Arial" w:hAnsi="Arial"/>
                <w:sz w:val="18"/>
                <w:szCs w:val="18"/>
                <w:color w:val="auto"/>
              </w:rPr>
              <w:t>Expected long-term rate of return on assets</w:t>
            </w:r>
          </w:p>
        </w:tc>
        <w:tc>
          <w:tcPr>
            <w:tcW w:w="1780" w:type="dxa"/>
            <w:vAlign w:val="bottom"/>
            <w:shd w:val="clear" w:color="auto" w:fill="C0C0C0"/>
          </w:tcPr>
          <w:p>
            <w:pPr>
              <w:jc w:val="center"/>
              <w:ind w:left="812"/>
              <w:spacing w:after="0"/>
              <w:rPr>
                <w:sz w:val="20"/>
                <w:szCs w:val="20"/>
                <w:color w:val="auto"/>
              </w:rPr>
            </w:pPr>
            <w:r>
              <w:rPr>
                <w:rFonts w:ascii="Arial" w:cs="Arial" w:eastAsia="Arial" w:hAnsi="Arial"/>
                <w:sz w:val="18"/>
                <w:szCs w:val="18"/>
                <w:color w:val="auto"/>
                <w:w w:val="86"/>
              </w:rPr>
              <w:t>6.50%</w:t>
            </w: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6.75%</w:t>
            </w:r>
          </w:p>
        </w:tc>
        <w:tc>
          <w:tcPr>
            <w:tcW w:w="740" w:type="dxa"/>
            <w:vAlign w:val="bottom"/>
            <w:shd w:val="clear" w:color="auto" w:fill="C0C0C0"/>
          </w:tcPr>
          <w:p>
            <w:pPr>
              <w:jc w:val="center"/>
              <w:ind w:left="192"/>
              <w:spacing w:after="0"/>
              <w:rPr>
                <w:sz w:val="20"/>
                <w:szCs w:val="20"/>
                <w:color w:val="auto"/>
              </w:rPr>
            </w:pPr>
            <w:r>
              <w:rPr>
                <w:rFonts w:ascii="Arial" w:cs="Arial" w:eastAsia="Arial" w:hAnsi="Arial"/>
                <w:sz w:val="18"/>
                <w:szCs w:val="18"/>
                <w:color w:val="auto"/>
                <w:w w:val="90"/>
              </w:rPr>
              <w:t>6.75%</w:t>
            </w:r>
          </w:p>
        </w:tc>
      </w:tr>
    </w:tbl>
    <w:p>
      <w:pPr>
        <w:spacing w:after="0" w:line="2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6.0% graded down to 3.25% over the first seven years of service</w:t>
      </w:r>
    </w:p>
    <w:p>
      <w:pPr>
        <w:sectPr>
          <w:pgSz w:w="11900" w:h="16838" w:orient="portrait"/>
          <w:cols w:equalWidth="0" w:num="1">
            <w:col w:w="11420"/>
          </w:cols>
          <w:pgMar w:left="240" w:top="125" w:right="239" w:bottom="65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57"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2017, the RP-2014 Mortality Table and the MP-2016 Mortality Improvement Table were used. For 2016, the RP-2014 Mortality Table and the MP-2015 Mortality Improvement Table were used. For 2015, the RP-2014 Mortality Tables and the MP-2014 Mortality Improvement scale were used.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investment objective for the Plan is to maximize total return with a tolerance for average risk. Asset allocation is a balance between fixed income and equity investments, with a target allocation of approximately 45% fixed income, 25% U.S. equity and 30% non-U.S. equity. Due to volatility in the market, this target allocation is not always desirable and asset allocations can fluctuate between acceptable ranges. The fixed income component is invested in pooled investment grade securities. The equity components are invested in pooled large cap, small/mid cap and non-U.S. stocks. The expected one-year nominal returns and annual standard deviations are shown by asset class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82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One-Year Nominal</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Annual Standard</w:t>
            </w:r>
          </w:p>
        </w:tc>
      </w:tr>
      <w:tr>
        <w:trPr>
          <w:trHeight w:val="252"/>
        </w:trPr>
        <w:tc>
          <w:tcPr>
            <w:tcW w:w="484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Asset Class</w:t>
            </w:r>
          </w:p>
        </w:tc>
        <w:tc>
          <w:tcPr>
            <w:tcW w:w="32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 of Total Portfolio</w:t>
            </w:r>
          </w:p>
        </w:tc>
        <w:tc>
          <w:tcPr>
            <w:tcW w:w="18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Return</w:t>
            </w:r>
          </w:p>
        </w:tc>
        <w:tc>
          <w:tcPr>
            <w:tcW w:w="15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Deviation</w:t>
            </w:r>
          </w:p>
        </w:tc>
      </w:tr>
      <w:tr>
        <w:trPr>
          <w:trHeight w:val="243"/>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Core Fixed Income</w:t>
            </w:r>
          </w:p>
        </w:tc>
        <w:tc>
          <w:tcPr>
            <w:tcW w:w="32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51%</w:t>
            </w:r>
          </w:p>
        </w:tc>
        <w:tc>
          <w:tcPr>
            <w:tcW w:w="1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4.55%</w:t>
            </w:r>
          </w:p>
        </w:tc>
        <w:tc>
          <w:tcPr>
            <w:tcW w:w="1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4.55%</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Large Cap U.S. Equities</w:t>
            </w:r>
          </w:p>
        </w:tc>
        <w:tc>
          <w:tcPr>
            <w:tcW w:w="322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7.00%</w:t>
            </w:r>
          </w:p>
        </w:tc>
        <w:tc>
          <w:tcPr>
            <w:tcW w:w="154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Small Cap U.S. Equities</w:t>
            </w:r>
          </w:p>
        </w:tc>
        <w:tc>
          <w:tcPr>
            <w:tcW w:w="32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w:t>
            </w:r>
          </w:p>
        </w:tc>
        <w:tc>
          <w:tcPr>
            <w:tcW w:w="1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8.10%</w:t>
            </w:r>
          </w:p>
        </w:tc>
        <w:tc>
          <w:tcPr>
            <w:tcW w:w="1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19.70%</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International (Developed)</w:t>
            </w:r>
          </w:p>
        </w:tc>
        <w:tc>
          <w:tcPr>
            <w:tcW w:w="322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7.99%</w:t>
            </w:r>
          </w:p>
        </w:tc>
        <w:tc>
          <w:tcPr>
            <w:tcW w:w="1540" w:type="dxa"/>
            <w:vAlign w:val="bottom"/>
          </w:tcPr>
          <w:p>
            <w:pPr>
              <w:jc w:val="right"/>
              <w:spacing w:after="0"/>
              <w:rPr>
                <w:sz w:val="20"/>
                <w:szCs w:val="20"/>
                <w:color w:val="auto"/>
              </w:rPr>
            </w:pPr>
            <w:r>
              <w:rPr>
                <w:rFonts w:ascii="Arial" w:cs="Arial" w:eastAsia="Arial" w:hAnsi="Arial"/>
                <w:sz w:val="18"/>
                <w:szCs w:val="18"/>
                <w:color w:val="auto"/>
              </w:rPr>
              <w:t>17.93%</w:t>
            </w:r>
          </w:p>
        </w:tc>
      </w:tr>
      <w:tr>
        <w:trPr>
          <w:trHeight w:val="251"/>
        </w:trPr>
        <w:tc>
          <w:tcPr>
            <w:tcW w:w="4840" w:type="dxa"/>
            <w:vAlign w:val="bottom"/>
            <w:shd w:val="clear" w:color="auto" w:fill="C0C0C0"/>
          </w:tcPr>
          <w:p>
            <w:pPr>
              <w:spacing w:after="0"/>
              <w:rPr>
                <w:sz w:val="20"/>
                <w:szCs w:val="20"/>
                <w:color w:val="auto"/>
              </w:rPr>
            </w:pPr>
            <w:r>
              <w:rPr>
                <w:rFonts w:ascii="Arial" w:cs="Arial" w:eastAsia="Arial" w:hAnsi="Arial"/>
                <w:sz w:val="18"/>
                <w:szCs w:val="18"/>
                <w:color w:val="auto"/>
              </w:rPr>
              <w:t>International (Emerging)</w:t>
            </w:r>
          </w:p>
        </w:tc>
        <w:tc>
          <w:tcPr>
            <w:tcW w:w="32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w:t>
            </w:r>
          </w:p>
        </w:tc>
        <w:tc>
          <w:tcPr>
            <w:tcW w:w="1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10.56%</w:t>
            </w:r>
          </w:p>
        </w:tc>
        <w:tc>
          <w:tcPr>
            <w:tcW w:w="1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Applying appropriate correlation factors between each of the asset classes the long-term rate of return on assets is estimated to be 6.50%.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fair value measurements by type of asset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652"/>
              <w:spacing w:after="0"/>
              <w:rPr>
                <w:sz w:val="20"/>
                <w:szCs w:val="20"/>
                <w:color w:val="auto"/>
              </w:rPr>
            </w:pPr>
            <w:r>
              <w:rPr>
                <w:rFonts w:ascii="Arial" w:cs="Arial" w:eastAsia="Arial" w:hAnsi="Arial"/>
                <w:sz w:val="18"/>
                <w:szCs w:val="18"/>
                <w:b w:val="1"/>
                <w:bCs w:val="1"/>
                <w:color w:val="auto"/>
              </w:rPr>
              <w:t>Fair Value Measurements as of December 31,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37"/>
        </w:trPr>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8"/>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Quoted Prices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Quoted Prices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2"/>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in Active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in Active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Markets for</w:t>
            </w: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Significant</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Markets for</w:t>
            </w:r>
          </w:p>
        </w:tc>
        <w:tc>
          <w:tcPr>
            <w:tcW w:w="110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9"/>
              </w:rPr>
              <w:t>Significant</w:t>
            </w:r>
          </w:p>
        </w:tc>
      </w:tr>
      <w:tr>
        <w:trPr>
          <w:trHeight w:val="243"/>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Identical</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Observable</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Identical</w:t>
            </w:r>
          </w:p>
        </w:tc>
        <w:tc>
          <w:tcPr>
            <w:tcW w:w="110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7"/>
              </w:rPr>
              <w:t>Observable</w:t>
            </w:r>
          </w:p>
        </w:tc>
      </w:tr>
      <w:tr>
        <w:trPr>
          <w:trHeight w:val="243"/>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center"/>
              <w:ind w:right="172"/>
              <w:spacing w:after="0"/>
              <w:rPr>
                <w:sz w:val="20"/>
                <w:szCs w:val="20"/>
                <w:color w:val="auto"/>
              </w:rPr>
            </w:pPr>
            <w:r>
              <w:rPr>
                <w:rFonts w:ascii="Arial" w:cs="Arial" w:eastAsia="Arial" w:hAnsi="Arial"/>
                <w:sz w:val="18"/>
                <w:szCs w:val="18"/>
                <w:b w:val="1"/>
                <w:bCs w:val="1"/>
                <w:color w:val="auto"/>
                <w:w w:val="77"/>
              </w:rPr>
              <w:t>Assets</w:t>
            </w:r>
          </w:p>
        </w:tc>
        <w:tc>
          <w:tcPr>
            <w:tcW w:w="240" w:type="dxa"/>
            <w:vAlign w:val="bottom"/>
          </w:tcPr>
          <w:p>
            <w:pPr>
              <w:spacing w:after="0"/>
              <w:rPr>
                <w:sz w:val="21"/>
                <w:szCs w:val="21"/>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b w:val="1"/>
                <w:bCs w:val="1"/>
                <w:color w:val="auto"/>
              </w:rPr>
              <w:t>Inputs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center"/>
              <w:ind w:right="192"/>
              <w:spacing w:after="0"/>
              <w:rPr>
                <w:sz w:val="20"/>
                <w:szCs w:val="20"/>
                <w:color w:val="auto"/>
              </w:rPr>
            </w:pPr>
            <w:r>
              <w:rPr>
                <w:rFonts w:ascii="Arial" w:cs="Arial" w:eastAsia="Arial" w:hAnsi="Arial"/>
                <w:sz w:val="18"/>
                <w:szCs w:val="18"/>
                <w:b w:val="1"/>
                <w:bCs w:val="1"/>
                <w:color w:val="auto"/>
                <w:w w:val="77"/>
              </w:rPr>
              <w:t>Assets</w:t>
            </w:r>
          </w:p>
        </w:tc>
        <w:tc>
          <w:tcPr>
            <w:tcW w:w="260" w:type="dxa"/>
            <w:vAlign w:val="bottom"/>
          </w:tcPr>
          <w:p>
            <w:pPr>
              <w:spacing w:after="0"/>
              <w:rPr>
                <w:sz w:val="21"/>
                <w:szCs w:val="21"/>
                <w:color w:val="auto"/>
              </w:rPr>
            </w:pPr>
          </w:p>
        </w:tc>
        <w:tc>
          <w:tcPr>
            <w:tcW w:w="840" w:type="dxa"/>
            <w:vAlign w:val="bottom"/>
          </w:tcPr>
          <w:p>
            <w:pPr>
              <w:jc w:val="center"/>
              <w:ind w:right="52"/>
              <w:spacing w:after="0"/>
              <w:rPr>
                <w:sz w:val="20"/>
                <w:szCs w:val="20"/>
                <w:color w:val="auto"/>
              </w:rPr>
            </w:pPr>
            <w:r>
              <w:rPr>
                <w:rFonts w:ascii="Arial" w:cs="Arial" w:eastAsia="Arial" w:hAnsi="Arial"/>
                <w:sz w:val="18"/>
                <w:szCs w:val="18"/>
                <w:b w:val="1"/>
                <w:bCs w:val="1"/>
                <w:color w:val="auto"/>
                <w:w w:val="92"/>
              </w:rPr>
              <w:t>Inputs</w:t>
            </w:r>
          </w:p>
        </w:tc>
      </w:tr>
      <w:tr>
        <w:trPr>
          <w:trHeight w:val="252"/>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0"/>
              </w:rPr>
              <w:t>(Level 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7"/>
              </w:rPr>
              <w:t>(Level 2)</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0"/>
              </w:rPr>
              <w:t>(Level 1)</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2)</w:t>
            </w:r>
          </w:p>
        </w:tc>
      </w:tr>
      <w:tr>
        <w:trPr>
          <w:trHeight w:val="243"/>
        </w:trPr>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U.S. Large Cap Growth</w:t>
            </w: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13,306</w:t>
            </w: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13,306</w:t>
            </w: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U.S. Small/Mid Cap Growth</w:t>
            </w:r>
          </w:p>
        </w:tc>
        <w:tc>
          <w:tcPr>
            <w:tcW w:w="1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4,111</w:t>
            </w: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4,111</w:t>
            </w:r>
          </w:p>
        </w:tc>
        <w:tc>
          <w:tcPr>
            <w:tcW w:w="3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5,655</w:t>
            </w:r>
          </w:p>
        </w:tc>
        <w:tc>
          <w:tcPr>
            <w:tcW w:w="28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5,655</w:t>
            </w: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Non-U. S. Core</w:t>
            </w: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21,065</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21,065</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10,588</w:t>
            </w: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10,588</w:t>
            </w: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U.S. Large Cap Passive</w:t>
            </w:r>
          </w:p>
        </w:tc>
        <w:tc>
          <w:tcPr>
            <w:tcW w:w="1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11,717</w:t>
            </w: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11,717</w:t>
            </w:r>
          </w:p>
        </w:tc>
        <w:tc>
          <w:tcPr>
            <w:tcW w:w="3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7,364</w:t>
            </w:r>
          </w:p>
        </w:tc>
        <w:tc>
          <w:tcPr>
            <w:tcW w:w="28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7,364</w:t>
            </w: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Emerging Markets</w:t>
            </w: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4,052</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4,052</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652</w:t>
            </w: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4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U.S. Core</w:t>
            </w: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11,284</w:t>
            </w:r>
          </w:p>
        </w:tc>
        <w:tc>
          <w:tcPr>
            <w:tcW w:w="2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11,284</w:t>
            </w: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24,438</w:t>
            </w: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24,438</w:t>
            </w:r>
          </w:p>
        </w:tc>
      </w:tr>
      <w:tr>
        <w:trPr>
          <w:trHeight w:val="235"/>
        </w:trPr>
        <w:tc>
          <w:tcPr>
            <w:tcW w:w="4360" w:type="dxa"/>
            <w:vAlign w:val="bottom"/>
          </w:tcPr>
          <w:p>
            <w:pPr>
              <w:ind w:left="280"/>
              <w:spacing w:after="0"/>
              <w:rPr>
                <w:sz w:val="20"/>
                <w:szCs w:val="20"/>
                <w:color w:val="auto"/>
              </w:rPr>
            </w:pPr>
            <w:r>
              <w:rPr>
                <w:rFonts w:ascii="Arial" w:cs="Arial" w:eastAsia="Arial" w:hAnsi="Arial"/>
                <w:sz w:val="18"/>
                <w:szCs w:val="18"/>
                <w:color w:val="auto"/>
              </w:rPr>
              <w:t>U.S. Passive</w:t>
            </w:r>
          </w:p>
        </w:tc>
        <w:tc>
          <w:tcPr>
            <w:tcW w:w="1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24,345</w:t>
            </w:r>
          </w:p>
        </w:tc>
        <w:tc>
          <w:tcPr>
            <w:tcW w:w="28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24,345</w:t>
            </w:r>
          </w:p>
        </w:tc>
        <w:tc>
          <w:tcPr>
            <w:tcW w:w="3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9,571</w:t>
            </w:r>
          </w:p>
        </w:tc>
        <w:tc>
          <w:tcPr>
            <w:tcW w:w="28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9,571</w:t>
            </w:r>
          </w:p>
        </w:tc>
      </w:tr>
      <w:tr>
        <w:trPr>
          <w:trHeight w:val="244"/>
        </w:trPr>
        <w:tc>
          <w:tcPr>
            <w:tcW w:w="43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Opportunistic</w:t>
            </w: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4,479</w:t>
            </w:r>
          </w:p>
        </w:tc>
        <w:tc>
          <w:tcPr>
            <w:tcW w:w="2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4,479</w:t>
            </w:r>
          </w:p>
        </w:tc>
        <w:tc>
          <w:tcPr>
            <w:tcW w:w="3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1,254</w:t>
            </w:r>
          </w:p>
        </w:tc>
        <w:tc>
          <w:tcPr>
            <w:tcW w:w="2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1,254</w:t>
            </w:r>
          </w:p>
        </w:tc>
      </w:tr>
      <w:tr>
        <w:trPr>
          <w:trHeight w:val="237"/>
        </w:trPr>
        <w:tc>
          <w:tcPr>
            <w:tcW w:w="43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81,427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81,053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73,168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summary of the activity in the SERP’s projected benefit obligation, funded status and amounts recognized in the Company’s consolidated balance sheets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2016</w:t>
            </w:r>
          </w:p>
        </w:tc>
      </w:tr>
      <w:tr>
        <w:trPr>
          <w:trHeight w:val="243"/>
        </w:trPr>
        <w:tc>
          <w:tcPr>
            <w:tcW w:w="4460" w:type="dxa"/>
            <w:vAlign w:val="bottom"/>
            <w:shd w:val="clear" w:color="auto" w:fill="C0C0C0"/>
          </w:tcPr>
          <w:p>
            <w:pPr>
              <w:spacing w:after="0"/>
              <w:rPr>
                <w:sz w:val="20"/>
                <w:szCs w:val="20"/>
                <w:color w:val="auto"/>
              </w:rPr>
            </w:pPr>
            <w:r>
              <w:rPr>
                <w:rFonts w:ascii="Arial" w:cs="Arial" w:eastAsia="Arial" w:hAnsi="Arial"/>
                <w:sz w:val="18"/>
                <w:szCs w:val="18"/>
                <w:color w:val="auto"/>
              </w:rPr>
              <w:t>Benefit obligation:</w:t>
            </w:r>
          </w:p>
        </w:tc>
        <w:tc>
          <w:tcPr>
            <w:tcW w:w="2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5"/>
        </w:trPr>
        <w:tc>
          <w:tcPr>
            <w:tcW w:w="4460" w:type="dxa"/>
            <w:vAlign w:val="bottom"/>
          </w:tcPr>
          <w:p>
            <w:pPr>
              <w:ind w:left="280"/>
              <w:spacing w:after="0"/>
              <w:rPr>
                <w:sz w:val="20"/>
                <w:szCs w:val="20"/>
                <w:color w:val="auto"/>
              </w:rPr>
            </w:pPr>
            <w:r>
              <w:rPr>
                <w:rFonts w:ascii="Arial" w:cs="Arial" w:eastAsia="Arial" w:hAnsi="Arial"/>
                <w:sz w:val="18"/>
                <w:szCs w:val="18"/>
                <w:color w:val="auto"/>
              </w:rPr>
              <w:t>Balance, January 1</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9,132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8,748</w:t>
            </w:r>
          </w:p>
        </w:tc>
      </w:tr>
      <w:tr>
        <w:trPr>
          <w:trHeight w:val="251"/>
        </w:trPr>
        <w:tc>
          <w:tcPr>
            <w:tcW w:w="4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Service cost</w:t>
            </w:r>
          </w:p>
        </w:tc>
        <w:tc>
          <w:tcPr>
            <w:tcW w:w="2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446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51"/>
        </w:trPr>
        <w:tc>
          <w:tcPr>
            <w:tcW w:w="44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Benefits paid</w:t>
            </w:r>
          </w:p>
        </w:tc>
        <w:tc>
          <w:tcPr>
            <w:tcW w:w="2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4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Actuarial (gain) loss</w:t>
            </w:r>
          </w:p>
        </w:tc>
        <w:tc>
          <w:tcPr>
            <w:tcW w:w="2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706</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4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December 31</w:t>
            </w:r>
          </w:p>
        </w:tc>
        <w:tc>
          <w:tcPr>
            <w:tcW w:w="2900" w:type="dxa"/>
            <w:vAlign w:val="bottom"/>
            <w:tcBorders>
              <w:bottom w:val="single" w:sz="8" w:color="auto"/>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10,094</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9,132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SERP. For 2017, 2016 and 2015, the SERP’s expected benefit cash flows were discounted using the Citigroup Above Median Curve.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2015</w:t>
            </w:r>
          </w:p>
        </w:tc>
      </w:tr>
      <w:tr>
        <w:trPr>
          <w:trHeight w:val="243"/>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discount rate</w:t>
            </w:r>
          </w:p>
        </w:tc>
        <w:tc>
          <w:tcPr>
            <w:tcW w:w="3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3.50%</w:t>
            </w:r>
          </w:p>
        </w:tc>
        <w:tc>
          <w:tcPr>
            <w:tcW w:w="9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4.00%</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4.25%</w:t>
            </w:r>
          </w:p>
        </w:tc>
      </w:tr>
      <w:tr>
        <w:trPr>
          <w:trHeight w:val="228"/>
        </w:trPr>
        <w:tc>
          <w:tcPr>
            <w:tcW w:w="590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3840" w:type="dxa"/>
            <w:vAlign w:val="bottom"/>
          </w:tcPr>
          <w:p>
            <w:pPr>
              <w:jc w:val="center"/>
              <w:ind w:left="2832"/>
              <w:spacing w:after="0"/>
              <w:rPr>
                <w:sz w:val="20"/>
                <w:szCs w:val="20"/>
                <w:color w:val="auto"/>
              </w:rPr>
            </w:pPr>
            <w:r>
              <w:rPr>
                <w:rFonts w:ascii="Arial" w:cs="Arial" w:eastAsia="Arial" w:hAnsi="Arial"/>
                <w:sz w:val="18"/>
                <w:szCs w:val="18"/>
                <w:color w:val="auto"/>
                <w:w w:val="90"/>
              </w:rPr>
              <w:t>(a)</w:t>
            </w:r>
          </w:p>
        </w:tc>
        <w:tc>
          <w:tcPr>
            <w:tcW w:w="940" w:type="dxa"/>
            <w:vAlign w:val="bottom"/>
          </w:tcPr>
          <w:p>
            <w:pPr>
              <w:jc w:val="center"/>
              <w:spacing w:after="0"/>
              <w:rPr>
                <w:sz w:val="20"/>
                <w:szCs w:val="20"/>
                <w:color w:val="auto"/>
              </w:rPr>
            </w:pPr>
            <w:r>
              <w:rPr>
                <w:rFonts w:ascii="Arial" w:cs="Arial" w:eastAsia="Arial" w:hAnsi="Arial"/>
                <w:sz w:val="18"/>
                <w:szCs w:val="18"/>
                <w:color w:val="auto"/>
                <w:w w:val="81"/>
              </w:rPr>
              <w:t>(a)</w:t>
            </w:r>
          </w:p>
        </w:tc>
        <w:tc>
          <w:tcPr>
            <w:tcW w:w="740" w:type="dxa"/>
            <w:vAlign w:val="bottom"/>
          </w:tcPr>
          <w:p>
            <w:pPr>
              <w:jc w:val="center"/>
              <w:ind w:left="172"/>
              <w:spacing w:after="0"/>
              <w:rPr>
                <w:sz w:val="20"/>
                <w:szCs w:val="20"/>
                <w:color w:val="auto"/>
              </w:rPr>
            </w:pPr>
            <w:r>
              <w:rPr>
                <w:rFonts w:ascii="Arial" w:cs="Arial" w:eastAsia="Arial" w:hAnsi="Arial"/>
                <w:sz w:val="18"/>
                <w:szCs w:val="18"/>
                <w:color w:val="auto"/>
                <w:w w:val="90"/>
              </w:rPr>
              <w:t>(a)</w:t>
            </w:r>
          </w:p>
        </w:tc>
      </w:tr>
    </w:tbl>
    <w:p>
      <w:pPr>
        <w:spacing w:after="0" w:line="2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6.00% graded down to 3.25% over the first seven years of service.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accumulated benefit obligation was $8,734,000 and $7,904,000 as of December 31, 2017 and 2016, respectively. Since this is an unfunded plan, there are no plan assets. Benefits paid were $247,000 in both 2017 and 2016 and $243,000 in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benefits payable by the Company over the next ten years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7"/>
              </w:rPr>
              <w:t>Amount</w:t>
            </w:r>
          </w:p>
        </w:tc>
      </w:tr>
      <w:tr>
        <w:trPr>
          <w:trHeight w:val="243"/>
        </w:trPr>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2018</w:t>
            </w:r>
          </w:p>
        </w:tc>
        <w:tc>
          <w:tcPr>
            <w:tcW w:w="2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314,000</w:t>
            </w:r>
          </w:p>
        </w:tc>
      </w:tr>
      <w:tr>
        <w:trPr>
          <w:trHeight w:val="235"/>
        </w:trPr>
        <w:tc>
          <w:tcPr>
            <w:tcW w:w="3300" w:type="dxa"/>
            <w:vAlign w:val="bottom"/>
          </w:tcPr>
          <w:p>
            <w:pPr>
              <w:spacing w:after="0"/>
              <w:rPr>
                <w:sz w:val="20"/>
                <w:szCs w:val="20"/>
                <w:color w:val="auto"/>
              </w:rPr>
            </w:pPr>
            <w:r>
              <w:rPr>
                <w:rFonts w:ascii="Arial" w:cs="Arial" w:eastAsia="Arial" w:hAnsi="Arial"/>
                <w:sz w:val="18"/>
                <w:szCs w:val="18"/>
                <w:color w:val="auto"/>
              </w:rPr>
              <w:t>2019</w:t>
            </w:r>
          </w:p>
        </w:tc>
        <w:tc>
          <w:tcPr>
            <w:tcW w:w="2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313,000</w:t>
            </w:r>
          </w:p>
        </w:tc>
      </w:tr>
      <w:tr>
        <w:trPr>
          <w:trHeight w:val="251"/>
        </w:trPr>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2020</w:t>
            </w:r>
          </w:p>
        </w:tc>
        <w:tc>
          <w:tcPr>
            <w:tcW w:w="26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311,000</w:t>
            </w:r>
          </w:p>
        </w:tc>
      </w:tr>
      <w:tr>
        <w:trPr>
          <w:trHeight w:val="235"/>
        </w:trPr>
        <w:tc>
          <w:tcPr>
            <w:tcW w:w="3300" w:type="dxa"/>
            <w:vAlign w:val="bottom"/>
          </w:tcPr>
          <w:p>
            <w:pPr>
              <w:spacing w:after="0"/>
              <w:rPr>
                <w:sz w:val="20"/>
                <w:szCs w:val="20"/>
                <w:color w:val="auto"/>
              </w:rPr>
            </w:pPr>
            <w:r>
              <w:rPr>
                <w:rFonts w:ascii="Arial" w:cs="Arial" w:eastAsia="Arial" w:hAnsi="Arial"/>
                <w:sz w:val="18"/>
                <w:szCs w:val="18"/>
                <w:color w:val="auto"/>
              </w:rPr>
              <w:t>2021</w:t>
            </w:r>
          </w:p>
        </w:tc>
        <w:tc>
          <w:tcPr>
            <w:tcW w:w="2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367,000</w:t>
            </w:r>
          </w:p>
        </w:tc>
      </w:tr>
      <w:tr>
        <w:trPr>
          <w:trHeight w:val="251"/>
        </w:trPr>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2022</w:t>
            </w:r>
          </w:p>
        </w:tc>
        <w:tc>
          <w:tcPr>
            <w:tcW w:w="26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711,000</w:t>
            </w:r>
          </w:p>
        </w:tc>
      </w:tr>
      <w:tr>
        <w:trPr>
          <w:trHeight w:val="237"/>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2023-2027</w:t>
            </w:r>
          </w:p>
        </w:tc>
        <w:tc>
          <w:tcPr>
            <w:tcW w:w="2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3,813,000</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The SERP’s pension cost included the following components: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55"/>
        </w:trPr>
        <w:tc>
          <w:tcPr>
            <w:tcW w:w="5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88"/>
              </w:rPr>
              <w:t>For the Year Ended December 31,</w:t>
            </w:r>
          </w:p>
        </w:tc>
      </w:tr>
      <w:tr>
        <w:trPr>
          <w:trHeight w:val="237"/>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9"/>
              </w:rPr>
              <w:t>2016</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2015</w:t>
            </w:r>
          </w:p>
        </w:tc>
      </w:tr>
      <w:tr>
        <w:trPr>
          <w:trHeight w:val="243"/>
        </w:trPr>
        <w:tc>
          <w:tcPr>
            <w:tcW w:w="546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1200" w:type="dxa"/>
            <w:vAlign w:val="bottom"/>
            <w:gridSpan w:val="2"/>
            <w:shd w:val="clear" w:color="auto" w:fill="C0C0C0"/>
          </w:tcPr>
          <w:p>
            <w:pPr>
              <w:ind w:left="1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140</w:t>
            </w: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44"/>
        </w:trPr>
        <w:tc>
          <w:tcPr>
            <w:tcW w:w="54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 and deferral</w:t>
            </w:r>
          </w:p>
        </w:tc>
        <w:tc>
          <w:tcPr>
            <w:tcW w:w="11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295</w:t>
            </w:r>
          </w:p>
        </w:tc>
        <w:tc>
          <w:tcPr>
            <w:tcW w:w="3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w:t>
            </w:r>
          </w:p>
        </w:tc>
      </w:tr>
      <w:tr>
        <w:trPr>
          <w:trHeight w:val="237"/>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pension cost</w:t>
            </w:r>
          </w:p>
        </w:tc>
        <w:tc>
          <w:tcPr>
            <w:tcW w:w="120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pretax amounts in accumulated other comprehensive loss as of December 31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The Plan</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SERP</w:t>
            </w:r>
          </w:p>
        </w:tc>
        <w:tc>
          <w:tcPr>
            <w:tcW w:w="580" w:type="dxa"/>
            <w:vAlign w:val="bottom"/>
            <w:tcBorders>
              <w:bottom w:val="single" w:sz="8" w:color="auto"/>
            </w:tcBorders>
          </w:tcPr>
          <w:p>
            <w:pPr>
              <w:spacing w:after="0"/>
              <w:rPr>
                <w:sz w:val="20"/>
                <w:szCs w:val="20"/>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2017</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2016</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2016</w:t>
            </w:r>
          </w:p>
        </w:tc>
      </w:tr>
      <w:tr>
        <w:trPr>
          <w:trHeight w:val="243"/>
        </w:trPr>
        <w:tc>
          <w:tcPr>
            <w:tcW w:w="3260" w:type="dxa"/>
            <w:vAlign w:val="bottom"/>
            <w:shd w:val="clear" w:color="auto" w:fill="C0C0C0"/>
          </w:tcPr>
          <w:p>
            <w:pPr>
              <w:spacing w:after="0"/>
              <w:rPr>
                <w:sz w:val="20"/>
                <w:szCs w:val="20"/>
                <w:color w:val="auto"/>
              </w:rPr>
            </w:pPr>
            <w:r>
              <w:rPr>
                <w:rFonts w:ascii="Arial" w:cs="Arial" w:eastAsia="Arial" w:hAnsi="Arial"/>
                <w:sz w:val="18"/>
                <w:szCs w:val="18"/>
                <w:color w:val="auto"/>
              </w:rPr>
              <w:t>Prior service cost</w:t>
            </w:r>
          </w:p>
        </w:tc>
        <w:tc>
          <w:tcPr>
            <w:tcW w:w="22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actuarial loss</w:t>
            </w:r>
          </w:p>
        </w:tc>
        <w:tc>
          <w:tcPr>
            <w:tcW w:w="2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23,160</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22,237</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2,388</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37"/>
        </w:trPr>
        <w:tc>
          <w:tcPr>
            <w:tcW w:w="32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23,160</w:t>
            </w:r>
          </w:p>
        </w:tc>
        <w:tc>
          <w:tcPr>
            <w:tcW w:w="3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22,237</w:t>
            </w:r>
          </w:p>
        </w:tc>
        <w:tc>
          <w:tcPr>
            <w:tcW w:w="280" w:type="dxa"/>
            <w:vAlign w:val="bottom"/>
            <w:tcBorders>
              <w:bottom w:val="single" w:sz="8" w:color="auto"/>
            </w:tcBorders>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2,388</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2,005</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estimated pretax prior service cost and net actuarial loss in accumulated other comprehensive loss at December 31, 2017 expected to be recognized as components of net periodic benefit cost in 2018 for the Plan are $0 and $1,409,000, respectively. The estimated pretax prior service cost and net actuarial loss in accumulated other comprehensive loss at December 31, 2017 expected to be recognized as components of net periodic benefit cost in 2018 for the SERP are $0 and $582,000, respectively.</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the consolidated statements of income in 2017, 2016 and 2015 was $5,799,000, $5,367,000, and $5,211,000, respectively.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sponsors a defined contribution 401(k) plan to provide additional retirement benefits to substantially all employees. Contributions under the 401(k) plan for 2017, 2016 and 2015 were $925,000, $658,000, and $623,000,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provides incentive opportunities for key employees and non-employee directors and to align the personal financial interests of such individuals with those of the Company’s shareholders. The Omnibus Plan permits the issuance of up to 1,500,000 shares of the Company’s common stock in the form of stock options, SARs, restricted stock, restricted stock units and performance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data have been restated to give effect to the 10% stock dividend issued on December 15, 2017.</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shares granted prior to April 16, 2013 are amortized to expense over the three-year vesting period. Beginning on April 16, 2013, restricted shares granted to Company employees are amortized to expense over the three-year annual vesting period whereas restricted shares granted to members of the Board of Directors are amortized to expense over a one-year service period, with the exception of those shares granted in lieu of cash payment for retainer fees which are expensed in the period earned. Beginning on February 2, 2017, restricted shares granted to Company employees are amortized to expense over the three-year cliff vesting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outstanding for the year ended December 31, 2017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Weighted Average</w:t>
            </w:r>
          </w:p>
        </w:tc>
      </w:tr>
      <w:tr>
        <w:trPr>
          <w:trHeight w:val="243"/>
        </w:trPr>
        <w:tc>
          <w:tcPr>
            <w:tcW w:w="45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Grant Date</w:t>
            </w:r>
          </w:p>
        </w:tc>
      </w:tr>
      <w:tr>
        <w:trPr>
          <w:trHeight w:val="252"/>
        </w:trPr>
        <w:tc>
          <w:tcPr>
            <w:tcW w:w="45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Fair Value</w:t>
            </w:r>
          </w:p>
        </w:tc>
      </w:tr>
      <w:tr>
        <w:trPr>
          <w:trHeight w:val="237"/>
        </w:trPr>
        <w:tc>
          <w:tcPr>
            <w:tcW w:w="45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at December 31, 2016</w:t>
            </w:r>
          </w:p>
        </w:tc>
        <w:tc>
          <w:tcPr>
            <w:tcW w:w="31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81,269</w:t>
            </w:r>
          </w:p>
        </w:tc>
        <w:tc>
          <w:tcPr>
            <w:tcW w:w="3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46.39</w:t>
            </w:r>
          </w:p>
        </w:tc>
      </w:tr>
      <w:tr>
        <w:trPr>
          <w:trHeight w:val="235"/>
        </w:trPr>
        <w:tc>
          <w:tcPr>
            <w:tcW w:w="4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3120" w:type="dxa"/>
            <w:vAlign w:val="bottom"/>
          </w:tcPr>
          <w:p>
            <w:pPr>
              <w:jc w:val="right"/>
              <w:ind w:right="132"/>
              <w:spacing w:after="0"/>
              <w:rPr>
                <w:sz w:val="20"/>
                <w:szCs w:val="20"/>
                <w:color w:val="auto"/>
              </w:rPr>
            </w:pPr>
            <w:r>
              <w:rPr>
                <w:rFonts w:ascii="Arial" w:cs="Arial" w:eastAsia="Arial" w:hAnsi="Arial"/>
                <w:sz w:val="18"/>
                <w:szCs w:val="18"/>
                <w:color w:val="auto"/>
              </w:rPr>
              <w:t>26,064</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59.46</w:t>
            </w:r>
          </w:p>
        </w:tc>
      </w:tr>
      <w:tr>
        <w:trPr>
          <w:trHeight w:val="251"/>
        </w:trPr>
        <w:tc>
          <w:tcPr>
            <w:tcW w:w="4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Vested</w:t>
            </w:r>
          </w:p>
        </w:tc>
        <w:tc>
          <w:tcPr>
            <w:tcW w:w="31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(29,167)</w:t>
            </w:r>
          </w:p>
        </w:tc>
        <w:tc>
          <w:tcPr>
            <w:tcW w:w="32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47.58</w:t>
            </w:r>
          </w:p>
        </w:tc>
      </w:tr>
      <w:tr>
        <w:trPr>
          <w:trHeight w:val="237"/>
        </w:trPr>
        <w:tc>
          <w:tcPr>
            <w:tcW w:w="4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Forfeited</w:t>
            </w:r>
          </w:p>
        </w:tc>
        <w:tc>
          <w:tcPr>
            <w:tcW w:w="3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31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78,166</w:t>
            </w:r>
          </w:p>
        </w:tc>
        <w:tc>
          <w:tcPr>
            <w:tcW w:w="3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50.30</w:t>
            </w: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2016 and 2015, 39,816 and 47,065 shares, respectively, were granted with weighted average per share market values at date of grant of $45.75 in 2016 and $46.40 in 2015. The fair value of such shares are based on the market price on the date of grant. Amortization of the restricted stock bonus awards totaled $1,743,000 for 2017, $1,712,000 for 2016 and $1,514,000 for 2015. As of December 31, 2017, the total unrecognized compensation expense related to non-vested restricted stock awards was $1,345,000 and the related weighted average period over which it is expected to be recognized is approximately 0.63 years. The total fair value of shares vested during the years ended December 2017, 2016, and 2015 was $1,550,000, $1,500,000, and $1,089,000,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2017, the Company granted three-year performance-based restricted stock (“PBRS”) awards which are contingent upon the achievement of pre-established financial goals over the period from January 1, 2017 through December 31, 2019. The PBRS awards cliff vest on the three-year anniversary of their grant date at levels ranging from 0% to 150% of the target opportunity based on the actual achievement of financial goals for the three-year performance period. The target number of PBRS shares granted was 25,342 with a grant date fair value of $59.20 per share. The 2017 expense related to this grant totaled $579,000 and is based on the grant date fair value and the anticipated achievement of approximately 124% of the target financial goals. The estimated expense for 2018 and each future period through the vesting date is subject to prospective adjustment based upon changes in the expected achievement of the financial goals.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SARs granted during the year ended December 31, 2017.</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During 2017, the Company recognized SARs expense of $18,000. As of December 31, 2017, there was no unrecognized compensation expense related to SARs.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Changes in SARs outstanding for the year ended December 31, 2017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SARs</w:t>
            </w:r>
          </w:p>
        </w:tc>
        <w:tc>
          <w:tcPr>
            <w:tcW w:w="26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6"/>
              </w:rPr>
              <w:t>Weighted Average Exercise Price</w:t>
            </w:r>
          </w:p>
        </w:tc>
      </w:tr>
      <w:tr>
        <w:trPr>
          <w:trHeight w:val="237"/>
        </w:trPr>
        <w:tc>
          <w:tcPr>
            <w:tcW w:w="4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Balance at December 31, 2016</w:t>
            </w:r>
          </w:p>
        </w:tc>
        <w:tc>
          <w:tcPr>
            <w:tcW w:w="24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261,206</w:t>
            </w:r>
          </w:p>
        </w:tc>
        <w:tc>
          <w:tcPr>
            <w:tcW w:w="12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34.75</w:t>
            </w:r>
          </w:p>
        </w:tc>
      </w:tr>
      <w:tr>
        <w:trPr>
          <w:trHeight w:val="235"/>
        </w:trPr>
        <w:tc>
          <w:tcPr>
            <w:tcW w:w="408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(26,970)</w:t>
            </w:r>
          </w:p>
        </w:tc>
        <w:tc>
          <w:tcPr>
            <w:tcW w:w="1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33.09</w:t>
            </w:r>
          </w:p>
        </w:tc>
      </w:tr>
      <w:tr>
        <w:trPr>
          <w:trHeight w:val="244"/>
        </w:trPr>
        <w:tc>
          <w:tcPr>
            <w:tcW w:w="40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Forfeited</w:t>
            </w:r>
          </w:p>
        </w:tc>
        <w:tc>
          <w:tcPr>
            <w:tcW w:w="24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0C0C0"/>
          </w:tcPr>
          <w:p>
            <w:pPr>
              <w:spacing w:after="0"/>
              <w:rPr>
                <w:sz w:val="21"/>
                <w:szCs w:val="21"/>
                <w:color w:val="auto"/>
              </w:rPr>
            </w:pPr>
          </w:p>
        </w:tc>
        <w:tc>
          <w:tcPr>
            <w:tcW w:w="1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2017</w:t>
            </w:r>
          </w:p>
        </w:tc>
        <w:tc>
          <w:tcPr>
            <w:tcW w:w="2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234,236</w:t>
            </w:r>
          </w:p>
        </w:tc>
        <w:tc>
          <w:tcPr>
            <w:tcW w:w="1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r>
      <w:tr>
        <w:trPr>
          <w:trHeight w:val="237"/>
        </w:trPr>
        <w:tc>
          <w:tcPr>
            <w:tcW w:w="4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Exercisable at December 31, 2017</w:t>
            </w:r>
          </w:p>
        </w:tc>
        <w:tc>
          <w:tcPr>
            <w:tcW w:w="24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234,236</w:t>
            </w:r>
          </w:p>
        </w:tc>
        <w:tc>
          <w:tcPr>
            <w:tcW w:w="12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34.97</w:t>
            </w: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total intrinsic value of SARs exercised during 2017 and 2016 was $892,000 and $2,162,000, respectively. The average remaining contractual term for SARs outstanding as of December 31, 2017 was 5.03 years, and the aggregate intrinsic value was $7,291,000. The average remaining contractual term for SARs exercisable as of December 31, 2016 was 5.22 years, and the aggregate intrinsic value was $8,395,000.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total compensation cost for share-based payment arrangements was $2,340,000, $1,959,000, and $2,059,000 in 2017, 2016, and 2015,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Details of other operating expense are as follows:</w:t>
      </w:r>
    </w:p>
    <w:p>
      <w:pPr>
        <w:spacing w:after="0" w:line="233"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For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2017</w:t>
            </w:r>
          </w:p>
        </w:tc>
        <w:tc>
          <w:tcPr>
            <w:tcW w:w="3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2016</w:t>
            </w: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2015</w:t>
            </w:r>
          </w:p>
        </w:tc>
      </w:tr>
      <w:tr>
        <w:trPr>
          <w:trHeight w:val="243"/>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Postage and supplies</w:t>
            </w:r>
          </w:p>
        </w:tc>
        <w:tc>
          <w:tcPr>
            <w:tcW w:w="3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2,087</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1,925</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1,954</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Promotional expense</w:t>
            </w:r>
          </w:p>
        </w:tc>
        <w:tc>
          <w:tcPr>
            <w:tcW w:w="33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2,557</w:t>
            </w:r>
          </w:p>
        </w:tc>
        <w:tc>
          <w:tcPr>
            <w:tcW w:w="3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2,187</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51"/>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Professional fees</w:t>
            </w:r>
          </w:p>
        </w:tc>
        <w:tc>
          <w:tcPr>
            <w:tcW w:w="33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1,650</w:t>
            </w: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1,930</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1,690</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Outside service fees</w:t>
            </w:r>
          </w:p>
        </w:tc>
        <w:tc>
          <w:tcPr>
            <w:tcW w:w="33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4,424</w:t>
            </w:r>
          </w:p>
        </w:tc>
        <w:tc>
          <w:tcPr>
            <w:tcW w:w="3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3,316</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2,848</w:t>
            </w:r>
          </w:p>
        </w:tc>
      </w:tr>
      <w:tr>
        <w:trPr>
          <w:trHeight w:val="251"/>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Data processing services</w:t>
            </w:r>
          </w:p>
        </w:tc>
        <w:tc>
          <w:tcPr>
            <w:tcW w:w="33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897</w:t>
            </w:r>
          </w:p>
        </w:tc>
        <w:tc>
          <w:tcPr>
            <w:tcW w:w="3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357</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Telecommunications</w:t>
            </w:r>
          </w:p>
        </w:tc>
        <w:tc>
          <w:tcPr>
            <w:tcW w:w="336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749</w:t>
            </w:r>
          </w:p>
        </w:tc>
        <w:tc>
          <w:tcPr>
            <w:tcW w:w="3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44"/>
        </w:trPr>
        <w:tc>
          <w:tcPr>
            <w:tcW w:w="52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336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1,722</w:t>
            </w: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1,913</w:t>
            </w:r>
          </w:p>
        </w:tc>
        <w:tc>
          <w:tcPr>
            <w:tcW w:w="3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1,185</w:t>
            </w:r>
          </w:p>
        </w:tc>
      </w:tr>
      <w:tr>
        <w:trPr>
          <w:trHeight w:val="23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operating expense</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14,086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33"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For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2016</w:t>
            </w:r>
          </w:p>
        </w:tc>
        <w:tc>
          <w:tcPr>
            <w:tcW w:w="3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r>
      <w:tr>
        <w:trPr>
          <w:trHeight w:val="243"/>
        </w:trPr>
        <w:tc>
          <w:tcPr>
            <w:tcW w:w="5040" w:type="dxa"/>
            <w:vAlign w:val="bottom"/>
            <w:shd w:val="clear" w:color="auto" w:fill="C0C0C0"/>
          </w:tcPr>
          <w:p>
            <w:pPr>
              <w:spacing w:after="0"/>
              <w:rPr>
                <w:sz w:val="20"/>
                <w:szCs w:val="20"/>
                <w:color w:val="auto"/>
              </w:rPr>
            </w:pPr>
            <w:r>
              <w:rPr>
                <w:rFonts w:ascii="Arial" w:cs="Arial" w:eastAsia="Arial" w:hAnsi="Arial"/>
                <w:sz w:val="18"/>
                <w:szCs w:val="18"/>
                <w:color w:val="auto"/>
              </w:rPr>
              <w:t>Current:</w:t>
            </w: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0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4,250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6,456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6,825</w:t>
            </w:r>
          </w:p>
        </w:tc>
      </w:tr>
      <w:tr>
        <w:trPr>
          <w:trHeight w:val="251"/>
        </w:trPr>
        <w:tc>
          <w:tcPr>
            <w:tcW w:w="5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State</w:t>
            </w: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1,638</w:t>
            </w:r>
          </w:p>
        </w:tc>
        <w:tc>
          <w:tcPr>
            <w:tcW w:w="3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941</w:t>
            </w:r>
          </w:p>
        </w:tc>
        <w:tc>
          <w:tcPr>
            <w:tcW w:w="32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1,290</w:t>
            </w: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Deferred:</w:t>
            </w:r>
          </w:p>
        </w:tc>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0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Federal</w:t>
            </w:r>
          </w:p>
        </w:tc>
        <w:tc>
          <w:tcPr>
            <w:tcW w:w="34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4,256</w:t>
            </w:r>
          </w:p>
        </w:tc>
        <w:tc>
          <w:tcPr>
            <w:tcW w:w="3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State</w:t>
            </w:r>
          </w:p>
        </w:tc>
        <w:tc>
          <w:tcPr>
            <w:tcW w:w="3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(259)</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50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income tax expense</w:t>
            </w:r>
          </w:p>
        </w:tc>
        <w:tc>
          <w:tcPr>
            <w:tcW w:w="3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9,885</w:t>
            </w: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7,716</w:t>
            </w:r>
          </w:p>
        </w:tc>
        <w:tc>
          <w:tcPr>
            <w:tcW w:w="3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7,978</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reconciliation of expected income tax expense (benefit), computed by applying the effective federal statutory rate of 35% for each of 2017, 2016 and 2015 to income before income tax expense is as follows:</w:t>
      </w:r>
    </w:p>
    <w:p>
      <w:pPr>
        <w:spacing w:after="0" w:line="19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For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r>
      <w:tr>
        <w:trPr>
          <w:trHeight w:val="243"/>
        </w:trPr>
        <w:tc>
          <w:tcPr>
            <w:tcW w:w="6100" w:type="dxa"/>
            <w:vAlign w:val="bottom"/>
            <w:shd w:val="clear" w:color="auto" w:fill="C0C0C0"/>
          </w:tcPr>
          <w:p>
            <w:pPr>
              <w:spacing w:after="0"/>
              <w:rPr>
                <w:sz w:val="20"/>
                <w:szCs w:val="20"/>
                <w:color w:val="auto"/>
              </w:rPr>
            </w:pPr>
            <w:r>
              <w:rPr>
                <w:rFonts w:ascii="Arial" w:cs="Arial" w:eastAsia="Arial" w:hAnsi="Arial"/>
                <w:sz w:val="18"/>
                <w:szCs w:val="18"/>
                <w:color w:val="auto"/>
              </w:rPr>
              <w:t>Expected income tax expense</w:t>
            </w:r>
          </w:p>
        </w:tc>
        <w:tc>
          <w:tcPr>
            <w:tcW w:w="2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12,214</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11,223</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10,862</w:t>
            </w:r>
          </w:p>
        </w:tc>
      </w:tr>
      <w:tr>
        <w:trPr>
          <w:trHeight w:val="235"/>
        </w:trPr>
        <w:tc>
          <w:tcPr>
            <w:tcW w:w="6100" w:type="dxa"/>
            <w:vAlign w:val="bottom"/>
          </w:tcPr>
          <w:p>
            <w:pPr>
              <w:spacing w:after="0"/>
              <w:rPr>
                <w:sz w:val="20"/>
                <w:szCs w:val="20"/>
                <w:color w:val="auto"/>
              </w:rPr>
            </w:pPr>
            <w:r>
              <w:rPr>
                <w:rFonts w:ascii="Arial" w:cs="Arial" w:eastAsia="Arial" w:hAnsi="Arial"/>
                <w:sz w:val="18"/>
                <w:szCs w:val="18"/>
                <w:color w:val="auto"/>
              </w:rPr>
              <w:t>(Reductions) increases resulting from:</w:t>
            </w: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6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Tax-exempt income</w:t>
            </w:r>
          </w:p>
        </w:tc>
        <w:tc>
          <w:tcPr>
            <w:tcW w:w="2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(3,868)</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(3,754)</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(3,704)</w:t>
            </w:r>
          </w:p>
        </w:tc>
      </w:tr>
      <w:tr>
        <w:trPr>
          <w:trHeight w:val="235"/>
        </w:trPr>
        <w:tc>
          <w:tcPr>
            <w:tcW w:w="6100" w:type="dxa"/>
            <w:vAlign w:val="bottom"/>
          </w:tcPr>
          <w:p>
            <w:pPr>
              <w:ind w:left="280"/>
              <w:spacing w:after="0"/>
              <w:rPr>
                <w:sz w:val="20"/>
                <w:szCs w:val="20"/>
                <w:color w:val="auto"/>
              </w:rPr>
            </w:pPr>
            <w:r>
              <w:rPr>
                <w:rFonts w:ascii="Arial" w:cs="Arial" w:eastAsia="Arial" w:hAnsi="Arial"/>
                <w:sz w:val="18"/>
                <w:szCs w:val="18"/>
                <w:color w:val="auto"/>
              </w:rPr>
              <w:t>State taxes, net of federal benefit</w:t>
            </w:r>
          </w:p>
        </w:tc>
        <w:tc>
          <w:tcPr>
            <w:tcW w:w="22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896</w:t>
            </w:r>
          </w:p>
        </w:tc>
        <w:tc>
          <w:tcPr>
            <w:tcW w:w="3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623</w:t>
            </w:r>
          </w:p>
        </w:tc>
        <w:tc>
          <w:tcPr>
            <w:tcW w:w="3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804</w:t>
            </w:r>
          </w:p>
        </w:tc>
      </w:tr>
      <w:tr>
        <w:trPr>
          <w:trHeight w:val="251"/>
        </w:trPr>
        <w:tc>
          <w:tcPr>
            <w:tcW w:w="6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Share-based compensation adjustment</w:t>
            </w:r>
          </w:p>
        </w:tc>
        <w:tc>
          <w:tcPr>
            <w:tcW w:w="2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100" w:type="dxa"/>
            <w:vAlign w:val="bottom"/>
          </w:tcPr>
          <w:p>
            <w:pPr>
              <w:ind w:left="280"/>
              <w:spacing w:after="0"/>
              <w:rPr>
                <w:sz w:val="20"/>
                <w:szCs w:val="20"/>
                <w:color w:val="auto"/>
              </w:rPr>
            </w:pPr>
            <w:r>
              <w:rPr>
                <w:rFonts w:ascii="Arial" w:cs="Arial" w:eastAsia="Arial" w:hAnsi="Arial"/>
                <w:sz w:val="18"/>
                <w:szCs w:val="18"/>
                <w:color w:val="auto"/>
              </w:rPr>
              <w:t>Adjustment of deferred tax asset or liability for TCJA</w:t>
            </w:r>
          </w:p>
        </w:tc>
        <w:tc>
          <w:tcPr>
            <w:tcW w:w="22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1,824</w:t>
            </w:r>
          </w:p>
        </w:tc>
        <w:tc>
          <w:tcPr>
            <w:tcW w:w="3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6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 net</w:t>
            </w:r>
          </w:p>
        </w:tc>
        <w:tc>
          <w:tcPr>
            <w:tcW w:w="2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(805)</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(376)</w:t>
            </w:r>
          </w:p>
        </w:tc>
        <w:tc>
          <w:tcPr>
            <w:tcW w:w="3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16</w:t>
            </w:r>
          </w:p>
        </w:tc>
      </w:tr>
      <w:tr>
        <w:trPr>
          <w:trHeight w:val="237"/>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9,885</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7,716</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7,978</w:t>
            </w: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TCJA was enacted.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Also on December 22, 2017, the SEC issued Staff Accounting Bulletin No. 118 (SAB 118), which provides guidance on accounting for tax effects of the TCJA. SAB 118 provides a measurement period of up to one year from the enactment date to complete the accounting. Based on the information available and current interpretation of the rules, the Company has made provisional estimates of the impact of the reduction in the corporate tax rate and remeasurement of certain deferred tax assets and liabilities based on the rate at which they are expected to reverse in the future. The final analysis and measurement will be completed during 2018 when the Company files the 2017 U.S. federal income tax return.</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Income tax expense in 2017 totaled $9,885,000 compared to $7,716,000 and $7,978,000 in 2016 and 2015, respectively. When measured as a percent of pre-tax income, the Company’s effective tax rate was 28% in 2017, 24% in 2016, and 26% in 2015. The increase in 2017 tax expense was primarily the result of a one-time, non-cash charge of $1,824,000 triggered by the passage of the TCJA on December 22, 2017. The charge consists of the following:</w:t>
      </w:r>
    </w:p>
    <w:p>
      <w:pPr>
        <w:spacing w:after="0" w:line="174" w:lineRule="exact"/>
        <w:rPr>
          <w:sz w:val="20"/>
          <w:szCs w:val="20"/>
          <w:color w:val="auto"/>
        </w:rPr>
      </w:pPr>
    </w:p>
    <w:p>
      <w:pPr>
        <w:ind w:left="540" w:hanging="262"/>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The deferred tax inventory was revalued at the new rate of 21% and resulted in a net credit of $462,000.</w:t>
      </w:r>
    </w:p>
    <w:p>
      <w:pPr>
        <w:spacing w:after="0" w:line="36" w:lineRule="exact"/>
        <w:rPr>
          <w:rFonts w:ascii="Arial" w:cs="Arial" w:eastAsia="Arial" w:hAnsi="Arial"/>
          <w:sz w:val="17"/>
          <w:szCs w:val="17"/>
          <w:color w:val="auto"/>
        </w:rPr>
      </w:pPr>
    </w:p>
    <w:p>
      <w:pPr>
        <w:ind w:left="540" w:right="20" w:hanging="262"/>
        <w:spacing w:after="0" w:line="299"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8"/>
          <w:szCs w:val="18"/>
          <w:color w:val="auto"/>
        </w:rPr>
        <w:t>AOCI related to pension and unrealized gains/losses on securities available for sale was revalued at the new rate of 21% and resulted in a net charge of $2,286,000.</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effective tax rate for 2017 including and excluding the one-time TCJA charge was 28% and 25%, respectively. As a result of the lower TCJA rates, the effective rate for 2018 is anticipated to decrease by approximately 25% vs. the 2017 rate excluding the TCJA charge. The Company’s effective tax rate has traditionally been lower than the statutory rate because of investments and loans that are tax exempt.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which give rise to significant portions of the deferred tax assets and deferred tax liabilities are presented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r>
      <w:tr>
        <w:trPr>
          <w:trHeight w:val="243"/>
        </w:trPr>
        <w:tc>
          <w:tcPr>
            <w:tcW w:w="9340" w:type="dxa"/>
            <w:vAlign w:val="bottom"/>
            <w:shd w:val="clear" w:color="auto" w:fill="C0C0C0"/>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9340" w:type="dxa"/>
            <w:vAlign w:val="bottom"/>
          </w:tcPr>
          <w:p>
            <w:pPr>
              <w:ind w:left="28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2,413</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3,718</w:t>
            </w:r>
          </w:p>
        </w:tc>
      </w:tr>
      <w:tr>
        <w:trPr>
          <w:trHeight w:val="251"/>
        </w:trPr>
        <w:tc>
          <w:tcPr>
            <w:tcW w:w="9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ASC 715 pension funding liability</w:t>
            </w: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6,080</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8,969</w:t>
            </w:r>
          </w:p>
        </w:tc>
      </w:tr>
      <w:tr>
        <w:trPr>
          <w:trHeight w:val="311"/>
        </w:trPr>
        <w:tc>
          <w:tcPr>
            <w:tcW w:w="9340" w:type="dxa"/>
            <w:vAlign w:val="bottom"/>
          </w:tcPr>
          <w:p>
            <w:pPr>
              <w:ind w:left="280"/>
              <w:spacing w:after="0" w:line="310" w:lineRule="exact"/>
              <w:rPr>
                <w:sz w:val="20"/>
                <w:szCs w:val="20"/>
                <w:color w:val="auto"/>
              </w:rPr>
            </w:pPr>
            <w:r>
              <w:rPr>
                <w:rFonts w:ascii="Arial" w:cs="Arial" w:eastAsia="Arial" w:hAnsi="Arial"/>
                <w:sz w:val="18"/>
                <w:szCs w:val="18"/>
                <w:color w:val="auto"/>
              </w:rPr>
              <w:t xml:space="preserve">Net operating loss carryforward </w:t>
            </w:r>
            <w:r>
              <w:rPr>
                <w:rFonts w:ascii="Arial" w:cs="Arial" w:eastAsia="Arial" w:hAnsi="Arial"/>
                <w:sz w:val="29"/>
                <w:szCs w:val="29"/>
                <w:b w:val="1"/>
                <w:bCs w:val="1"/>
                <w:color w:val="auto"/>
                <w:vertAlign w:val="superscript"/>
              </w:rPr>
              <w:t>(1)</w:t>
            </w:r>
          </w:p>
        </w:tc>
        <w:tc>
          <w:tcPr>
            <w:tcW w:w="18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169</w:t>
            </w:r>
          </w:p>
        </w:tc>
      </w:tr>
      <w:tr>
        <w:trPr>
          <w:trHeight w:val="243"/>
        </w:trPr>
        <w:tc>
          <w:tcPr>
            <w:tcW w:w="9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Supplemental executive retirement plan accrual</w:t>
            </w: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1,833</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2,604</w:t>
            </w:r>
          </w:p>
        </w:tc>
      </w:tr>
      <w:tr>
        <w:trPr>
          <w:trHeight w:val="235"/>
        </w:trPr>
        <w:tc>
          <w:tcPr>
            <w:tcW w:w="9340" w:type="dxa"/>
            <w:vAlign w:val="bottom"/>
          </w:tcPr>
          <w:p>
            <w:pPr>
              <w:ind w:left="280"/>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1,307</w:t>
            </w:r>
          </w:p>
        </w:tc>
        <w:tc>
          <w:tcPr>
            <w:tcW w:w="3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1,695</w:t>
            </w:r>
          </w:p>
        </w:tc>
      </w:tr>
      <w:tr>
        <w:trPr>
          <w:trHeight w:val="244"/>
        </w:trPr>
        <w:tc>
          <w:tcPr>
            <w:tcW w:w="93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177</w:t>
            </w:r>
          </w:p>
        </w:tc>
      </w:tr>
      <w:tr>
        <w:trPr>
          <w:trHeight w:val="237"/>
        </w:trPr>
        <w:tc>
          <w:tcPr>
            <w:tcW w:w="93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11,827</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17,332</w:t>
            </w:r>
          </w:p>
        </w:tc>
      </w:tr>
      <w:tr>
        <w:trPr>
          <w:trHeight w:val="243"/>
        </w:trPr>
        <w:tc>
          <w:tcPr>
            <w:tcW w:w="9340" w:type="dxa"/>
            <w:vAlign w:val="bottom"/>
            <w:shd w:val="clear" w:color="auto" w:fill="C0C0C0"/>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9340" w:type="dxa"/>
            <w:vAlign w:val="bottom"/>
          </w:tcPr>
          <w:p>
            <w:pPr>
              <w:ind w:left="280"/>
              <w:spacing w:after="0"/>
              <w:rPr>
                <w:sz w:val="20"/>
                <w:szCs w:val="20"/>
                <w:color w:val="auto"/>
              </w:rPr>
            </w:pPr>
            <w:r>
              <w:rPr>
                <w:rFonts w:ascii="Arial" w:cs="Arial" w:eastAsia="Arial" w:hAnsi="Arial"/>
                <w:sz w:val="18"/>
                <w:szCs w:val="18"/>
                <w:color w:val="auto"/>
              </w:rPr>
              <w:t>Premises and equipment</w:t>
            </w:r>
          </w:p>
        </w:tc>
        <w:tc>
          <w:tcPr>
            <w:tcW w:w="18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(2,248)</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(2,731)</w:t>
            </w:r>
          </w:p>
        </w:tc>
      </w:tr>
      <w:tr>
        <w:trPr>
          <w:trHeight w:val="251"/>
        </w:trPr>
        <w:tc>
          <w:tcPr>
            <w:tcW w:w="9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Pension</w:t>
            </w: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(1,379)</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(3,601)</w:t>
            </w:r>
          </w:p>
        </w:tc>
      </w:tr>
      <w:tr>
        <w:trPr>
          <w:trHeight w:val="235"/>
        </w:trPr>
        <w:tc>
          <w:tcPr>
            <w:tcW w:w="9340" w:type="dxa"/>
            <w:vAlign w:val="bottom"/>
          </w:tcPr>
          <w:p>
            <w:pPr>
              <w:ind w:left="280"/>
              <w:spacing w:after="0"/>
              <w:rPr>
                <w:sz w:val="20"/>
                <w:szCs w:val="20"/>
                <w:color w:val="auto"/>
              </w:rPr>
            </w:pPr>
            <w:r>
              <w:rPr>
                <w:rFonts w:ascii="Arial" w:cs="Arial" w:eastAsia="Arial" w:hAnsi="Arial"/>
                <w:sz w:val="18"/>
                <w:szCs w:val="18"/>
                <w:color w:val="auto"/>
              </w:rPr>
              <w:t>Intangible/assets</w:t>
            </w:r>
          </w:p>
        </w:tc>
        <w:tc>
          <w:tcPr>
            <w:tcW w:w="18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(1,091)</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51"/>
        </w:trPr>
        <w:tc>
          <w:tcPr>
            <w:tcW w:w="9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Unrealized gain on investment in securities available-for-sale</w:t>
            </w: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(1,938)</w:t>
            </w:r>
          </w:p>
        </w:tc>
        <w:tc>
          <w:tcPr>
            <w:tcW w:w="3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(560)</w:t>
            </w:r>
          </w:p>
        </w:tc>
      </w:tr>
      <w:tr>
        <w:trPr>
          <w:trHeight w:val="237"/>
        </w:trPr>
        <w:tc>
          <w:tcPr>
            <w:tcW w:w="9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Deferred income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(2,121)</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34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auto"/>
            </w:tcBorders>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(8,777)</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(8,294)</w:t>
            </w:r>
          </w:p>
        </w:tc>
      </w:tr>
      <w:tr>
        <w:trPr>
          <w:trHeight w:val="237"/>
        </w:trPr>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3,050</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9,038</w:t>
            </w:r>
          </w:p>
        </w:tc>
      </w:tr>
    </w:tbl>
    <w:p>
      <w:pPr>
        <w:spacing w:after="0" w:line="262" w:lineRule="exact"/>
        <w:rPr>
          <w:sz w:val="20"/>
          <w:szCs w:val="20"/>
          <w:color w:val="auto"/>
        </w:rPr>
      </w:pPr>
    </w:p>
    <w:p>
      <w:pPr>
        <w:jc w:val="both"/>
        <w:ind w:left="220" w:right="220" w:hanging="212"/>
        <w:spacing w:after="0" w:line="235" w:lineRule="auto"/>
        <w:tabs>
          <w:tab w:leader="none" w:pos="220" w:val="left"/>
        </w:tabs>
        <w:numPr>
          <w:ilvl w:val="0"/>
          <w:numId w:val="19"/>
        </w:numPr>
        <w:rPr>
          <w:rFonts w:ascii="Arial" w:cs="Arial" w:eastAsia="Arial" w:hAnsi="Arial"/>
          <w:sz w:val="26"/>
          <w:szCs w:val="26"/>
          <w:b w:val="1"/>
          <w:bCs w:val="1"/>
          <w:color w:val="auto"/>
          <w:vertAlign w:val="superscript"/>
        </w:rPr>
      </w:pPr>
      <w:r>
        <w:rPr>
          <w:rFonts w:ascii="Arial" w:cs="Arial" w:eastAsia="Arial" w:hAnsi="Arial"/>
          <w:sz w:val="16"/>
          <w:szCs w:val="16"/>
          <w:color w:val="auto"/>
        </w:rPr>
        <w:t>As of December 31, 2017, the Company had approximately $361,000 of net operating loss carry forwards as a result of the acquisition of Franklin Bancorp. The utilization of the net operating loss carry forward is subject to Section 382 of the Internal Revenue Code and limits the Company’s use to approximately $122,000 per year during the carry forward period, which expires in 2020.</w:t>
      </w:r>
    </w:p>
    <w:p>
      <w:pPr>
        <w:spacing w:after="0" w:line="21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 valuation allowance would be provided on deferred tax assets when it is more likely than not that some portion of the assets will not be realized. The Company has not established a valuation allowance at December 31, 2017 or 2016, due to management’s belief that all criteria for recognition have been met, including the expectation of projected future taxable income sufficient to support the realization of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beginning unrecognized tax benefits balance to the ending balance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20"/>
                <w:szCs w:val="20"/>
                <w:color w:val="auto"/>
              </w:rPr>
            </w:pPr>
          </w:p>
        </w:tc>
      </w:tr>
      <w:tr>
        <w:trPr>
          <w:trHeight w:val="243"/>
        </w:trPr>
        <w:tc>
          <w:tcPr>
            <w:tcW w:w="7860" w:type="dxa"/>
            <w:vAlign w:val="bottom"/>
            <w:shd w:val="clear" w:color="auto" w:fill="C0C0C0"/>
          </w:tcPr>
          <w:p>
            <w:pPr>
              <w:spacing w:after="0"/>
              <w:rPr>
                <w:sz w:val="20"/>
                <w:szCs w:val="20"/>
                <w:color w:val="auto"/>
              </w:rPr>
            </w:pPr>
            <w:r>
              <w:rPr>
                <w:rFonts w:ascii="Arial" w:cs="Arial" w:eastAsia="Arial" w:hAnsi="Arial"/>
                <w:sz w:val="18"/>
                <w:szCs w:val="18"/>
                <w:color w:val="auto"/>
              </w:rPr>
              <w:t>Balance at January 1</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1,623</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21"/>
                <w:szCs w:val="21"/>
                <w:color w:val="auto"/>
              </w:rPr>
            </w:pPr>
          </w:p>
        </w:tc>
      </w:tr>
      <w:tr>
        <w:trPr>
          <w:trHeight w:val="235"/>
        </w:trPr>
        <w:tc>
          <w:tcPr>
            <w:tcW w:w="7860" w:type="dxa"/>
            <w:vAlign w:val="bottom"/>
          </w:tcPr>
          <w:p>
            <w:pPr>
              <w:ind w:left="280"/>
              <w:spacing w:after="0"/>
              <w:rPr>
                <w:sz w:val="20"/>
                <w:szCs w:val="20"/>
                <w:color w:val="auto"/>
              </w:rPr>
            </w:pPr>
            <w:r>
              <w:rPr>
                <w:rFonts w:ascii="Arial" w:cs="Arial" w:eastAsia="Arial" w:hAnsi="Arial"/>
                <w:sz w:val="18"/>
                <w:szCs w:val="18"/>
                <w:color w:val="auto"/>
              </w:rPr>
              <w:t>Changes in unrecognized tax benefits as a result of tax positions taken during a prior year</w:t>
            </w:r>
          </w:p>
        </w:tc>
        <w:tc>
          <w:tcPr>
            <w:tcW w:w="76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0"/>
                <w:szCs w:val="20"/>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51"/>
        </w:trPr>
        <w:tc>
          <w:tcPr>
            <w:tcW w:w="78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Changes in unrecognized tax benefits as a result of tax position taken during the current year</w:t>
            </w:r>
          </w:p>
        </w:tc>
        <w:tc>
          <w:tcPr>
            <w:tcW w:w="76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1"/>
                <w:szCs w:val="21"/>
                <w:color w:val="auto"/>
              </w:rPr>
            </w:pPr>
          </w:p>
        </w:tc>
      </w:tr>
      <w:tr>
        <w:trPr>
          <w:trHeight w:val="235"/>
        </w:trPr>
        <w:tc>
          <w:tcPr>
            <w:tcW w:w="7860" w:type="dxa"/>
            <w:vAlign w:val="bottom"/>
          </w:tcPr>
          <w:p>
            <w:pPr>
              <w:ind w:left="280"/>
              <w:spacing w:after="0"/>
              <w:rPr>
                <w:sz w:val="20"/>
                <w:szCs w:val="20"/>
                <w:color w:val="auto"/>
              </w:rPr>
            </w:pPr>
            <w:r>
              <w:rPr>
                <w:rFonts w:ascii="Arial" w:cs="Arial" w:eastAsia="Arial" w:hAnsi="Arial"/>
                <w:sz w:val="18"/>
                <w:szCs w:val="18"/>
                <w:color w:val="auto"/>
              </w:rPr>
              <w:t>Decreases in unrecognized tax benefits relating to settlements with taxing authorities</w:t>
            </w:r>
          </w:p>
        </w:tc>
        <w:tc>
          <w:tcPr>
            <w:tcW w:w="76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4"/>
        </w:trPr>
        <w:tc>
          <w:tcPr>
            <w:tcW w:w="78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w w:val="95"/>
              </w:rPr>
              <w:t>Reductions to unrecognized tax benefits as a result of a lapse of the applicable statute of limitations</w:t>
            </w:r>
          </w:p>
        </w:tc>
        <w:tc>
          <w:tcPr>
            <w:tcW w:w="7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(239)</w:t>
            </w:r>
          </w:p>
        </w:tc>
        <w:tc>
          <w:tcPr>
            <w:tcW w:w="3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21"/>
                <w:szCs w:val="21"/>
                <w:color w:val="auto"/>
              </w:rPr>
            </w:pPr>
          </w:p>
        </w:tc>
      </w:tr>
      <w:tr>
        <w:trPr>
          <w:trHeight w:val="237"/>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20"/>
                <w:szCs w:val="20"/>
                <w:color w:val="auto"/>
              </w:rPr>
            </w:pPr>
          </w:p>
        </w:tc>
      </w:tr>
      <w:tr>
        <w:trPr>
          <w:trHeight w:val="430"/>
        </w:trPr>
        <w:tc>
          <w:tcPr>
            <w:tcW w:w="7860" w:type="dxa"/>
            <w:vAlign w:val="bottom"/>
          </w:tcPr>
          <w:p>
            <w:pPr>
              <w:ind w:left="5620"/>
              <w:spacing w:after="0"/>
              <w:rPr>
                <w:sz w:val="20"/>
                <w:szCs w:val="20"/>
                <w:color w:val="auto"/>
              </w:rPr>
            </w:pPr>
            <w:r>
              <w:rPr>
                <w:rFonts w:ascii="Arial" w:cs="Arial" w:eastAsia="Arial" w:hAnsi="Arial"/>
                <w:sz w:val="18"/>
                <w:szCs w:val="18"/>
                <w:color w:val="auto"/>
              </w:rPr>
              <w:t>55</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78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At December 31, 2017, 2016 and 2015, the balance of the Company’s unrecognized tax benefits which would, if recognized, affect the Company’s effective tax rate was $1,464,000, $1,225,000 and $861,000, respectively. These amounts are net of the offsetting benefits from other taxing jurisdictions.</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December 31, 2017, 2016 and 2015, the Company had $139,000, $108,000 and $54,000, respectively, in accrued interest related to unrecognized tax benefits. During 2017 and 2016, the Company recorded a net increase in accrued interest of $31,000 and $54,000, respectively.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it is reasonably possible that the total amount of tax benefits will decrease by approximately $299,000 over the next 12 months. The reduction primarily relates to the anticipated lapse in the statute of limitations. The unrecognized tax benefits relate primarily to apportionment of taxable income among various state tax jurisdictions.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income tax in the U.S. federal jurisdiction, numerous state jurisdictions, and a foreign jurisdiction. The Company’s federal income tax returns for tax years 2014 through 2016 remain subject to examination by the Internal Revenue Service. In addition, the Company is subject to state tax examinations for the tax years 2013 through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2017 and 2016, no amounts have been accrued for any estimated losses for these instruments.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conditional commitments to extend credit, standby letters of credit and commercial letters: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r>
      <w:tr>
        <w:trPr>
          <w:trHeight w:val="243"/>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Conditional commitments to extend credit</w:t>
            </w:r>
          </w:p>
        </w:tc>
        <w:tc>
          <w:tcPr>
            <w:tcW w:w="30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   87,013</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45,497</w:t>
            </w:r>
          </w:p>
        </w:tc>
      </w:tr>
      <w:tr>
        <w:trPr>
          <w:trHeight w:val="235"/>
        </w:trPr>
        <w:tc>
          <w:tcPr>
            <w:tcW w:w="51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3080" w:type="dxa"/>
            <w:vAlign w:val="bottom"/>
            <w:gridSpan w:val="2"/>
          </w:tcPr>
          <w:p>
            <w:pPr>
              <w:jc w:val="right"/>
              <w:ind w:right="32"/>
              <w:spacing w:after="0"/>
              <w:rPr>
                <w:sz w:val="20"/>
                <w:szCs w:val="20"/>
                <w:color w:val="auto"/>
              </w:rPr>
            </w:pPr>
            <w:r>
              <w:rPr>
                <w:rFonts w:ascii="Arial" w:cs="Arial" w:eastAsia="Arial" w:hAnsi="Arial"/>
                <w:sz w:val="18"/>
                <w:szCs w:val="18"/>
                <w:color w:val="auto"/>
              </w:rPr>
              <w:t>14,347</w:t>
            </w:r>
          </w:p>
        </w:tc>
        <w:tc>
          <w:tcPr>
            <w:tcW w:w="940" w:type="dxa"/>
            <w:vAlign w:val="bottom"/>
          </w:tcPr>
          <w:p>
            <w:pPr>
              <w:jc w:val="right"/>
              <w:spacing w:after="0"/>
              <w:rPr>
                <w:sz w:val="20"/>
                <w:szCs w:val="20"/>
                <w:color w:val="auto"/>
              </w:rPr>
            </w:pPr>
            <w:r>
              <w:rPr>
                <w:rFonts w:ascii="Arial" w:cs="Arial" w:eastAsia="Arial" w:hAnsi="Arial"/>
                <w:sz w:val="18"/>
                <w:szCs w:val="18"/>
                <w:color w:val="auto"/>
              </w:rPr>
              <w:t>14,381</w:t>
            </w:r>
          </w:p>
        </w:tc>
      </w:tr>
      <w:tr>
        <w:trPr>
          <w:trHeight w:val="244"/>
        </w:trPr>
        <w:tc>
          <w:tcPr>
            <w:tcW w:w="5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Commercial letters of credit</w:t>
            </w:r>
          </w:p>
        </w:tc>
        <w:tc>
          <w:tcPr>
            <w:tcW w:w="3080" w:type="dxa"/>
            <w:vAlign w:val="bottom"/>
            <w:tcBorders>
              <w:bottom w:val="single" w:sz="8" w:color="auto"/>
            </w:tcBorders>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3,246</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1,962</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7700" w:type="dxa"/>
            <w:vAlign w:val="bottom"/>
            <w:gridSpan w:val="5"/>
          </w:tcPr>
          <w:p>
            <w:pPr>
              <w:spacing w:after="0"/>
              <w:rPr>
                <w:sz w:val="20"/>
                <w:szCs w:val="20"/>
                <w:color w:val="auto"/>
              </w:rPr>
            </w:pPr>
            <w:r>
              <w:rPr>
                <w:rFonts w:ascii="Arial" w:cs="Arial" w:eastAsia="Arial" w:hAnsi="Arial"/>
                <w:sz w:val="18"/>
                <w:szCs w:val="18"/>
                <w:color w:val="auto"/>
                <w:w w:val="93"/>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5"/>
        </w:trPr>
        <w:tc>
          <w:tcPr>
            <w:tcW w:w="1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20"/>
                <w:szCs w:val="20"/>
                <w:color w:val="auto"/>
              </w:rPr>
            </w:pPr>
          </w:p>
        </w:tc>
      </w:tr>
      <w:tr>
        <w:trPr>
          <w:trHeight w:val="228"/>
        </w:trPr>
        <w:tc>
          <w:tcPr>
            <w:tcW w:w="1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1"/>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r>
      <w:tr>
        <w:trPr>
          <w:trHeight w:val="243"/>
        </w:trPr>
        <w:tc>
          <w:tcPr>
            <w:tcW w:w="44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2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228,110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228,110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266,743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266,743</w:t>
            </w:r>
          </w:p>
        </w:tc>
      </w:tr>
      <w:tr>
        <w:trPr>
          <w:trHeight w:val="251"/>
        </w:trPr>
        <w:tc>
          <w:tcPr>
            <w:tcW w:w="4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Investment in securities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470,523</w:t>
            </w: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470,523</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390,552</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390,552</w:t>
            </w:r>
          </w:p>
        </w:tc>
      </w:tr>
      <w:tr>
        <w:trPr>
          <w:trHeight w:val="235"/>
        </w:trPr>
        <w:tc>
          <w:tcPr>
            <w:tcW w:w="4420" w:type="dxa"/>
            <w:vAlign w:val="bottom"/>
            <w:gridSpan w:val="2"/>
          </w:tcPr>
          <w:p>
            <w:pPr>
              <w:ind w:left="280"/>
              <w:spacing w:after="0"/>
              <w:rPr>
                <w:sz w:val="20"/>
                <w:szCs w:val="20"/>
                <w:color w:val="auto"/>
              </w:rPr>
            </w:pPr>
            <w:r>
              <w:rPr>
                <w:rFonts w:ascii="Arial" w:cs="Arial" w:eastAsia="Arial" w:hAnsi="Arial"/>
                <w:sz w:val="18"/>
                <w:szCs w:val="18"/>
                <w:color w:val="auto"/>
              </w:rPr>
              <w:t>Loans, net</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676,026</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675,020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654,691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652,028</w:t>
            </w:r>
          </w:p>
        </w:tc>
      </w:tr>
      <w:tr>
        <w:trPr>
          <w:trHeight w:val="244"/>
        </w:trPr>
        <w:tc>
          <w:tcPr>
            <w:tcW w:w="4420" w:type="dxa"/>
            <w:vAlign w:val="bottom"/>
            <w:tcBorders>
              <w:bottom w:val="single" w:sz="8" w:color="auto"/>
            </w:tcBorders>
            <w:gridSpan w:val="2"/>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2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7,413</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7,413</w:t>
            </w:r>
          </w:p>
        </w:tc>
        <w:tc>
          <w:tcPr>
            <w:tcW w:w="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6,543</w:t>
            </w:r>
          </w:p>
        </w:tc>
        <w:tc>
          <w:tcPr>
            <w:tcW w:w="22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6,543</w:t>
            </w:r>
          </w:p>
        </w:tc>
      </w:tr>
      <w:tr>
        <w:trPr>
          <w:trHeight w:val="237"/>
        </w:trPr>
        <w:tc>
          <w:tcPr>
            <w:tcW w:w="442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1,382,072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1,381,066</w:t>
            </w: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1,318,529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1,315,866</w:t>
            </w:r>
          </w:p>
        </w:tc>
      </w:tr>
      <w:tr>
        <w:trPr>
          <w:trHeight w:val="243"/>
        </w:trPr>
        <w:tc>
          <w:tcPr>
            <w:tcW w:w="13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4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20" w:type="dxa"/>
            <w:vAlign w:val="bottom"/>
            <w:gridSpan w:val="2"/>
          </w:tcPr>
          <w:p>
            <w:pPr>
              <w:ind w:left="280"/>
              <w:spacing w:after="0"/>
              <w:rPr>
                <w:sz w:val="20"/>
                <w:szCs w:val="20"/>
                <w:color w:val="auto"/>
              </w:rPr>
            </w:pPr>
            <w:r>
              <w:rPr>
                <w:rFonts w:ascii="Arial" w:cs="Arial" w:eastAsia="Arial" w:hAnsi="Arial"/>
                <w:sz w:val="18"/>
                <w:szCs w:val="18"/>
                <w:color w:val="auto"/>
              </w:rPr>
              <w:t>Deposits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678,088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678,346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621,961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622,173</w:t>
            </w:r>
          </w:p>
        </w:tc>
      </w:tr>
      <w:tr>
        <w:trPr>
          <w:trHeight w:val="251"/>
        </w:trPr>
        <w:tc>
          <w:tcPr>
            <w:tcW w:w="4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661,888</w:t>
            </w: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661,888</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642,287</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642,287</w:t>
            </w:r>
          </w:p>
        </w:tc>
      </w:tr>
      <w:tr>
        <w:trPr>
          <w:trHeight w:val="237"/>
        </w:trPr>
        <w:tc>
          <w:tcPr>
            <w:tcW w:w="44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Accrued interest payable</w:t>
            </w:r>
          </w:p>
        </w:tc>
        <w:tc>
          <w:tcPr>
            <w:tcW w:w="2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4420" w:type="dxa"/>
            <w:vAlign w:val="bottom"/>
            <w:tcBorders>
              <w:bottom w:val="single" w:sz="8" w:color="auto"/>
            </w:tcBorders>
            <w:gridSpan w:val="2"/>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1,340,031</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1,340,289</w:t>
            </w:r>
          </w:p>
        </w:tc>
        <w:tc>
          <w:tcPr>
            <w:tcW w:w="26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1,264,294</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1,264,506</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The fair value is measured on a recurring basis using Level 2 valuations. Refer to Note 3, “Investment in Securities,” for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by investment type.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results in a fair valuation.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current appraised value and therefore, the fair value is a nonrecurring Level 3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The fair value of demand deposits, savings deposits and certain money market deposits is the amount payable on demand at the reporting date.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Limitations </w:t>
      </w:r>
      <w:r>
        <w:rPr>
          <w:rFonts w:ascii="Arial" w:cs="Arial" w:eastAsia="Arial" w:hAnsi="Arial"/>
          <w:sz w:val="16"/>
          <w:szCs w:val="16"/>
          <w:color w:val="auto"/>
        </w:rPr>
        <w:t>Fair value estimates are based on existing on- and off-balance sheet financial instruments without attempting to estimate the value of anticipated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 Information</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processing and capital requirements. 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w:t>
      </w:r>
    </w:p>
    <w:p>
      <w:pPr>
        <w:sectPr>
          <w:pgSz w:w="11900" w:h="16838" w:orient="portrait"/>
          <w:cols w:equalWidth="0" w:num="1">
            <w:col w:w="11420"/>
          </w:cols>
          <w:pgMar w:left="240" w:top="108"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accounting policies for segments are the same as those described in Note 1 of this report. Management evaluates segment performance based on net income after allocations for corporate expenses and income taxes. Transactions between segments are accounted for at what management believes to be fair value.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Substantially all revenue originates from and all long-lived assets are located within the United States, and no revenue from any customer of any segment exceeds 10% of the Company’s consolidated revenue. Assets represent actual assets owned by Information Services and Banking Services and there is no allocation methodology used. Loans are sold by Banking Services to Information Services to create liquidity to keep the Bank’s loan to deposit ratio within policy limits. Segment interest from customers is the actual interest earned on the loans owned by Information Services and Banking Services,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the Company’s operations in each industry segment for the years ended December 31, 2017, 2016 and 2015,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Corporate,</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360" w:type="dxa"/>
            <w:vAlign w:val="bottom"/>
          </w:tcPr>
          <w:p>
            <w:pPr>
              <w:spacing w:after="0"/>
              <w:rPr>
                <w:sz w:val="21"/>
                <w:szCs w:val="21"/>
                <w:color w:val="auto"/>
              </w:rPr>
            </w:pPr>
          </w:p>
        </w:tc>
        <w:tc>
          <w:tcPr>
            <w:tcW w:w="22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Information</w:t>
            </w:r>
          </w:p>
        </w:tc>
        <w:tc>
          <w:tcPr>
            <w:tcW w:w="260" w:type="dxa"/>
            <w:vAlign w:val="bottom"/>
          </w:tcPr>
          <w:p>
            <w:pPr>
              <w:spacing w:after="0"/>
              <w:rPr>
                <w:sz w:val="21"/>
                <w:szCs w:val="21"/>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w w:val="95"/>
              </w:rPr>
              <w:t>Banking</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Eliminations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2"/>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Services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Services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1"/>
              </w:rPr>
              <w:t>and Other</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43"/>
        </w:trPr>
        <w:tc>
          <w:tcPr>
            <w:tcW w:w="536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2017</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Fee revenue and other income:</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Income from customers</w:t>
            </w:r>
          </w:p>
        </w:tc>
        <w:tc>
          <w:tcPr>
            <w:tcW w:w="1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93,804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1,708</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95,512</w:t>
            </w:r>
          </w:p>
        </w:tc>
      </w:tr>
      <w:tr>
        <w:trPr>
          <w:trHeight w:val="235"/>
        </w:trPr>
        <w:tc>
          <w:tcPr>
            <w:tcW w:w="5360" w:type="dxa"/>
            <w:vAlign w:val="bottom"/>
          </w:tcPr>
          <w:p>
            <w:pPr>
              <w:ind w:left="280"/>
              <w:spacing w:after="0"/>
              <w:rPr>
                <w:sz w:val="20"/>
                <w:szCs w:val="20"/>
                <w:color w:val="auto"/>
              </w:rPr>
            </w:pPr>
            <w:r>
              <w:rPr>
                <w:rFonts w:ascii="Arial" w:cs="Arial" w:eastAsia="Arial" w:hAnsi="Arial"/>
                <w:sz w:val="18"/>
                <w:szCs w:val="18"/>
                <w:color w:val="auto"/>
              </w:rPr>
              <w:t>Intersegment income (expense)</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13,317</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(14,862)</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 (expense) after provision for loan losses:</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360" w:type="dxa"/>
            <w:vAlign w:val="bottom"/>
          </w:tcPr>
          <w:p>
            <w:pPr>
              <w:ind w:left="280"/>
              <w:spacing w:after="0"/>
              <w:rPr>
                <w:sz w:val="20"/>
                <w:szCs w:val="20"/>
                <w:color w:val="auto"/>
              </w:rPr>
            </w:pPr>
            <w:r>
              <w:rPr>
                <w:rFonts w:ascii="Arial" w:cs="Arial" w:eastAsia="Arial" w:hAnsi="Arial"/>
                <w:sz w:val="18"/>
                <w:szCs w:val="18"/>
                <w:color w:val="auto"/>
              </w:rPr>
              <w:t>Income from customers</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13,400</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26,390</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39,790</w:t>
            </w:r>
          </w:p>
        </w:tc>
      </w:tr>
      <w:tr>
        <w:trPr>
          <w:trHeight w:val="251"/>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3,784</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Income taxes</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4,326</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5,559</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9,885</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13,597</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11,417</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25,014</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1,996</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44"/>
        </w:trPr>
        <w:tc>
          <w:tcPr>
            <w:tcW w:w="53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800,214</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830,672</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(27,677)</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1,603,209</w:t>
            </w:r>
          </w:p>
        </w:tc>
      </w:tr>
      <w:tr>
        <w:trPr>
          <w:trHeight w:val="235"/>
        </w:trPr>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2016</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Fee revenue and other income:</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360" w:type="dxa"/>
            <w:vAlign w:val="bottom"/>
          </w:tcPr>
          <w:p>
            <w:pPr>
              <w:ind w:left="280"/>
              <w:spacing w:after="0"/>
              <w:rPr>
                <w:sz w:val="20"/>
                <w:szCs w:val="20"/>
                <w:color w:val="auto"/>
              </w:rPr>
            </w:pPr>
            <w:r>
              <w:rPr>
                <w:rFonts w:ascii="Arial" w:cs="Arial" w:eastAsia="Arial" w:hAnsi="Arial"/>
                <w:sz w:val="18"/>
                <w:szCs w:val="18"/>
                <w:color w:val="auto"/>
              </w:rPr>
              <w:t>Income from customers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84,612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86,136</w:t>
            </w:r>
          </w:p>
        </w:tc>
      </w:tr>
      <w:tr>
        <w:trPr>
          <w:trHeight w:val="251"/>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12,164</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1,575</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(13,739)</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Net interest income (expense) after provision for loan losses:</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Income from customers</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13,820</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25,581</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39,401</w:t>
            </w:r>
          </w:p>
        </w:tc>
      </w:tr>
      <w:tr>
        <w:trPr>
          <w:trHeight w:val="235"/>
        </w:trPr>
        <w:tc>
          <w:tcPr>
            <w:tcW w:w="5360" w:type="dxa"/>
            <w:vAlign w:val="bottom"/>
          </w:tcPr>
          <w:p>
            <w:pPr>
              <w:ind w:left="280"/>
              <w:spacing w:after="0"/>
              <w:rPr>
                <w:sz w:val="20"/>
                <w:szCs w:val="20"/>
                <w:color w:val="auto"/>
              </w:rPr>
            </w:pPr>
            <w:r>
              <w:rPr>
                <w:rFonts w:ascii="Arial" w:cs="Arial" w:eastAsia="Arial" w:hAnsi="Arial"/>
                <w:sz w:val="18"/>
                <w:szCs w:val="18"/>
                <w:color w:val="auto"/>
              </w:rPr>
              <w:t>Intersegment income (expense)</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3,368</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3,653</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Income taxes</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1,478</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6,238</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7,716</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14,049</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10,299</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24,348</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11,454</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11,590</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Other intangible assets, net</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1,997</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1,997</w:t>
            </w:r>
          </w:p>
        </w:tc>
      </w:tr>
      <w:tr>
        <w:trPr>
          <w:trHeight w:val="23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763,999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756,164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(15,324)</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1,504,839</w:t>
            </w:r>
          </w:p>
        </w:tc>
      </w:tr>
      <w:tr>
        <w:trPr>
          <w:trHeight w:val="243"/>
        </w:trPr>
        <w:tc>
          <w:tcPr>
            <w:tcW w:w="536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2015</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Fee revenue and other income:</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Income from customers</w:t>
            </w:r>
          </w:p>
        </w:tc>
        <w:tc>
          <w:tcPr>
            <w:tcW w:w="1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82,144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1,224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83,368</w:t>
            </w:r>
          </w:p>
        </w:tc>
      </w:tr>
      <w:tr>
        <w:trPr>
          <w:trHeight w:val="235"/>
        </w:trPr>
        <w:tc>
          <w:tcPr>
            <w:tcW w:w="5360" w:type="dxa"/>
            <w:vAlign w:val="bottom"/>
          </w:tcPr>
          <w:p>
            <w:pPr>
              <w:ind w:left="280"/>
              <w:spacing w:after="0"/>
              <w:rPr>
                <w:sz w:val="20"/>
                <w:szCs w:val="20"/>
                <w:color w:val="auto"/>
              </w:rPr>
            </w:pPr>
            <w:r>
              <w:rPr>
                <w:rFonts w:ascii="Arial" w:cs="Arial" w:eastAsia="Arial" w:hAnsi="Arial"/>
                <w:sz w:val="18"/>
                <w:szCs w:val="18"/>
                <w:color w:val="auto"/>
              </w:rPr>
              <w:t>Intersegment income (expense)</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10,078</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1,648</w:t>
            </w:r>
          </w:p>
        </w:tc>
        <w:tc>
          <w:tcPr>
            <w:tcW w:w="2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(11,726)</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 (expense) after provision for loan losses:</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5360" w:type="dxa"/>
            <w:vAlign w:val="bottom"/>
          </w:tcPr>
          <w:p>
            <w:pPr>
              <w:ind w:left="280"/>
              <w:spacing w:after="0"/>
              <w:rPr>
                <w:sz w:val="20"/>
                <w:szCs w:val="20"/>
                <w:color w:val="auto"/>
              </w:rPr>
            </w:pPr>
            <w:r>
              <w:rPr>
                <w:rFonts w:ascii="Arial" w:cs="Arial" w:eastAsia="Arial" w:hAnsi="Arial"/>
                <w:sz w:val="18"/>
                <w:szCs w:val="18"/>
                <w:color w:val="auto"/>
              </w:rPr>
              <w:t>Income from customers</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14,598</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22,851</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37,449</w:t>
            </w:r>
          </w:p>
        </w:tc>
      </w:tr>
      <w:tr>
        <w:trPr>
          <w:trHeight w:val="251"/>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3,164</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Income taxes</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2,818</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5,160</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7,978</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14,635</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8,421</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23,056</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11,454</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11,590</w:t>
            </w: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2,405</w:t>
            </w:r>
          </w:p>
        </w:tc>
        <w:tc>
          <w:tcPr>
            <w:tcW w:w="2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244"/>
        </w:trPr>
        <w:tc>
          <w:tcPr>
            <w:tcW w:w="53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702,491</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761,739</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(8,724)</w:t>
            </w:r>
          </w:p>
        </w:tc>
        <w:tc>
          <w:tcPr>
            <w:tcW w:w="3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1,455,506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FASB ASC 855 -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December 31, 2017, and there were no events identified that would require additional disclosures to prevent the Company’s consolidated financial statements from being misleading.</w:t>
      </w:r>
    </w:p>
    <w:p>
      <w:pPr>
        <w:sectPr>
          <w:pgSz w:w="11900" w:h="16838" w:orient="portrait"/>
          <w:cols w:equalWidth="0" w:num="1">
            <w:col w:w="11420"/>
          </w:cols>
          <w:pgMar w:left="240" w:top="125" w:right="239" w:bottom="1157"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157"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Following are the condensed balance sheets of the Company (parent company only) and the related condensed statements of income and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Pr>
          <w:p>
            <w:pPr>
              <w:spacing w:after="0"/>
              <w:rPr>
                <w:sz w:val="19"/>
                <w:szCs w:val="19"/>
                <w:color w:val="auto"/>
              </w:rPr>
            </w:pPr>
          </w:p>
        </w:tc>
        <w:tc>
          <w:tcPr>
            <w:tcW w:w="206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Condensed Balance Sheets</w:t>
            </w:r>
          </w:p>
        </w:tc>
      </w:tr>
      <w:tr>
        <w:trPr>
          <w:trHeight w:val="252"/>
        </w:trPr>
        <w:tc>
          <w:tcPr>
            <w:tcW w:w="9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56,462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45,464</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48,324</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107,898</w:t>
            </w: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470,523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390,552</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12,239</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47,184</w:t>
            </w: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113,681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101,824</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20,927</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20,375</w:t>
            </w:r>
          </w:p>
        </w:tc>
      </w:tr>
      <w:tr>
        <w:trPr>
          <w:trHeight w:val="237"/>
        </w:trPr>
        <w:tc>
          <w:tcPr>
            <w:tcW w:w="93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199,865</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161,317</w:t>
            </w:r>
          </w:p>
        </w:tc>
      </w:tr>
      <w:tr>
        <w:trPr>
          <w:trHeight w:val="262"/>
        </w:trPr>
        <w:tc>
          <w:tcPr>
            <w:tcW w:w="93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922,021</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874,614</w:t>
            </w:r>
          </w:p>
        </w:tc>
      </w:tr>
      <w:tr>
        <w:trPr>
          <w:trHeight w:val="210"/>
        </w:trPr>
        <w:tc>
          <w:tcPr>
            <w:tcW w:w="9360" w:type="dxa"/>
            <w:vAlign w:val="bottom"/>
            <w:tcBorders>
              <w:top w:val="single" w:sz="8" w:color="C0C0C0"/>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50"/>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9360" w:type="dxa"/>
            <w:vAlign w:val="bottom"/>
          </w:tcPr>
          <w:p>
            <w:pPr>
              <w:spacing w:after="0"/>
              <w:rPr>
                <w:sz w:val="20"/>
                <w:szCs w:val="20"/>
                <w:color w:val="auto"/>
              </w:rPr>
            </w:pPr>
            <w:r>
              <w:rPr>
                <w:rFonts w:ascii="Arial" w:cs="Arial" w:eastAsia="Arial" w:hAnsi="Arial"/>
                <w:sz w:val="18"/>
                <w:szCs w:val="18"/>
                <w:color w:val="auto"/>
              </w:rPr>
              <w:t>Accounts and drafts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661,342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640,945</w:t>
            </w: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35,533</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25,415</w:t>
            </w:r>
          </w:p>
        </w:tc>
      </w:tr>
      <w:tr>
        <w:trPr>
          <w:trHeight w:val="229"/>
        </w:trPr>
        <w:tc>
          <w:tcPr>
            <w:tcW w:w="93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696,875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666,360</w:t>
            </w:r>
          </w:p>
        </w:tc>
      </w:tr>
      <w:tr>
        <w:trPr>
          <w:trHeight w:val="244"/>
        </w:trPr>
        <w:tc>
          <w:tcPr>
            <w:tcW w:w="9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225,146</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208,254</w:t>
            </w:r>
          </w:p>
        </w:tc>
      </w:tr>
      <w:tr>
        <w:trPr>
          <w:trHeight w:val="250"/>
        </w:trPr>
        <w:tc>
          <w:tcPr>
            <w:tcW w:w="9360" w:type="dxa"/>
            <w:vAlign w:val="bottom"/>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922,021</w:t>
            </w: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874,614</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9"/>
          </w:tcPr>
          <w:p>
            <w:pPr>
              <w:ind w:left="120"/>
              <w:spacing w:after="0"/>
              <w:rPr>
                <w:sz w:val="20"/>
                <w:szCs w:val="20"/>
                <w:color w:val="auto"/>
              </w:rPr>
            </w:pPr>
            <w:r>
              <w:rPr>
                <w:rFonts w:ascii="Arial" w:cs="Arial" w:eastAsia="Arial" w:hAnsi="Arial"/>
                <w:sz w:val="18"/>
                <w:szCs w:val="18"/>
                <w:b w:val="1"/>
                <w:bCs w:val="1"/>
                <w:color w:val="auto"/>
                <w:w w:val="95"/>
              </w:rPr>
              <w:t>Condensed Statements of Income</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9"/>
          </w:tcPr>
          <w:p>
            <w:pPr>
              <w:jc w:val="right"/>
              <w:ind w:right="220"/>
              <w:spacing w:after="0"/>
              <w:rPr>
                <w:sz w:val="20"/>
                <w:szCs w:val="20"/>
                <w:color w:val="auto"/>
              </w:rPr>
            </w:pPr>
            <w:r>
              <w:rPr>
                <w:rFonts w:ascii="Arial" w:cs="Arial" w:eastAsia="Arial" w:hAnsi="Arial"/>
                <w:sz w:val="18"/>
                <w:szCs w:val="18"/>
                <w:b w:val="1"/>
                <w:bCs w:val="1"/>
                <w:color w:val="auto"/>
                <w:w w:val="89"/>
              </w:rPr>
              <w:t>For the Years Ended December 31,</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8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Income from subsidiaries:</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ind w:left="280"/>
              <w:spacing w:after="0"/>
              <w:rPr>
                <w:sz w:val="20"/>
                <w:szCs w:val="20"/>
                <w:color w:val="auto"/>
              </w:rPr>
            </w:pPr>
            <w:r>
              <w:rPr>
                <w:rFonts w:ascii="Arial" w:cs="Arial" w:eastAsia="Arial" w:hAnsi="Arial"/>
                <w:sz w:val="18"/>
                <w:szCs w:val="18"/>
                <w:color w:val="auto"/>
              </w:rPr>
              <w:t>Interest</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1"/>
        </w:trPr>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Management fees</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2,172</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540"/>
              <w:spacing w:after="0"/>
              <w:rPr>
                <w:sz w:val="20"/>
                <w:szCs w:val="20"/>
                <w:color w:val="auto"/>
              </w:rPr>
            </w:pPr>
            <w:r>
              <w:rPr>
                <w:rFonts w:ascii="Arial" w:cs="Arial" w:eastAsia="Arial" w:hAnsi="Arial"/>
                <w:sz w:val="18"/>
                <w:szCs w:val="18"/>
                <w:color w:val="auto"/>
              </w:rPr>
              <w:t>Income from subsidiaries</w:t>
            </w:r>
          </w:p>
        </w:tc>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vMerge w:val="continue"/>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51"/>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Information services revenue</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93,133</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83,543</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78,488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Net interest income after provision</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13,217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13,389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51"/>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Gain on sales of investment securities</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Other income</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
        </w:trPr>
        <w:tc>
          <w:tcPr>
            <w:tcW w:w="5520" w:type="dxa"/>
            <w:vAlign w:val="bottom"/>
            <w:vMerge w:val="restart"/>
            <w:shd w:val="clear" w:color="auto" w:fill="C0C0C0"/>
          </w:tcPr>
          <w:p>
            <w:pPr>
              <w:ind w:left="540"/>
              <w:spacing w:after="0"/>
              <w:rPr>
                <w:sz w:val="20"/>
                <w:szCs w:val="20"/>
                <w:color w:val="auto"/>
              </w:rPr>
            </w:pPr>
            <w:r>
              <w:rPr>
                <w:rFonts w:ascii="Arial" w:cs="Arial" w:eastAsia="Arial" w:hAnsi="Arial"/>
                <w:sz w:val="18"/>
                <w:szCs w:val="18"/>
                <w:color w:val="auto"/>
              </w:rPr>
              <w:t>Total income</w:t>
            </w:r>
          </w:p>
        </w:tc>
        <w:tc>
          <w:tcPr>
            <w:tcW w:w="28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vMerge w:val="continue"/>
            <w:shd w:val="clear" w:color="auto" w:fill="C0C0C0"/>
          </w:tcPr>
          <w:p>
            <w:pPr>
              <w:spacing w:after="0"/>
              <w:rPr>
                <w:sz w:val="21"/>
                <w:szCs w:val="21"/>
                <w:color w:val="auto"/>
              </w:rPr>
            </w:pP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109,005</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99,930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Expenses: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Salaries and employee benefits</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70,409</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65,968</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ind w:left="280"/>
              <w:spacing w:after="0"/>
              <w:rPr>
                <w:sz w:val="20"/>
                <w:szCs w:val="20"/>
                <w:color w:val="auto"/>
              </w:rPr>
            </w:pPr>
            <w:r>
              <w:rPr>
                <w:rFonts w:ascii="Arial" w:cs="Arial" w:eastAsia="Arial" w:hAnsi="Arial"/>
                <w:sz w:val="18"/>
                <w:szCs w:val="18"/>
                <w:color w:val="auto"/>
              </w:rPr>
              <w:t>Other expenses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20,333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18,133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1"/>
        </w:trPr>
        <w:tc>
          <w:tcPr>
            <w:tcW w:w="5520" w:type="dxa"/>
            <w:vAlign w:val="bottom"/>
            <w:vMerge w:val="restart"/>
            <w:shd w:val="clear" w:color="auto" w:fill="C0C0C0"/>
          </w:tcPr>
          <w:p>
            <w:pPr>
              <w:ind w:left="540"/>
              <w:spacing w:after="0"/>
              <w:rPr>
                <w:sz w:val="20"/>
                <w:szCs w:val="20"/>
                <w:color w:val="auto"/>
              </w:rPr>
            </w:pPr>
            <w:r>
              <w:rPr>
                <w:rFonts w:ascii="Arial" w:cs="Arial" w:eastAsia="Arial" w:hAnsi="Arial"/>
                <w:sz w:val="18"/>
                <w:szCs w:val="18"/>
                <w:color w:val="auto"/>
              </w:rPr>
              <w:t>Total expenses</w:t>
            </w:r>
          </w:p>
        </w:tc>
        <w:tc>
          <w:tcPr>
            <w:tcW w:w="28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vMerge w:val="continue"/>
            <w:shd w:val="clear" w:color="auto" w:fill="C0C0C0"/>
          </w:tcPr>
          <w:p>
            <w:pPr>
              <w:spacing w:after="0"/>
              <w:rPr>
                <w:sz w:val="21"/>
                <w:szCs w:val="21"/>
                <w:color w:val="auto"/>
              </w:rPr>
            </w:pP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90,742</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84,101</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w w:val="90"/>
              </w:rPr>
              <w:t>Income before income tax and equity in undistributed income of subsidiaries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18,263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15,829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51"/>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Income before undistributed income of subsidiaries</w:t>
            </w:r>
          </w:p>
        </w:tc>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vMerge w:val="continue"/>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13,869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43"/>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Equity in undistributed income of subsidiaries</w:t>
            </w:r>
          </w:p>
        </w:tc>
        <w:tc>
          <w:tcPr>
            <w:tcW w:w="28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11,145</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10,059</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3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25,014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24,348</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430"/>
        </w:trPr>
        <w:tc>
          <w:tcPr>
            <w:tcW w:w="5520" w:type="dxa"/>
            <w:vAlign w:val="bottom"/>
          </w:tcPr>
          <w:p>
            <w:pPr>
              <w:spacing w:after="0"/>
              <w:rPr>
                <w:sz w:val="24"/>
                <w:szCs w:val="24"/>
                <w:color w:val="auto"/>
              </w:rPr>
            </w:pPr>
          </w:p>
        </w:tc>
        <w:tc>
          <w:tcPr>
            <w:tcW w:w="2880" w:type="dxa"/>
            <w:vAlign w:val="bottom"/>
          </w:tcPr>
          <w:p>
            <w:pPr>
              <w:jc w:val="right"/>
              <w:ind w:right="2512"/>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2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64"/>
        </w:trPr>
        <w:tc>
          <w:tcPr>
            <w:tcW w:w="132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8"/>
          </w:tcPr>
          <w:p>
            <w:pPr>
              <w:jc w:val="center"/>
              <w:ind w:right="32"/>
              <w:spacing w:after="0"/>
              <w:rPr>
                <w:sz w:val="20"/>
                <w:szCs w:val="20"/>
                <w:color w:val="auto"/>
              </w:rPr>
            </w:pPr>
            <w:r>
              <w:rPr>
                <w:rFonts w:ascii="Arial" w:cs="Arial" w:eastAsia="Arial" w:hAnsi="Arial"/>
                <w:sz w:val="18"/>
                <w:szCs w:val="18"/>
                <w:b w:val="1"/>
                <w:bCs w:val="1"/>
                <w:color w:val="auto"/>
                <w:w w:val="85"/>
              </w:rPr>
              <w:t>Condensed Statements of Cash Flows</w:t>
            </w:r>
          </w:p>
        </w:tc>
      </w:tr>
      <w:tr>
        <w:trPr>
          <w:trHeight w:val="252"/>
        </w:trPr>
        <w:tc>
          <w:tcPr>
            <w:tcW w:w="13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8"/>
                <w:szCs w:val="18"/>
                <w:b w:val="1"/>
                <w:bCs w:val="1"/>
                <w:color w:val="auto"/>
                <w:w w:val="88"/>
              </w:rPr>
              <w:t>For the Years Ended December 31,</w:t>
            </w:r>
          </w:p>
        </w:tc>
      </w:tr>
      <w:tr>
        <w:trPr>
          <w:trHeight w:val="237"/>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2016</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2015</w:t>
            </w:r>
          </w:p>
        </w:tc>
      </w:tr>
      <w:tr>
        <w:trPr>
          <w:trHeight w:val="243"/>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25,014</w:t>
            </w:r>
          </w:p>
        </w:tc>
        <w:tc>
          <w:tcPr>
            <w:tcW w:w="2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24,348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23,056</w:t>
            </w:r>
          </w:p>
        </w:tc>
      </w:tr>
      <w:tr>
        <w:trPr>
          <w:trHeight w:val="251"/>
        </w:trPr>
        <w:tc>
          <w:tcPr>
            <w:tcW w:w="6740" w:type="dxa"/>
            <w:vAlign w:val="bottom"/>
            <w:gridSpan w:val="4"/>
            <w:shd w:val="clear" w:color="auto" w:fill="C0C0C0"/>
          </w:tcPr>
          <w:p>
            <w:pPr>
              <w:spacing w:after="0"/>
              <w:rPr>
                <w:sz w:val="20"/>
                <w:szCs w:val="20"/>
                <w:color w:val="auto"/>
              </w:rPr>
            </w:pPr>
            <w:r>
              <w:rPr>
                <w:rFonts w:ascii="Arial" w:cs="Arial" w:eastAsia="Arial" w:hAnsi="Arial"/>
                <w:sz w:val="18"/>
                <w:szCs w:val="18"/>
                <w:color w:val="auto"/>
                <w:w w:val="94"/>
              </w:rPr>
              <w:t>Adjustments to reconcile net income to net cash provided by (used in) operating activities:</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920" w:type="dxa"/>
            <w:vAlign w:val="bottom"/>
            <w:gridSpan w:val="2"/>
          </w:tcPr>
          <w:p>
            <w:pPr>
              <w:ind w:left="540"/>
              <w:spacing w:after="0"/>
              <w:rPr>
                <w:sz w:val="20"/>
                <w:szCs w:val="20"/>
                <w:color w:val="auto"/>
              </w:rPr>
            </w:pPr>
            <w:r>
              <w:rPr>
                <w:rFonts w:ascii="Arial" w:cs="Arial" w:eastAsia="Arial" w:hAnsi="Arial"/>
                <w:sz w:val="18"/>
                <w:szCs w:val="18"/>
                <w:color w:val="auto"/>
              </w:rPr>
              <w:t>Equity in undistributed income of subsidiaries</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(11,145)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(7,889)</w:t>
            </w:r>
          </w:p>
        </w:tc>
      </w:tr>
      <w:tr>
        <w:trPr>
          <w:trHeight w:val="251"/>
        </w:trPr>
        <w:tc>
          <w:tcPr>
            <w:tcW w:w="492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Net change in other assets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(41,013)</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(7,085)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16,100</w:t>
            </w:r>
          </w:p>
        </w:tc>
      </w:tr>
      <w:tr>
        <w:trPr>
          <w:trHeight w:val="235"/>
        </w:trPr>
        <w:tc>
          <w:tcPr>
            <w:tcW w:w="4920" w:type="dxa"/>
            <w:vAlign w:val="bottom"/>
            <w:gridSpan w:val="2"/>
          </w:tcPr>
          <w:p>
            <w:pPr>
              <w:ind w:left="540"/>
              <w:spacing w:after="0"/>
              <w:rPr>
                <w:sz w:val="20"/>
                <w:szCs w:val="20"/>
                <w:color w:val="auto"/>
              </w:rPr>
            </w:pPr>
            <w:r>
              <w:rPr>
                <w:rFonts w:ascii="Arial" w:cs="Arial" w:eastAsia="Arial" w:hAnsi="Arial"/>
                <w:sz w:val="18"/>
                <w:szCs w:val="18"/>
                <w:color w:val="auto"/>
              </w:rPr>
              <w:t>Net change in other liabilities</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10,118</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(2,779)</w:t>
            </w:r>
          </w:p>
        </w:tc>
      </w:tr>
      <w:tr>
        <w:trPr>
          <w:trHeight w:val="251"/>
        </w:trPr>
        <w:tc>
          <w:tcPr>
            <w:tcW w:w="492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Amortization of stock-based awards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1,743</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1,504</w:t>
            </w:r>
          </w:p>
        </w:tc>
      </w:tr>
      <w:tr>
        <w:trPr>
          <w:trHeight w:val="237"/>
        </w:trPr>
        <w:tc>
          <w:tcPr>
            <w:tcW w:w="4920" w:type="dxa"/>
            <w:vAlign w:val="bottom"/>
            <w:tcBorders>
              <w:bottom w:val="single" w:sz="8" w:color="C0C0C0"/>
            </w:tcBorders>
            <w:gridSpan w:val="2"/>
          </w:tcPr>
          <w:p>
            <w:pPr>
              <w:ind w:left="54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2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7,558</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10,389</w:t>
            </w:r>
          </w:p>
        </w:tc>
      </w:tr>
      <w:tr>
        <w:trPr>
          <w:trHeight w:val="243"/>
        </w:trPr>
        <w:tc>
          <w:tcPr>
            <w:tcW w:w="492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Net cash (used in) provided by operating activities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(6,064)</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23,122</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40,381</w:t>
            </w:r>
          </w:p>
        </w:tc>
      </w:tr>
      <w:tr>
        <w:trPr>
          <w:trHeight w:val="215"/>
        </w:trPr>
        <w:tc>
          <w:tcPr>
            <w:tcW w:w="49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increase in securities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(80,621)</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(33,025)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(23,472)</w:t>
            </w: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Net decrease in loans</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34,944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40,431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28,343</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Purchases of premises and equipment, net</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(4,020)</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(4,557)</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(5,708)</w:t>
            </w:r>
          </w:p>
        </w:tc>
      </w:tr>
      <w:tr>
        <w:trPr>
          <w:trHeight w:val="230"/>
        </w:trPr>
        <w:tc>
          <w:tcPr>
            <w:tcW w:w="4920" w:type="dxa"/>
            <w:vAlign w:val="bottom"/>
            <w:tcBorders>
              <w:bottom w:val="single" w:sz="8" w:color="C0C0C0"/>
            </w:tcBorders>
            <w:gridSpan w:val="2"/>
          </w:tcPr>
          <w:p>
            <w:pPr>
              <w:ind w:left="540"/>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(49,697)</w:t>
            </w:r>
          </w:p>
        </w:tc>
        <w:tc>
          <w:tcPr>
            <w:tcW w:w="2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2,849</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Net increase (decrease) in accounts and drafts payable</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64,026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(78,439)</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(10,675)</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(9,979)</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(9,697)</w:t>
            </w: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(10,951)</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financing activities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1,705</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66</w:t>
            </w:r>
          </w:p>
        </w:tc>
      </w:tr>
      <w:tr>
        <w:trPr>
          <w:trHeight w:val="230"/>
        </w:trPr>
        <w:tc>
          <w:tcPr>
            <w:tcW w:w="4920" w:type="dxa"/>
            <w:vAlign w:val="bottom"/>
            <w:tcBorders>
              <w:bottom w:val="single" w:sz="8" w:color="C0C0C0"/>
            </w:tcBorders>
            <w:gridSpan w:val="2"/>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2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46,537</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(99,021)</w:t>
            </w:r>
          </w:p>
        </w:tc>
      </w:tr>
      <w:tr>
        <w:trPr>
          <w:trHeight w:val="243"/>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(48,576)</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72,508</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(59,477)</w:t>
            </w:r>
          </w:p>
        </w:tc>
      </w:tr>
      <w:tr>
        <w:trPr>
          <w:trHeight w:val="237"/>
        </w:trPr>
        <w:tc>
          <w:tcPr>
            <w:tcW w:w="49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153,362</w:t>
            </w:r>
          </w:p>
        </w:tc>
        <w:tc>
          <w:tcPr>
            <w:tcW w:w="2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80,854</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140,331</w:t>
            </w:r>
          </w:p>
        </w:tc>
      </w:tr>
      <w:tr>
        <w:trPr>
          <w:trHeight w:val="262"/>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and cash equivalents at end of year</w:t>
            </w:r>
          </w:p>
        </w:tc>
        <w:tc>
          <w:tcPr>
            <w:tcW w:w="92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104,786</w:t>
            </w:r>
          </w:p>
        </w:tc>
        <w:tc>
          <w:tcPr>
            <w:tcW w:w="240" w:type="dxa"/>
            <w:vAlign w:val="bottom"/>
            <w:shd w:val="clear" w:color="auto" w:fill="C0C0C0"/>
          </w:tcPr>
          <w:p>
            <w:pPr>
              <w:spacing w:after="0"/>
              <w:rPr>
                <w:sz w:val="22"/>
                <w:szCs w:val="22"/>
                <w:color w:val="auto"/>
              </w:rPr>
            </w:pPr>
          </w:p>
        </w:tc>
        <w:tc>
          <w:tcPr>
            <w:tcW w:w="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153,362</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80,854</w:t>
            </w:r>
          </w:p>
        </w:tc>
      </w:tr>
      <w:tr>
        <w:trPr>
          <w:trHeight w:val="406"/>
        </w:trPr>
        <w:tc>
          <w:tcPr>
            <w:tcW w:w="4920" w:type="dxa"/>
            <w:vAlign w:val="bottom"/>
            <w:tcBorders>
              <w:top w:val="single" w:sz="8" w:color="C0C0C0"/>
            </w:tcBorders>
            <w:gridSpan w:val="2"/>
          </w:tcPr>
          <w:p>
            <w:pPr>
              <w:spacing w:after="0"/>
              <w:rPr>
                <w:sz w:val="20"/>
                <w:szCs w:val="20"/>
                <w:color w:val="auto"/>
              </w:rPr>
            </w:pPr>
            <w:r>
              <w:rPr>
                <w:rFonts w:ascii="Arial" w:cs="Arial" w:eastAsia="Arial" w:hAnsi="Arial"/>
                <w:sz w:val="18"/>
                <w:szCs w:val="18"/>
                <w:b w:val="1"/>
                <w:bCs w:val="1"/>
                <w:color w:val="auto"/>
              </w:rPr>
              <w:t>Note 19</w:t>
            </w:r>
          </w:p>
        </w:tc>
        <w:tc>
          <w:tcPr>
            <w:tcW w:w="920" w:type="dxa"/>
            <w:vAlign w:val="bottom"/>
            <w:tcBorders>
              <w:top w:val="single" w:sz="8" w:color="C0C0C0"/>
            </w:tcBorders>
          </w:tcPr>
          <w:p>
            <w:pPr>
              <w:spacing w:after="0"/>
              <w:rPr>
                <w:sz w:val="24"/>
                <w:szCs w:val="24"/>
                <w:color w:val="auto"/>
              </w:rPr>
            </w:pPr>
          </w:p>
        </w:tc>
        <w:tc>
          <w:tcPr>
            <w:tcW w:w="900" w:type="dxa"/>
            <w:vAlign w:val="bottom"/>
            <w:tcBorders>
              <w:top w:val="single" w:sz="8" w:color="C0C0C0"/>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SUPPLEMENTARY FINANCIAL INFORMATION</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6"/>
        </w:trPr>
        <w:tc>
          <w:tcPr>
            <w:tcW w:w="1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b w:val="1"/>
                <w:bCs w:val="1"/>
                <w:color w:val="auto"/>
              </w:rPr>
              <w:t>First</w:t>
            </w:r>
          </w:p>
        </w:tc>
        <w:tc>
          <w:tcPr>
            <w:tcW w:w="24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Second</w:t>
            </w:r>
          </w:p>
        </w:tc>
        <w:tc>
          <w:tcPr>
            <w:tcW w:w="1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w w:val="91"/>
              </w:rPr>
              <w:t>Fourth</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2"/>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9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5"/>
              </w:rPr>
              <w:t>Quarter</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2"/>
              </w:rPr>
              <w:t>Quarter</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Quarter</w:t>
            </w: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w w:val="98"/>
              </w:rPr>
              <w:t>Quarter</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YTD</w:t>
            </w:r>
          </w:p>
        </w:tc>
      </w:tr>
      <w:tr>
        <w:trPr>
          <w:trHeight w:val="243"/>
        </w:trPr>
        <w:tc>
          <w:tcPr>
            <w:tcW w:w="132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2017</w:t>
            </w:r>
          </w:p>
        </w:tc>
        <w:tc>
          <w:tcPr>
            <w:tcW w:w="36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Fee revenue and other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22,771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23,800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24,207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w w:val="98"/>
              </w:rPr>
              <w:t>24,734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95,512</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9,999</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10,332</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10,665</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w w:val="98"/>
              </w:rPr>
              <w:t>10,981</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41,977</w:t>
            </w:r>
          </w:p>
        </w:tc>
      </w:tr>
      <w:tr>
        <w:trPr>
          <w:trHeight w:val="237"/>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470</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666</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2,187</w:t>
            </w:r>
          </w:p>
        </w:tc>
      </w:tr>
      <w:tr>
        <w:trPr>
          <w:trHeight w:val="243"/>
        </w:trPr>
        <w:tc>
          <w:tcPr>
            <w:tcW w:w="49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Net interest income</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9,519</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9,862</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10,094</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w w:val="98"/>
              </w:rPr>
              <w:t>10,315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39,790</w:t>
            </w: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92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expense</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24,318</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24,901</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25,042</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w w:val="98"/>
              </w:rPr>
              <w:t>26,142</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92"/>
              </w:rPr>
              <w:t>100,403</w:t>
            </w:r>
          </w:p>
        </w:tc>
      </w:tr>
      <w:tr>
        <w:trPr>
          <w:trHeight w:val="27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1,665</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2,248</w:t>
            </w: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2,396</w:t>
            </w:r>
          </w:p>
        </w:tc>
        <w:tc>
          <w:tcPr>
            <w:tcW w:w="2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line="270" w:lineRule="exact"/>
              <w:rPr>
                <w:sz w:val="20"/>
                <w:szCs w:val="20"/>
                <w:color w:val="auto"/>
              </w:rPr>
            </w:pPr>
            <w:r>
              <w:rPr>
                <w:rFonts w:ascii="Arial" w:cs="Arial" w:eastAsia="Arial" w:hAnsi="Arial"/>
                <w:sz w:val="18"/>
                <w:szCs w:val="18"/>
                <w:color w:val="auto"/>
              </w:rPr>
              <w:t xml:space="preserve">3,576 </w:t>
            </w:r>
            <w:r>
              <w:rPr>
                <w:rFonts w:ascii="Arial" w:cs="Arial" w:eastAsia="Arial" w:hAnsi="Arial"/>
                <w:sz w:val="29"/>
                <w:szCs w:val="29"/>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line="270" w:lineRule="exact"/>
              <w:rPr>
                <w:sz w:val="20"/>
                <w:szCs w:val="20"/>
                <w:color w:val="auto"/>
              </w:rPr>
            </w:pPr>
            <w:r>
              <w:rPr>
                <w:rFonts w:ascii="Arial" w:cs="Arial" w:eastAsia="Arial" w:hAnsi="Arial"/>
                <w:sz w:val="18"/>
                <w:szCs w:val="18"/>
                <w:color w:val="auto"/>
              </w:rPr>
              <w:t xml:space="preserve">9,885 </w:t>
            </w:r>
            <w:r>
              <w:rPr>
                <w:rFonts w:ascii="Arial" w:cs="Arial" w:eastAsia="Arial" w:hAnsi="Arial"/>
                <w:sz w:val="29"/>
                <w:szCs w:val="29"/>
                <w:color w:val="auto"/>
                <w:vertAlign w:val="superscript"/>
              </w:rPr>
              <w:t>(1)</w:t>
            </w:r>
          </w:p>
        </w:tc>
      </w:tr>
      <w:tr>
        <w:trPr>
          <w:trHeight w:val="230"/>
        </w:trPr>
        <w:tc>
          <w:tcPr>
            <w:tcW w:w="49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6,307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6,513</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6,863</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5,331</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25,014</w:t>
            </w: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2.04</w:t>
            </w:r>
          </w:p>
        </w:tc>
      </w:tr>
      <w:tr>
        <w:trPr>
          <w:trHeight w:val="237"/>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w:t>
            </w:r>
          </w:p>
        </w:tc>
      </w:tr>
      <w:tr>
        <w:trPr>
          <w:trHeight w:val="243"/>
        </w:trPr>
        <w:tc>
          <w:tcPr>
            <w:tcW w:w="1320" w:type="dxa"/>
            <w:vAlign w:val="bottom"/>
            <w:shd w:val="clear" w:color="auto" w:fill="C0C0C0"/>
          </w:tcPr>
          <w:p>
            <w:pPr>
              <w:spacing w:after="0"/>
              <w:rPr>
                <w:sz w:val="20"/>
                <w:szCs w:val="20"/>
                <w:color w:val="auto"/>
              </w:rPr>
            </w:pPr>
            <w:r>
              <w:rPr>
                <w:rFonts w:ascii="Arial" w:cs="Arial" w:eastAsia="Arial" w:hAnsi="Arial"/>
                <w:sz w:val="18"/>
                <w:szCs w:val="18"/>
                <w:b w:val="1"/>
                <w:bCs w:val="1"/>
                <w:i w:val="1"/>
                <w:iCs w:val="1"/>
                <w:color w:val="auto"/>
              </w:rPr>
              <w:t>2016</w:t>
            </w:r>
          </w:p>
        </w:tc>
        <w:tc>
          <w:tcPr>
            <w:tcW w:w="36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Fee revenue and other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20,505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21,457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22,149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w w:val="98"/>
              </w:rPr>
              <w:t>22,025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86,136</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9,777</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10,010</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9,985</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w w:val="98"/>
              </w:rPr>
              <w:t>10,158</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39,930</w:t>
            </w:r>
          </w:p>
        </w:tc>
      </w:tr>
      <w:tr>
        <w:trPr>
          <w:trHeight w:val="237"/>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505</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507</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2,029</w:t>
            </w:r>
          </w:p>
        </w:tc>
      </w:tr>
      <w:tr>
        <w:trPr>
          <w:trHeight w:val="243"/>
        </w:trPr>
        <w:tc>
          <w:tcPr>
            <w:tcW w:w="49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Net interest income</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9,264</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9,506</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9,480</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9,651</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37,901</w:t>
            </w: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92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(1,500)</w:t>
            </w: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expense</w:t>
            </w:r>
          </w:p>
        </w:tc>
        <w:tc>
          <w:tcPr>
            <w:tcW w:w="9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22,916</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23,059</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23,552</w:t>
            </w:r>
          </w:p>
        </w:tc>
        <w:tc>
          <w:tcPr>
            <w:tcW w:w="2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w w:val="98"/>
              </w:rPr>
              <w:t>23,946</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93,473</w:t>
            </w:r>
          </w:p>
        </w:tc>
      </w:tr>
      <w:tr>
        <w:trPr>
          <w:trHeight w:val="237"/>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2,035</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1,855</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1,806</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7,716</w:t>
            </w:r>
          </w:p>
        </w:tc>
      </w:tr>
      <w:tr>
        <w:trPr>
          <w:trHeight w:val="237"/>
        </w:trPr>
        <w:tc>
          <w:tcPr>
            <w:tcW w:w="492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5,833</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5,869</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6,222</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252"/>
              <w:spacing w:after="0"/>
              <w:rPr>
                <w:sz w:val="20"/>
                <w:szCs w:val="20"/>
                <w:color w:val="auto"/>
              </w:rPr>
            </w:pPr>
            <w:r>
              <w:rPr>
                <w:rFonts w:ascii="Arial" w:cs="Arial" w:eastAsia="Arial" w:hAnsi="Arial"/>
                <w:sz w:val="18"/>
                <w:szCs w:val="18"/>
                <w:color w:val="auto"/>
              </w:rPr>
              <w:t>6,424</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24,348</w:t>
            </w: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49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Basic earnings per share</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1.99</w:t>
            </w:r>
          </w:p>
        </w:tc>
      </w:tr>
      <w:tr>
        <w:trPr>
          <w:trHeight w:val="237"/>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1.96</w:t>
            </w:r>
          </w:p>
        </w:tc>
      </w:tr>
    </w:tbl>
    <w:p>
      <w:pPr>
        <w:spacing w:after="0" w:line="172"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Includes one-time, non-cash TCJA charge of $1,824,000</w:t>
      </w:r>
    </w:p>
    <w:p>
      <w:pPr>
        <w:sectPr>
          <w:pgSz w:w="11900" w:h="16838" w:orient="portrait"/>
          <w:cols w:equalWidth="0" w:num="1">
            <w:col w:w="11420"/>
          </w:cols>
          <w:pgMar w:left="240" w:top="108" w:right="239" w:bottom="846"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846"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Cass Information Systems, Inc. and subsidiaries (the Company) as of December 31, 2017 and 2016, the related consolidated statements of income, comprehensive income, shareholders’ equity, and cash flows for each of the years in the three 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 year period ended December 31, 2017, in conformity with U.S. generally accepted accounting principles.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February 28, 2018 expressed an unqualified opinion on the effectiveness of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2017. Based on this evaluation, our principal executive officer and our principal financial officer concluded that our disclosure controls and procedures were effective as of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our evaluation under this framework, our management concluded that our internal control over financial reporting was effective as of December 31, 2017.</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KPMG LLP, our independent registered public accounting firm. KPMG LLP’s report, which expresses an unqualified opinion on the effectiveness of our internal control over financial reporting as of December 31, 2017, is included below.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audited Cass Information Systems, Inc. and subsidiaries’ (the Company) internal control over financial reporting as of December 31, 2017,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2017, based on criteria established in Internal Control – Integrated Framework (2013) issued by the Committee of Sponsoring Organizations of the Treadway Commission.</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income, shareholders’ equity, and cash flows for each of the years in the three-year period ended December 31, 2017, and the related notes (collectively, the consolidated financial statements), and our report dated February 28, 2018, expressed an unqualified opinion on those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information required by this Item 10 is incorporated herein by reference to the following sections of the Company’s definitive Proxy Statement for its 2018 Annual Meeting of Shareholders (“2018 Proxy Statement”), a copy of which will be filed with the SEC no later than 120 days after the close of the fiscal year: “Election of Directors – Proposal 1,” “Executive Compensation and Related Information,” and “Beneficial Ownership of Securities.”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procedures by which shareholders may recommend nominees to the Board during the fourth quarter of fiscal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required pursuant to this Item 11 is incorporated herein by reference to the sections entitled “Election of Directors – Proposal 1” and “Executive Compensation and Related Information” of the Company’s 2018 Proxy Statement, a copy of which will be filed with the SEC no later than 120 days after the close of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pursuant to this Item 12 is incorporated herein by reference to the section entitled “Beneficial Ownership of Securities” of the Company’s 2018 Proxy Statement, a copy of which will be filed with the SEC no later than 120 days after the close of the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20"/>
                <w:szCs w:val="20"/>
                <w:color w:val="auto"/>
              </w:rPr>
            </w:pPr>
            <w:r>
              <w:rPr>
                <w:rFonts w:ascii="Arial" w:cs="Arial" w:eastAsia="Arial" w:hAnsi="Arial"/>
                <w:sz w:val="18"/>
                <w:szCs w:val="18"/>
                <w:b w:val="1"/>
                <w:bCs w:val="1"/>
                <w:color w:val="auto"/>
                <w:w w:val="94"/>
              </w:rPr>
              <w:t>Securities Authorized for Issuance under Equity Compensation Plans</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The following information is as of December 31, 2017:</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Number of securities</w:t>
            </w:r>
          </w:p>
        </w:tc>
      </w:tr>
      <w:tr>
        <w:trPr>
          <w:trHeight w:val="243"/>
        </w:trPr>
        <w:tc>
          <w:tcPr>
            <w:tcW w:w="5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remaining available for</w:t>
            </w:r>
          </w:p>
        </w:tc>
      </w:tr>
      <w:tr>
        <w:trPr>
          <w:trHeight w:val="243"/>
        </w:trPr>
        <w:tc>
          <w:tcPr>
            <w:tcW w:w="5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Weighted-average</w:t>
            </w: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future issuance under</w:t>
            </w:r>
          </w:p>
        </w:tc>
      </w:tr>
      <w:tr>
        <w:trPr>
          <w:trHeight w:val="243"/>
        </w:trPr>
        <w:tc>
          <w:tcPr>
            <w:tcW w:w="5620" w:type="dxa"/>
            <w:vAlign w:val="bottom"/>
          </w:tcPr>
          <w:p>
            <w:pPr>
              <w:spacing w:after="0"/>
              <w:rPr>
                <w:sz w:val="21"/>
                <w:szCs w:val="21"/>
                <w:color w:val="auto"/>
              </w:rPr>
            </w:pPr>
          </w:p>
        </w:tc>
        <w:tc>
          <w:tcPr>
            <w:tcW w:w="2280" w:type="dxa"/>
            <w:vAlign w:val="bottom"/>
          </w:tcPr>
          <w:p>
            <w:pPr>
              <w:jc w:val="center"/>
              <w:ind w:left="192"/>
              <w:spacing w:after="0"/>
              <w:rPr>
                <w:sz w:val="20"/>
                <w:szCs w:val="20"/>
                <w:color w:val="auto"/>
              </w:rPr>
            </w:pPr>
            <w:r>
              <w:rPr>
                <w:rFonts w:ascii="Arial" w:cs="Arial" w:eastAsia="Arial" w:hAnsi="Arial"/>
                <w:sz w:val="18"/>
                <w:szCs w:val="18"/>
                <w:b w:val="1"/>
                <w:bCs w:val="1"/>
                <w:color w:val="auto"/>
                <w:w w:val="87"/>
              </w:rPr>
              <w:t>Number of securities to</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 of</w:t>
            </w: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equity compensation</w:t>
            </w:r>
          </w:p>
        </w:tc>
      </w:tr>
      <w:tr>
        <w:trPr>
          <w:trHeight w:val="243"/>
        </w:trPr>
        <w:tc>
          <w:tcPr>
            <w:tcW w:w="5620" w:type="dxa"/>
            <w:vAlign w:val="bottom"/>
          </w:tcPr>
          <w:p>
            <w:pPr>
              <w:spacing w:after="0"/>
              <w:rPr>
                <w:sz w:val="21"/>
                <w:szCs w:val="21"/>
                <w:color w:val="auto"/>
              </w:rPr>
            </w:pPr>
          </w:p>
        </w:tc>
        <w:tc>
          <w:tcPr>
            <w:tcW w:w="2280" w:type="dxa"/>
            <w:vAlign w:val="bottom"/>
          </w:tcPr>
          <w:p>
            <w:pPr>
              <w:jc w:val="center"/>
              <w:ind w:left="172"/>
              <w:spacing w:after="0"/>
              <w:rPr>
                <w:sz w:val="20"/>
                <w:szCs w:val="20"/>
                <w:color w:val="auto"/>
              </w:rPr>
            </w:pPr>
            <w:r>
              <w:rPr>
                <w:rFonts w:ascii="Arial" w:cs="Arial" w:eastAsia="Arial" w:hAnsi="Arial"/>
                <w:sz w:val="18"/>
                <w:szCs w:val="18"/>
                <w:b w:val="1"/>
                <w:bCs w:val="1"/>
                <w:color w:val="auto"/>
                <w:w w:val="83"/>
              </w:rPr>
              <w:t>be issued upon exercise</w:t>
            </w:r>
          </w:p>
        </w:tc>
        <w:tc>
          <w:tcPr>
            <w:tcW w:w="300" w:type="dxa"/>
            <w:vAlign w:val="bottom"/>
          </w:tcPr>
          <w:p>
            <w:pPr>
              <w:spacing w:after="0"/>
              <w:rPr>
                <w:sz w:val="21"/>
                <w:szCs w:val="21"/>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5"/>
              </w:rPr>
              <w:t>outstanding</w:t>
            </w:r>
          </w:p>
        </w:tc>
        <w:tc>
          <w:tcPr>
            <w:tcW w:w="1880" w:type="dxa"/>
            <w:vAlign w:val="bottom"/>
          </w:tcPr>
          <w:p>
            <w:pPr>
              <w:jc w:val="center"/>
              <w:ind w:left="52"/>
              <w:spacing w:after="0"/>
              <w:rPr>
                <w:sz w:val="20"/>
                <w:szCs w:val="20"/>
                <w:color w:val="auto"/>
              </w:rPr>
            </w:pPr>
            <w:r>
              <w:rPr>
                <w:rFonts w:ascii="Arial" w:cs="Arial" w:eastAsia="Arial" w:hAnsi="Arial"/>
                <w:sz w:val="18"/>
                <w:szCs w:val="18"/>
                <w:b w:val="1"/>
                <w:bCs w:val="1"/>
                <w:color w:val="auto"/>
                <w:w w:val="85"/>
              </w:rPr>
              <w:t>plans (excluding</w:t>
            </w:r>
          </w:p>
        </w:tc>
      </w:tr>
      <w:tr>
        <w:trPr>
          <w:trHeight w:val="243"/>
        </w:trPr>
        <w:tc>
          <w:tcPr>
            <w:tcW w:w="5620" w:type="dxa"/>
            <w:vAlign w:val="bottom"/>
          </w:tcPr>
          <w:p>
            <w:pPr>
              <w:spacing w:after="0"/>
              <w:rPr>
                <w:sz w:val="21"/>
                <w:szCs w:val="21"/>
                <w:color w:val="auto"/>
              </w:rPr>
            </w:pPr>
          </w:p>
        </w:tc>
        <w:tc>
          <w:tcPr>
            <w:tcW w:w="2280" w:type="dxa"/>
            <w:vAlign w:val="bottom"/>
          </w:tcPr>
          <w:p>
            <w:pPr>
              <w:jc w:val="center"/>
              <w:ind w:left="192"/>
              <w:spacing w:after="0"/>
              <w:rPr>
                <w:sz w:val="20"/>
                <w:szCs w:val="20"/>
                <w:color w:val="auto"/>
              </w:rPr>
            </w:pPr>
            <w:r>
              <w:rPr>
                <w:rFonts w:ascii="Arial" w:cs="Arial" w:eastAsia="Arial" w:hAnsi="Arial"/>
                <w:sz w:val="18"/>
                <w:szCs w:val="18"/>
                <w:b w:val="1"/>
                <w:bCs w:val="1"/>
                <w:color w:val="auto"/>
                <w:w w:val="85"/>
              </w:rPr>
              <w:t>of outstanding options,</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options, warrants</w:t>
            </w:r>
          </w:p>
        </w:tc>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auto"/>
                <w:w w:val="86"/>
              </w:rPr>
              <w:t>securities reflected in</w:t>
            </w:r>
          </w:p>
        </w:tc>
      </w:tr>
      <w:tr>
        <w:trPr>
          <w:trHeight w:val="243"/>
        </w:trPr>
        <w:tc>
          <w:tcPr>
            <w:tcW w:w="5620" w:type="dxa"/>
            <w:vAlign w:val="bottom"/>
          </w:tcPr>
          <w:p>
            <w:pPr>
              <w:spacing w:after="0"/>
              <w:rPr>
                <w:sz w:val="21"/>
                <w:szCs w:val="21"/>
                <w:color w:val="auto"/>
              </w:rPr>
            </w:pPr>
          </w:p>
        </w:tc>
        <w:tc>
          <w:tcPr>
            <w:tcW w:w="228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warrants and rights</w:t>
            </w:r>
          </w:p>
        </w:tc>
        <w:tc>
          <w:tcPr>
            <w:tcW w:w="300" w:type="dxa"/>
            <w:vAlign w:val="bottom"/>
          </w:tcPr>
          <w:p>
            <w:pPr>
              <w:spacing w:after="0"/>
              <w:rPr>
                <w:sz w:val="21"/>
                <w:szCs w:val="21"/>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7"/>
              </w:rPr>
              <w:t>and rights</w:t>
            </w:r>
          </w:p>
        </w:tc>
        <w:tc>
          <w:tcPr>
            <w:tcW w:w="188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column (a))</w:t>
            </w:r>
          </w:p>
        </w:tc>
      </w:tr>
      <w:tr>
        <w:trPr>
          <w:trHeight w:val="252"/>
        </w:trPr>
        <w:tc>
          <w:tcPr>
            <w:tcW w:w="56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0"/>
              </w:rPr>
              <w:t>(a)</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6"/>
              </w:rPr>
              <w:t>(b)</w:t>
            </w:r>
          </w:p>
        </w:tc>
        <w:tc>
          <w:tcPr>
            <w:tcW w:w="18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0"/>
              </w:rPr>
              <w:t>(c)</w:t>
            </w:r>
          </w:p>
        </w:tc>
      </w:tr>
      <w:tr>
        <w:trPr>
          <w:trHeight w:val="311"/>
        </w:trPr>
        <w:tc>
          <w:tcPr>
            <w:tcW w:w="5620" w:type="dxa"/>
            <w:vAlign w:val="bottom"/>
            <w:shd w:val="clear" w:color="auto" w:fill="C0C0C0"/>
          </w:tcPr>
          <w:p>
            <w:pPr>
              <w:spacing w:after="0" w:line="31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9"/>
                <w:szCs w:val="29"/>
                <w:b w:val="1"/>
                <w:bCs w:val="1"/>
                <w:color w:val="auto"/>
                <w:vertAlign w:val="superscript"/>
              </w:rPr>
              <w:t>(1)</w:t>
            </w:r>
          </w:p>
        </w:tc>
        <w:tc>
          <w:tcPr>
            <w:tcW w:w="22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312,402</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38.81</w:t>
            </w:r>
          </w:p>
        </w:tc>
        <w:tc>
          <w:tcPr>
            <w:tcW w:w="1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579,126</w:t>
            </w:r>
          </w:p>
        </w:tc>
      </w:tr>
      <w:tr>
        <w:trPr>
          <w:trHeight w:val="2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312,402</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38.81</w:t>
            </w:r>
          </w:p>
        </w:tc>
        <w:tc>
          <w:tcPr>
            <w:tcW w:w="1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579,126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All share and per share data have been restated to give effect to the 10% stock dividend issued on December 15, 2017.</w:t>
      </w:r>
    </w:p>
    <w:p>
      <w:pPr>
        <w:spacing w:after="0" w:line="36" w:lineRule="exact"/>
        <w:rPr>
          <w:sz w:val="20"/>
          <w:szCs w:val="20"/>
          <w:color w:val="auto"/>
        </w:rPr>
      </w:pPr>
    </w:p>
    <w:p>
      <w:pPr>
        <w:ind w:right="1900" w:firstLine="8"/>
        <w:spacing w:after="0" w:line="451" w:lineRule="auto"/>
        <w:tabs>
          <w:tab w:leader="none" w:pos="216" w:val="left"/>
        </w:tabs>
        <w:numPr>
          <w:ilvl w:val="0"/>
          <w:numId w:val="21"/>
        </w:numPr>
        <w:rPr>
          <w:rFonts w:ascii="Arial" w:cs="Arial" w:eastAsia="Arial" w:hAnsi="Arial"/>
          <w:sz w:val="25"/>
          <w:szCs w:val="25"/>
          <w:b w:val="1"/>
          <w:bCs w:val="1"/>
          <w:color w:val="auto"/>
          <w:vertAlign w:val="superscript"/>
        </w:rPr>
      </w:pPr>
      <w:r>
        <w:rPr>
          <w:rFonts w:ascii="Arial" w:cs="Arial" w:eastAsia="Arial" w:hAnsi="Arial"/>
          <w:sz w:val="15"/>
          <w:szCs w:val="15"/>
          <w:color w:val="auto"/>
        </w:rPr>
        <w:t>Amount disclosed relates to the Amended and Restated Omnibus Stock and Performance Compensation Plan (the “Omnibus Plan”). Refer to Note 11 to the consolidated financial statements for information concerning the Omnibus Plan.</w:t>
      </w: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by this Item 13 is incorporated herein by reference to the section entitled “Election of Directors – Proposal 1” of the Company’s 2018 Proxy Statement, a copy of which will be filed with the SEC no later than 120 days after the close of the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concerning our principal accountant’s fees and services is incorporated herein by reference to the section entitled “Ratification of Appointment of Independent Registered Public Accounting Firm – Proposal 4” of the Company’s 2018 Proxy Statement, a copy of which will be filed with the SEC no later than 120 days after the close of the fiscal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31" w:lineRule="exact"/>
        <w:rPr>
          <w:sz w:val="20"/>
          <w:szCs w:val="20"/>
          <w:color w:val="auto"/>
        </w:rPr>
      </w:pPr>
    </w:p>
    <w:p>
      <w:pPr>
        <w:ind w:left="800" w:hanging="48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documents are incorporated by reference in or filed as an exhibit to this report:</w:t>
      </w:r>
    </w:p>
    <w:p>
      <w:pPr>
        <w:spacing w:after="0" w:line="225" w:lineRule="exact"/>
        <w:rPr>
          <w:sz w:val="20"/>
          <w:szCs w:val="20"/>
          <w:color w:val="auto"/>
        </w:rPr>
      </w:pPr>
    </w:p>
    <w:p>
      <w:pPr>
        <w:ind w:left="1840" w:right="5620" w:hanging="1029"/>
        <w:spacing w:after="0" w:line="268" w:lineRule="auto"/>
        <w:tabs>
          <w:tab w:leader="none" w:pos="10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and (2) </w:t>
      </w:r>
      <w:r>
        <w:rPr>
          <w:rFonts w:ascii="Arial" w:cs="Arial" w:eastAsia="Arial" w:hAnsi="Arial"/>
          <w:sz w:val="18"/>
          <w:szCs w:val="18"/>
          <w:u w:val="single" w:color="auto"/>
          <w:color w:val="auto"/>
        </w:rPr>
        <w:t>Financial Statements and Financial Statement Schedules</w:t>
      </w:r>
      <w:r>
        <w:rPr>
          <w:rFonts w:ascii="Arial" w:cs="Arial" w:eastAsia="Arial" w:hAnsi="Arial"/>
          <w:sz w:val="18"/>
          <w:szCs w:val="18"/>
          <w:color w:val="auto"/>
        </w:rPr>
        <w:t xml:space="preserve"> Included in Item 8 of this report.</w:t>
      </w:r>
    </w:p>
    <w:p>
      <w:pPr>
        <w:spacing w:after="0" w:line="185" w:lineRule="exact"/>
        <w:rPr>
          <w:rFonts w:ascii="Arial" w:cs="Arial" w:eastAsia="Arial" w:hAnsi="Arial"/>
          <w:sz w:val="18"/>
          <w:szCs w:val="18"/>
          <w:color w:val="auto"/>
        </w:rPr>
      </w:pPr>
    </w:p>
    <w:p>
      <w:pPr>
        <w:ind w:left="1840" w:hanging="484"/>
        <w:spacing w:after="0"/>
        <w:tabs>
          <w:tab w:leader="none" w:pos="18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Exhibits listed under (b) of this Item 15.</w:t>
      </w:r>
    </w:p>
    <w:p>
      <w:pPr>
        <w:spacing w:after="0" w:line="225" w:lineRule="exact"/>
        <w:rPr>
          <w:rFonts w:ascii="Arial" w:cs="Arial" w:eastAsia="Arial" w:hAnsi="Arial"/>
          <w:sz w:val="18"/>
          <w:szCs w:val="18"/>
          <w:color w:val="auto"/>
        </w:rPr>
      </w:pPr>
    </w:p>
    <w:p>
      <w:pPr>
        <w:ind w:left="800" w:hanging="48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2"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40" w:type="dxa"/>
            <w:vAlign w:val="bottom"/>
            <w:gridSpan w:val="2"/>
          </w:tcPr>
          <w:p>
            <w:pPr>
              <w:spacing w:after="0"/>
              <w:rPr>
                <w:sz w:val="17"/>
                <w:szCs w:val="17"/>
                <w:color w:val="auto"/>
              </w:rPr>
            </w:pPr>
          </w:p>
        </w:tc>
        <w:tc>
          <w:tcPr>
            <w:tcW w:w="220" w:type="dxa"/>
            <w:vAlign w:val="bottom"/>
            <w:gridSpan w:val="2"/>
          </w:tcPr>
          <w:p>
            <w:pPr>
              <w:jc w:val="right"/>
              <w:spacing w:after="0"/>
              <w:rPr>
                <w:rFonts w:ascii="Arial" w:cs="Arial" w:eastAsia="Arial" w:hAnsi="Arial"/>
                <w:sz w:val="18"/>
                <w:szCs w:val="18"/>
                <w:color w:val="0000EE"/>
                <w:w w:val="79"/>
              </w:rPr>
            </w:pPr>
            <w:hyperlink r:id="rId9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280" w:type="dxa"/>
            <w:vAlign w:val="bottom"/>
          </w:tcPr>
          <w:p>
            <w:pPr>
              <w:spacing w:after="0"/>
              <w:rPr>
                <w:sz w:val="17"/>
                <w:szCs w:val="17"/>
                <w:color w:val="auto"/>
              </w:rPr>
            </w:pPr>
          </w:p>
        </w:tc>
        <w:tc>
          <w:tcPr>
            <w:tcW w:w="9580" w:type="dxa"/>
            <w:vAlign w:val="bottom"/>
            <w:gridSpan w:val="16"/>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Restated Articles of Incorporation of Registrant, incorporated by reference to Exhibit 4.1 to Form S-8 Registration Statement No. 333-</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44499, filed with the SEC on January 20, 1998.</w:t>
              </w:r>
            </w:hyperlink>
          </w:p>
        </w:tc>
        <w:tc>
          <w:tcPr>
            <w:tcW w:w="6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40" w:type="dxa"/>
            <w:vAlign w:val="bottom"/>
            <w:gridSpan w:val="2"/>
          </w:tcPr>
          <w:p>
            <w:pPr>
              <w:spacing w:after="0"/>
              <w:rPr>
                <w:sz w:val="24"/>
                <w:szCs w:val="24"/>
                <w:color w:val="auto"/>
              </w:rPr>
            </w:pPr>
          </w:p>
        </w:tc>
        <w:tc>
          <w:tcPr>
            <w:tcW w:w="220" w:type="dxa"/>
            <w:vAlign w:val="bottom"/>
            <w:gridSpan w:val="2"/>
          </w:tcPr>
          <w:p>
            <w:pPr>
              <w:jc w:val="right"/>
              <w:spacing w:after="0"/>
              <w:rPr>
                <w:rFonts w:ascii="Arial" w:cs="Arial" w:eastAsia="Arial" w:hAnsi="Arial"/>
                <w:sz w:val="18"/>
                <w:szCs w:val="18"/>
                <w:color w:val="0000EE"/>
                <w:w w:val="79"/>
              </w:rPr>
            </w:pPr>
            <w:hyperlink r:id="rId9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Amendment to Restated Articles of Incorporation, incorporated by reference to Exhibit 3.1 to the current report on Form 8-K, filed with</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the SEC on April 19, 2013.</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60" w:type="dxa"/>
            <w:vAlign w:val="bottom"/>
            <w:gridSpan w:val="4"/>
          </w:tcPr>
          <w:p>
            <w:pPr>
              <w:jc w:val="right"/>
              <w:spacing w:after="0"/>
              <w:rPr>
                <w:rFonts w:ascii="Arial" w:cs="Arial" w:eastAsia="Arial" w:hAnsi="Arial"/>
                <w:sz w:val="18"/>
                <w:szCs w:val="18"/>
                <w:color w:val="0000EE"/>
              </w:rPr>
            </w:pPr>
            <w:hyperlink r:id="rId92">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Articles of Merger of Cass Commercial Corporation, incorporated by reference to Exhibit 3.1 to the quarterly report on Form 10-Q for</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the quarter ended September 30, 2006.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93">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Second Amended and Restated Bylaws of Registrant, incorporated by reference to Exhibit 3.1 to the current report on Form 8-K, filed</w:t>
              </w:r>
            </w:hyperlink>
          </w:p>
        </w:tc>
      </w:tr>
      <w:tr>
        <w:trPr>
          <w:trHeight w:val="19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with the SEC on July 21, 2016.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9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Directors’ Indemnification Agreement, incorporated by reference to Exhibit 10.1 to the quarterly report on Form 10-Q for the</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quarter ended March 31, 2003.*</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60" w:type="dxa"/>
            <w:vAlign w:val="bottom"/>
            <w:gridSpan w:val="4"/>
          </w:tcPr>
          <w:p>
            <w:pPr>
              <w:jc w:val="right"/>
              <w:spacing w:after="0"/>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Amended and Restated Omnibus Stock and Performance Compensation Plan, incorporated by reference to Exhibit 10.1 to the current</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report on Form 8-K, filed with the SEC on April 19, 2013.*</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39"/>
        </w:trPr>
        <w:tc>
          <w:tcPr>
            <w:tcW w:w="660" w:type="dxa"/>
            <w:vAlign w:val="bottom"/>
            <w:gridSpan w:val="4"/>
          </w:tcPr>
          <w:p>
            <w:pPr>
              <w:jc w:val="right"/>
              <w:spacing w:after="0"/>
              <w:rPr>
                <w:rFonts w:ascii="Arial" w:cs="Arial" w:eastAsia="Arial" w:hAnsi="Arial"/>
                <w:sz w:val="18"/>
                <w:szCs w:val="18"/>
                <w:color w:val="0000EE"/>
              </w:rPr>
            </w:pPr>
            <w:hyperlink r:id="rId9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88"/>
              </w:rPr>
            </w:pPr>
            <w:hyperlink r:id="rId96">
              <w:r>
                <w:rPr>
                  <w:rFonts w:ascii="Arial" w:cs="Arial" w:eastAsia="Arial" w:hAnsi="Arial"/>
                  <w:sz w:val="18"/>
                  <w:szCs w:val="18"/>
                  <w:color w:val="0000EE"/>
                  <w:w w:val="88"/>
                </w:rPr>
                <w:t>Amendment and Restatement of the Supplemental Executive Retirement Plan, incorporated by reference to Exhibit 10.2 to the quarterly</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r:id="rId96">
              <w:r>
                <w:rPr>
                  <w:rFonts w:ascii="Arial" w:cs="Arial" w:eastAsia="Arial" w:hAnsi="Arial"/>
                  <w:sz w:val="18"/>
                  <w:szCs w:val="18"/>
                  <w:color w:val="0000EE"/>
                  <w:w w:val="87"/>
                </w:rPr>
                <w:t>report on Form 10-Q for the quarter ended September 30, 2007.*</w:t>
              </w:r>
            </w:hyperlink>
          </w:p>
        </w:tc>
        <w:tc>
          <w:tcPr>
            <w:tcW w:w="5020" w:type="dxa"/>
            <w:vAlign w:val="bottom"/>
            <w:tcBorders>
              <w:top w:val="single" w:sz="8" w:color="0000EE"/>
            </w:tcBorders>
            <w:gridSpan w:val="5"/>
          </w:tcPr>
          <w:p>
            <w:pPr>
              <w:spacing w:after="0"/>
              <w:rPr>
                <w:sz w:val="17"/>
                <w:szCs w:val="17"/>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Stock Appreciation Rights Award Agreement, incorporated by reference to Exhibit 10.4 to the quarterly report on Form 10-Q</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for the quarter ended September 30, 2007.*</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Restricted Stock Award Agreement, incorporated by reference to Exhibit 10.8 to the annual report on Form 10-K for the year</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ended December 31, 2016.*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Form of Restricted Stock Unit Agreement, incorporated by reference to Exhibit 10.9 to the annual report on Form 10-K for the year</w:t>
              </w:r>
            </w:hyperlink>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ended December 31, 2016.*</w:t>
              </w:r>
            </w:hyperlink>
          </w:p>
        </w:tc>
      </w:tr>
      <w:tr>
        <w:trPr>
          <w:trHeight w:val="20"/>
        </w:trPr>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Description of Cass Information Systems, Inc. Profit Sharing Program.*</w:t>
              </w:r>
            </w:hyperlink>
          </w:p>
        </w:tc>
      </w:tr>
      <w:tr>
        <w:trPr>
          <w:trHeight w:val="412"/>
        </w:trPr>
        <w:tc>
          <w:tcPr>
            <w:tcW w:w="360" w:type="dxa"/>
            <w:vAlign w:val="bottom"/>
          </w:tcPr>
          <w:p>
            <w:pPr>
              <w:spacing w:after="0"/>
              <w:rPr>
                <w:sz w:val="24"/>
                <w:szCs w:val="24"/>
                <w:color w:val="auto"/>
              </w:rPr>
            </w:pPr>
          </w:p>
        </w:tc>
        <w:tc>
          <w:tcPr>
            <w:tcW w:w="300" w:type="dxa"/>
            <w:vAlign w:val="bottom"/>
            <w:tcBorders>
              <w:top w:val="single" w:sz="8" w:color="0000EE"/>
            </w:tcBorders>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21</w:t>
              </w:r>
            </w:hyperlink>
          </w:p>
        </w:tc>
        <w:tc>
          <w:tcPr>
            <w:tcW w:w="280" w:type="dxa"/>
            <w:vAlign w:val="bottom"/>
          </w:tcPr>
          <w:p>
            <w:pPr>
              <w:spacing w:after="0"/>
              <w:rPr>
                <w:sz w:val="24"/>
                <w:szCs w:val="24"/>
                <w:color w:val="auto"/>
              </w:rPr>
            </w:pPr>
          </w:p>
        </w:tc>
        <w:tc>
          <w:tcPr>
            <w:tcW w:w="18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72">
              <w:r>
                <w:rPr>
                  <w:rFonts w:ascii="Arial" w:cs="Arial" w:eastAsia="Arial" w:hAnsi="Arial"/>
                  <w:sz w:val="18"/>
                  <w:szCs w:val="18"/>
                  <w:color w:val="0000EE"/>
                  <w:w w:val="87"/>
                </w:rPr>
                <w:t>Subsidiaries of registrant.</w:t>
              </w:r>
            </w:hyperlink>
          </w:p>
        </w:tc>
        <w:tc>
          <w:tcPr>
            <w:tcW w:w="3260" w:type="dxa"/>
            <w:vAlign w:val="bottom"/>
            <w:tcBorders>
              <w:top w:val="single" w:sz="8" w:color="0000EE"/>
            </w:tcBorders>
            <w:gridSpan w:val="11"/>
          </w:tcPr>
          <w:p>
            <w:pPr>
              <w:spacing w:after="0"/>
              <w:rPr>
                <w:sz w:val="24"/>
                <w:szCs w:val="24"/>
                <w:color w:val="auto"/>
              </w:rPr>
            </w:pPr>
          </w:p>
        </w:tc>
        <w:tc>
          <w:tcPr>
            <w:tcW w:w="4520" w:type="dxa"/>
            <w:vAlign w:val="bottom"/>
            <w:gridSpan w:val="4"/>
          </w:tcPr>
          <w:p>
            <w:pPr>
              <w:spacing w:after="0"/>
              <w:rPr>
                <w:sz w:val="24"/>
                <w:szCs w:val="24"/>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23</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Consent of Independent Registered Public Accounting Firm.</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10"/>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Certification Pursuant to Section 302 of the Sarbanes-Oxley Act of 2002.</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40" w:type="dxa"/>
            <w:vAlign w:val="bottom"/>
            <w:gridSpan w:val="13"/>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Certification Pursuant to Section 302 of the Sarbanes-Oxley Act of 2002.</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40" w:type="dxa"/>
            <w:vAlign w:val="bottom"/>
            <w:gridSpan w:val="13"/>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Certification Pursuant to 18 U.S.C. Section 1350, as Adopted Pursuant to Section 906 of the Sarbanes-Oxley Act of 2002.</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gridSpan w:val="1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66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8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Certification Pursuant to 18 U.S.C. Section 1350, as Adopted Pursuant to Section 906 of the Sarbanes-Oxley Act of 2002.</w:t>
              </w:r>
            </w:hyperlink>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1"/>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8"/>
              </w:rPr>
              <w:t>101.INS</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87"/>
              </w:rPr>
              <w:t>101.SCH</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1"/>
              </w:rPr>
              <w:t>101.CAL</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2"/>
              </w:rPr>
              <w:t>101.LAB</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88"/>
              </w:rPr>
              <w:t>101.PRE</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1"/>
        </w:trPr>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w w:val="90"/>
              </w:rPr>
              <w:t>101.DEF</w:t>
            </w:r>
          </w:p>
        </w:tc>
        <w:tc>
          <w:tcPr>
            <w:tcW w:w="95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rPr>
          <w:sz w:val="20"/>
          <w:szCs w:val="20"/>
          <w:color w:val="auto"/>
        </w:rPr>
      </w:pPr>
      <w:r>
        <w:rPr>
          <w:rFonts w:ascii="Arial" w:cs="Arial" w:eastAsia="Arial" w:hAnsi="Arial"/>
          <w:sz w:val="22"/>
          <w:szCs w:val="22"/>
          <w:color w:val="auto"/>
        </w:rPr>
        <w:t>________________</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None.</w:t>
      </w:r>
    </w:p>
    <w:p>
      <w:pPr>
        <w:sectPr>
          <w:pgSz w:w="11900" w:h="16838" w:orient="portrait"/>
          <w:cols w:equalWidth="0" w:num="1">
            <w:col w:w="11420"/>
          </w:cols>
          <w:pgMar w:left="240" w:top="125" w:right="239" w:bottom="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6120" w:type="dxa"/>
            <w:vAlign w:val="bottom"/>
            <w:gridSpan w:val="2"/>
          </w:tcPr>
          <w:p>
            <w:pPr>
              <w:ind w:left="1880"/>
              <w:spacing w:after="0"/>
              <w:rPr>
                <w:sz w:val="20"/>
                <w:szCs w:val="20"/>
                <w:color w:val="auto"/>
              </w:rPr>
            </w:pPr>
            <w:r>
              <w:rPr>
                <w:rFonts w:ascii="Arial" w:cs="Arial" w:eastAsia="Arial" w:hAnsi="Arial"/>
                <w:sz w:val="18"/>
                <w:szCs w:val="18"/>
                <w:b w:val="1"/>
                <w:bCs w:val="1"/>
                <w:color w:val="auto"/>
              </w:rPr>
              <w:t>CASS INFORMATION SYSTEMS, INC.</w:t>
            </w:r>
          </w:p>
        </w:tc>
      </w:tr>
      <w:tr>
        <w:trPr>
          <w:trHeight w:val="495"/>
        </w:trPr>
        <w:tc>
          <w:tcPr>
            <w:tcW w:w="3620" w:type="dxa"/>
            <w:vAlign w:val="bottom"/>
          </w:tcPr>
          <w:p>
            <w:pPr>
              <w:spacing w:after="0"/>
              <w:rPr>
                <w:sz w:val="20"/>
                <w:szCs w:val="20"/>
                <w:color w:val="auto"/>
              </w:rPr>
            </w:pPr>
            <w:r>
              <w:rPr>
                <w:rFonts w:ascii="Arial" w:cs="Arial" w:eastAsia="Arial" w:hAnsi="Arial"/>
                <w:sz w:val="18"/>
                <w:szCs w:val="18"/>
                <w:color w:val="auto"/>
              </w:rPr>
              <w:t>Date: February 28, 2018</w:t>
            </w:r>
          </w:p>
        </w:tc>
        <w:tc>
          <w:tcPr>
            <w:tcW w:w="2140" w:type="dxa"/>
            <w:vAlign w:val="bottom"/>
          </w:tcPr>
          <w:p>
            <w:pPr>
              <w:ind w:left="18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H. Brunngraber</w:t>
            </w:r>
          </w:p>
        </w:tc>
      </w:tr>
      <w:tr>
        <w:trPr>
          <w:trHeight w:val="228"/>
        </w:trPr>
        <w:tc>
          <w:tcPr>
            <w:tcW w:w="3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980" w:type="dxa"/>
            <w:vAlign w:val="bottom"/>
          </w:tcPr>
          <w:p>
            <w:pPr>
              <w:jc w:val="center"/>
              <w:ind w:left="212"/>
              <w:spacing w:after="0"/>
              <w:rPr>
                <w:sz w:val="20"/>
                <w:szCs w:val="20"/>
                <w:color w:val="auto"/>
              </w:rPr>
            </w:pPr>
            <w:r>
              <w:rPr>
                <w:rFonts w:ascii="Arial" w:cs="Arial" w:eastAsia="Arial" w:hAnsi="Arial"/>
                <w:sz w:val="18"/>
                <w:szCs w:val="18"/>
                <w:color w:val="auto"/>
                <w:w w:val="90"/>
              </w:rPr>
              <w:t>Eric H. Brunngraber</w:t>
            </w:r>
          </w:p>
        </w:tc>
      </w:tr>
      <w:tr>
        <w:trPr>
          <w:trHeight w:val="243"/>
        </w:trPr>
        <w:tc>
          <w:tcPr>
            <w:tcW w:w="36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9"/>
              </w:rPr>
              <w:t>Chairman, President and Chief Executive Officer</w:t>
            </w:r>
          </w:p>
        </w:tc>
      </w:tr>
      <w:tr>
        <w:trPr>
          <w:trHeight w:val="243"/>
        </w:trPr>
        <w:tc>
          <w:tcPr>
            <w:tcW w:w="36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95"/>
        </w:trPr>
        <w:tc>
          <w:tcPr>
            <w:tcW w:w="3620" w:type="dxa"/>
            <w:vAlign w:val="bottom"/>
          </w:tcPr>
          <w:p>
            <w:pPr>
              <w:spacing w:after="0"/>
              <w:rPr>
                <w:sz w:val="20"/>
                <w:szCs w:val="20"/>
                <w:color w:val="auto"/>
              </w:rPr>
            </w:pPr>
            <w:r>
              <w:rPr>
                <w:rFonts w:ascii="Arial" w:cs="Arial" w:eastAsia="Arial" w:hAnsi="Arial"/>
                <w:sz w:val="18"/>
                <w:szCs w:val="18"/>
                <w:color w:val="auto"/>
              </w:rPr>
              <w:t>Date: February 28, 2018</w:t>
            </w:r>
          </w:p>
        </w:tc>
        <w:tc>
          <w:tcPr>
            <w:tcW w:w="2140" w:type="dxa"/>
            <w:vAlign w:val="bottom"/>
          </w:tcPr>
          <w:p>
            <w:pPr>
              <w:ind w:left="18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 Stephen Appelbaum</w:t>
            </w:r>
          </w:p>
        </w:tc>
      </w:tr>
      <w:tr>
        <w:trPr>
          <w:trHeight w:val="228"/>
        </w:trPr>
        <w:tc>
          <w:tcPr>
            <w:tcW w:w="3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980" w:type="dxa"/>
            <w:vAlign w:val="bottom"/>
          </w:tcPr>
          <w:p>
            <w:pPr>
              <w:jc w:val="center"/>
              <w:ind w:left="212"/>
              <w:spacing w:after="0"/>
              <w:rPr>
                <w:sz w:val="20"/>
                <w:szCs w:val="20"/>
                <w:color w:val="auto"/>
              </w:rPr>
            </w:pPr>
            <w:r>
              <w:rPr>
                <w:rFonts w:ascii="Arial" w:cs="Arial" w:eastAsia="Arial" w:hAnsi="Arial"/>
                <w:sz w:val="18"/>
                <w:szCs w:val="18"/>
                <w:color w:val="auto"/>
                <w:w w:val="86"/>
              </w:rPr>
              <w:t>P. Stephen Appelbaum</w:t>
            </w:r>
          </w:p>
        </w:tc>
      </w:tr>
    </w:tbl>
    <w:p>
      <w:pPr>
        <w:spacing w:after="0" w:line="21"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dates indicated by the following persons on behalf of the registrant and in their capacity as a member of the Board of Directors of the Company.</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Eric H. Brunngraber</w:t>
            </w:r>
          </w:p>
        </w:tc>
        <w:tc>
          <w:tcPr>
            <w:tcW w:w="2160" w:type="dxa"/>
            <w:vAlign w:val="bottom"/>
          </w:tcPr>
          <w:p>
            <w:pPr>
              <w:spacing w:after="0"/>
              <w:rPr>
                <w:sz w:val="20"/>
                <w:szCs w:val="20"/>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Eric H. Brunngraber</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Ralph W. Clermont</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Ralph W. Clermont</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Lawrence A. Collett</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Lawrence A. Collett</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A. Ebel</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Robert A. Ebel</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Benjamin F. Edwards, IV</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Benjamin F. Edwards, IV</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James J. Lindemann</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James J. Lindemann</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Joseph D. Rupp</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Joseph D. Rupp</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Randall L. Schilling</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Randall L. Schilling</w:t>
            </w:r>
          </w:p>
        </w:tc>
        <w:tc>
          <w:tcPr>
            <w:tcW w:w="2160" w:type="dxa"/>
            <w:vAlign w:val="bottom"/>
          </w:tcPr>
          <w:p>
            <w:pPr>
              <w:spacing w:after="0"/>
              <w:rPr>
                <w:sz w:val="19"/>
                <w:szCs w:val="19"/>
                <w:color w:val="auto"/>
              </w:rPr>
            </w:pPr>
          </w:p>
        </w:tc>
      </w:tr>
      <w:tr>
        <w:trPr>
          <w:trHeight w:val="495"/>
        </w:trPr>
        <w:tc>
          <w:tcPr>
            <w:tcW w:w="3440" w:type="dxa"/>
            <w:vAlign w:val="bottom"/>
          </w:tcPr>
          <w:p>
            <w:pPr>
              <w:spacing w:after="0"/>
              <w:rPr>
                <w:sz w:val="20"/>
                <w:szCs w:val="20"/>
                <w:color w:val="auto"/>
              </w:rPr>
            </w:pPr>
            <w:r>
              <w:rPr>
                <w:rFonts w:ascii="Arial" w:cs="Arial" w:eastAsia="Arial" w:hAnsi="Arial"/>
                <w:sz w:val="18"/>
                <w:szCs w:val="18"/>
                <w:color w:val="auto"/>
              </w:rPr>
              <w:t>Date: February 28, 2018</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Franklin D. Wicks, Jr.</w:t>
            </w:r>
          </w:p>
        </w:tc>
        <w:tc>
          <w:tcPr>
            <w:tcW w:w="21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Franklin D. Wicks, Jr.</w:t>
            </w:r>
          </w:p>
        </w:tc>
        <w:tc>
          <w:tcPr>
            <w:tcW w:w="2160" w:type="dxa"/>
            <w:vAlign w:val="bottom"/>
          </w:tcPr>
          <w:p>
            <w:pPr>
              <w:spacing w:after="0"/>
              <w:rPr>
                <w:sz w:val="19"/>
                <w:szCs w:val="19"/>
                <w:color w:val="auto"/>
              </w:rPr>
            </w:pPr>
          </w:p>
        </w:tc>
      </w:tr>
      <w:tr>
        <w:trPr>
          <w:trHeight w:val="446"/>
        </w:trPr>
        <w:tc>
          <w:tcPr>
            <w:tcW w:w="3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67</w:t>
            </w:r>
          </w:p>
        </w:tc>
        <w:tc>
          <w:tcPr>
            <w:tcW w:w="2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Profit Sharing Program</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purpose of the profit sharing program is to facilitate the Company’s continued growth and success by providing rewards that are commensurate with achievement, thereby creating an incentive for superior performance and improved results for shareholders. All employees of Cass Information Systems are eligible to participate in the program, unless specifically excluded due to their employment category, such as temporary staff or if their performance is not meeting the minimum expectations.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 of the profit sharing fund available for distribution is set by the Board of Directors and has historically been 12.5% of the company’s net profits before taxes for the period of distribution.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Distributions are not guaranteed and the company may distribute profit sharing benefits on any schedule and in any manner that it deems appropriate. Currently, distributions are made on a semi-annual basis.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Allocations to employee groups eligible to participate are divided into exempt and non-exempt pools based on the salaries of each group over the corresponding period. The non-exempt pool is distributed to each eligible employee based on a factor of salary and performance score. The exempt pool is distributed to all exempt employees considering factors such as position, salary grade and individual performance. Specific allocations are made out of the exempt pool to the Chief Executive Officer (CEO) and other executive officers, including named executive officers (NEOs) as follows:</w:t>
      </w:r>
    </w:p>
    <w:p>
      <w:pPr>
        <w:spacing w:after="0" w:line="167"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u w:val="single" w:color="auto"/>
          <w:color w:val="auto"/>
        </w:rPr>
        <w:t>CEO</w:t>
      </w:r>
      <w:r>
        <w:rPr>
          <w:rFonts w:ascii="Arial" w:cs="Arial" w:eastAsia="Arial" w:hAnsi="Arial"/>
          <w:sz w:val="18"/>
          <w:szCs w:val="18"/>
          <w:color w:val="auto"/>
        </w:rPr>
        <w:t xml:space="preserve"> – The CEO receives a percentage of the total profit sharing pool based on the change in net income before taxes (NIBT) from the prior year and is set to provide a target percentage of base salary at target performance of 45%. The amount paid to the CEO can range from 0% up to a maximum of 70% of base pay.</w:t>
      </w:r>
    </w:p>
    <w:p>
      <w:pPr>
        <w:spacing w:after="0" w:line="194" w:lineRule="exact"/>
        <w:rPr>
          <w:sz w:val="20"/>
          <w:szCs w:val="20"/>
          <w:color w:val="auto"/>
        </w:rPr>
      </w:pPr>
    </w:p>
    <w:p>
      <w:pPr>
        <w:jc w:val="both"/>
        <w:ind w:left="280"/>
        <w:spacing w:after="0" w:line="298" w:lineRule="auto"/>
        <w:rPr>
          <w:sz w:val="20"/>
          <w:szCs w:val="20"/>
          <w:color w:val="auto"/>
        </w:rPr>
      </w:pPr>
      <w:r>
        <w:rPr>
          <w:rFonts w:ascii="Arial" w:cs="Arial" w:eastAsia="Arial" w:hAnsi="Arial"/>
          <w:sz w:val="16"/>
          <w:szCs w:val="16"/>
          <w:u w:val="single" w:color="auto"/>
          <w:color w:val="auto"/>
        </w:rPr>
        <w:t>Executive Officers</w:t>
      </w:r>
      <w:r>
        <w:rPr>
          <w:rFonts w:ascii="Arial" w:cs="Arial" w:eastAsia="Arial" w:hAnsi="Arial"/>
          <w:sz w:val="16"/>
          <w:szCs w:val="16"/>
          <w:color w:val="auto"/>
        </w:rPr>
        <w:t xml:space="preserve"> – A percentage of the total profit sharing pool is provided for distribution to other executive officers based on the change in NIBT from the prior year and is set to provide a target percentage of base salaries at target performance of 40%. The total funds provided for distribution to the executive officers can range from 0% up to a maximum of 50% of base pay. The amount of funds in this pool is distributed to each individual executive officer by the CEO based on a subjective evaluation considering internal equity and other individual factors related to performance.</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Individual distributions to exempt employees, other than the CEO and executive officers, as a percent of salary are subject to set limits based on each individual’s pay grade and any payment in excess of these percentages shall require the review and approval of the President or Chief Operating Officer of each business unit and the CEO. Payments in excess of the set limits for the CEO and executive officers need approval from the Board of Director’s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20" w:type="dxa"/>
            <w:vAlign w:val="bottom"/>
            <w:gridSpan w:val="5"/>
          </w:tcPr>
          <w:p>
            <w:pPr>
              <w:ind w:left="760"/>
              <w:spacing w:after="0"/>
              <w:rPr>
                <w:sz w:val="20"/>
                <w:szCs w:val="20"/>
                <w:color w:val="auto"/>
              </w:rPr>
            </w:pPr>
            <w:r>
              <w:rPr>
                <w:rFonts w:ascii="Arial" w:cs="Arial" w:eastAsia="Arial" w:hAnsi="Arial"/>
                <w:sz w:val="18"/>
                <w:szCs w:val="18"/>
                <w:b w:val="1"/>
                <w:bCs w:val="1"/>
                <w:color w:val="auto"/>
                <w:w w:val="96"/>
              </w:rPr>
              <w:t>SUBSIDIARIES OF CASS INFORMATION SYSTEMS, INC.*</w:t>
            </w:r>
          </w:p>
        </w:tc>
      </w:tr>
      <w:tr>
        <w:trPr>
          <w:trHeight w:val="426"/>
        </w:trPr>
        <w:tc>
          <w:tcPr>
            <w:tcW w:w="2580" w:type="dxa"/>
            <w:vAlign w:val="bottom"/>
            <w:gridSpan w:val="2"/>
          </w:tcPr>
          <w:p>
            <w:pPr>
              <w:spacing w:after="0"/>
              <w:rPr>
                <w:sz w:val="20"/>
                <w:szCs w:val="20"/>
                <w:color w:val="auto"/>
              </w:rPr>
            </w:pPr>
            <w:r>
              <w:rPr>
                <w:rFonts w:ascii="Arial" w:cs="Arial" w:eastAsia="Arial" w:hAnsi="Arial"/>
                <w:sz w:val="18"/>
                <w:szCs w:val="18"/>
                <w:color w:val="auto"/>
              </w:rPr>
              <w:t>Name &amp; Address</w:t>
            </w:r>
          </w:p>
        </w:tc>
        <w:tc>
          <w:tcPr>
            <w:tcW w:w="7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State of Incorporation</w:t>
            </w:r>
          </w:p>
        </w:tc>
        <w:tc>
          <w:tcPr>
            <w:tcW w:w="10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505"/>
        </w:trPr>
        <w:tc>
          <w:tcPr>
            <w:tcW w:w="2580" w:type="dxa"/>
            <w:vAlign w:val="bottom"/>
            <w:gridSpan w:val="2"/>
          </w:tcPr>
          <w:p>
            <w:pPr>
              <w:spacing w:after="0"/>
              <w:rPr>
                <w:sz w:val="20"/>
                <w:szCs w:val="20"/>
                <w:color w:val="auto"/>
              </w:rPr>
            </w:pPr>
            <w:r>
              <w:rPr>
                <w:rFonts w:ascii="Arial" w:cs="Arial" w:eastAsia="Arial" w:hAnsi="Arial"/>
                <w:sz w:val="18"/>
                <w:szCs w:val="18"/>
                <w:color w:val="auto"/>
              </w:rPr>
              <w:t>Cass Commercial Bank</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Missouri</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12412 Powerscourt Drive</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St. Louis, Missouri 63131</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86"/>
        </w:trPr>
        <w:tc>
          <w:tcPr>
            <w:tcW w:w="2580" w:type="dxa"/>
            <w:vAlign w:val="bottom"/>
            <w:gridSpan w:val="2"/>
          </w:tcPr>
          <w:p>
            <w:pPr>
              <w:spacing w:after="0"/>
              <w:rPr>
                <w:sz w:val="20"/>
                <w:szCs w:val="20"/>
                <w:color w:val="auto"/>
              </w:rPr>
            </w:pPr>
            <w:r>
              <w:rPr>
                <w:rFonts w:ascii="Arial" w:cs="Arial" w:eastAsia="Arial" w:hAnsi="Arial"/>
                <w:sz w:val="18"/>
                <w:szCs w:val="18"/>
                <w:color w:val="auto"/>
              </w:rPr>
              <w:t>Cass International LLC</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Missouri</w:t>
            </w: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12444 Powerscourt Drive</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80" w:type="dxa"/>
            <w:vAlign w:val="bottom"/>
            <w:gridSpan w:val="2"/>
          </w:tcPr>
          <w:p>
            <w:pPr>
              <w:spacing w:after="0"/>
              <w:rPr>
                <w:sz w:val="20"/>
                <w:szCs w:val="20"/>
                <w:color w:val="auto"/>
              </w:rPr>
            </w:pPr>
            <w:r>
              <w:rPr>
                <w:rFonts w:ascii="Arial" w:cs="Arial" w:eastAsia="Arial" w:hAnsi="Arial"/>
                <w:sz w:val="18"/>
                <w:szCs w:val="18"/>
                <w:color w:val="auto"/>
              </w:rPr>
              <w:t>St. Louis, Missouri 63131</w:t>
            </w: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Item 601(b)(21)(ii) of Regulation S-K, the names of particular subsidiaries may be omitted if the unnamed subsidiaries, considered in the aggregate as a single subsidiary, would not constitute a significant subsidiary (as such term is defined in Rule 1-02(w) of Regulation S-X) as of the end of the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(No. 333-143411, 333-181772, and 333-188504) on Form S-8 of Cass Information Systems, Inc. of our reports dated February 28, 2018, with respect to the consolidated balance sheets of Cass Information Systems, Inc. as of December 31, 2017 and 2016, and the related consolidated statements of income, comprehensive income, shareholders’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 K of Cass Information Systems,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Cass Information Systems, Inc.;</w:t>
      </w:r>
    </w:p>
    <w:p>
      <w:pPr>
        <w:spacing w:after="0" w:line="252" w:lineRule="exact"/>
        <w:rPr>
          <w:rFonts w:ascii="Arial" w:cs="Arial" w:eastAsia="Arial" w:hAnsi="Arial"/>
          <w:sz w:val="18"/>
          <w:szCs w:val="18"/>
          <w:color w:val="auto"/>
        </w:rPr>
      </w:pPr>
    </w:p>
    <w:p>
      <w:pPr>
        <w:ind w:left="380" w:hanging="372"/>
        <w:spacing w:after="0" w:line="33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80" w:hanging="372"/>
        <w:spacing w:after="0" w:line="268"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20" w:hanging="447"/>
        <w:spacing w:after="0" w:line="332" w:lineRule="auto"/>
        <w:tabs>
          <w:tab w:leader="none" w:pos="8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20" w:hanging="447"/>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80" w:right="20" w:hanging="372"/>
        <w:spacing w:after="0" w:line="33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hanging="447"/>
        <w:spacing w:after="0" w:line="268"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hanging="447"/>
        <w:spacing w:after="0" w:line="268"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Cass Information Systems, Inc.;</w:t>
      </w:r>
    </w:p>
    <w:p>
      <w:pPr>
        <w:spacing w:after="0" w:line="252" w:lineRule="exact"/>
        <w:rPr>
          <w:rFonts w:ascii="Arial" w:cs="Arial" w:eastAsia="Arial" w:hAnsi="Arial"/>
          <w:sz w:val="18"/>
          <w:szCs w:val="18"/>
          <w:color w:val="auto"/>
        </w:rPr>
      </w:pPr>
    </w:p>
    <w:p>
      <w:pPr>
        <w:ind w:left="380" w:hanging="372"/>
        <w:spacing w:after="0" w:line="332"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80" w:hanging="372"/>
        <w:spacing w:after="0" w:line="268"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20" w:hanging="447"/>
        <w:spacing w:after="0" w:line="259"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20" w:hanging="447"/>
        <w:spacing w:after="0" w:line="332" w:lineRule="auto"/>
        <w:tabs>
          <w:tab w:leader="none" w:pos="8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20" w:hanging="447"/>
        <w:spacing w:after="0" w:line="259"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80" w:right="20" w:hanging="372"/>
        <w:spacing w:after="0" w:line="332"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hanging="447"/>
        <w:spacing w:after="0" w:line="268"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hanging="447"/>
        <w:spacing w:after="0" w:line="268"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Annual Report of Cass Information Systems, Inc. (“the Company”) on Form 10-K for the period ended December 31, 2017,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1" w:lineRule="exact"/>
        <w:rPr>
          <w:sz w:val="20"/>
          <w:szCs w:val="20"/>
          <w:color w:val="auto"/>
        </w:rPr>
      </w:pPr>
    </w:p>
    <w:p>
      <w:pPr>
        <w:ind w:left="720" w:hanging="44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442"/>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28, 2018</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Annual Report of Cass Information Systems, Inc. (“the Company”) on Form 10-K for the period ended December 31, 2017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720" w:hanging="44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442"/>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3258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28, 2018</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23">
    <w:nsid w:val="B03E0C6"/>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90" Type="http://schemas.openxmlformats.org/officeDocument/2006/relationships/hyperlink" Target="http://www.sec.gov/Archives/edgar/data/708781/0000950114-98-000012.txt" TargetMode="External"/><Relationship Id="rId91" Type="http://schemas.openxmlformats.org/officeDocument/2006/relationships/hyperlink" Target="http://www.sec.gov/Archives/edgar/data/708781/000119312513162285/d522876dex31.htm" TargetMode="External"/><Relationship Id="rId92" Type="http://schemas.openxmlformats.org/officeDocument/2006/relationships/hyperlink" Target="http://www.sec.gov/Archives/edgar/data/708781/000119380506002677/e601185_ex3-1.txt" TargetMode="External"/><Relationship Id="rId93" Type="http://schemas.openxmlformats.org/officeDocument/2006/relationships/hyperlink" Target="http://www.sec.gov/Archives/edgar/data/708781/000119312516653705/d202430dex31.htm" TargetMode="External"/><Relationship Id="rId94" Type="http://schemas.openxmlformats.org/officeDocument/2006/relationships/hyperlink" Target="http://www.sec.gov/Archives/edgar/data/708781/000119380503000382/e300379_ex10-1.txt" TargetMode="External"/><Relationship Id="rId95" Type="http://schemas.openxmlformats.org/officeDocument/2006/relationships/hyperlink" Target="http://www.sec.gov/Archives/edgar/data/708781/000119312513162285/d522876dex101.htm" TargetMode="External"/><Relationship Id="rId96" Type="http://schemas.openxmlformats.org/officeDocument/2006/relationships/hyperlink" Target="http://www.sec.gov/Archives/edgar/data/708781/000119380507002783/e602795_ex10-2.txt" TargetMode="External"/><Relationship Id="rId97" Type="http://schemas.openxmlformats.org/officeDocument/2006/relationships/hyperlink" Target="http://www.sec.gov/Archives/edgar/data/708781/000119380507002783/e602795_ex10-4.txt" TargetMode="External"/><Relationship Id="rId98" Type="http://schemas.openxmlformats.org/officeDocument/2006/relationships/hyperlink" Target="http://www.sec.gov/Archives/edgar/data/708781/000120677417000734/cass3073843-ex108.htm" TargetMode="External"/><Relationship Id="rId99" Type="http://schemas.openxmlformats.org/officeDocument/2006/relationships/hyperlink" Target="http://www.sec.gov/Archives/edgar/data/708781/000120677417000734/cass3073843-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2019-12-29T00:52:24Z</dcterms:created>
  <dcterms:modified xsi:type="dcterms:W3CDTF">2019-12-29T00:52:24Z</dcterms:modified>
</cp:coreProperties>
</file>