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color w:val="auto"/>
        </w:rPr>
        <w:t>UNITED STATES</w:t>
      </w:r>
    </w:p>
    <w:p>
      <w:pPr>
        <w:spacing w:after="0" w:line="25"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46" w:lineRule="exact"/>
        <w:rPr>
          <w:sz w:val="24"/>
          <w:szCs w:val="24"/>
          <w:color w:val="auto"/>
        </w:rPr>
      </w:pPr>
    </w:p>
    <w:p>
      <w:pPr>
        <w:ind w:left="580" w:right="2080" w:hanging="554"/>
        <w:spacing w:after="0" w:line="610" w:lineRule="auto"/>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 xml:space="preserve">QUARTERLY REPORT PURSUANT TO SECTION 13 or 15(d) OF THE SECURITIES EXCHANGE ACT OF 1934 For the quarterly period ended </w:t>
      </w:r>
      <w:r>
        <w:rPr>
          <w:rFonts w:ascii="Times New Roman" w:cs="Times New Roman" w:eastAsia="Times New Roman" w:hAnsi="Times New Roman"/>
          <w:sz w:val="18"/>
          <w:szCs w:val="18"/>
          <w:u w:val="single" w:color="auto"/>
          <w:color w:val="auto"/>
        </w:rPr>
        <w:t>September 30, 2022</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320" w:lineRule="exact"/>
        <w:rPr>
          <w:sz w:val="24"/>
          <w:szCs w:val="24"/>
          <w:color w:val="auto"/>
        </w:rPr>
      </w:pPr>
    </w:p>
    <w:p>
      <w:pPr>
        <w:ind w:left="580" w:hanging="554"/>
        <w:spacing w:after="0"/>
        <w:tabs>
          <w:tab w:leader="none" w:pos="58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32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color w:val="auto"/>
        </w:rPr>
        <w:t>For the transition period from __________ to __________</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000-20827</w:t>
      </w:r>
    </w:p>
    <w:p>
      <w:pPr>
        <w:spacing w:after="0" w:line="126"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9720" w:type="dxa"/>
            <w:vAlign w:val="bottom"/>
            <w:gridSpan w:val="2"/>
          </w:tcPr>
          <w:p>
            <w:pPr>
              <w:jc w:val="center"/>
              <w:ind w:left="1408"/>
              <w:spacing w:after="0"/>
              <w:rPr>
                <w:sz w:val="20"/>
                <w:szCs w:val="20"/>
                <w:color w:val="auto"/>
              </w:rPr>
            </w:pPr>
            <w:r>
              <w:rPr>
                <w:rFonts w:ascii="Times New Roman" w:cs="Times New Roman" w:eastAsia="Times New Roman" w:hAnsi="Times New Roman"/>
                <w:sz w:val="22"/>
                <w:szCs w:val="22"/>
                <w:b w:val="1"/>
                <w:bCs w:val="1"/>
                <w:color w:val="auto"/>
                <w:w w:val="97"/>
              </w:rPr>
              <w:t>CASS INFORMATION SYSTEMS, INC.</w:t>
            </w:r>
          </w:p>
        </w:tc>
      </w:tr>
      <w:tr>
        <w:trPr>
          <w:trHeight w:val="234"/>
        </w:trPr>
        <w:tc>
          <w:tcPr>
            <w:tcW w:w="9720" w:type="dxa"/>
            <w:vAlign w:val="bottom"/>
            <w:gridSpan w:val="2"/>
          </w:tcPr>
          <w:p>
            <w:pPr>
              <w:jc w:val="center"/>
              <w:ind w:left="1388"/>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432"/>
        </w:trPr>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Missouri</w:t>
            </w:r>
          </w:p>
        </w:tc>
        <w:tc>
          <w:tcPr>
            <w:tcW w:w="406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43-1265338</w:t>
            </w: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(State or other jurisdiction of incorporation or</w:t>
            </w:r>
          </w:p>
        </w:tc>
        <w:tc>
          <w:tcPr>
            <w:tcW w:w="4060" w:type="dxa"/>
            <w:vAlign w:val="bottom"/>
          </w:tcPr>
          <w:p>
            <w:pPr>
              <w:jc w:val="center"/>
              <w:ind w:left="1350"/>
              <w:spacing w:after="0" w:line="202" w:lineRule="exact"/>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5660" w:type="dxa"/>
            <w:vAlign w:val="bottom"/>
          </w:tcPr>
          <w:p>
            <w:pPr>
              <w:spacing w:after="0"/>
              <w:rPr>
                <w:sz w:val="20"/>
                <w:szCs w:val="20"/>
                <w:color w:val="auto"/>
              </w:rPr>
            </w:pPr>
            <w:r>
              <w:rPr>
                <w:rFonts w:ascii="Arial" w:cs="Arial" w:eastAsia="Arial" w:hAnsi="Arial"/>
                <w:sz w:val="18"/>
                <w:szCs w:val="18"/>
                <w:color w:val="auto"/>
              </w:rPr>
              <w:t>organization)</w:t>
            </w:r>
          </w:p>
        </w:tc>
        <w:tc>
          <w:tcPr>
            <w:tcW w:w="4060" w:type="dxa"/>
            <w:vAlign w:val="bottom"/>
          </w:tcPr>
          <w:p>
            <w:pPr>
              <w:spacing w:after="0"/>
              <w:rPr>
                <w:sz w:val="20"/>
                <w:szCs w:val="20"/>
                <w:color w:val="auto"/>
              </w:rPr>
            </w:pPr>
          </w:p>
        </w:tc>
      </w:tr>
      <w:tr>
        <w:trPr>
          <w:trHeight w:val="216"/>
        </w:trPr>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12444 Powerscourt Drive, Suite 550</w:t>
            </w:r>
          </w:p>
        </w:tc>
        <w:tc>
          <w:tcPr>
            <w:tcW w:w="4060" w:type="dxa"/>
            <w:vAlign w:val="bottom"/>
          </w:tcPr>
          <w:p>
            <w:pPr>
              <w:spacing w:after="0"/>
              <w:rPr>
                <w:sz w:val="18"/>
                <w:szCs w:val="18"/>
                <w:color w:val="auto"/>
              </w:rPr>
            </w:pPr>
          </w:p>
        </w:tc>
      </w:tr>
      <w:tr>
        <w:trPr>
          <w:trHeight w:val="238"/>
        </w:trPr>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 Louis, Missouri</w:t>
            </w:r>
          </w:p>
        </w:tc>
        <w:tc>
          <w:tcPr>
            <w:tcW w:w="406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63131</w:t>
            </w:r>
          </w:p>
        </w:tc>
      </w:tr>
      <w:tr>
        <w:trPr>
          <w:trHeight w:val="256"/>
        </w:trPr>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06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(314) 506-5500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8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center"/>
              <w:ind w:right="404"/>
              <w:spacing w:after="0"/>
              <w:rPr>
                <w:sz w:val="20"/>
                <w:szCs w:val="20"/>
                <w:color w:val="auto"/>
              </w:rPr>
            </w:pPr>
            <w:r>
              <w:rPr>
                <w:rFonts w:ascii="Times New Roman" w:cs="Times New Roman" w:eastAsia="Times New Roman" w:hAnsi="Times New Roman"/>
                <w:sz w:val="18"/>
                <w:szCs w:val="18"/>
                <w:color w:val="auto"/>
                <w:w w:val="98"/>
              </w:rPr>
              <w:t>Trading symbols</w:t>
            </w:r>
          </w:p>
        </w:tc>
        <w:tc>
          <w:tcPr>
            <w:tcW w:w="10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jc w:val="center"/>
              <w:ind w:right="67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43"/>
        </w:trPr>
        <w:tc>
          <w:tcPr>
            <w:tcW w:w="40" w:type="dxa"/>
            <w:vAlign w:val="bottom"/>
          </w:tcPr>
          <w:p>
            <w:pPr>
              <w:spacing w:after="0"/>
              <w:rPr>
                <w:sz w:val="21"/>
                <w:szCs w:val="21"/>
                <w:color w:val="auto"/>
              </w:rPr>
            </w:pPr>
          </w:p>
        </w:tc>
        <w:tc>
          <w:tcPr>
            <w:tcW w:w="42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rPr>
              <w:t>Common stock, par value $.50</w:t>
            </w:r>
          </w:p>
        </w:tc>
        <w:tc>
          <w:tcPr>
            <w:tcW w:w="2800" w:type="dxa"/>
            <w:vAlign w:val="bottom"/>
            <w:gridSpan w:val="3"/>
          </w:tcPr>
          <w:p>
            <w:pPr>
              <w:jc w:val="center"/>
              <w:ind w:right="1360"/>
              <w:spacing w:after="0"/>
              <w:rPr>
                <w:sz w:val="20"/>
                <w:szCs w:val="20"/>
                <w:color w:val="auto"/>
              </w:rPr>
            </w:pPr>
            <w:r>
              <w:rPr>
                <w:rFonts w:ascii="Times New Roman" w:cs="Times New Roman" w:eastAsia="Times New Roman" w:hAnsi="Times New Roman"/>
                <w:sz w:val="18"/>
                <w:szCs w:val="18"/>
                <w:color w:val="auto"/>
                <w:w w:val="97"/>
              </w:rPr>
              <w:t>CASS</w:t>
            </w:r>
          </w:p>
        </w:tc>
        <w:tc>
          <w:tcPr>
            <w:tcW w:w="41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rPr>
              <w:t>The Nasdaq Global Select Market</w:t>
            </w:r>
          </w:p>
        </w:tc>
      </w:tr>
      <w:tr>
        <w:trPr>
          <w:trHeight w:val="486"/>
        </w:trPr>
        <w:tc>
          <w:tcPr>
            <w:tcW w:w="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0" w:type="dxa"/>
            <w:vAlign w:val="bottom"/>
            <w:gridSpan w:val="3"/>
          </w:tcPr>
          <w:p>
            <w:pPr>
              <w:jc w:val="right"/>
              <w:ind w:right="100"/>
              <w:spacing w:after="0"/>
              <w:rPr>
                <w:sz w:val="20"/>
                <w:szCs w:val="20"/>
                <w:color w:val="auto"/>
              </w:rPr>
            </w:pPr>
            <w:r>
              <w:rPr>
                <w:rFonts w:ascii="Arial" w:cs="Arial" w:eastAsia="Arial" w:hAnsi="Arial"/>
                <w:sz w:val="22"/>
                <w:szCs w:val="22"/>
                <w:color w:val="auto"/>
              </w:rPr>
              <w:t>____________________</w:t>
            </w:r>
          </w:p>
        </w:tc>
        <w:tc>
          <w:tcPr>
            <w:tcW w:w="4140" w:type="dxa"/>
            <w:vAlign w:val="bottom"/>
          </w:tcPr>
          <w:p>
            <w:pPr>
              <w:spacing w:after="0"/>
              <w:rPr>
                <w:sz w:val="24"/>
                <w:szCs w:val="24"/>
                <w:color w:val="auto"/>
              </w:rPr>
            </w:pPr>
          </w:p>
        </w:tc>
      </w:tr>
    </w:tbl>
    <w:p>
      <w:pPr>
        <w:spacing w:after="0" w:line="157"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6" w:lineRule="exact"/>
        <w:rPr>
          <w:sz w:val="24"/>
          <w:szCs w:val="24"/>
          <w:color w:val="auto"/>
        </w:rPr>
      </w:pPr>
    </w:p>
    <w:p>
      <w:pPr>
        <w:ind w:left="3240"/>
        <w:spacing w:after="0"/>
        <w:tabs>
          <w:tab w:leader="none" w:pos="3720" w:val="left"/>
          <w:tab w:leader="none" w:pos="4680" w:val="left"/>
          <w:tab w:leader="none" w:pos="506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Wingdings" w:cs="Wingdings" w:eastAsia="Wingdings" w:hAnsi="Wingdings"/>
          <w:sz w:val="18"/>
          <w:szCs w:val="18"/>
          <w:b w:val="1"/>
          <w:bCs w:val="1"/>
          <w:color w:val="auto"/>
        </w:rPr>
        <w:t>o</w:t>
      </w:r>
    </w:p>
    <w:p>
      <w:pPr>
        <w:spacing w:after="0" w:line="185"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25" w:lineRule="exact"/>
        <w:rPr>
          <w:sz w:val="24"/>
          <w:szCs w:val="24"/>
          <w:color w:val="auto"/>
        </w:rPr>
      </w:pPr>
    </w:p>
    <w:p>
      <w:pPr>
        <w:ind w:left="3240"/>
        <w:spacing w:after="0"/>
        <w:tabs>
          <w:tab w:leader="none" w:pos="3720" w:val="left"/>
          <w:tab w:leader="none" w:pos="4680" w:val="left"/>
          <w:tab w:leader="none" w:pos="512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Wingdings" w:cs="Wingdings" w:eastAsia="Wingdings" w:hAnsi="Wingdings"/>
          <w:sz w:val="17"/>
          <w:szCs w:val="17"/>
          <w:b w:val="1"/>
          <w:bCs w:val="1"/>
          <w:color w:val="auto"/>
        </w:rPr>
        <w:t>o</w:t>
      </w:r>
    </w:p>
    <w:p>
      <w:pPr>
        <w:spacing w:after="0" w:line="185"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5" w:right="339" w:bottom="0" w:gutter="0" w:footer="0" w:header="0"/>
        </w:sectPr>
      </w:pPr>
    </w:p>
    <w:p>
      <w:pPr>
        <w:spacing w:after="0" w:line="189"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86"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x</w:t>
      </w:r>
    </w:p>
    <w:p>
      <w:pPr>
        <w:spacing w:after="0" w:line="200" w:lineRule="exact"/>
        <w:rPr>
          <w:sz w:val="24"/>
          <w:szCs w:val="24"/>
          <w:color w:val="auto"/>
        </w:rPr>
      </w:pPr>
    </w:p>
    <w:p>
      <w:pPr>
        <w:sectPr>
          <w:pgSz w:w="11900" w:h="16838" w:orient="portrait"/>
          <w:cols w:equalWidth="0" w:num="4">
            <w:col w:w="2840" w:space="640"/>
            <w:col w:w="160" w:space="280"/>
            <w:col w:w="2040" w:space="720"/>
            <w:col w:w="4560"/>
          </w:cols>
          <w:pgMar w:left="320" w:top="225" w:right="339" w:bottom="0" w:gutter="0" w:footer="0" w:header="0"/>
          <w:type w:val="continuous"/>
        </w:sectPr>
      </w:pPr>
    </w:p>
    <w:p>
      <w:pPr>
        <w:spacing w:after="0" w:line="97"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jc w:val="center"/>
        <w:ind w:right="980"/>
        <w:spacing w:after="0"/>
        <w:rPr>
          <w:sz w:val="20"/>
          <w:szCs w:val="20"/>
          <w:color w:val="auto"/>
        </w:rPr>
      </w:pPr>
      <w:r>
        <w:rPr>
          <w:rFonts w:ascii="Wingdings" w:cs="Wingdings" w:eastAsia="Wingdings" w:hAnsi="Wingdings"/>
          <w:sz w:val="17"/>
          <w:szCs w:val="17"/>
          <w:b w:val="1"/>
          <w:bCs w:val="1"/>
          <w:color w:val="auto"/>
        </w:rPr>
        <w:t>o</w:t>
      </w:r>
    </w:p>
    <w:p>
      <w:pPr>
        <w:spacing w:after="0" w:line="200" w:lineRule="exact"/>
        <w:rPr>
          <w:sz w:val="24"/>
          <w:szCs w:val="24"/>
          <w:color w:val="auto"/>
        </w:rPr>
      </w:pPr>
    </w:p>
    <w:p>
      <w:pPr>
        <w:sectPr>
          <w:pgSz w:w="11900" w:h="16838" w:orient="portrait"/>
          <w:cols w:equalWidth="0" w:num="6">
            <w:col w:w="2760" w:space="720"/>
            <w:col w:w="160" w:space="280"/>
            <w:col w:w="2060" w:space="700"/>
            <w:col w:w="160" w:space="320"/>
            <w:col w:w="2220" w:space="720"/>
            <w:col w:w="1140"/>
          </w:cols>
          <w:pgMar w:left="320" w:top="225" w:right="339" w:bottom="0" w:gutter="0" w:footer="0" w:header="0"/>
          <w:type w:val="continuous"/>
        </w:sectPr>
      </w:pPr>
    </w:p>
    <w:p>
      <w:pPr>
        <w:spacing w:after="0" w:line="92" w:lineRule="exact"/>
        <w:rPr>
          <w:sz w:val="24"/>
          <w:szCs w:val="24"/>
          <w:color w:val="auto"/>
        </w:rPr>
      </w:pPr>
    </w:p>
    <w:p>
      <w:pPr>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2"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54" w:lineRule="exact"/>
        <w:rPr>
          <w:sz w:val="24"/>
          <w:szCs w:val="24"/>
          <w:color w:val="auto"/>
        </w:rPr>
      </w:pPr>
    </w:p>
    <w:p>
      <w:pPr>
        <w:ind w:left="3240"/>
        <w:spacing w:after="0" w:line="209" w:lineRule="exact"/>
        <w:tabs>
          <w:tab w:leader="none" w:pos="3720" w:val="left"/>
          <w:tab w:leader="none" w:pos="4640" w:val="left"/>
          <w:tab w:leader="none" w:pos="5040" w:val="left"/>
        </w:tabs>
        <w:rPr>
          <w:sz w:val="20"/>
          <w:szCs w:val="20"/>
          <w:color w:val="auto"/>
        </w:rPr>
      </w:pPr>
      <w:r>
        <w:rPr>
          <w:rFonts w:ascii="Times New Roman" w:cs="Times New Roman" w:eastAsia="Times New Roman" w:hAnsi="Times New Roman"/>
          <w:sz w:val="18"/>
          <w:szCs w:val="18"/>
          <w:color w:val="auto"/>
        </w:rPr>
        <w:t>Yes</w:t>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Wingdings" w:cs="Wingdings" w:eastAsia="Wingdings" w:hAnsi="Wingdings"/>
          <w:sz w:val="18"/>
          <w:szCs w:val="18"/>
          <w:b w:val="1"/>
          <w:bCs w:val="1"/>
          <w:color w:val="auto"/>
        </w:rPr>
        <w:t>x</w:t>
      </w:r>
    </w:p>
    <w:p>
      <w:pPr>
        <w:spacing w:after="0" w:line="213"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number of shares outstanding of the registrant's only class of common stock as of October 22, 2022: Common stock, par value $.50 per share – 13,661,353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80645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67"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PART I – Financial Information</w:t>
      </w:r>
    </w:p>
    <w:p>
      <w:pPr>
        <w:spacing w:after="0" w:line="54" w:lineRule="exact"/>
        <w:rPr>
          <w:sz w:val="20"/>
          <w:szCs w:val="20"/>
          <w:color w:val="auto"/>
        </w:rPr>
      </w:pPr>
    </w:p>
    <w:p>
      <w:pPr>
        <w:ind w:left="300"/>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Item 1.</w:t>
      </w:r>
      <w:r>
        <w:rPr>
          <w:sz w:val="20"/>
          <w:szCs w:val="20"/>
          <w:color w:val="auto"/>
        </w:rPr>
        <w:tab/>
      </w:r>
      <w:r>
        <w:rPr>
          <w:rFonts w:ascii="Times New Roman" w:cs="Times New Roman" w:eastAsia="Times New Roman" w:hAnsi="Times New Roman"/>
          <w:sz w:val="17"/>
          <w:szCs w:val="17"/>
          <w:u w:val="single" w:color="auto"/>
          <w:color w:val="0000FF"/>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316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FF"/>
        </w:rPr>
        <w:t>Consolidated Balance Sheets September 30, 2022 (unaudited) and December 31, 2021</w:t>
      </w:r>
    </w:p>
    <w:p>
      <w:pPr>
        <w:spacing w:after="0" w:line="27" w:lineRule="exact"/>
        <w:rPr>
          <w:sz w:val="20"/>
          <w:szCs w:val="20"/>
          <w:color w:val="auto"/>
        </w:rPr>
      </w:pPr>
    </w:p>
    <w:p>
      <w:pPr>
        <w:jc w:val="right"/>
        <w:ind w:right="360"/>
        <w:spacing w:after="0"/>
        <w:rPr>
          <w:sz w:val="20"/>
          <w:szCs w:val="20"/>
          <w:color w:val="auto"/>
        </w:rPr>
      </w:pPr>
      <w:r>
        <w:rPr>
          <w:rFonts w:ascii="Times New Roman" w:cs="Times New Roman" w:eastAsia="Times New Roman" w:hAnsi="Times New Roman"/>
          <w:sz w:val="18"/>
          <w:szCs w:val="18"/>
          <w:u w:val="single" w:color="auto"/>
          <w:color w:val="0000FF"/>
        </w:rPr>
        <w:t>3</w:t>
      </w:r>
    </w:p>
    <w:p>
      <w:pPr>
        <w:spacing w:after="0" w:line="5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FF"/>
        </w:rPr>
        <w:t>Consolidated Statements of Income Three and Nine Months Ended September 30, 2022 and 2021 (unaudited)</w:t>
      </w:r>
    </w:p>
    <w:p>
      <w:pPr>
        <w:spacing w:after="0" w:line="36" w:lineRule="exact"/>
        <w:rPr>
          <w:sz w:val="20"/>
          <w:szCs w:val="20"/>
          <w:color w:val="auto"/>
        </w:rPr>
      </w:pPr>
    </w:p>
    <w:p>
      <w:pPr>
        <w:jc w:val="right"/>
        <w:ind w:right="360"/>
        <w:spacing w:after="0"/>
        <w:rPr>
          <w:sz w:val="20"/>
          <w:szCs w:val="20"/>
          <w:color w:val="auto"/>
        </w:rPr>
      </w:pPr>
      <w:r>
        <w:rPr>
          <w:rFonts w:ascii="Times New Roman" w:cs="Times New Roman" w:eastAsia="Times New Roman" w:hAnsi="Times New Roman"/>
          <w:sz w:val="18"/>
          <w:szCs w:val="18"/>
          <w:u w:val="single" w:color="auto"/>
          <w:color w:val="0000FF"/>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4457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50" w:lineRule="exact"/>
        <w:rPr>
          <w:sz w:val="20"/>
          <w:szCs w:val="20"/>
          <w:color w:val="auto"/>
        </w:rPr>
      </w:pPr>
    </w:p>
    <w:p>
      <w:pPr>
        <w:ind w:left="1600" w:right="720" w:hanging="161"/>
        <w:spacing w:after="0" w:line="266" w:lineRule="auto"/>
        <w:rPr>
          <w:sz w:val="20"/>
          <w:szCs w:val="20"/>
          <w:color w:val="auto"/>
        </w:rPr>
      </w:pPr>
      <w:r>
        <w:rPr>
          <w:rFonts w:ascii="Times New Roman" w:cs="Times New Roman" w:eastAsia="Times New Roman" w:hAnsi="Times New Roman"/>
          <w:sz w:val="18"/>
          <w:szCs w:val="18"/>
          <w:u w:val="single" w:color="auto"/>
          <w:color w:val="0000FF"/>
        </w:rPr>
        <w:t>Consolidated Statements of Comprehensive Income Three and Nine Months Ended September 30, 2022 and 2021 (unaudited)</w:t>
      </w:r>
    </w:p>
    <w:p>
      <w:pPr>
        <w:spacing w:after="0" w:line="2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Cash Flows Nine Months Ended September 30, 2022 and 2021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175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spacing w:after="0" w:line="27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FF"/>
        </w:rPr>
        <w:t>Consolidated Statements of Shareholders’ Equity Three and Nine Months Ended September 30, 2022 and 2021 (unaudited)</w:t>
      </w:r>
    </w:p>
    <w:p>
      <w:pPr>
        <w:spacing w:after="0" w:line="29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FF"/>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40"/>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Item 2.</w:t>
      </w:r>
      <w:r>
        <w:rPr>
          <w:sz w:val="20"/>
          <w:szCs w:val="20"/>
          <w:color w:val="auto"/>
        </w:rPr>
        <w:tab/>
      </w:r>
      <w:r>
        <w:rPr>
          <w:rFonts w:ascii="Times New Roman" w:cs="Times New Roman" w:eastAsia="Times New Roman" w:hAnsi="Times New Roman"/>
          <w:sz w:val="17"/>
          <w:szCs w:val="17"/>
          <w:u w:val="single" w:color="auto"/>
          <w:color w:val="0000FF"/>
        </w:rPr>
        <w:t>MANAGEMENT’S DISCUSSION AND ANALYSIS OF FINANCIAL CONDITION AND RESULTS OF OPERATIONS</w:t>
      </w:r>
    </w:p>
    <w:p>
      <w:pPr>
        <w:spacing w:after="0" w:line="63" w:lineRule="exact"/>
        <w:rPr>
          <w:sz w:val="20"/>
          <w:szCs w:val="20"/>
          <w:color w:val="auto"/>
        </w:rPr>
      </w:pPr>
    </w:p>
    <w:p>
      <w:pPr>
        <w:ind w:left="240"/>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Item 3.</w:t>
      </w:r>
      <w:r>
        <w:rPr>
          <w:sz w:val="20"/>
          <w:szCs w:val="20"/>
          <w:color w:val="auto"/>
        </w:rPr>
        <w:tab/>
      </w:r>
      <w:r>
        <w:rPr>
          <w:rFonts w:ascii="Times New Roman" w:cs="Times New Roman" w:eastAsia="Times New Roman" w:hAnsi="Times New Roman"/>
          <w:sz w:val="17"/>
          <w:szCs w:val="17"/>
          <w:u w:val="single" w:color="auto"/>
          <w:color w:val="0000FF"/>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40"/>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Item 4.</w:t>
      </w:r>
      <w:r>
        <w:rPr>
          <w:sz w:val="20"/>
          <w:szCs w:val="20"/>
          <w:color w:val="auto"/>
        </w:rPr>
        <w:tab/>
      </w:r>
      <w:r>
        <w:rPr>
          <w:rFonts w:ascii="Times New Roman" w:cs="Times New Roman" w:eastAsia="Times New Roman" w:hAnsi="Times New Roman"/>
          <w:sz w:val="17"/>
          <w:szCs w:val="17"/>
          <w:u w:val="single" w:color="auto"/>
          <w:color w:val="0000FF"/>
        </w:rPr>
        <w:t>CONTROLS AND PROCEDURES</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PART II – Other Information – Items 1.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0000FF"/>
        </w:rPr>
        <w:t>SIGNATURES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 Factors That May Affect Future Results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5</w:t>
      </w:r>
    </w:p>
    <w:p>
      <w:pPr>
        <w:spacing w:after="0" w:line="2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6</w:t>
      </w:r>
    </w:p>
    <w:p>
      <w:pPr>
        <w:spacing w:after="0" w:line="2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8</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9</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23</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36</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37</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38</w:t>
      </w:r>
    </w:p>
    <w:p>
      <w:pPr>
        <w:spacing w:after="0" w:line="684" w:lineRule="exact"/>
        <w:rPr>
          <w:sz w:val="20"/>
          <w:szCs w:val="20"/>
          <w:color w:val="auto"/>
        </w:rPr>
      </w:pPr>
    </w:p>
    <w:p>
      <w:pPr>
        <w:sectPr>
          <w:pgSz w:w="11900" w:h="16838" w:orient="portrait"/>
          <w:cols w:equalWidth="0" w:num="2">
            <w:col w:w="10340" w:space="420"/>
            <w:col w:w="480"/>
          </w:cols>
          <w:pgMar w:left="320" w:top="117" w:right="339" w:bottom="1440" w:gutter="0" w:footer="0" w:header="0"/>
          <w:type w:val="continuous"/>
        </w:sect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report may contain or incorporate by reference forward-looking statements made pursuant to the safe harbor provisions of Section 27A of the Securities Act of 1933, as amended, and Section 21E of the Securities Exchange Act of 1934, as amended. Although we believe that, in making any such statements, our expectations are based on reasonable assumptions, forward-looking statements are not guarantees of future performance and involve risks, uncertainties, and other factors beyond our control, which may cause future performance to be materially different from expected performance summarized in the forward-looking statements. These risks, uncertainties and other factors are discussed in Part I, Item 1A, “Risk Factors” of the Company’s 2021 Annual Report on Form 10-K, filed with the Securities and Exchange Commission (“SEC”), which may be updated from time to time in our future filings with the SEC. We undertake no obligation to publicly update or revise any forward-looking statements to reflect changed assumptions, the occurrence of anticipated or unanticipated events, or changes to future results over time.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60" w:type="dxa"/>
            <w:vAlign w:val="bottom"/>
          </w:tcPr>
          <w:p>
            <w:pPr>
              <w:spacing w:after="0"/>
              <w:rPr>
                <w:sz w:val="17"/>
                <w:szCs w:val="17"/>
                <w:color w:val="auto"/>
              </w:rPr>
            </w:pPr>
          </w:p>
        </w:tc>
        <w:tc>
          <w:tcPr>
            <w:tcW w:w="17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September 30, 2022</w:t>
            </w:r>
          </w:p>
        </w:tc>
        <w:tc>
          <w:tcPr>
            <w:tcW w:w="160" w:type="dxa"/>
            <w:vAlign w:val="bottom"/>
          </w:tcPr>
          <w:p>
            <w:pPr>
              <w:spacing w:after="0"/>
              <w:rPr>
                <w:sz w:val="17"/>
                <w:szCs w:val="17"/>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20" w:type="dxa"/>
            <w:vAlign w:val="bottom"/>
            <w:shd w:val="clear" w:color="auto" w:fill="B6B6B6"/>
          </w:tcPr>
          <w:p>
            <w:pPr>
              <w:spacing w:after="0"/>
              <w:rPr>
                <w:sz w:val="21"/>
                <w:szCs w:val="21"/>
                <w:color w:val="auto"/>
              </w:rPr>
            </w:pPr>
          </w:p>
        </w:tc>
        <w:tc>
          <w:tcPr>
            <w:tcW w:w="804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B6B6B6"/>
          </w:tcPr>
          <w:p>
            <w:pPr>
              <w:spacing w:after="0"/>
              <w:rPr>
                <w:sz w:val="21"/>
                <w:szCs w:val="21"/>
                <w:color w:val="auto"/>
              </w:rPr>
            </w:pPr>
          </w:p>
        </w:tc>
        <w:tc>
          <w:tcPr>
            <w:tcW w:w="138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1320" w:type="dxa"/>
            <w:vAlign w:val="bottom"/>
            <w:shd w:val="clear" w:color="auto" w:fill="B6B6B6"/>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8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due from banks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12,301</w:t>
            </w:r>
          </w:p>
        </w:tc>
      </w:tr>
      <w:tr>
        <w:trPr>
          <w:trHeight w:val="257"/>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Borders>
              <w:bottom w:val="single" w:sz="8" w:color="auto"/>
            </w:tcBorders>
            <w:shd w:val="clear" w:color="auto" w:fill="B6B6B6"/>
          </w:tcPr>
          <w:p>
            <w:pPr>
              <w:spacing w:after="0"/>
              <w:rPr>
                <w:sz w:val="22"/>
                <w:szCs w:val="22"/>
                <w:color w:val="auto"/>
              </w:rPr>
            </w:pPr>
          </w:p>
        </w:tc>
        <w:tc>
          <w:tcPr>
            <w:tcW w:w="13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332,195</w:t>
            </w:r>
          </w:p>
        </w:tc>
        <w:tc>
          <w:tcPr>
            <w:tcW w:w="100" w:type="dxa"/>
            <w:vAlign w:val="bottom"/>
            <w:shd w:val="clear" w:color="auto" w:fill="B6B6B6"/>
          </w:tcPr>
          <w:p>
            <w:pPr>
              <w:spacing w:after="0"/>
              <w:rPr>
                <w:sz w:val="22"/>
                <w:szCs w:val="22"/>
                <w:color w:val="auto"/>
              </w:rPr>
            </w:pPr>
          </w:p>
        </w:tc>
        <w:tc>
          <w:tcPr>
            <w:tcW w:w="160" w:type="dxa"/>
            <w:vAlign w:val="bottom"/>
            <w:tcBorders>
              <w:bottom w:val="single" w:sz="8" w:color="auto"/>
            </w:tcBorders>
            <w:shd w:val="clear" w:color="auto" w:fill="B6B6B6"/>
          </w:tcPr>
          <w:p>
            <w:pPr>
              <w:spacing w:after="0"/>
              <w:rPr>
                <w:sz w:val="22"/>
                <w:szCs w:val="22"/>
                <w:color w:val="auto"/>
              </w:rPr>
            </w:pP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502,627</w:t>
            </w:r>
          </w:p>
        </w:tc>
      </w:tr>
      <w:tr>
        <w:trPr>
          <w:trHeight w:val="250"/>
        </w:trPr>
        <w:tc>
          <w:tcPr>
            <w:tcW w:w="20" w:type="dxa"/>
            <w:vAlign w:val="bottom"/>
            <w:tcBorders>
              <w:bottom w:val="single" w:sz="8" w:color="B6B6B6"/>
            </w:tcBorders>
          </w:tcPr>
          <w:p>
            <w:pPr>
              <w:spacing w:after="0"/>
              <w:rPr>
                <w:sz w:val="21"/>
                <w:szCs w:val="21"/>
                <w:color w:val="auto"/>
              </w:rPr>
            </w:pPr>
          </w:p>
        </w:tc>
        <w:tc>
          <w:tcPr>
            <w:tcW w:w="8040" w:type="dxa"/>
            <w:vAlign w:val="bottom"/>
            <w:tcBorders>
              <w:bottom w:val="single" w:sz="8" w:color="B6B6B6"/>
            </w:tcBorders>
            <w:gridSpan w:val="3"/>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346,994</w:t>
            </w:r>
          </w:p>
        </w:tc>
        <w:tc>
          <w:tcPr>
            <w:tcW w:w="100" w:type="dxa"/>
            <w:vAlign w:val="bottom"/>
            <w:tcBorders>
              <w:bottom w:val="single" w:sz="8" w:color="B6B6B6"/>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514,928</w:t>
            </w:r>
          </w:p>
        </w:tc>
      </w:tr>
      <w:tr>
        <w:trPr>
          <w:trHeight w:val="257"/>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Securities available-for-sale, at fair value</w:t>
            </w:r>
          </w:p>
        </w:tc>
        <w:tc>
          <w:tcPr>
            <w:tcW w:w="220" w:type="dxa"/>
            <w:vAlign w:val="bottom"/>
            <w:shd w:val="clear" w:color="auto" w:fill="B6B6B6"/>
          </w:tcPr>
          <w:p>
            <w:pPr>
              <w:spacing w:after="0"/>
              <w:rPr>
                <w:sz w:val="22"/>
                <w:szCs w:val="22"/>
                <w:color w:val="auto"/>
              </w:rPr>
            </w:pPr>
          </w:p>
        </w:tc>
        <w:tc>
          <w:tcPr>
            <w:tcW w:w="13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763,789</w:t>
            </w:r>
          </w:p>
        </w:tc>
        <w:tc>
          <w:tcPr>
            <w:tcW w:w="10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673,453</w:t>
            </w:r>
          </w:p>
        </w:tc>
      </w:tr>
      <w:tr>
        <w:trPr>
          <w:trHeight w:val="54"/>
        </w:trPr>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57"/>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Loans</w:t>
            </w:r>
          </w:p>
        </w:tc>
        <w:tc>
          <w:tcPr>
            <w:tcW w:w="220" w:type="dxa"/>
            <w:vAlign w:val="bottom"/>
            <w:shd w:val="clear" w:color="auto" w:fill="B6B6B6"/>
          </w:tcPr>
          <w:p>
            <w:pPr>
              <w:spacing w:after="0"/>
              <w:rPr>
                <w:sz w:val="22"/>
                <w:szCs w:val="22"/>
                <w:color w:val="auto"/>
              </w:rPr>
            </w:pPr>
          </w:p>
        </w:tc>
        <w:tc>
          <w:tcPr>
            <w:tcW w:w="13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1,037,101</w:t>
            </w:r>
          </w:p>
        </w:tc>
        <w:tc>
          <w:tcPr>
            <w:tcW w:w="10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960,567</w:t>
            </w:r>
          </w:p>
        </w:tc>
      </w:tr>
      <w:tr>
        <w:trPr>
          <w:trHeight w:val="250"/>
        </w:trPr>
        <w:tc>
          <w:tcPr>
            <w:tcW w:w="20" w:type="dxa"/>
            <w:vAlign w:val="bottom"/>
            <w:tcBorders>
              <w:bottom w:val="single" w:sz="8" w:color="B6B6B6"/>
            </w:tcBorders>
          </w:tcPr>
          <w:p>
            <w:pPr>
              <w:spacing w:after="0"/>
              <w:rPr>
                <w:sz w:val="21"/>
                <w:szCs w:val="21"/>
                <w:color w:val="auto"/>
              </w:rPr>
            </w:pPr>
          </w:p>
        </w:tc>
        <w:tc>
          <w:tcPr>
            <w:tcW w:w="8040" w:type="dxa"/>
            <w:vAlign w:val="bottom"/>
            <w:tcBorders>
              <w:bottom w:val="single" w:sz="8" w:color="B6B6B6"/>
            </w:tcBorders>
            <w:gridSpan w:val="3"/>
          </w:tcPr>
          <w:p>
            <w:pPr>
              <w:ind w:left="36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13,049</w:t>
            </w:r>
          </w:p>
        </w:tc>
        <w:tc>
          <w:tcPr>
            <w:tcW w:w="100" w:type="dxa"/>
            <w:vAlign w:val="bottom"/>
            <w:tcBorders>
              <w:bottom w:val="single" w:sz="8" w:color="B6B6B6"/>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12,041</w:t>
            </w:r>
          </w:p>
        </w:tc>
      </w:tr>
      <w:tr>
        <w:trPr>
          <w:trHeight w:val="250"/>
        </w:trPr>
        <w:tc>
          <w:tcPr>
            <w:tcW w:w="20" w:type="dxa"/>
            <w:vAlign w:val="bottom"/>
            <w:shd w:val="clear" w:color="auto" w:fill="B6B6B6"/>
          </w:tcPr>
          <w:p>
            <w:pPr>
              <w:spacing w:after="0"/>
              <w:rPr>
                <w:sz w:val="21"/>
                <w:szCs w:val="21"/>
                <w:color w:val="auto"/>
              </w:rPr>
            </w:pPr>
          </w:p>
        </w:tc>
        <w:tc>
          <w:tcPr>
            <w:tcW w:w="8040" w:type="dxa"/>
            <w:vAlign w:val="bottom"/>
            <w:gridSpan w:val="3"/>
            <w:shd w:val="clear" w:color="auto" w:fill="B6B6B6"/>
          </w:tcPr>
          <w:p>
            <w:pPr>
              <w:ind w:left="720"/>
              <w:spacing w:after="0"/>
              <w:rPr>
                <w:sz w:val="20"/>
                <w:szCs w:val="20"/>
                <w:color w:val="auto"/>
              </w:rPr>
            </w:pPr>
            <w:r>
              <w:rPr>
                <w:rFonts w:ascii="Times New Roman" w:cs="Times New Roman" w:eastAsia="Times New Roman" w:hAnsi="Times New Roman"/>
                <w:sz w:val="18"/>
                <w:szCs w:val="18"/>
                <w:color w:val="auto"/>
              </w:rPr>
              <w:t>Loans, net</w:t>
            </w:r>
          </w:p>
        </w:tc>
        <w:tc>
          <w:tcPr>
            <w:tcW w:w="220" w:type="dxa"/>
            <w:vAlign w:val="bottom"/>
            <w:tcBorders>
              <w:bottom w:val="single" w:sz="8" w:color="auto"/>
            </w:tcBorders>
            <w:shd w:val="clear" w:color="auto" w:fill="B6B6B6"/>
          </w:tcPr>
          <w:p>
            <w:pPr>
              <w:spacing w:after="0"/>
              <w:rPr>
                <w:sz w:val="21"/>
                <w:szCs w:val="21"/>
                <w:color w:val="auto"/>
              </w:rPr>
            </w:pPr>
          </w:p>
        </w:tc>
        <w:tc>
          <w:tcPr>
            <w:tcW w:w="13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1,024,052</w:t>
            </w:r>
          </w:p>
        </w:tc>
        <w:tc>
          <w:tcPr>
            <w:tcW w:w="100" w:type="dxa"/>
            <w:vAlign w:val="bottom"/>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spacing w:after="0"/>
              <w:rPr>
                <w:sz w:val="21"/>
                <w:szCs w:val="21"/>
                <w:color w:val="auto"/>
              </w:rPr>
            </w:pP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948,526</w:t>
            </w:r>
          </w:p>
        </w:tc>
      </w:tr>
      <w:tr>
        <w:trPr>
          <w:trHeight w:val="250"/>
        </w:trPr>
        <w:tc>
          <w:tcPr>
            <w:tcW w:w="20" w:type="dxa"/>
            <w:vAlign w:val="bottom"/>
          </w:tcPr>
          <w:p>
            <w:pPr>
              <w:spacing w:after="0"/>
              <w:rPr>
                <w:sz w:val="21"/>
                <w:szCs w:val="21"/>
                <w:color w:val="auto"/>
              </w:rPr>
            </w:pPr>
          </w:p>
        </w:tc>
        <w:tc>
          <w:tcPr>
            <w:tcW w:w="8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Payments in advance of funding</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291,427</w:t>
            </w:r>
          </w:p>
        </w:tc>
      </w:tr>
      <w:tr>
        <w:trPr>
          <w:trHeight w:val="263"/>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220" w:type="dxa"/>
            <w:vAlign w:val="bottom"/>
            <w:shd w:val="clear" w:color="auto" w:fill="B6B6B6"/>
          </w:tcPr>
          <w:p>
            <w:pPr>
              <w:spacing w:after="0"/>
              <w:rPr>
                <w:sz w:val="22"/>
                <w:szCs w:val="22"/>
                <w:color w:val="auto"/>
              </w:rPr>
            </w:pPr>
          </w:p>
        </w:tc>
        <w:tc>
          <w:tcPr>
            <w:tcW w:w="13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19,375</w:t>
            </w:r>
          </w:p>
        </w:tc>
        <w:tc>
          <w:tcPr>
            <w:tcW w:w="10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18,113</w:t>
            </w:r>
          </w:p>
        </w:tc>
      </w:tr>
      <w:tr>
        <w:trPr>
          <w:trHeight w:val="250"/>
        </w:trPr>
        <w:tc>
          <w:tcPr>
            <w:tcW w:w="20" w:type="dxa"/>
            <w:vAlign w:val="bottom"/>
          </w:tcPr>
          <w:p>
            <w:pPr>
              <w:spacing w:after="0"/>
              <w:rPr>
                <w:sz w:val="21"/>
                <w:szCs w:val="21"/>
                <w:color w:val="auto"/>
              </w:rPr>
            </w:pPr>
          </w:p>
        </w:tc>
        <w:tc>
          <w:tcPr>
            <w:tcW w:w="8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 in bank-owned life insurance</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43,176</w:t>
            </w:r>
          </w:p>
        </w:tc>
      </w:tr>
      <w:tr>
        <w:trPr>
          <w:trHeight w:val="263"/>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B6B6B6"/>
          </w:tcPr>
          <w:p>
            <w:pPr>
              <w:spacing w:after="0"/>
              <w:rPr>
                <w:sz w:val="22"/>
                <w:szCs w:val="22"/>
                <w:color w:val="auto"/>
              </w:rPr>
            </w:pPr>
          </w:p>
        </w:tc>
        <w:tc>
          <w:tcPr>
            <w:tcW w:w="13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17,309</w:t>
            </w:r>
          </w:p>
        </w:tc>
        <w:tc>
          <w:tcPr>
            <w:tcW w:w="10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14,262</w:t>
            </w:r>
          </w:p>
        </w:tc>
      </w:tr>
      <w:tr>
        <w:trPr>
          <w:trHeight w:val="250"/>
        </w:trPr>
        <w:tc>
          <w:tcPr>
            <w:tcW w:w="20" w:type="dxa"/>
            <w:vAlign w:val="bottom"/>
          </w:tcPr>
          <w:p>
            <w:pPr>
              <w:spacing w:after="0"/>
              <w:rPr>
                <w:sz w:val="21"/>
                <w:szCs w:val="21"/>
                <w:color w:val="auto"/>
              </w:rPr>
            </w:pPr>
          </w:p>
        </w:tc>
        <w:tc>
          <w:tcPr>
            <w:tcW w:w="8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w:t>
            </w:r>
          </w:p>
        </w:tc>
      </w:tr>
      <w:tr>
        <w:trPr>
          <w:trHeight w:val="257"/>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B6B6B6"/>
          </w:tcPr>
          <w:p>
            <w:pPr>
              <w:spacing w:after="0"/>
              <w:rPr>
                <w:sz w:val="22"/>
                <w:szCs w:val="22"/>
                <w:color w:val="auto"/>
              </w:rPr>
            </w:pPr>
          </w:p>
        </w:tc>
        <w:tc>
          <w:tcPr>
            <w:tcW w:w="13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118,040</w:t>
            </w:r>
          </w:p>
        </w:tc>
        <w:tc>
          <w:tcPr>
            <w:tcW w:w="100" w:type="dxa"/>
            <w:vAlign w:val="bottom"/>
            <w:shd w:val="clear" w:color="auto" w:fill="B6B6B6"/>
          </w:tcPr>
          <w:p>
            <w:pPr>
              <w:spacing w:after="0"/>
              <w:rPr>
                <w:sz w:val="22"/>
                <w:szCs w:val="22"/>
                <w:color w:val="auto"/>
              </w:rPr>
            </w:pPr>
          </w:p>
        </w:tc>
        <w:tc>
          <w:tcPr>
            <w:tcW w:w="160" w:type="dxa"/>
            <w:vAlign w:val="bottom"/>
            <w:tcBorders>
              <w:bottom w:val="single" w:sz="8" w:color="auto"/>
            </w:tcBorders>
            <w:shd w:val="clear" w:color="auto" w:fill="B6B6B6"/>
          </w:tcPr>
          <w:p>
            <w:pPr>
              <w:spacing w:after="0"/>
              <w:rPr>
                <w:sz w:val="22"/>
                <w:szCs w:val="22"/>
                <w:color w:val="auto"/>
              </w:rPr>
            </w:pP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48,452</w:t>
            </w:r>
          </w:p>
        </w:tc>
      </w:tr>
      <w:tr>
        <w:trPr>
          <w:trHeight w:val="256"/>
        </w:trPr>
        <w:tc>
          <w:tcPr>
            <w:tcW w:w="20" w:type="dxa"/>
            <w:vAlign w:val="bottom"/>
          </w:tcPr>
          <w:p>
            <w:pPr>
              <w:spacing w:after="0"/>
              <w:rPr>
                <w:sz w:val="22"/>
                <w:szCs w:val="22"/>
                <w:color w:val="auto"/>
              </w:rPr>
            </w:pPr>
          </w:p>
        </w:tc>
        <w:tc>
          <w:tcPr>
            <w:tcW w:w="80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2,610,815</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2,554,901</w:t>
            </w:r>
          </w:p>
        </w:tc>
      </w:tr>
      <w:tr>
        <w:trPr>
          <w:trHeight w:val="20"/>
        </w:trPr>
        <w:tc>
          <w:tcPr>
            <w:tcW w:w="20" w:type="dxa"/>
            <w:vAlign w:val="bottom"/>
            <w:tcBorders>
              <w:bottom w:val="single" w:sz="8" w:color="B6B6B6"/>
            </w:tcBorders>
          </w:tcPr>
          <w:p>
            <w:pPr>
              <w:spacing w:after="0" w:line="20" w:lineRule="exact"/>
              <w:rPr>
                <w:sz w:val="1"/>
                <w:szCs w:val="1"/>
                <w:color w:val="auto"/>
              </w:rPr>
            </w:pPr>
          </w:p>
        </w:tc>
        <w:tc>
          <w:tcPr>
            <w:tcW w:w="780" w:type="dxa"/>
            <w:vAlign w:val="bottom"/>
            <w:tcBorders>
              <w:bottom w:val="single" w:sz="8" w:color="B6B6B6"/>
            </w:tcBorders>
          </w:tcPr>
          <w:p>
            <w:pPr>
              <w:spacing w:after="0" w:line="20" w:lineRule="exact"/>
              <w:rPr>
                <w:sz w:val="1"/>
                <w:szCs w:val="1"/>
                <w:color w:val="auto"/>
              </w:rPr>
            </w:pPr>
          </w:p>
        </w:tc>
        <w:tc>
          <w:tcPr>
            <w:tcW w:w="800" w:type="dxa"/>
            <w:vAlign w:val="bottom"/>
            <w:tcBorders>
              <w:bottom w:val="single" w:sz="8" w:color="B6B6B6"/>
            </w:tcBorders>
          </w:tcPr>
          <w:p>
            <w:pPr>
              <w:spacing w:after="0" w:line="20" w:lineRule="exact"/>
              <w:rPr>
                <w:sz w:val="1"/>
                <w:szCs w:val="1"/>
                <w:color w:val="auto"/>
              </w:rPr>
            </w:pPr>
          </w:p>
        </w:tc>
        <w:tc>
          <w:tcPr>
            <w:tcW w:w="6460" w:type="dxa"/>
            <w:vAlign w:val="bottom"/>
            <w:tcBorders>
              <w:bottom w:val="single" w:sz="8" w:color="B6B6B6"/>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6B6B6"/>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75"/>
        </w:trPr>
        <w:tc>
          <w:tcPr>
            <w:tcW w:w="20" w:type="dxa"/>
            <w:vAlign w:val="bottom"/>
            <w:shd w:val="clear" w:color="auto" w:fill="B6B6B6"/>
          </w:tcPr>
          <w:p>
            <w:pPr>
              <w:spacing w:after="0"/>
              <w:rPr>
                <w:sz w:val="6"/>
                <w:szCs w:val="6"/>
                <w:color w:val="auto"/>
              </w:rPr>
            </w:pPr>
          </w:p>
        </w:tc>
        <w:tc>
          <w:tcPr>
            <w:tcW w:w="780" w:type="dxa"/>
            <w:vAlign w:val="bottom"/>
            <w:shd w:val="clear" w:color="auto" w:fill="B6B6B6"/>
          </w:tcPr>
          <w:p>
            <w:pPr>
              <w:spacing w:after="0"/>
              <w:rPr>
                <w:sz w:val="6"/>
                <w:szCs w:val="6"/>
                <w:color w:val="auto"/>
              </w:rPr>
            </w:pPr>
          </w:p>
        </w:tc>
        <w:tc>
          <w:tcPr>
            <w:tcW w:w="800" w:type="dxa"/>
            <w:vAlign w:val="bottom"/>
            <w:shd w:val="clear" w:color="auto" w:fill="B6B6B6"/>
          </w:tcPr>
          <w:p>
            <w:pPr>
              <w:spacing w:after="0"/>
              <w:rPr>
                <w:sz w:val="6"/>
                <w:szCs w:val="6"/>
                <w:color w:val="auto"/>
              </w:rPr>
            </w:pPr>
          </w:p>
        </w:tc>
        <w:tc>
          <w:tcPr>
            <w:tcW w:w="6460" w:type="dxa"/>
            <w:vAlign w:val="bottom"/>
            <w:shd w:val="clear" w:color="auto" w:fill="B6B6B6"/>
          </w:tcPr>
          <w:p>
            <w:pPr>
              <w:spacing w:after="0"/>
              <w:rPr>
                <w:sz w:val="6"/>
                <w:szCs w:val="6"/>
                <w:color w:val="auto"/>
              </w:rPr>
            </w:pPr>
          </w:p>
        </w:tc>
        <w:tc>
          <w:tcPr>
            <w:tcW w:w="220" w:type="dxa"/>
            <w:vAlign w:val="bottom"/>
            <w:shd w:val="clear" w:color="auto" w:fill="B6B6B6"/>
          </w:tcPr>
          <w:p>
            <w:pPr>
              <w:spacing w:after="0"/>
              <w:rPr>
                <w:sz w:val="6"/>
                <w:szCs w:val="6"/>
                <w:color w:val="auto"/>
              </w:rPr>
            </w:pPr>
          </w:p>
        </w:tc>
        <w:tc>
          <w:tcPr>
            <w:tcW w:w="1380" w:type="dxa"/>
            <w:vAlign w:val="bottom"/>
            <w:shd w:val="clear" w:color="auto" w:fill="B6B6B6"/>
          </w:tcPr>
          <w:p>
            <w:pPr>
              <w:spacing w:after="0"/>
              <w:rPr>
                <w:sz w:val="6"/>
                <w:szCs w:val="6"/>
                <w:color w:val="auto"/>
              </w:rPr>
            </w:pPr>
          </w:p>
        </w:tc>
        <w:tc>
          <w:tcPr>
            <w:tcW w:w="100" w:type="dxa"/>
            <w:vAlign w:val="bottom"/>
            <w:shd w:val="clear" w:color="auto" w:fill="B6B6B6"/>
          </w:tcPr>
          <w:p>
            <w:pPr>
              <w:spacing w:after="0"/>
              <w:rPr>
                <w:sz w:val="6"/>
                <w:szCs w:val="6"/>
                <w:color w:val="auto"/>
              </w:rPr>
            </w:pPr>
          </w:p>
        </w:tc>
        <w:tc>
          <w:tcPr>
            <w:tcW w:w="160" w:type="dxa"/>
            <w:vAlign w:val="bottom"/>
            <w:shd w:val="clear" w:color="auto" w:fill="B6B6B6"/>
          </w:tcPr>
          <w:p>
            <w:pPr>
              <w:spacing w:after="0"/>
              <w:rPr>
                <w:sz w:val="6"/>
                <w:szCs w:val="6"/>
                <w:color w:val="auto"/>
              </w:rPr>
            </w:pPr>
          </w:p>
        </w:tc>
        <w:tc>
          <w:tcPr>
            <w:tcW w:w="1320" w:type="dxa"/>
            <w:vAlign w:val="bottom"/>
            <w:shd w:val="clear" w:color="auto" w:fill="B6B6B6"/>
          </w:tcPr>
          <w:p>
            <w:pPr>
              <w:spacing w:after="0"/>
              <w:rPr>
                <w:sz w:val="6"/>
                <w:szCs w:val="6"/>
                <w:color w:val="auto"/>
              </w:rPr>
            </w:pPr>
          </w:p>
        </w:tc>
      </w:tr>
      <w:tr>
        <w:trPr>
          <w:trHeight w:val="250"/>
        </w:trPr>
        <w:tc>
          <w:tcPr>
            <w:tcW w:w="20" w:type="dxa"/>
            <w:vAlign w:val="bottom"/>
          </w:tcPr>
          <w:p>
            <w:pPr>
              <w:spacing w:after="0"/>
              <w:rPr>
                <w:sz w:val="21"/>
                <w:szCs w:val="21"/>
                <w:color w:val="auto"/>
              </w:rPr>
            </w:pPr>
          </w:p>
        </w:tc>
        <w:tc>
          <w:tcPr>
            <w:tcW w:w="8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43"/>
        </w:trPr>
        <w:tc>
          <w:tcPr>
            <w:tcW w:w="20" w:type="dxa"/>
            <w:vAlign w:val="bottom"/>
            <w:shd w:val="clear" w:color="auto" w:fill="B6B6B6"/>
          </w:tcPr>
          <w:p>
            <w:pPr>
              <w:spacing w:after="0"/>
              <w:rPr>
                <w:sz w:val="21"/>
                <w:szCs w:val="21"/>
                <w:color w:val="auto"/>
              </w:rPr>
            </w:pPr>
          </w:p>
        </w:tc>
        <w:tc>
          <w:tcPr>
            <w:tcW w:w="804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shd w:val="clear" w:color="auto" w:fill="B6B6B6"/>
          </w:tcPr>
          <w:p>
            <w:pPr>
              <w:spacing w:after="0"/>
              <w:rPr>
                <w:sz w:val="21"/>
                <w:szCs w:val="21"/>
                <w:color w:val="auto"/>
              </w:rPr>
            </w:pPr>
          </w:p>
        </w:tc>
        <w:tc>
          <w:tcPr>
            <w:tcW w:w="138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1320" w:type="dxa"/>
            <w:vAlign w:val="bottom"/>
            <w:shd w:val="clear" w:color="auto" w:fill="B6B6B6"/>
          </w:tcPr>
          <w:p>
            <w:pPr>
              <w:spacing w:after="0"/>
              <w:rPr>
                <w:sz w:val="21"/>
                <w:szCs w:val="21"/>
                <w:color w:val="auto"/>
              </w:rPr>
            </w:pPr>
          </w:p>
        </w:tc>
      </w:tr>
      <w:tr>
        <w:trPr>
          <w:trHeight w:val="250"/>
        </w:trPr>
        <w:tc>
          <w:tcPr>
            <w:tcW w:w="20" w:type="dxa"/>
            <w:vAlign w:val="bottom"/>
            <w:tcBorders>
              <w:top w:val="single" w:sz="8" w:color="B6B6B6"/>
            </w:tcBorders>
          </w:tcPr>
          <w:p>
            <w:pPr>
              <w:spacing w:after="0"/>
              <w:rPr>
                <w:sz w:val="21"/>
                <w:szCs w:val="21"/>
                <w:color w:val="auto"/>
              </w:rPr>
            </w:pPr>
          </w:p>
        </w:tc>
        <w:tc>
          <w:tcPr>
            <w:tcW w:w="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Deposits:</w:t>
            </w:r>
          </w:p>
        </w:tc>
        <w:tc>
          <w:tcPr>
            <w:tcW w:w="7260" w:type="dxa"/>
            <w:vAlign w:val="bottom"/>
            <w:tcBorders>
              <w:top w:val="single" w:sz="8" w:color="B6B6B6"/>
            </w:tcBorders>
            <w:gridSpan w:val="2"/>
          </w:tcPr>
          <w:p>
            <w:pPr>
              <w:spacing w:after="0"/>
              <w:rPr>
                <w:sz w:val="21"/>
                <w:szCs w:val="21"/>
                <w:color w:val="auto"/>
              </w:rPr>
            </w:pPr>
          </w:p>
        </w:tc>
        <w:tc>
          <w:tcPr>
            <w:tcW w:w="220" w:type="dxa"/>
            <w:vAlign w:val="bottom"/>
            <w:tcBorders>
              <w:top w:val="single" w:sz="8" w:color="B6B6B6"/>
            </w:tcBorders>
          </w:tcPr>
          <w:p>
            <w:pPr>
              <w:spacing w:after="0"/>
              <w:rPr>
                <w:sz w:val="21"/>
                <w:szCs w:val="21"/>
                <w:color w:val="auto"/>
              </w:rPr>
            </w:pPr>
          </w:p>
        </w:tc>
        <w:tc>
          <w:tcPr>
            <w:tcW w:w="1380" w:type="dxa"/>
            <w:vAlign w:val="bottom"/>
            <w:tcBorders>
              <w:top w:val="single" w:sz="8" w:color="B6B6B6"/>
            </w:tcBorders>
          </w:tcPr>
          <w:p>
            <w:pPr>
              <w:spacing w:after="0"/>
              <w:rPr>
                <w:sz w:val="21"/>
                <w:szCs w:val="21"/>
                <w:color w:val="auto"/>
              </w:rPr>
            </w:pPr>
          </w:p>
        </w:tc>
        <w:tc>
          <w:tcPr>
            <w:tcW w:w="100" w:type="dxa"/>
            <w:vAlign w:val="bottom"/>
            <w:tcBorders>
              <w:top w:val="single" w:sz="8" w:color="B6B6B6"/>
            </w:tcBorders>
          </w:tcPr>
          <w:p>
            <w:pPr>
              <w:spacing w:after="0"/>
              <w:rPr>
                <w:sz w:val="21"/>
                <w:szCs w:val="21"/>
                <w:color w:val="auto"/>
              </w:rPr>
            </w:pPr>
          </w:p>
        </w:tc>
        <w:tc>
          <w:tcPr>
            <w:tcW w:w="160" w:type="dxa"/>
            <w:vAlign w:val="bottom"/>
            <w:tcBorders>
              <w:top w:val="single" w:sz="8" w:color="B6B6B6"/>
            </w:tcBorders>
          </w:tcPr>
          <w:p>
            <w:pPr>
              <w:spacing w:after="0"/>
              <w:rPr>
                <w:sz w:val="21"/>
                <w:szCs w:val="21"/>
                <w:color w:val="auto"/>
              </w:rPr>
            </w:pPr>
          </w:p>
        </w:tc>
        <w:tc>
          <w:tcPr>
            <w:tcW w:w="1320" w:type="dxa"/>
            <w:vAlign w:val="bottom"/>
            <w:tcBorders>
              <w:top w:val="single" w:sz="8" w:color="B6B6B6"/>
            </w:tcBorders>
          </w:tcPr>
          <w:p>
            <w:pPr>
              <w:spacing w:after="0"/>
              <w:rPr>
                <w:sz w:val="21"/>
                <w:szCs w:val="21"/>
                <w:color w:val="auto"/>
              </w:rPr>
            </w:pPr>
          </w:p>
        </w:tc>
      </w:tr>
      <w:tr>
        <w:trPr>
          <w:trHeight w:val="263"/>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Noninterest-bearing</w:t>
            </w:r>
          </w:p>
        </w:tc>
        <w:tc>
          <w:tcPr>
            <w:tcW w:w="2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581,731</w:t>
            </w:r>
          </w:p>
        </w:tc>
        <w:tc>
          <w:tcPr>
            <w:tcW w:w="100" w:type="dxa"/>
            <w:vAlign w:val="bottom"/>
            <w:shd w:val="clear" w:color="auto" w:fill="B6B6B6"/>
          </w:tcPr>
          <w:p>
            <w:pPr>
              <w:spacing w:after="0"/>
              <w:rPr>
                <w:sz w:val="22"/>
                <w:szCs w:val="22"/>
                <w:color w:val="auto"/>
              </w:rPr>
            </w:pPr>
          </w:p>
        </w:tc>
        <w:tc>
          <w:tcPr>
            <w:tcW w:w="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582,642</w:t>
            </w:r>
          </w:p>
        </w:tc>
      </w:tr>
      <w:tr>
        <w:trPr>
          <w:trHeight w:val="250"/>
        </w:trPr>
        <w:tc>
          <w:tcPr>
            <w:tcW w:w="20" w:type="dxa"/>
            <w:vAlign w:val="bottom"/>
            <w:tcBorders>
              <w:bottom w:val="single" w:sz="8" w:color="B6B6B6"/>
            </w:tcBorders>
          </w:tcPr>
          <w:p>
            <w:pPr>
              <w:spacing w:after="0"/>
              <w:rPr>
                <w:sz w:val="21"/>
                <w:szCs w:val="21"/>
                <w:color w:val="auto"/>
              </w:rPr>
            </w:pPr>
          </w:p>
        </w:tc>
        <w:tc>
          <w:tcPr>
            <w:tcW w:w="8040" w:type="dxa"/>
            <w:vAlign w:val="bottom"/>
            <w:tcBorders>
              <w:bottom w:val="single" w:sz="8" w:color="B6B6B6"/>
            </w:tcBorders>
            <w:gridSpan w:val="3"/>
          </w:tcPr>
          <w:p>
            <w:pPr>
              <w:ind w:left="180"/>
              <w:spacing w:after="0"/>
              <w:rPr>
                <w:sz w:val="20"/>
                <w:szCs w:val="20"/>
                <w:color w:val="auto"/>
              </w:rPr>
            </w:pPr>
            <w:r>
              <w:rPr>
                <w:rFonts w:ascii="Times New Roman" w:cs="Times New Roman" w:eastAsia="Times New Roman" w:hAnsi="Times New Roman"/>
                <w:sz w:val="18"/>
                <w:szCs w:val="18"/>
                <w:color w:val="auto"/>
              </w:rPr>
              <w:t>Interest-bearing</w:t>
            </w: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647,990</w:t>
            </w:r>
          </w:p>
        </w:tc>
        <w:tc>
          <w:tcPr>
            <w:tcW w:w="100" w:type="dxa"/>
            <w:vAlign w:val="bottom"/>
            <w:tcBorders>
              <w:bottom w:val="single" w:sz="8" w:color="B6B6B6"/>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638,861</w:t>
            </w:r>
          </w:p>
        </w:tc>
      </w:tr>
      <w:tr>
        <w:trPr>
          <w:trHeight w:val="250"/>
        </w:trPr>
        <w:tc>
          <w:tcPr>
            <w:tcW w:w="20" w:type="dxa"/>
            <w:vAlign w:val="bottom"/>
            <w:shd w:val="clear" w:color="auto" w:fill="B6B6B6"/>
          </w:tcPr>
          <w:p>
            <w:pPr>
              <w:spacing w:after="0"/>
              <w:rPr>
                <w:sz w:val="21"/>
                <w:szCs w:val="21"/>
                <w:color w:val="auto"/>
              </w:rPr>
            </w:pPr>
          </w:p>
        </w:tc>
        <w:tc>
          <w:tcPr>
            <w:tcW w:w="8040" w:type="dxa"/>
            <w:vAlign w:val="bottom"/>
            <w:gridSpan w:val="3"/>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Total deposits</w:t>
            </w:r>
          </w:p>
        </w:tc>
        <w:tc>
          <w:tcPr>
            <w:tcW w:w="220" w:type="dxa"/>
            <w:vAlign w:val="bottom"/>
            <w:tcBorders>
              <w:bottom w:val="single" w:sz="8" w:color="auto"/>
            </w:tcBorders>
            <w:shd w:val="clear" w:color="auto" w:fill="B6B6B6"/>
          </w:tcPr>
          <w:p>
            <w:pPr>
              <w:spacing w:after="0"/>
              <w:rPr>
                <w:sz w:val="21"/>
                <w:szCs w:val="21"/>
                <w:color w:val="auto"/>
              </w:rPr>
            </w:pPr>
          </w:p>
        </w:tc>
        <w:tc>
          <w:tcPr>
            <w:tcW w:w="13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1,229,721</w:t>
            </w:r>
          </w:p>
        </w:tc>
        <w:tc>
          <w:tcPr>
            <w:tcW w:w="100" w:type="dxa"/>
            <w:vAlign w:val="bottom"/>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spacing w:after="0"/>
              <w:rPr>
                <w:sz w:val="21"/>
                <w:szCs w:val="21"/>
                <w:color w:val="auto"/>
              </w:rPr>
            </w:pP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1,221,503</w:t>
            </w:r>
          </w:p>
        </w:tc>
      </w:tr>
      <w:tr>
        <w:trPr>
          <w:trHeight w:val="250"/>
        </w:trPr>
        <w:tc>
          <w:tcPr>
            <w:tcW w:w="20" w:type="dxa"/>
            <w:vAlign w:val="bottom"/>
          </w:tcPr>
          <w:p>
            <w:pPr>
              <w:spacing w:after="0"/>
              <w:rPr>
                <w:sz w:val="21"/>
                <w:szCs w:val="21"/>
                <w:color w:val="auto"/>
              </w:rPr>
            </w:pPr>
          </w:p>
        </w:tc>
        <w:tc>
          <w:tcPr>
            <w:tcW w:w="8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Accounts and drafts payable</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1,146,334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1,050,396</w:t>
            </w:r>
          </w:p>
        </w:tc>
      </w:tr>
      <w:tr>
        <w:trPr>
          <w:trHeight w:val="257"/>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shd w:val="clear" w:color="auto" w:fill="B6B6B6"/>
          </w:tcPr>
          <w:p>
            <w:pPr>
              <w:spacing w:after="0"/>
              <w:rPr>
                <w:sz w:val="22"/>
                <w:szCs w:val="22"/>
                <w:color w:val="auto"/>
              </w:rPr>
            </w:pPr>
          </w:p>
        </w:tc>
        <w:tc>
          <w:tcPr>
            <w:tcW w:w="13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43,025</w:t>
            </w:r>
          </w:p>
        </w:tc>
        <w:tc>
          <w:tcPr>
            <w:tcW w:w="100" w:type="dxa"/>
            <w:vAlign w:val="bottom"/>
            <w:shd w:val="clear" w:color="auto" w:fill="B6B6B6"/>
          </w:tcPr>
          <w:p>
            <w:pPr>
              <w:spacing w:after="0"/>
              <w:rPr>
                <w:sz w:val="22"/>
                <w:szCs w:val="22"/>
                <w:color w:val="auto"/>
              </w:rPr>
            </w:pPr>
          </w:p>
        </w:tc>
        <w:tc>
          <w:tcPr>
            <w:tcW w:w="160" w:type="dxa"/>
            <w:vAlign w:val="bottom"/>
            <w:tcBorders>
              <w:bottom w:val="single" w:sz="8" w:color="auto"/>
            </w:tcBorders>
            <w:shd w:val="clear" w:color="auto" w:fill="B6B6B6"/>
          </w:tcPr>
          <w:p>
            <w:pPr>
              <w:spacing w:after="0"/>
              <w:rPr>
                <w:sz w:val="22"/>
                <w:szCs w:val="22"/>
                <w:color w:val="auto"/>
              </w:rPr>
            </w:pP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37,204</w:t>
            </w:r>
          </w:p>
        </w:tc>
      </w:tr>
      <w:tr>
        <w:trPr>
          <w:trHeight w:val="250"/>
        </w:trPr>
        <w:tc>
          <w:tcPr>
            <w:tcW w:w="20" w:type="dxa"/>
            <w:vAlign w:val="bottom"/>
            <w:tcBorders>
              <w:bottom w:val="single" w:sz="8" w:color="B6B6B6"/>
            </w:tcBorders>
          </w:tcPr>
          <w:p>
            <w:pPr>
              <w:spacing w:after="0"/>
              <w:rPr>
                <w:sz w:val="21"/>
                <w:szCs w:val="21"/>
                <w:color w:val="auto"/>
              </w:rPr>
            </w:pPr>
          </w:p>
        </w:tc>
        <w:tc>
          <w:tcPr>
            <w:tcW w:w="8040" w:type="dxa"/>
            <w:vAlign w:val="bottom"/>
            <w:tcBorders>
              <w:bottom w:val="single" w:sz="8" w:color="B6B6B6"/>
            </w:tcBorders>
            <w:gridSpan w:val="3"/>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2,419,080</w:t>
            </w:r>
          </w:p>
        </w:tc>
        <w:tc>
          <w:tcPr>
            <w:tcW w:w="100" w:type="dxa"/>
            <w:vAlign w:val="bottom"/>
            <w:tcBorders>
              <w:bottom w:val="single" w:sz="8" w:color="B6B6B6"/>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2,309,103</w:t>
            </w:r>
          </w:p>
        </w:tc>
      </w:tr>
      <w:tr>
        <w:trPr>
          <w:trHeight w:val="95"/>
        </w:trPr>
        <w:tc>
          <w:tcPr>
            <w:tcW w:w="20" w:type="dxa"/>
            <w:vAlign w:val="bottom"/>
            <w:shd w:val="clear" w:color="auto" w:fill="B6B6B6"/>
          </w:tcPr>
          <w:p>
            <w:pPr>
              <w:spacing w:after="0"/>
              <w:rPr>
                <w:sz w:val="8"/>
                <w:szCs w:val="8"/>
                <w:color w:val="auto"/>
              </w:rPr>
            </w:pPr>
          </w:p>
        </w:tc>
        <w:tc>
          <w:tcPr>
            <w:tcW w:w="780" w:type="dxa"/>
            <w:vAlign w:val="bottom"/>
            <w:shd w:val="clear" w:color="auto" w:fill="B6B6B6"/>
          </w:tcPr>
          <w:p>
            <w:pPr>
              <w:spacing w:after="0"/>
              <w:rPr>
                <w:sz w:val="8"/>
                <w:szCs w:val="8"/>
                <w:color w:val="auto"/>
              </w:rPr>
            </w:pPr>
          </w:p>
        </w:tc>
        <w:tc>
          <w:tcPr>
            <w:tcW w:w="800" w:type="dxa"/>
            <w:vAlign w:val="bottom"/>
            <w:shd w:val="clear" w:color="auto" w:fill="B6B6B6"/>
          </w:tcPr>
          <w:p>
            <w:pPr>
              <w:spacing w:after="0"/>
              <w:rPr>
                <w:sz w:val="8"/>
                <w:szCs w:val="8"/>
                <w:color w:val="auto"/>
              </w:rPr>
            </w:pPr>
          </w:p>
        </w:tc>
        <w:tc>
          <w:tcPr>
            <w:tcW w:w="6460" w:type="dxa"/>
            <w:vAlign w:val="bottom"/>
            <w:shd w:val="clear" w:color="auto" w:fill="B6B6B6"/>
          </w:tcPr>
          <w:p>
            <w:pPr>
              <w:spacing w:after="0"/>
              <w:rPr>
                <w:sz w:val="8"/>
                <w:szCs w:val="8"/>
                <w:color w:val="auto"/>
              </w:rPr>
            </w:pPr>
          </w:p>
        </w:tc>
        <w:tc>
          <w:tcPr>
            <w:tcW w:w="220" w:type="dxa"/>
            <w:vAlign w:val="bottom"/>
            <w:shd w:val="clear" w:color="auto" w:fill="B6B6B6"/>
          </w:tcPr>
          <w:p>
            <w:pPr>
              <w:spacing w:after="0"/>
              <w:rPr>
                <w:sz w:val="8"/>
                <w:szCs w:val="8"/>
                <w:color w:val="auto"/>
              </w:rPr>
            </w:pPr>
          </w:p>
        </w:tc>
        <w:tc>
          <w:tcPr>
            <w:tcW w:w="1380" w:type="dxa"/>
            <w:vAlign w:val="bottom"/>
            <w:shd w:val="clear" w:color="auto" w:fill="B6B6B6"/>
          </w:tcPr>
          <w:p>
            <w:pPr>
              <w:spacing w:after="0"/>
              <w:rPr>
                <w:sz w:val="8"/>
                <w:szCs w:val="8"/>
                <w:color w:val="auto"/>
              </w:rPr>
            </w:pPr>
          </w:p>
        </w:tc>
        <w:tc>
          <w:tcPr>
            <w:tcW w:w="100" w:type="dxa"/>
            <w:vAlign w:val="bottom"/>
            <w:shd w:val="clear" w:color="auto" w:fill="B6B6B6"/>
          </w:tcPr>
          <w:p>
            <w:pPr>
              <w:spacing w:after="0"/>
              <w:rPr>
                <w:sz w:val="8"/>
                <w:szCs w:val="8"/>
                <w:color w:val="auto"/>
              </w:rPr>
            </w:pPr>
          </w:p>
        </w:tc>
        <w:tc>
          <w:tcPr>
            <w:tcW w:w="160" w:type="dxa"/>
            <w:vAlign w:val="bottom"/>
            <w:shd w:val="clear" w:color="auto" w:fill="B6B6B6"/>
          </w:tcPr>
          <w:p>
            <w:pPr>
              <w:spacing w:after="0"/>
              <w:rPr>
                <w:sz w:val="8"/>
                <w:szCs w:val="8"/>
                <w:color w:val="auto"/>
              </w:rPr>
            </w:pPr>
          </w:p>
        </w:tc>
        <w:tc>
          <w:tcPr>
            <w:tcW w:w="1320" w:type="dxa"/>
            <w:vAlign w:val="bottom"/>
            <w:shd w:val="clear" w:color="auto" w:fill="B6B6B6"/>
          </w:tcPr>
          <w:p>
            <w:pPr>
              <w:spacing w:after="0"/>
              <w:rPr>
                <w:sz w:val="8"/>
                <w:szCs w:val="8"/>
                <w:color w:val="auto"/>
              </w:rPr>
            </w:pPr>
          </w:p>
        </w:tc>
      </w:tr>
      <w:tr>
        <w:trPr>
          <w:trHeight w:val="203"/>
        </w:trPr>
        <w:tc>
          <w:tcPr>
            <w:tcW w:w="20" w:type="dxa"/>
            <w:vAlign w:val="bottom"/>
          </w:tcPr>
          <w:p>
            <w:pPr>
              <w:spacing w:after="0"/>
              <w:rPr>
                <w:sz w:val="17"/>
                <w:szCs w:val="17"/>
                <w:color w:val="auto"/>
              </w:rPr>
            </w:pPr>
          </w:p>
        </w:tc>
        <w:tc>
          <w:tcPr>
            <w:tcW w:w="804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6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7"/>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Preferred stock, par value $.50 per share; 2,000,000 shares authorized and no shares issued</w:t>
            </w:r>
          </w:p>
        </w:tc>
        <w:tc>
          <w:tcPr>
            <w:tcW w:w="220" w:type="dxa"/>
            <w:vAlign w:val="bottom"/>
            <w:shd w:val="clear" w:color="auto" w:fill="B6B6B6"/>
          </w:tcPr>
          <w:p>
            <w:pPr>
              <w:spacing w:after="0"/>
              <w:rPr>
                <w:sz w:val="22"/>
                <w:szCs w:val="22"/>
                <w:color w:val="auto"/>
              </w:rPr>
            </w:pPr>
          </w:p>
        </w:tc>
        <w:tc>
          <w:tcPr>
            <w:tcW w:w="148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20" w:type="dxa"/>
            <w:vAlign w:val="bottom"/>
          </w:tcPr>
          <w:p>
            <w:pPr>
              <w:spacing w:after="0"/>
              <w:rPr>
                <w:sz w:val="18"/>
                <w:szCs w:val="18"/>
                <w:color w:val="auto"/>
              </w:rPr>
            </w:pPr>
          </w:p>
        </w:tc>
        <w:tc>
          <w:tcPr>
            <w:tcW w:w="8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stock, par value $.50 per share; 40,000,000 shares authorized and 15,505,772 shares issued at</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040" w:type="dxa"/>
            <w:vAlign w:val="bottom"/>
            <w:gridSpan w:val="3"/>
          </w:tcPr>
          <w:p>
            <w:pPr>
              <w:ind w:left="160"/>
              <w:spacing w:after="0" w:line="202" w:lineRule="exact"/>
              <w:rPr>
                <w:sz w:val="20"/>
                <w:szCs w:val="20"/>
                <w:color w:val="auto"/>
              </w:rPr>
            </w:pPr>
            <w:r>
              <w:rPr>
                <w:rFonts w:ascii="Times New Roman" w:cs="Times New Roman" w:eastAsia="Times New Roman" w:hAnsi="Times New Roman"/>
                <w:sz w:val="18"/>
                <w:szCs w:val="18"/>
                <w:color w:val="auto"/>
              </w:rPr>
              <w:t>September 30, 2022 and December 31, 2021; 13,660,388 and 13,734,295 shares outstanding at</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55"/>
        </w:trPr>
        <w:tc>
          <w:tcPr>
            <w:tcW w:w="20" w:type="dxa"/>
            <w:vAlign w:val="bottom"/>
          </w:tcPr>
          <w:p>
            <w:pPr>
              <w:spacing w:after="0"/>
              <w:rPr>
                <w:sz w:val="22"/>
                <w:szCs w:val="22"/>
                <w:color w:val="auto"/>
              </w:rPr>
            </w:pPr>
          </w:p>
        </w:tc>
        <w:tc>
          <w:tcPr>
            <w:tcW w:w="80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September 30, 2022 and December 31, 2021, respectively.</w:t>
            </w:r>
          </w:p>
        </w:tc>
        <w:tc>
          <w:tcPr>
            <w:tcW w:w="2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7,753</w:t>
            </w:r>
          </w:p>
        </w:tc>
      </w:tr>
      <w:tr>
        <w:trPr>
          <w:trHeight w:val="263"/>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B6B6B6"/>
          </w:tcPr>
          <w:p>
            <w:pPr>
              <w:spacing w:after="0"/>
              <w:rPr>
                <w:sz w:val="22"/>
                <w:szCs w:val="22"/>
                <w:color w:val="auto"/>
              </w:rPr>
            </w:pPr>
          </w:p>
        </w:tc>
        <w:tc>
          <w:tcPr>
            <w:tcW w:w="13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205,624</w:t>
            </w:r>
          </w:p>
        </w:tc>
        <w:tc>
          <w:tcPr>
            <w:tcW w:w="10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204,276</w:t>
            </w:r>
          </w:p>
        </w:tc>
      </w:tr>
      <w:tr>
        <w:trPr>
          <w:trHeight w:val="250"/>
        </w:trPr>
        <w:tc>
          <w:tcPr>
            <w:tcW w:w="20" w:type="dxa"/>
            <w:vAlign w:val="bottom"/>
          </w:tcPr>
          <w:p>
            <w:pPr>
              <w:spacing w:after="0"/>
              <w:rPr>
                <w:sz w:val="21"/>
                <w:szCs w:val="21"/>
                <w:color w:val="auto"/>
              </w:rPr>
            </w:pPr>
          </w:p>
        </w:tc>
        <w:tc>
          <w:tcPr>
            <w:tcW w:w="8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112,220</w:t>
            </w:r>
          </w:p>
        </w:tc>
      </w:tr>
      <w:tr>
        <w:trPr>
          <w:trHeight w:val="218"/>
        </w:trPr>
        <w:tc>
          <w:tcPr>
            <w:tcW w:w="20" w:type="dxa"/>
            <w:vAlign w:val="bottom"/>
            <w:shd w:val="clear" w:color="auto" w:fill="B6B6B6"/>
          </w:tcPr>
          <w:p>
            <w:pPr>
              <w:spacing w:after="0"/>
              <w:rPr>
                <w:sz w:val="18"/>
                <w:szCs w:val="18"/>
                <w:color w:val="auto"/>
              </w:rPr>
            </w:pPr>
          </w:p>
        </w:tc>
        <w:tc>
          <w:tcPr>
            <w:tcW w:w="804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Common shares in treasury, at cost (1,845,384 shares at September 30, 2022 and 1,771,477 shares at</w:t>
            </w:r>
          </w:p>
        </w:tc>
        <w:tc>
          <w:tcPr>
            <w:tcW w:w="220" w:type="dxa"/>
            <w:vAlign w:val="bottom"/>
            <w:shd w:val="clear" w:color="auto" w:fill="B6B6B6"/>
          </w:tcPr>
          <w:p>
            <w:pPr>
              <w:spacing w:after="0"/>
              <w:rPr>
                <w:sz w:val="18"/>
                <w:szCs w:val="18"/>
                <w:color w:val="auto"/>
              </w:rPr>
            </w:pPr>
          </w:p>
        </w:tc>
        <w:tc>
          <w:tcPr>
            <w:tcW w:w="138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160" w:type="dxa"/>
            <w:vAlign w:val="bottom"/>
            <w:shd w:val="clear" w:color="auto" w:fill="B6B6B6"/>
          </w:tcPr>
          <w:p>
            <w:pPr>
              <w:spacing w:after="0"/>
              <w:rPr>
                <w:sz w:val="18"/>
                <w:szCs w:val="18"/>
                <w:color w:val="auto"/>
              </w:rPr>
            </w:pPr>
          </w:p>
        </w:tc>
        <w:tc>
          <w:tcPr>
            <w:tcW w:w="1320" w:type="dxa"/>
            <w:vAlign w:val="bottom"/>
            <w:shd w:val="clear" w:color="auto" w:fill="B6B6B6"/>
          </w:tcPr>
          <w:p>
            <w:pPr>
              <w:spacing w:after="0"/>
              <w:rPr>
                <w:sz w:val="18"/>
                <w:szCs w:val="18"/>
                <w:color w:val="auto"/>
              </w:rPr>
            </w:pPr>
          </w:p>
        </w:tc>
      </w:tr>
      <w:tr>
        <w:trPr>
          <w:trHeight w:val="248"/>
        </w:trPr>
        <w:tc>
          <w:tcPr>
            <w:tcW w:w="20" w:type="dxa"/>
            <w:vAlign w:val="bottom"/>
            <w:shd w:val="clear" w:color="auto" w:fill="B6B6B6"/>
          </w:tcPr>
          <w:p>
            <w:pPr>
              <w:spacing w:after="0"/>
              <w:rPr>
                <w:sz w:val="21"/>
                <w:szCs w:val="21"/>
                <w:color w:val="auto"/>
              </w:rPr>
            </w:pPr>
          </w:p>
        </w:tc>
        <w:tc>
          <w:tcPr>
            <w:tcW w:w="8040" w:type="dxa"/>
            <w:vAlign w:val="bottom"/>
            <w:gridSpan w:val="3"/>
            <w:shd w:val="clear" w:color="auto" w:fill="B6B6B6"/>
          </w:tcPr>
          <w:p>
            <w:pPr>
              <w:ind w:left="160"/>
              <w:spacing w:after="0"/>
              <w:rPr>
                <w:sz w:val="20"/>
                <w:szCs w:val="20"/>
                <w:color w:val="auto"/>
              </w:rPr>
            </w:pPr>
            <w:r>
              <w:rPr>
                <w:rFonts w:ascii="Times New Roman" w:cs="Times New Roman" w:eastAsia="Times New Roman" w:hAnsi="Times New Roman"/>
                <w:sz w:val="18"/>
                <w:szCs w:val="18"/>
                <w:color w:val="auto"/>
              </w:rPr>
              <w:t>December 31, 2021)</w:t>
            </w:r>
          </w:p>
        </w:tc>
        <w:tc>
          <w:tcPr>
            <w:tcW w:w="220" w:type="dxa"/>
            <w:vAlign w:val="bottom"/>
            <w:shd w:val="clear" w:color="auto" w:fill="B6B6B6"/>
          </w:tcPr>
          <w:p>
            <w:pPr>
              <w:spacing w:after="0"/>
              <w:rPr>
                <w:sz w:val="21"/>
                <w:szCs w:val="21"/>
                <w:color w:val="auto"/>
              </w:rPr>
            </w:pPr>
          </w:p>
        </w:tc>
        <w:tc>
          <w:tcPr>
            <w:tcW w:w="13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(81,624)</w:t>
            </w:r>
          </w:p>
        </w:tc>
        <w:tc>
          <w:tcPr>
            <w:tcW w:w="10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(78,904)</w:t>
            </w:r>
          </w:p>
        </w:tc>
      </w:tr>
      <w:tr>
        <w:trPr>
          <w:trHeight w:val="250"/>
        </w:trPr>
        <w:tc>
          <w:tcPr>
            <w:tcW w:w="20" w:type="dxa"/>
            <w:vAlign w:val="bottom"/>
            <w:tcBorders>
              <w:bottom w:val="single" w:sz="8" w:color="B6B6B6"/>
            </w:tcBorders>
          </w:tcPr>
          <w:p>
            <w:pPr>
              <w:spacing w:after="0"/>
              <w:rPr>
                <w:sz w:val="21"/>
                <w:szCs w:val="21"/>
                <w:color w:val="auto"/>
              </w:rPr>
            </w:pPr>
          </w:p>
        </w:tc>
        <w:tc>
          <w:tcPr>
            <w:tcW w:w="8040" w:type="dxa"/>
            <w:vAlign w:val="bottom"/>
            <w:tcBorders>
              <w:bottom w:val="single" w:sz="8" w:color="B6B6B6"/>
            </w:tcBorders>
            <w:gridSpan w:val="3"/>
          </w:tcPr>
          <w:p>
            <w:pPr>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(66,379)</w:t>
            </w:r>
          </w:p>
        </w:tc>
        <w:tc>
          <w:tcPr>
            <w:tcW w:w="100" w:type="dxa"/>
            <w:vAlign w:val="bottom"/>
            <w:tcBorders>
              <w:bottom w:val="single" w:sz="8" w:color="B6B6B6"/>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50"/>
        </w:trPr>
        <w:tc>
          <w:tcPr>
            <w:tcW w:w="20" w:type="dxa"/>
            <w:vAlign w:val="bottom"/>
            <w:shd w:val="clear" w:color="auto" w:fill="B6B6B6"/>
          </w:tcPr>
          <w:p>
            <w:pPr>
              <w:spacing w:after="0"/>
              <w:rPr>
                <w:sz w:val="21"/>
                <w:szCs w:val="21"/>
                <w:color w:val="auto"/>
              </w:rPr>
            </w:pPr>
          </w:p>
        </w:tc>
        <w:tc>
          <w:tcPr>
            <w:tcW w:w="8040" w:type="dxa"/>
            <w:vAlign w:val="bottom"/>
            <w:gridSpan w:val="3"/>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20" w:type="dxa"/>
            <w:vAlign w:val="bottom"/>
            <w:tcBorders>
              <w:bottom w:val="single" w:sz="8" w:color="auto"/>
            </w:tcBorders>
            <w:shd w:val="clear" w:color="auto" w:fill="B6B6B6"/>
          </w:tcPr>
          <w:p>
            <w:pPr>
              <w:spacing w:after="0"/>
              <w:rPr>
                <w:sz w:val="21"/>
                <w:szCs w:val="21"/>
                <w:color w:val="auto"/>
              </w:rPr>
            </w:pPr>
          </w:p>
        </w:tc>
        <w:tc>
          <w:tcPr>
            <w:tcW w:w="13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191,735</w:t>
            </w:r>
          </w:p>
        </w:tc>
        <w:tc>
          <w:tcPr>
            <w:tcW w:w="100" w:type="dxa"/>
            <w:vAlign w:val="bottom"/>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spacing w:after="0"/>
              <w:rPr>
                <w:sz w:val="21"/>
                <w:szCs w:val="21"/>
                <w:color w:val="auto"/>
              </w:rPr>
            </w:pP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245,798</w:t>
            </w:r>
          </w:p>
        </w:tc>
      </w:tr>
      <w:tr>
        <w:trPr>
          <w:trHeight w:val="256"/>
        </w:trPr>
        <w:tc>
          <w:tcPr>
            <w:tcW w:w="20" w:type="dxa"/>
            <w:vAlign w:val="bottom"/>
          </w:tcPr>
          <w:p>
            <w:pPr>
              <w:spacing w:after="0"/>
              <w:rPr>
                <w:sz w:val="22"/>
                <w:szCs w:val="22"/>
                <w:color w:val="auto"/>
              </w:rPr>
            </w:pPr>
          </w:p>
        </w:tc>
        <w:tc>
          <w:tcPr>
            <w:tcW w:w="80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2,610,815</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2,554,901</w:t>
            </w:r>
          </w:p>
        </w:tc>
      </w:tr>
      <w:tr>
        <w:trPr>
          <w:trHeight w:val="21"/>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808"/>
        </w:trPr>
        <w:tc>
          <w:tcPr>
            <w:tcW w:w="1360" w:type="dxa"/>
            <w:vAlign w:val="bottom"/>
            <w:tcBorders>
              <w:top w:val="single" w:sz="8" w:color="0000FF"/>
            </w:tcBorders>
          </w:tcPr>
          <w:p>
            <w:pPr>
              <w:spacing w:after="0"/>
              <w:rPr>
                <w:sz w:val="24"/>
                <w:szCs w:val="24"/>
                <w:color w:val="auto"/>
              </w:rPr>
            </w:pPr>
          </w:p>
        </w:tc>
        <w:tc>
          <w:tcPr>
            <w:tcW w:w="7120" w:type="dxa"/>
            <w:vAlign w:val="bottom"/>
            <w:gridSpan w:val="8"/>
          </w:tcPr>
          <w:p>
            <w:pPr>
              <w:jc w:val="center"/>
              <w:ind w:left="1310"/>
              <w:spacing w:after="0"/>
              <w:rPr>
                <w:sz w:val="20"/>
                <w:szCs w:val="20"/>
                <w:color w:val="auto"/>
              </w:rPr>
            </w:pPr>
            <w:r>
              <w:rPr>
                <w:rFonts w:ascii="Times New Roman" w:cs="Times New Roman" w:eastAsia="Times New Roman" w:hAnsi="Times New Roman"/>
                <w:sz w:val="18"/>
                <w:szCs w:val="18"/>
                <w:b w:val="1"/>
                <w:bCs w:val="1"/>
                <w:color w:val="auto"/>
                <w:w w:val="99"/>
              </w:rPr>
              <w:t>CASS INFORMATION SYSTEMS, INC. AND SUBSIDIARIES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7"/>
        </w:trPr>
        <w:tc>
          <w:tcPr>
            <w:tcW w:w="1360" w:type="dxa"/>
            <w:vAlign w:val="bottom"/>
          </w:tcPr>
          <w:p>
            <w:pPr>
              <w:spacing w:after="0"/>
              <w:rPr>
                <w:sz w:val="17"/>
                <w:szCs w:val="17"/>
                <w:color w:val="auto"/>
              </w:rPr>
            </w:pPr>
          </w:p>
        </w:tc>
        <w:tc>
          <w:tcPr>
            <w:tcW w:w="6220" w:type="dxa"/>
            <w:vAlign w:val="bottom"/>
            <w:gridSpan w:val="6"/>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INCOME</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6"/>
        </w:trPr>
        <w:tc>
          <w:tcPr>
            <w:tcW w:w="13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(Unaudited)</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1360" w:type="dxa"/>
            <w:vAlign w:val="bottom"/>
          </w:tcPr>
          <w:p>
            <w:pPr>
              <w:spacing w:after="0"/>
              <w:rPr>
                <w:sz w:val="20"/>
                <w:szCs w:val="20"/>
                <w:color w:val="auto"/>
              </w:rPr>
            </w:pPr>
          </w:p>
        </w:tc>
        <w:tc>
          <w:tcPr>
            <w:tcW w:w="6220" w:type="dxa"/>
            <w:vAlign w:val="bottom"/>
            <w:gridSpan w:val="6"/>
          </w:tcPr>
          <w:p>
            <w:pPr>
              <w:jc w:val="center"/>
              <w:ind w:left="2230"/>
              <w:spacing w:after="0"/>
              <w:rPr>
                <w:sz w:val="20"/>
                <w:szCs w:val="20"/>
                <w:color w:val="auto"/>
              </w:rPr>
            </w:pPr>
            <w:r>
              <w:rPr>
                <w:rFonts w:ascii="Times New Roman" w:cs="Times New Roman" w:eastAsia="Times New Roman" w:hAnsi="Times New Roman"/>
                <w:sz w:val="18"/>
                <w:szCs w:val="18"/>
                <w:color w:val="auto"/>
              </w:rPr>
              <w:t>(Dollars in Thousands except Per Share Data)</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69"/>
        </w:trPr>
        <w:tc>
          <w:tcPr>
            <w:tcW w:w="13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60" w:type="dxa"/>
            <w:vAlign w:val="bottom"/>
          </w:tcPr>
          <w:p>
            <w:pPr>
              <w:spacing w:after="0"/>
              <w:rPr>
                <w:sz w:val="24"/>
                <w:szCs w:val="24"/>
                <w:color w:val="auto"/>
              </w:rPr>
            </w:pPr>
          </w:p>
        </w:tc>
        <w:tc>
          <w:tcPr>
            <w:tcW w:w="214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13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60" w:type="dxa"/>
            <w:vAlign w:val="bottom"/>
          </w:tcPr>
          <w:p>
            <w:pPr>
              <w:spacing w:after="0"/>
              <w:rPr>
                <w:sz w:val="20"/>
                <w:szCs w:val="20"/>
                <w:color w:val="auto"/>
              </w:rPr>
            </w:pPr>
          </w:p>
        </w:tc>
        <w:tc>
          <w:tcPr>
            <w:tcW w:w="214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3"/>
        </w:trPr>
        <w:tc>
          <w:tcPr>
            <w:tcW w:w="1360" w:type="dxa"/>
            <w:vAlign w:val="bottom"/>
            <w:tcBorders>
              <w:top w:val="single" w:sz="8" w:color="B6B6B6"/>
              <w:bottom w:val="single" w:sz="8" w:color="auto"/>
            </w:tcBorders>
            <w:shd w:val="clear" w:color="auto" w:fill="B6B6B6"/>
          </w:tcPr>
          <w:p>
            <w:pPr>
              <w:spacing w:after="0"/>
              <w:rPr>
                <w:sz w:val="21"/>
                <w:szCs w:val="21"/>
                <w:color w:val="auto"/>
              </w:rPr>
            </w:pPr>
          </w:p>
        </w:tc>
        <w:tc>
          <w:tcPr>
            <w:tcW w:w="3800" w:type="dxa"/>
            <w:vAlign w:val="bottom"/>
            <w:tcBorders>
              <w:top w:val="single" w:sz="8" w:color="B6B6B6"/>
              <w:bottom w:val="single" w:sz="8" w:color="auto"/>
            </w:tcBorders>
            <w:shd w:val="clear" w:color="auto" w:fill="B6B6B6"/>
          </w:tcPr>
          <w:p>
            <w:pPr>
              <w:spacing w:after="0"/>
              <w:rPr>
                <w:sz w:val="21"/>
                <w:szCs w:val="21"/>
                <w:color w:val="auto"/>
              </w:rPr>
            </w:pPr>
          </w:p>
        </w:tc>
        <w:tc>
          <w:tcPr>
            <w:tcW w:w="840" w:type="dxa"/>
            <w:vAlign w:val="bottom"/>
            <w:tcBorders>
              <w:top w:val="single" w:sz="8" w:color="B6B6B6"/>
              <w:bottom w:val="single" w:sz="8" w:color="auto"/>
            </w:tcBorders>
            <w:shd w:val="clear" w:color="auto" w:fill="B6B6B6"/>
          </w:tcPr>
          <w:p>
            <w:pPr>
              <w:spacing w:after="0"/>
              <w:rPr>
                <w:sz w:val="21"/>
                <w:szCs w:val="21"/>
                <w:color w:val="auto"/>
              </w:rPr>
            </w:pPr>
          </w:p>
        </w:tc>
        <w:tc>
          <w:tcPr>
            <w:tcW w:w="240" w:type="dxa"/>
            <w:vAlign w:val="bottom"/>
            <w:tcBorders>
              <w:top w:val="single" w:sz="8" w:color="auto"/>
              <w:bottom w:val="single" w:sz="8" w:color="auto"/>
            </w:tcBorders>
            <w:shd w:val="clear" w:color="auto" w:fill="B6B6B6"/>
          </w:tcPr>
          <w:p>
            <w:pPr>
              <w:spacing w:after="0"/>
              <w:rPr>
                <w:sz w:val="21"/>
                <w:szCs w:val="21"/>
                <w:color w:val="auto"/>
              </w:rPr>
            </w:pPr>
          </w:p>
        </w:tc>
        <w:tc>
          <w:tcPr>
            <w:tcW w:w="900" w:type="dxa"/>
            <w:vAlign w:val="bottom"/>
            <w:tcBorders>
              <w:top w:val="single" w:sz="8" w:color="auto"/>
              <w:bottom w:val="single" w:sz="8" w:color="auto"/>
            </w:tcBorders>
            <w:shd w:val="clear" w:color="auto" w:fill="B6B6B6"/>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auto"/>
            </w:tcBorders>
            <w:shd w:val="clear" w:color="auto" w:fill="B6B6B6"/>
          </w:tcPr>
          <w:p>
            <w:pPr>
              <w:spacing w:after="0"/>
              <w:rPr>
                <w:sz w:val="21"/>
                <w:szCs w:val="21"/>
                <w:color w:val="auto"/>
              </w:rPr>
            </w:pPr>
          </w:p>
        </w:tc>
        <w:tc>
          <w:tcPr>
            <w:tcW w:w="340" w:type="dxa"/>
            <w:vAlign w:val="bottom"/>
            <w:tcBorders>
              <w:top w:val="single" w:sz="8" w:color="auto"/>
              <w:bottom w:val="single" w:sz="8" w:color="auto"/>
            </w:tcBorders>
            <w:shd w:val="clear" w:color="auto" w:fill="B6B6B6"/>
          </w:tcPr>
          <w:p>
            <w:pPr>
              <w:spacing w:after="0"/>
              <w:rPr>
                <w:sz w:val="21"/>
                <w:szCs w:val="21"/>
                <w:color w:val="auto"/>
              </w:rPr>
            </w:pPr>
          </w:p>
        </w:tc>
        <w:tc>
          <w:tcPr>
            <w:tcW w:w="820" w:type="dxa"/>
            <w:vAlign w:val="bottom"/>
            <w:tcBorders>
              <w:top w:val="single" w:sz="8" w:color="auto"/>
              <w:bottom w:val="single" w:sz="8" w:color="auto"/>
            </w:tcBorders>
            <w:shd w:val="clear" w:color="auto" w:fill="B6B6B6"/>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top w:val="single" w:sz="8" w:color="B6B6B6"/>
              <w:bottom w:val="single" w:sz="8" w:color="auto"/>
            </w:tcBorders>
            <w:shd w:val="clear" w:color="auto" w:fill="B6B6B6"/>
          </w:tcPr>
          <w:p>
            <w:pPr>
              <w:spacing w:after="0"/>
              <w:rPr>
                <w:sz w:val="21"/>
                <w:szCs w:val="21"/>
                <w:color w:val="auto"/>
              </w:rPr>
            </w:pPr>
          </w:p>
        </w:tc>
        <w:tc>
          <w:tcPr>
            <w:tcW w:w="260" w:type="dxa"/>
            <w:vAlign w:val="bottom"/>
            <w:tcBorders>
              <w:top w:val="single" w:sz="8" w:color="auto"/>
              <w:bottom w:val="single" w:sz="8" w:color="auto"/>
            </w:tcBorders>
            <w:shd w:val="clear" w:color="auto" w:fill="B6B6B6"/>
          </w:tcPr>
          <w:p>
            <w:pPr>
              <w:spacing w:after="0"/>
              <w:rPr>
                <w:sz w:val="21"/>
                <w:szCs w:val="21"/>
                <w:color w:val="auto"/>
              </w:rPr>
            </w:pPr>
          </w:p>
        </w:tc>
        <w:tc>
          <w:tcPr>
            <w:tcW w:w="900" w:type="dxa"/>
            <w:vAlign w:val="bottom"/>
            <w:tcBorders>
              <w:top w:val="single" w:sz="8" w:color="auto"/>
              <w:bottom w:val="single" w:sz="8" w:color="auto"/>
            </w:tcBorders>
            <w:shd w:val="clear" w:color="auto" w:fill="B6B6B6"/>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bottom w:val="single" w:sz="8" w:color="auto"/>
            </w:tcBorders>
            <w:shd w:val="clear" w:color="auto" w:fill="B6B6B6"/>
          </w:tcPr>
          <w:p>
            <w:pPr>
              <w:spacing w:after="0"/>
              <w:rPr>
                <w:sz w:val="21"/>
                <w:szCs w:val="21"/>
                <w:color w:val="auto"/>
              </w:rPr>
            </w:pPr>
          </w:p>
        </w:tc>
        <w:tc>
          <w:tcPr>
            <w:tcW w:w="260" w:type="dxa"/>
            <w:vAlign w:val="bottom"/>
            <w:tcBorders>
              <w:top w:val="single" w:sz="8" w:color="auto"/>
              <w:bottom w:val="single" w:sz="8" w:color="auto"/>
            </w:tcBorders>
            <w:shd w:val="clear" w:color="auto" w:fill="B6B6B6"/>
          </w:tcPr>
          <w:p>
            <w:pPr>
              <w:spacing w:after="0"/>
              <w:rPr>
                <w:sz w:val="21"/>
                <w:szCs w:val="21"/>
                <w:color w:val="auto"/>
              </w:rPr>
            </w:pPr>
          </w:p>
        </w:tc>
        <w:tc>
          <w:tcPr>
            <w:tcW w:w="900" w:type="dxa"/>
            <w:vAlign w:val="bottom"/>
            <w:tcBorders>
              <w:top w:val="single" w:sz="8" w:color="auto"/>
              <w:bottom w:val="single" w:sz="8" w:color="auto"/>
            </w:tcBorders>
            <w:shd w:val="clear" w:color="auto" w:fill="B6B6B6"/>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50"/>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Fee Revenue and Other Income:</w:t>
            </w: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63"/>
        </w:trPr>
        <w:tc>
          <w:tcPr>
            <w:tcW w:w="516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Processing fees</w:t>
            </w:r>
          </w:p>
        </w:tc>
        <w:tc>
          <w:tcPr>
            <w:tcW w:w="1080" w:type="dxa"/>
            <w:vAlign w:val="bottom"/>
            <w:gridSpan w:val="2"/>
            <w:shd w:val="clear" w:color="auto" w:fill="B6B6B6"/>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18,964</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18,461</w:t>
            </w:r>
          </w:p>
        </w:tc>
        <w:tc>
          <w:tcPr>
            <w:tcW w:w="80" w:type="dxa"/>
            <w:vAlign w:val="bottom"/>
            <w:shd w:val="clear" w:color="auto" w:fill="B6B6B6"/>
          </w:tcPr>
          <w:p>
            <w:pPr>
              <w:spacing w:after="0"/>
              <w:rPr>
                <w:sz w:val="22"/>
                <w:szCs w:val="22"/>
                <w:color w:val="auto"/>
              </w:rPr>
            </w:pPr>
          </w:p>
        </w:tc>
        <w:tc>
          <w:tcPr>
            <w:tcW w:w="260" w:type="dxa"/>
            <w:vAlign w:val="bottom"/>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57,184</w:t>
            </w:r>
          </w:p>
        </w:tc>
        <w:tc>
          <w:tcPr>
            <w:tcW w:w="80" w:type="dxa"/>
            <w:vAlign w:val="bottom"/>
            <w:shd w:val="clear" w:color="auto" w:fill="B6B6B6"/>
          </w:tcPr>
          <w:p>
            <w:pPr>
              <w:spacing w:after="0"/>
              <w:rPr>
                <w:sz w:val="22"/>
                <w:szCs w:val="22"/>
                <w:color w:val="auto"/>
              </w:rPr>
            </w:pPr>
          </w:p>
        </w:tc>
        <w:tc>
          <w:tcPr>
            <w:tcW w:w="260" w:type="dxa"/>
            <w:vAlign w:val="bottom"/>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55,882</w:t>
            </w:r>
          </w:p>
        </w:tc>
      </w:tr>
      <w:tr>
        <w:trPr>
          <w:trHeight w:val="250"/>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Financial fees</w:t>
            </w: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23,122</w:t>
            </w:r>
          </w:p>
        </w:tc>
      </w:tr>
      <w:tr>
        <w:trPr>
          <w:trHeight w:val="257"/>
        </w:trPr>
        <w:tc>
          <w:tcPr>
            <w:tcW w:w="516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shd w:val="clear" w:color="auto" w:fill="B6B6B6"/>
          </w:tcPr>
          <w:p>
            <w:pPr>
              <w:spacing w:after="0"/>
              <w:rPr>
                <w:sz w:val="22"/>
                <w:szCs w:val="22"/>
                <w:color w:val="auto"/>
              </w:rPr>
            </w:pPr>
          </w:p>
        </w:tc>
        <w:tc>
          <w:tcPr>
            <w:tcW w:w="240" w:type="dxa"/>
            <w:vAlign w:val="bottom"/>
            <w:tcBorders>
              <w:bottom w:val="single" w:sz="8" w:color="auto"/>
            </w:tcBorders>
            <w:shd w:val="clear" w:color="auto" w:fill="B6B6B6"/>
          </w:tcPr>
          <w:p>
            <w:pPr>
              <w:spacing w:after="0"/>
              <w:rPr>
                <w:sz w:val="22"/>
                <w:szCs w:val="22"/>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100" w:type="dxa"/>
            <w:vAlign w:val="bottom"/>
            <w:shd w:val="clear" w:color="auto" w:fill="B6B6B6"/>
          </w:tcPr>
          <w:p>
            <w:pPr>
              <w:spacing w:after="0"/>
              <w:rPr>
                <w:sz w:val="22"/>
                <w:szCs w:val="22"/>
                <w:color w:val="auto"/>
              </w:rPr>
            </w:pPr>
          </w:p>
        </w:tc>
        <w:tc>
          <w:tcPr>
            <w:tcW w:w="340" w:type="dxa"/>
            <w:vAlign w:val="bottom"/>
            <w:tcBorders>
              <w:bottom w:val="single" w:sz="8" w:color="auto"/>
            </w:tcBorders>
            <w:shd w:val="clear" w:color="auto" w:fill="B6B6B6"/>
          </w:tcPr>
          <w:p>
            <w:pPr>
              <w:spacing w:after="0"/>
              <w:rPr>
                <w:sz w:val="22"/>
                <w:szCs w:val="22"/>
                <w:color w:val="auto"/>
              </w:rPr>
            </w:pPr>
          </w:p>
        </w:tc>
        <w:tc>
          <w:tcPr>
            <w:tcW w:w="8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80" w:type="dxa"/>
            <w:vAlign w:val="bottom"/>
            <w:shd w:val="clear" w:color="auto" w:fill="B6B6B6"/>
          </w:tcPr>
          <w:p>
            <w:pPr>
              <w:spacing w:after="0"/>
              <w:rPr>
                <w:sz w:val="22"/>
                <w:szCs w:val="22"/>
                <w:color w:val="auto"/>
              </w:rPr>
            </w:pPr>
          </w:p>
        </w:tc>
        <w:tc>
          <w:tcPr>
            <w:tcW w:w="260" w:type="dxa"/>
            <w:vAlign w:val="bottom"/>
            <w:tcBorders>
              <w:bottom w:val="single" w:sz="8" w:color="auto"/>
            </w:tcBorders>
            <w:shd w:val="clear" w:color="auto" w:fill="B6B6B6"/>
          </w:tcPr>
          <w:p>
            <w:pPr>
              <w:spacing w:after="0"/>
              <w:rPr>
                <w:sz w:val="22"/>
                <w:szCs w:val="22"/>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80" w:type="dxa"/>
            <w:vAlign w:val="bottom"/>
            <w:shd w:val="clear" w:color="auto" w:fill="B6B6B6"/>
          </w:tcPr>
          <w:p>
            <w:pPr>
              <w:spacing w:after="0"/>
              <w:rPr>
                <w:sz w:val="22"/>
                <w:szCs w:val="22"/>
                <w:color w:val="auto"/>
              </w:rPr>
            </w:pPr>
          </w:p>
        </w:tc>
        <w:tc>
          <w:tcPr>
            <w:tcW w:w="260" w:type="dxa"/>
            <w:vAlign w:val="bottom"/>
            <w:tcBorders>
              <w:bottom w:val="single" w:sz="8" w:color="auto"/>
            </w:tcBorders>
            <w:shd w:val="clear" w:color="auto" w:fill="B6B6B6"/>
          </w:tcPr>
          <w:p>
            <w:pPr>
              <w:spacing w:after="0"/>
              <w:rPr>
                <w:sz w:val="22"/>
                <w:szCs w:val="22"/>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1,735</w:t>
            </w:r>
          </w:p>
        </w:tc>
      </w:tr>
      <w:tr>
        <w:trPr>
          <w:trHeight w:val="296"/>
        </w:trPr>
        <w:tc>
          <w:tcPr>
            <w:tcW w:w="5160" w:type="dxa"/>
            <w:vAlign w:val="bottom"/>
            <w:tcBorders>
              <w:bottom w:val="single" w:sz="8" w:color="B6B6B6"/>
            </w:tcBorders>
            <w:gridSpan w:val="2"/>
          </w:tcPr>
          <w:p>
            <w:pPr>
              <w:ind w:left="380"/>
              <w:spacing w:after="0"/>
              <w:rPr>
                <w:sz w:val="20"/>
                <w:szCs w:val="20"/>
                <w:color w:val="auto"/>
              </w:rPr>
            </w:pPr>
            <w:r>
              <w:rPr>
                <w:rFonts w:ascii="Times New Roman" w:cs="Times New Roman" w:eastAsia="Times New Roman" w:hAnsi="Times New Roman"/>
                <w:sz w:val="18"/>
                <w:szCs w:val="18"/>
                <w:color w:val="auto"/>
              </w:rPr>
              <w:t>Total fee revenue and other income</w:t>
            </w:r>
          </w:p>
        </w:tc>
        <w:tc>
          <w:tcPr>
            <w:tcW w:w="840" w:type="dxa"/>
            <w:vAlign w:val="bottom"/>
            <w:tcBorders>
              <w:bottom w:val="single" w:sz="8" w:color="B6B6B6"/>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31,784</w:t>
            </w:r>
          </w:p>
        </w:tc>
        <w:tc>
          <w:tcPr>
            <w:tcW w:w="100" w:type="dxa"/>
            <w:vAlign w:val="bottom"/>
            <w:tcBorders>
              <w:bottom w:val="single" w:sz="8" w:color="B6B6B6"/>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27,577</w:t>
            </w:r>
          </w:p>
        </w:tc>
        <w:tc>
          <w:tcPr>
            <w:tcW w:w="80" w:type="dxa"/>
            <w:vAlign w:val="bottom"/>
            <w:tcBorders>
              <w:bottom w:val="single" w:sz="8" w:color="B6B6B6"/>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92,865</w:t>
            </w:r>
          </w:p>
        </w:tc>
        <w:tc>
          <w:tcPr>
            <w:tcW w:w="80" w:type="dxa"/>
            <w:vAlign w:val="bottom"/>
            <w:tcBorders>
              <w:bottom w:val="single" w:sz="8" w:color="B6B6B6"/>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80,739</w:t>
            </w:r>
          </w:p>
        </w:tc>
      </w:tr>
      <w:tr>
        <w:trPr>
          <w:trHeight w:val="250"/>
        </w:trPr>
        <w:tc>
          <w:tcPr>
            <w:tcW w:w="5160" w:type="dxa"/>
            <w:vAlign w:val="bottom"/>
            <w:tcBorders>
              <w:top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840" w:type="dxa"/>
            <w:vAlign w:val="bottom"/>
            <w:tcBorders>
              <w:top w:val="single" w:sz="8" w:color="B6B6B6"/>
            </w:tcBorders>
          </w:tcPr>
          <w:p>
            <w:pPr>
              <w:spacing w:after="0"/>
              <w:rPr>
                <w:sz w:val="21"/>
                <w:szCs w:val="21"/>
                <w:color w:val="auto"/>
              </w:rPr>
            </w:pPr>
          </w:p>
        </w:tc>
        <w:tc>
          <w:tcPr>
            <w:tcW w:w="240" w:type="dxa"/>
            <w:vAlign w:val="bottom"/>
            <w:tcBorders>
              <w:top w:val="single" w:sz="8" w:color="B6B6B6"/>
            </w:tcBorders>
          </w:tcPr>
          <w:p>
            <w:pPr>
              <w:spacing w:after="0"/>
              <w:rPr>
                <w:sz w:val="21"/>
                <w:szCs w:val="21"/>
                <w:color w:val="auto"/>
              </w:rPr>
            </w:pPr>
          </w:p>
        </w:tc>
        <w:tc>
          <w:tcPr>
            <w:tcW w:w="900" w:type="dxa"/>
            <w:vAlign w:val="bottom"/>
            <w:tcBorders>
              <w:top w:val="single" w:sz="8" w:color="B6B6B6"/>
            </w:tcBorders>
          </w:tcPr>
          <w:p>
            <w:pPr>
              <w:spacing w:after="0"/>
              <w:rPr>
                <w:sz w:val="21"/>
                <w:szCs w:val="21"/>
                <w:color w:val="auto"/>
              </w:rPr>
            </w:pPr>
          </w:p>
        </w:tc>
        <w:tc>
          <w:tcPr>
            <w:tcW w:w="100" w:type="dxa"/>
            <w:vAlign w:val="bottom"/>
            <w:tcBorders>
              <w:top w:val="single" w:sz="8" w:color="B6B6B6"/>
            </w:tcBorders>
          </w:tcPr>
          <w:p>
            <w:pPr>
              <w:spacing w:after="0"/>
              <w:rPr>
                <w:sz w:val="21"/>
                <w:szCs w:val="21"/>
                <w:color w:val="auto"/>
              </w:rPr>
            </w:pPr>
          </w:p>
        </w:tc>
        <w:tc>
          <w:tcPr>
            <w:tcW w:w="340" w:type="dxa"/>
            <w:vAlign w:val="bottom"/>
            <w:tcBorders>
              <w:top w:val="single" w:sz="8" w:color="B6B6B6"/>
            </w:tcBorders>
          </w:tcPr>
          <w:p>
            <w:pPr>
              <w:spacing w:after="0"/>
              <w:rPr>
                <w:sz w:val="21"/>
                <w:szCs w:val="21"/>
                <w:color w:val="auto"/>
              </w:rPr>
            </w:pPr>
          </w:p>
        </w:tc>
        <w:tc>
          <w:tcPr>
            <w:tcW w:w="820" w:type="dxa"/>
            <w:vAlign w:val="bottom"/>
            <w:tcBorders>
              <w:top w:val="single" w:sz="8" w:color="B6B6B6"/>
            </w:tcBorders>
          </w:tcPr>
          <w:p>
            <w:pPr>
              <w:spacing w:after="0"/>
              <w:rPr>
                <w:sz w:val="21"/>
                <w:szCs w:val="21"/>
                <w:color w:val="auto"/>
              </w:rPr>
            </w:pPr>
          </w:p>
        </w:tc>
        <w:tc>
          <w:tcPr>
            <w:tcW w:w="80" w:type="dxa"/>
            <w:vAlign w:val="bottom"/>
            <w:tcBorders>
              <w:top w:val="single" w:sz="8" w:color="B6B6B6"/>
            </w:tcBorders>
          </w:tcPr>
          <w:p>
            <w:pPr>
              <w:spacing w:after="0"/>
              <w:rPr>
                <w:sz w:val="21"/>
                <w:szCs w:val="21"/>
                <w:color w:val="auto"/>
              </w:rPr>
            </w:pPr>
          </w:p>
        </w:tc>
        <w:tc>
          <w:tcPr>
            <w:tcW w:w="260" w:type="dxa"/>
            <w:vAlign w:val="bottom"/>
            <w:tcBorders>
              <w:top w:val="single" w:sz="8" w:color="B6B6B6"/>
            </w:tcBorders>
          </w:tcPr>
          <w:p>
            <w:pPr>
              <w:spacing w:after="0"/>
              <w:rPr>
                <w:sz w:val="21"/>
                <w:szCs w:val="21"/>
                <w:color w:val="auto"/>
              </w:rPr>
            </w:pPr>
          </w:p>
        </w:tc>
        <w:tc>
          <w:tcPr>
            <w:tcW w:w="900" w:type="dxa"/>
            <w:vAlign w:val="bottom"/>
            <w:tcBorders>
              <w:top w:val="single" w:sz="8" w:color="B6B6B6"/>
            </w:tcBorders>
          </w:tcPr>
          <w:p>
            <w:pPr>
              <w:spacing w:after="0"/>
              <w:rPr>
                <w:sz w:val="21"/>
                <w:szCs w:val="21"/>
                <w:color w:val="auto"/>
              </w:rPr>
            </w:pPr>
          </w:p>
        </w:tc>
        <w:tc>
          <w:tcPr>
            <w:tcW w:w="80" w:type="dxa"/>
            <w:vAlign w:val="bottom"/>
            <w:tcBorders>
              <w:top w:val="single" w:sz="8" w:color="B6B6B6"/>
            </w:tcBorders>
          </w:tcPr>
          <w:p>
            <w:pPr>
              <w:spacing w:after="0"/>
              <w:rPr>
                <w:sz w:val="21"/>
                <w:szCs w:val="21"/>
                <w:color w:val="auto"/>
              </w:rPr>
            </w:pPr>
          </w:p>
        </w:tc>
        <w:tc>
          <w:tcPr>
            <w:tcW w:w="260" w:type="dxa"/>
            <w:vAlign w:val="bottom"/>
            <w:tcBorders>
              <w:top w:val="single" w:sz="8" w:color="B6B6B6"/>
            </w:tcBorders>
          </w:tcPr>
          <w:p>
            <w:pPr>
              <w:spacing w:after="0"/>
              <w:rPr>
                <w:sz w:val="21"/>
                <w:szCs w:val="21"/>
                <w:color w:val="auto"/>
              </w:rPr>
            </w:pPr>
          </w:p>
        </w:tc>
        <w:tc>
          <w:tcPr>
            <w:tcW w:w="900" w:type="dxa"/>
            <w:vAlign w:val="bottom"/>
            <w:tcBorders>
              <w:top w:val="single" w:sz="8" w:color="B6B6B6"/>
            </w:tcBorders>
          </w:tcPr>
          <w:p>
            <w:pPr>
              <w:spacing w:after="0"/>
              <w:rPr>
                <w:sz w:val="21"/>
                <w:szCs w:val="21"/>
                <w:color w:val="auto"/>
              </w:rPr>
            </w:pPr>
          </w:p>
        </w:tc>
      </w:tr>
      <w:tr>
        <w:trPr>
          <w:trHeight w:val="263"/>
        </w:trPr>
        <w:tc>
          <w:tcPr>
            <w:tcW w:w="516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Interest and fees on loans</w:t>
            </w:r>
          </w:p>
        </w:tc>
        <w:tc>
          <w:tcPr>
            <w:tcW w:w="84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10,006</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8,987</w:t>
            </w:r>
          </w:p>
        </w:tc>
        <w:tc>
          <w:tcPr>
            <w:tcW w:w="8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27,890</w:t>
            </w:r>
          </w:p>
        </w:tc>
        <w:tc>
          <w:tcPr>
            <w:tcW w:w="8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26,270</w:t>
            </w:r>
          </w:p>
        </w:tc>
      </w:tr>
      <w:tr>
        <w:trPr>
          <w:trHeight w:val="250"/>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and dividends on securities:</w:t>
            </w: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63"/>
        </w:trPr>
        <w:tc>
          <w:tcPr>
            <w:tcW w:w="5160" w:type="dxa"/>
            <w:vAlign w:val="bottom"/>
            <w:gridSpan w:val="2"/>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Taxable</w:t>
            </w:r>
          </w:p>
        </w:tc>
        <w:tc>
          <w:tcPr>
            <w:tcW w:w="84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8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6,679</w:t>
            </w:r>
          </w:p>
        </w:tc>
        <w:tc>
          <w:tcPr>
            <w:tcW w:w="8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1,387</w:t>
            </w:r>
          </w:p>
        </w:tc>
      </w:tr>
      <w:tr>
        <w:trPr>
          <w:trHeight w:val="250"/>
        </w:trPr>
        <w:tc>
          <w:tcPr>
            <w:tcW w:w="51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Exempt from federal income taxes</w:t>
            </w: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5,331</w:t>
            </w:r>
          </w:p>
        </w:tc>
      </w:tr>
      <w:tr>
        <w:trPr>
          <w:trHeight w:val="257"/>
        </w:trPr>
        <w:tc>
          <w:tcPr>
            <w:tcW w:w="516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Interest on federal funds sold and other short-term investments</w:t>
            </w:r>
          </w:p>
        </w:tc>
        <w:tc>
          <w:tcPr>
            <w:tcW w:w="840" w:type="dxa"/>
            <w:vAlign w:val="bottom"/>
            <w:shd w:val="clear" w:color="auto" w:fill="B6B6B6"/>
          </w:tcPr>
          <w:p>
            <w:pPr>
              <w:spacing w:after="0"/>
              <w:rPr>
                <w:sz w:val="22"/>
                <w:szCs w:val="22"/>
                <w:color w:val="auto"/>
              </w:rPr>
            </w:pPr>
          </w:p>
        </w:tc>
        <w:tc>
          <w:tcPr>
            <w:tcW w:w="240" w:type="dxa"/>
            <w:vAlign w:val="bottom"/>
            <w:tcBorders>
              <w:bottom w:val="single" w:sz="8" w:color="auto"/>
            </w:tcBorders>
            <w:shd w:val="clear" w:color="auto" w:fill="B6B6B6"/>
          </w:tcPr>
          <w:p>
            <w:pPr>
              <w:spacing w:after="0"/>
              <w:rPr>
                <w:sz w:val="22"/>
                <w:szCs w:val="22"/>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100" w:type="dxa"/>
            <w:vAlign w:val="bottom"/>
            <w:shd w:val="clear" w:color="auto" w:fill="B6B6B6"/>
          </w:tcPr>
          <w:p>
            <w:pPr>
              <w:spacing w:after="0"/>
              <w:rPr>
                <w:sz w:val="22"/>
                <w:szCs w:val="22"/>
                <w:color w:val="auto"/>
              </w:rPr>
            </w:pPr>
          </w:p>
        </w:tc>
        <w:tc>
          <w:tcPr>
            <w:tcW w:w="340" w:type="dxa"/>
            <w:vAlign w:val="bottom"/>
            <w:tcBorders>
              <w:bottom w:val="single" w:sz="8" w:color="auto"/>
            </w:tcBorders>
            <w:shd w:val="clear" w:color="auto" w:fill="B6B6B6"/>
          </w:tcPr>
          <w:p>
            <w:pPr>
              <w:spacing w:after="0"/>
              <w:rPr>
                <w:sz w:val="22"/>
                <w:szCs w:val="22"/>
                <w:color w:val="auto"/>
              </w:rPr>
            </w:pPr>
          </w:p>
        </w:tc>
        <w:tc>
          <w:tcPr>
            <w:tcW w:w="8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shd w:val="clear" w:color="auto" w:fill="B6B6B6"/>
          </w:tcPr>
          <w:p>
            <w:pPr>
              <w:spacing w:after="0"/>
              <w:rPr>
                <w:sz w:val="22"/>
                <w:szCs w:val="22"/>
                <w:color w:val="auto"/>
              </w:rPr>
            </w:pPr>
          </w:p>
        </w:tc>
        <w:tc>
          <w:tcPr>
            <w:tcW w:w="260" w:type="dxa"/>
            <w:vAlign w:val="bottom"/>
            <w:tcBorders>
              <w:bottom w:val="single" w:sz="8" w:color="auto"/>
            </w:tcBorders>
            <w:shd w:val="clear" w:color="auto" w:fill="B6B6B6"/>
          </w:tcPr>
          <w:p>
            <w:pPr>
              <w:spacing w:after="0"/>
              <w:rPr>
                <w:sz w:val="22"/>
                <w:szCs w:val="22"/>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80" w:type="dxa"/>
            <w:vAlign w:val="bottom"/>
            <w:shd w:val="clear" w:color="auto" w:fill="B6B6B6"/>
          </w:tcPr>
          <w:p>
            <w:pPr>
              <w:spacing w:after="0"/>
              <w:rPr>
                <w:sz w:val="22"/>
                <w:szCs w:val="22"/>
                <w:color w:val="auto"/>
              </w:rPr>
            </w:pPr>
          </w:p>
        </w:tc>
        <w:tc>
          <w:tcPr>
            <w:tcW w:w="260" w:type="dxa"/>
            <w:vAlign w:val="bottom"/>
            <w:tcBorders>
              <w:bottom w:val="single" w:sz="8" w:color="auto"/>
            </w:tcBorders>
            <w:shd w:val="clear" w:color="auto" w:fill="B6B6B6"/>
          </w:tcPr>
          <w:p>
            <w:pPr>
              <w:spacing w:after="0"/>
              <w:rPr>
                <w:sz w:val="22"/>
                <w:szCs w:val="22"/>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95"/>
        </w:trPr>
        <w:tc>
          <w:tcPr>
            <w:tcW w:w="5160" w:type="dxa"/>
            <w:vAlign w:val="bottom"/>
            <w:tcBorders>
              <w:bottom w:val="single" w:sz="8" w:color="B6B6B6"/>
            </w:tcBorders>
            <w:gridSpan w:val="2"/>
          </w:tcPr>
          <w:p>
            <w:pPr>
              <w:ind w:left="380"/>
              <w:spacing w:after="0"/>
              <w:rPr>
                <w:sz w:val="20"/>
                <w:szCs w:val="20"/>
                <w:color w:val="auto"/>
              </w:rPr>
            </w:pPr>
            <w:r>
              <w:rPr>
                <w:rFonts w:ascii="Times New Roman" w:cs="Times New Roman" w:eastAsia="Times New Roman" w:hAnsi="Times New Roman"/>
                <w:sz w:val="18"/>
                <w:szCs w:val="18"/>
                <w:color w:val="auto"/>
              </w:rPr>
              <w:t>Total interest income</w:t>
            </w:r>
          </w:p>
        </w:tc>
        <w:tc>
          <w:tcPr>
            <w:tcW w:w="840" w:type="dxa"/>
            <w:vAlign w:val="bottom"/>
            <w:tcBorders>
              <w:bottom w:val="single" w:sz="8" w:color="B6B6B6"/>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16,753</w:t>
            </w:r>
          </w:p>
        </w:tc>
        <w:tc>
          <w:tcPr>
            <w:tcW w:w="100" w:type="dxa"/>
            <w:vAlign w:val="bottom"/>
            <w:tcBorders>
              <w:bottom w:val="single" w:sz="8" w:color="B6B6B6"/>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11,719</w:t>
            </w:r>
          </w:p>
        </w:tc>
        <w:tc>
          <w:tcPr>
            <w:tcW w:w="80" w:type="dxa"/>
            <w:vAlign w:val="bottom"/>
            <w:tcBorders>
              <w:bottom w:val="single" w:sz="8" w:color="B6B6B6"/>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42,859</w:t>
            </w:r>
          </w:p>
        </w:tc>
        <w:tc>
          <w:tcPr>
            <w:tcW w:w="80" w:type="dxa"/>
            <w:vAlign w:val="bottom"/>
            <w:tcBorders>
              <w:bottom w:val="single" w:sz="8" w:color="B6B6B6"/>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33,503</w:t>
            </w:r>
          </w:p>
        </w:tc>
      </w:tr>
      <w:tr>
        <w:trPr>
          <w:trHeight w:val="250"/>
        </w:trPr>
        <w:tc>
          <w:tcPr>
            <w:tcW w:w="5160" w:type="dxa"/>
            <w:vAlign w:val="bottom"/>
            <w:tcBorders>
              <w:top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840" w:type="dxa"/>
            <w:vAlign w:val="bottom"/>
            <w:tcBorders>
              <w:top w:val="single" w:sz="8" w:color="B6B6B6"/>
            </w:tcBorders>
          </w:tcPr>
          <w:p>
            <w:pPr>
              <w:spacing w:after="0"/>
              <w:rPr>
                <w:sz w:val="21"/>
                <w:szCs w:val="21"/>
                <w:color w:val="auto"/>
              </w:rPr>
            </w:pPr>
          </w:p>
        </w:tc>
        <w:tc>
          <w:tcPr>
            <w:tcW w:w="240" w:type="dxa"/>
            <w:vAlign w:val="bottom"/>
            <w:tcBorders>
              <w:top w:val="single" w:sz="8" w:color="B6B6B6"/>
            </w:tcBorders>
          </w:tcPr>
          <w:p>
            <w:pPr>
              <w:spacing w:after="0"/>
              <w:rPr>
                <w:sz w:val="21"/>
                <w:szCs w:val="21"/>
                <w:color w:val="auto"/>
              </w:rPr>
            </w:pPr>
          </w:p>
        </w:tc>
        <w:tc>
          <w:tcPr>
            <w:tcW w:w="900" w:type="dxa"/>
            <w:vAlign w:val="bottom"/>
            <w:tcBorders>
              <w:top w:val="single" w:sz="8" w:color="B6B6B6"/>
            </w:tcBorders>
          </w:tcPr>
          <w:p>
            <w:pPr>
              <w:spacing w:after="0"/>
              <w:rPr>
                <w:sz w:val="21"/>
                <w:szCs w:val="21"/>
                <w:color w:val="auto"/>
              </w:rPr>
            </w:pPr>
          </w:p>
        </w:tc>
        <w:tc>
          <w:tcPr>
            <w:tcW w:w="100" w:type="dxa"/>
            <w:vAlign w:val="bottom"/>
            <w:tcBorders>
              <w:top w:val="single" w:sz="8" w:color="B6B6B6"/>
            </w:tcBorders>
          </w:tcPr>
          <w:p>
            <w:pPr>
              <w:spacing w:after="0"/>
              <w:rPr>
                <w:sz w:val="21"/>
                <w:szCs w:val="21"/>
                <w:color w:val="auto"/>
              </w:rPr>
            </w:pPr>
          </w:p>
        </w:tc>
        <w:tc>
          <w:tcPr>
            <w:tcW w:w="340" w:type="dxa"/>
            <w:vAlign w:val="bottom"/>
            <w:tcBorders>
              <w:top w:val="single" w:sz="8" w:color="B6B6B6"/>
            </w:tcBorders>
          </w:tcPr>
          <w:p>
            <w:pPr>
              <w:spacing w:after="0"/>
              <w:rPr>
                <w:sz w:val="21"/>
                <w:szCs w:val="21"/>
                <w:color w:val="auto"/>
              </w:rPr>
            </w:pPr>
          </w:p>
        </w:tc>
        <w:tc>
          <w:tcPr>
            <w:tcW w:w="820" w:type="dxa"/>
            <w:vAlign w:val="bottom"/>
            <w:tcBorders>
              <w:top w:val="single" w:sz="8" w:color="B6B6B6"/>
            </w:tcBorders>
          </w:tcPr>
          <w:p>
            <w:pPr>
              <w:spacing w:after="0"/>
              <w:rPr>
                <w:sz w:val="21"/>
                <w:szCs w:val="21"/>
                <w:color w:val="auto"/>
              </w:rPr>
            </w:pPr>
          </w:p>
        </w:tc>
        <w:tc>
          <w:tcPr>
            <w:tcW w:w="80" w:type="dxa"/>
            <w:vAlign w:val="bottom"/>
            <w:tcBorders>
              <w:top w:val="single" w:sz="8" w:color="B6B6B6"/>
            </w:tcBorders>
          </w:tcPr>
          <w:p>
            <w:pPr>
              <w:spacing w:after="0"/>
              <w:rPr>
                <w:sz w:val="21"/>
                <w:szCs w:val="21"/>
                <w:color w:val="auto"/>
              </w:rPr>
            </w:pPr>
          </w:p>
        </w:tc>
        <w:tc>
          <w:tcPr>
            <w:tcW w:w="260" w:type="dxa"/>
            <w:vAlign w:val="bottom"/>
            <w:tcBorders>
              <w:top w:val="single" w:sz="8" w:color="B6B6B6"/>
            </w:tcBorders>
          </w:tcPr>
          <w:p>
            <w:pPr>
              <w:spacing w:after="0"/>
              <w:rPr>
                <w:sz w:val="21"/>
                <w:szCs w:val="21"/>
                <w:color w:val="auto"/>
              </w:rPr>
            </w:pPr>
          </w:p>
        </w:tc>
        <w:tc>
          <w:tcPr>
            <w:tcW w:w="900" w:type="dxa"/>
            <w:vAlign w:val="bottom"/>
            <w:tcBorders>
              <w:top w:val="single" w:sz="8" w:color="B6B6B6"/>
            </w:tcBorders>
          </w:tcPr>
          <w:p>
            <w:pPr>
              <w:spacing w:after="0"/>
              <w:rPr>
                <w:sz w:val="21"/>
                <w:szCs w:val="21"/>
                <w:color w:val="auto"/>
              </w:rPr>
            </w:pPr>
          </w:p>
        </w:tc>
        <w:tc>
          <w:tcPr>
            <w:tcW w:w="80" w:type="dxa"/>
            <w:vAlign w:val="bottom"/>
            <w:tcBorders>
              <w:top w:val="single" w:sz="8" w:color="B6B6B6"/>
            </w:tcBorders>
          </w:tcPr>
          <w:p>
            <w:pPr>
              <w:spacing w:after="0"/>
              <w:rPr>
                <w:sz w:val="21"/>
                <w:szCs w:val="21"/>
                <w:color w:val="auto"/>
              </w:rPr>
            </w:pPr>
          </w:p>
        </w:tc>
        <w:tc>
          <w:tcPr>
            <w:tcW w:w="260" w:type="dxa"/>
            <w:vAlign w:val="bottom"/>
            <w:tcBorders>
              <w:top w:val="single" w:sz="8" w:color="B6B6B6"/>
            </w:tcBorders>
          </w:tcPr>
          <w:p>
            <w:pPr>
              <w:spacing w:after="0"/>
              <w:rPr>
                <w:sz w:val="21"/>
                <w:szCs w:val="21"/>
                <w:color w:val="auto"/>
              </w:rPr>
            </w:pPr>
          </w:p>
        </w:tc>
        <w:tc>
          <w:tcPr>
            <w:tcW w:w="900" w:type="dxa"/>
            <w:vAlign w:val="bottom"/>
            <w:tcBorders>
              <w:top w:val="single" w:sz="8" w:color="B6B6B6"/>
            </w:tcBorders>
          </w:tcPr>
          <w:p>
            <w:pPr>
              <w:spacing w:after="0"/>
              <w:rPr>
                <w:sz w:val="21"/>
                <w:szCs w:val="21"/>
                <w:color w:val="auto"/>
              </w:rPr>
            </w:pPr>
          </w:p>
        </w:tc>
      </w:tr>
      <w:tr>
        <w:trPr>
          <w:trHeight w:val="257"/>
        </w:trPr>
        <w:tc>
          <w:tcPr>
            <w:tcW w:w="516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Interest on deposits</w:t>
            </w:r>
          </w:p>
        </w:tc>
        <w:tc>
          <w:tcPr>
            <w:tcW w:w="840" w:type="dxa"/>
            <w:vAlign w:val="bottom"/>
            <w:shd w:val="clear" w:color="auto" w:fill="B6B6B6"/>
          </w:tcPr>
          <w:p>
            <w:pPr>
              <w:spacing w:after="0"/>
              <w:rPr>
                <w:sz w:val="22"/>
                <w:szCs w:val="22"/>
                <w:color w:val="auto"/>
              </w:rPr>
            </w:pPr>
          </w:p>
        </w:tc>
        <w:tc>
          <w:tcPr>
            <w:tcW w:w="240" w:type="dxa"/>
            <w:vAlign w:val="bottom"/>
            <w:tcBorders>
              <w:bottom w:val="single" w:sz="8" w:color="auto"/>
            </w:tcBorders>
            <w:shd w:val="clear" w:color="auto" w:fill="B6B6B6"/>
          </w:tcPr>
          <w:p>
            <w:pPr>
              <w:spacing w:after="0"/>
              <w:rPr>
                <w:sz w:val="22"/>
                <w:szCs w:val="22"/>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shd w:val="clear" w:color="auto" w:fill="B6B6B6"/>
          </w:tcPr>
          <w:p>
            <w:pPr>
              <w:spacing w:after="0"/>
              <w:rPr>
                <w:sz w:val="22"/>
                <w:szCs w:val="22"/>
                <w:color w:val="auto"/>
              </w:rPr>
            </w:pPr>
          </w:p>
        </w:tc>
        <w:tc>
          <w:tcPr>
            <w:tcW w:w="340" w:type="dxa"/>
            <w:vAlign w:val="bottom"/>
            <w:tcBorders>
              <w:bottom w:val="single" w:sz="8" w:color="auto"/>
            </w:tcBorders>
            <w:shd w:val="clear" w:color="auto" w:fill="B6B6B6"/>
          </w:tcPr>
          <w:p>
            <w:pPr>
              <w:spacing w:after="0"/>
              <w:rPr>
                <w:sz w:val="22"/>
                <w:szCs w:val="22"/>
                <w:color w:val="auto"/>
              </w:rPr>
            </w:pPr>
          </w:p>
        </w:tc>
        <w:tc>
          <w:tcPr>
            <w:tcW w:w="8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shd w:val="clear" w:color="auto" w:fill="B6B6B6"/>
          </w:tcPr>
          <w:p>
            <w:pPr>
              <w:spacing w:after="0"/>
              <w:rPr>
                <w:sz w:val="22"/>
                <w:szCs w:val="22"/>
                <w:color w:val="auto"/>
              </w:rPr>
            </w:pPr>
          </w:p>
        </w:tc>
        <w:tc>
          <w:tcPr>
            <w:tcW w:w="260" w:type="dxa"/>
            <w:vAlign w:val="bottom"/>
            <w:tcBorders>
              <w:bottom w:val="single" w:sz="8" w:color="auto"/>
            </w:tcBorders>
            <w:shd w:val="clear" w:color="auto" w:fill="B6B6B6"/>
          </w:tcPr>
          <w:p>
            <w:pPr>
              <w:spacing w:after="0"/>
              <w:rPr>
                <w:sz w:val="22"/>
                <w:szCs w:val="22"/>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80" w:type="dxa"/>
            <w:vAlign w:val="bottom"/>
            <w:shd w:val="clear" w:color="auto" w:fill="B6B6B6"/>
          </w:tcPr>
          <w:p>
            <w:pPr>
              <w:spacing w:after="0"/>
              <w:rPr>
                <w:sz w:val="22"/>
                <w:szCs w:val="22"/>
                <w:color w:val="auto"/>
              </w:rPr>
            </w:pPr>
          </w:p>
        </w:tc>
        <w:tc>
          <w:tcPr>
            <w:tcW w:w="260" w:type="dxa"/>
            <w:vAlign w:val="bottom"/>
            <w:tcBorders>
              <w:bottom w:val="single" w:sz="8" w:color="auto"/>
            </w:tcBorders>
            <w:shd w:val="clear" w:color="auto" w:fill="B6B6B6"/>
          </w:tcPr>
          <w:p>
            <w:pPr>
              <w:spacing w:after="0"/>
              <w:rPr>
                <w:sz w:val="22"/>
                <w:szCs w:val="22"/>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915</w:t>
            </w:r>
          </w:p>
        </w:tc>
      </w:tr>
      <w:tr>
        <w:trPr>
          <w:trHeight w:val="250"/>
        </w:trPr>
        <w:tc>
          <w:tcPr>
            <w:tcW w:w="5160" w:type="dxa"/>
            <w:vAlign w:val="bottom"/>
            <w:tcBorders>
              <w:bottom w:val="single" w:sz="8" w:color="B6B6B6"/>
            </w:tcBorders>
            <w:gridSpan w:val="2"/>
          </w:tcPr>
          <w:p>
            <w:pPr>
              <w:ind w:left="380"/>
              <w:spacing w:after="0"/>
              <w:rPr>
                <w:sz w:val="20"/>
                <w:szCs w:val="20"/>
                <w:color w:val="auto"/>
              </w:rPr>
            </w:pPr>
            <w:r>
              <w:rPr>
                <w:rFonts w:ascii="Times New Roman" w:cs="Times New Roman" w:eastAsia="Times New Roman" w:hAnsi="Times New Roman"/>
                <w:sz w:val="18"/>
                <w:szCs w:val="18"/>
                <w:color w:val="auto"/>
              </w:rPr>
              <w:t>Total interest expense</w:t>
            </w:r>
          </w:p>
        </w:tc>
        <w:tc>
          <w:tcPr>
            <w:tcW w:w="840" w:type="dxa"/>
            <w:vAlign w:val="bottom"/>
            <w:tcBorders>
              <w:bottom w:val="single" w:sz="8" w:color="B6B6B6"/>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Borders>
              <w:bottom w:val="single" w:sz="8" w:color="B6B6B6"/>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tcBorders>
              <w:bottom w:val="single" w:sz="8" w:color="B6B6B6"/>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80" w:type="dxa"/>
            <w:vAlign w:val="bottom"/>
            <w:tcBorders>
              <w:bottom w:val="single" w:sz="8" w:color="B6B6B6"/>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w:t>
            </w:r>
          </w:p>
        </w:tc>
      </w:tr>
      <w:tr>
        <w:trPr>
          <w:trHeight w:val="257"/>
        </w:trPr>
        <w:tc>
          <w:tcPr>
            <w:tcW w:w="5160" w:type="dxa"/>
            <w:vAlign w:val="bottom"/>
            <w:gridSpan w:val="2"/>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Net interest income</w:t>
            </w:r>
          </w:p>
        </w:tc>
        <w:tc>
          <w:tcPr>
            <w:tcW w:w="84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15,971</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11,432</w:t>
            </w:r>
          </w:p>
        </w:tc>
        <w:tc>
          <w:tcPr>
            <w:tcW w:w="8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41,515</w:t>
            </w:r>
          </w:p>
        </w:tc>
        <w:tc>
          <w:tcPr>
            <w:tcW w:w="8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32,588</w:t>
            </w:r>
          </w:p>
        </w:tc>
      </w:tr>
      <w:tr>
        <w:trPr>
          <w:trHeight w:val="250"/>
        </w:trPr>
        <w:tc>
          <w:tcPr>
            <w:tcW w:w="5160" w:type="dxa"/>
            <w:vAlign w:val="bottom"/>
            <w:tcBorders>
              <w:bottom w:val="single" w:sz="8" w:color="B6B6B6"/>
            </w:tcBorders>
            <w:gridSpan w:val="2"/>
          </w:tcPr>
          <w:p>
            <w:pPr>
              <w:ind w:left="80"/>
              <w:spacing w:after="0"/>
              <w:rPr>
                <w:sz w:val="20"/>
                <w:szCs w:val="20"/>
                <w:color w:val="auto"/>
              </w:rPr>
            </w:pPr>
            <w:r>
              <w:rPr>
                <w:rFonts w:ascii="Times New Roman" w:cs="Times New Roman" w:eastAsia="Times New Roman" w:hAnsi="Times New Roman"/>
                <w:sz w:val="18"/>
                <w:szCs w:val="18"/>
                <w:color w:val="auto"/>
              </w:rPr>
              <w:t>Provision for (release of) credit losses</w:t>
            </w:r>
          </w:p>
        </w:tc>
        <w:tc>
          <w:tcPr>
            <w:tcW w:w="840" w:type="dxa"/>
            <w:vAlign w:val="bottom"/>
            <w:tcBorders>
              <w:bottom w:val="single" w:sz="8" w:color="B6B6B6"/>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Borders>
              <w:bottom w:val="single" w:sz="8" w:color="B6B6B6"/>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80" w:type="dxa"/>
            <w:vAlign w:val="bottom"/>
            <w:tcBorders>
              <w:bottom w:val="single" w:sz="8" w:color="B6B6B6"/>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80" w:type="dxa"/>
            <w:vAlign w:val="bottom"/>
            <w:tcBorders>
              <w:bottom w:val="single" w:sz="8" w:color="B6B6B6"/>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w:t>
            </w:r>
          </w:p>
        </w:tc>
      </w:tr>
      <w:tr>
        <w:trPr>
          <w:trHeight w:val="250"/>
        </w:trPr>
        <w:tc>
          <w:tcPr>
            <w:tcW w:w="5160" w:type="dxa"/>
            <w:vAlign w:val="bottom"/>
            <w:gridSpan w:val="2"/>
            <w:shd w:val="clear" w:color="auto" w:fill="B6B6B6"/>
          </w:tcPr>
          <w:p>
            <w:pPr>
              <w:ind w:left="600"/>
              <w:spacing w:after="0"/>
              <w:rPr>
                <w:sz w:val="20"/>
                <w:szCs w:val="20"/>
                <w:color w:val="auto"/>
              </w:rPr>
            </w:pPr>
            <w:r>
              <w:rPr>
                <w:rFonts w:ascii="Times New Roman" w:cs="Times New Roman" w:eastAsia="Times New Roman" w:hAnsi="Times New Roman"/>
                <w:sz w:val="18"/>
                <w:szCs w:val="18"/>
                <w:color w:val="auto"/>
                <w:w w:val="99"/>
              </w:rPr>
              <w:t>Net interest income after provision for (release of) credit losses</w:t>
            </w:r>
          </w:p>
        </w:tc>
        <w:tc>
          <w:tcPr>
            <w:tcW w:w="840" w:type="dxa"/>
            <w:vAlign w:val="bottom"/>
            <w:shd w:val="clear" w:color="auto" w:fill="B6B6B6"/>
          </w:tcPr>
          <w:p>
            <w:pPr>
              <w:spacing w:after="0"/>
              <w:rPr>
                <w:sz w:val="21"/>
                <w:szCs w:val="21"/>
                <w:color w:val="auto"/>
              </w:rPr>
            </w:pPr>
          </w:p>
        </w:tc>
        <w:tc>
          <w:tcPr>
            <w:tcW w:w="240" w:type="dxa"/>
            <w:vAlign w:val="bottom"/>
            <w:tcBorders>
              <w:bottom w:val="single" w:sz="8" w:color="auto"/>
            </w:tcBorders>
            <w:shd w:val="clear" w:color="auto" w:fill="B6B6B6"/>
          </w:tcPr>
          <w:p>
            <w:pPr>
              <w:spacing w:after="0"/>
              <w:rPr>
                <w:sz w:val="21"/>
                <w:szCs w:val="21"/>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15,421</w:t>
            </w:r>
          </w:p>
        </w:tc>
        <w:tc>
          <w:tcPr>
            <w:tcW w:w="100" w:type="dxa"/>
            <w:vAlign w:val="bottom"/>
            <w:shd w:val="clear" w:color="auto" w:fill="B6B6B6"/>
          </w:tcPr>
          <w:p>
            <w:pPr>
              <w:spacing w:after="0"/>
              <w:rPr>
                <w:sz w:val="21"/>
                <w:szCs w:val="21"/>
                <w:color w:val="auto"/>
              </w:rPr>
            </w:pPr>
          </w:p>
        </w:tc>
        <w:tc>
          <w:tcPr>
            <w:tcW w:w="340" w:type="dxa"/>
            <w:vAlign w:val="bottom"/>
            <w:tcBorders>
              <w:bottom w:val="single" w:sz="8" w:color="auto"/>
            </w:tcBorders>
            <w:shd w:val="clear" w:color="auto" w:fill="B6B6B6"/>
          </w:tcPr>
          <w:p>
            <w:pPr>
              <w:spacing w:after="0"/>
              <w:rPr>
                <w:sz w:val="21"/>
                <w:szCs w:val="21"/>
                <w:color w:val="auto"/>
              </w:rPr>
            </w:pPr>
          </w:p>
        </w:tc>
        <w:tc>
          <w:tcPr>
            <w:tcW w:w="8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11,092</w:t>
            </w:r>
          </w:p>
        </w:tc>
        <w:tc>
          <w:tcPr>
            <w:tcW w:w="80" w:type="dxa"/>
            <w:vAlign w:val="bottom"/>
            <w:shd w:val="clear" w:color="auto" w:fill="B6B6B6"/>
          </w:tcPr>
          <w:p>
            <w:pPr>
              <w:spacing w:after="0"/>
              <w:rPr>
                <w:sz w:val="21"/>
                <w:szCs w:val="21"/>
                <w:color w:val="auto"/>
              </w:rPr>
            </w:pPr>
          </w:p>
        </w:tc>
        <w:tc>
          <w:tcPr>
            <w:tcW w:w="260" w:type="dxa"/>
            <w:vAlign w:val="bottom"/>
            <w:tcBorders>
              <w:bottom w:val="single" w:sz="8" w:color="auto"/>
            </w:tcBorders>
            <w:shd w:val="clear" w:color="auto" w:fill="B6B6B6"/>
          </w:tcPr>
          <w:p>
            <w:pPr>
              <w:spacing w:after="0"/>
              <w:rPr>
                <w:sz w:val="21"/>
                <w:szCs w:val="21"/>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40,665</w:t>
            </w:r>
          </w:p>
        </w:tc>
        <w:tc>
          <w:tcPr>
            <w:tcW w:w="80" w:type="dxa"/>
            <w:vAlign w:val="bottom"/>
            <w:shd w:val="clear" w:color="auto" w:fill="B6B6B6"/>
          </w:tcPr>
          <w:p>
            <w:pPr>
              <w:spacing w:after="0"/>
              <w:rPr>
                <w:sz w:val="21"/>
                <w:szCs w:val="21"/>
                <w:color w:val="auto"/>
              </w:rPr>
            </w:pPr>
          </w:p>
        </w:tc>
        <w:tc>
          <w:tcPr>
            <w:tcW w:w="260" w:type="dxa"/>
            <w:vAlign w:val="bottom"/>
            <w:tcBorders>
              <w:bottom w:val="single" w:sz="8" w:color="auto"/>
            </w:tcBorders>
            <w:shd w:val="clear" w:color="auto" w:fill="B6B6B6"/>
          </w:tcPr>
          <w:p>
            <w:pPr>
              <w:spacing w:after="0"/>
              <w:rPr>
                <w:sz w:val="21"/>
                <w:szCs w:val="21"/>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33,458</w:t>
            </w:r>
          </w:p>
        </w:tc>
      </w:tr>
      <w:tr>
        <w:trPr>
          <w:trHeight w:val="250"/>
        </w:trPr>
        <w:tc>
          <w:tcPr>
            <w:tcW w:w="51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Total net revenue</w:t>
            </w: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38,669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133,530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114,197</w:t>
            </w:r>
          </w:p>
        </w:tc>
      </w:tr>
      <w:tr>
        <w:trPr>
          <w:trHeight w:val="61"/>
        </w:trPr>
        <w:tc>
          <w:tcPr>
            <w:tcW w:w="5160" w:type="dxa"/>
            <w:vAlign w:val="bottom"/>
            <w:gridSpan w:val="2"/>
            <w:shd w:val="clear" w:color="auto" w:fill="B6B6B6"/>
          </w:tcPr>
          <w:p>
            <w:pPr>
              <w:spacing w:after="0"/>
              <w:rPr>
                <w:sz w:val="5"/>
                <w:szCs w:val="5"/>
                <w:color w:val="auto"/>
              </w:rPr>
            </w:pPr>
          </w:p>
        </w:tc>
        <w:tc>
          <w:tcPr>
            <w:tcW w:w="840" w:type="dxa"/>
            <w:vAlign w:val="bottom"/>
            <w:shd w:val="clear" w:color="auto" w:fill="B6B6B6"/>
          </w:tcPr>
          <w:p>
            <w:pPr>
              <w:spacing w:after="0"/>
              <w:rPr>
                <w:sz w:val="5"/>
                <w:szCs w:val="5"/>
                <w:color w:val="auto"/>
              </w:rPr>
            </w:pPr>
          </w:p>
        </w:tc>
        <w:tc>
          <w:tcPr>
            <w:tcW w:w="240" w:type="dxa"/>
            <w:vAlign w:val="bottom"/>
            <w:shd w:val="clear" w:color="auto" w:fill="B6B6B6"/>
          </w:tcPr>
          <w:p>
            <w:pPr>
              <w:spacing w:after="0"/>
              <w:rPr>
                <w:sz w:val="5"/>
                <w:szCs w:val="5"/>
                <w:color w:val="auto"/>
              </w:rPr>
            </w:pPr>
          </w:p>
        </w:tc>
        <w:tc>
          <w:tcPr>
            <w:tcW w:w="900" w:type="dxa"/>
            <w:vAlign w:val="bottom"/>
            <w:shd w:val="clear" w:color="auto" w:fill="B6B6B6"/>
          </w:tcPr>
          <w:p>
            <w:pPr>
              <w:spacing w:after="0"/>
              <w:rPr>
                <w:sz w:val="5"/>
                <w:szCs w:val="5"/>
                <w:color w:val="auto"/>
              </w:rPr>
            </w:pPr>
          </w:p>
        </w:tc>
        <w:tc>
          <w:tcPr>
            <w:tcW w:w="100" w:type="dxa"/>
            <w:vAlign w:val="bottom"/>
            <w:shd w:val="clear" w:color="auto" w:fill="B6B6B6"/>
          </w:tcPr>
          <w:p>
            <w:pPr>
              <w:spacing w:after="0"/>
              <w:rPr>
                <w:sz w:val="5"/>
                <w:szCs w:val="5"/>
                <w:color w:val="auto"/>
              </w:rPr>
            </w:pPr>
          </w:p>
        </w:tc>
        <w:tc>
          <w:tcPr>
            <w:tcW w:w="340" w:type="dxa"/>
            <w:vAlign w:val="bottom"/>
            <w:shd w:val="clear" w:color="auto" w:fill="B6B6B6"/>
          </w:tcPr>
          <w:p>
            <w:pPr>
              <w:spacing w:after="0"/>
              <w:rPr>
                <w:sz w:val="5"/>
                <w:szCs w:val="5"/>
                <w:color w:val="auto"/>
              </w:rPr>
            </w:pPr>
          </w:p>
        </w:tc>
        <w:tc>
          <w:tcPr>
            <w:tcW w:w="820" w:type="dxa"/>
            <w:vAlign w:val="bottom"/>
            <w:shd w:val="clear" w:color="auto" w:fill="B6B6B6"/>
          </w:tcPr>
          <w:p>
            <w:pPr>
              <w:spacing w:after="0"/>
              <w:rPr>
                <w:sz w:val="5"/>
                <w:szCs w:val="5"/>
                <w:color w:val="auto"/>
              </w:rPr>
            </w:pPr>
          </w:p>
        </w:tc>
        <w:tc>
          <w:tcPr>
            <w:tcW w:w="80" w:type="dxa"/>
            <w:vAlign w:val="bottom"/>
            <w:shd w:val="clear" w:color="auto" w:fill="B6B6B6"/>
          </w:tcPr>
          <w:p>
            <w:pPr>
              <w:spacing w:after="0"/>
              <w:rPr>
                <w:sz w:val="5"/>
                <w:szCs w:val="5"/>
                <w:color w:val="auto"/>
              </w:rPr>
            </w:pPr>
          </w:p>
        </w:tc>
        <w:tc>
          <w:tcPr>
            <w:tcW w:w="260" w:type="dxa"/>
            <w:vAlign w:val="bottom"/>
            <w:shd w:val="clear" w:color="auto" w:fill="B6B6B6"/>
          </w:tcPr>
          <w:p>
            <w:pPr>
              <w:spacing w:after="0"/>
              <w:rPr>
                <w:sz w:val="5"/>
                <w:szCs w:val="5"/>
                <w:color w:val="auto"/>
              </w:rPr>
            </w:pPr>
          </w:p>
        </w:tc>
        <w:tc>
          <w:tcPr>
            <w:tcW w:w="900" w:type="dxa"/>
            <w:vAlign w:val="bottom"/>
            <w:shd w:val="clear" w:color="auto" w:fill="B6B6B6"/>
          </w:tcPr>
          <w:p>
            <w:pPr>
              <w:spacing w:after="0"/>
              <w:rPr>
                <w:sz w:val="5"/>
                <w:szCs w:val="5"/>
                <w:color w:val="auto"/>
              </w:rPr>
            </w:pPr>
          </w:p>
        </w:tc>
        <w:tc>
          <w:tcPr>
            <w:tcW w:w="80" w:type="dxa"/>
            <w:vAlign w:val="bottom"/>
            <w:shd w:val="clear" w:color="auto" w:fill="B6B6B6"/>
          </w:tcPr>
          <w:p>
            <w:pPr>
              <w:spacing w:after="0"/>
              <w:rPr>
                <w:sz w:val="5"/>
                <w:szCs w:val="5"/>
                <w:color w:val="auto"/>
              </w:rPr>
            </w:pPr>
          </w:p>
        </w:tc>
        <w:tc>
          <w:tcPr>
            <w:tcW w:w="260" w:type="dxa"/>
            <w:vAlign w:val="bottom"/>
            <w:shd w:val="clear" w:color="auto" w:fill="B6B6B6"/>
          </w:tcPr>
          <w:p>
            <w:pPr>
              <w:spacing w:after="0"/>
              <w:rPr>
                <w:sz w:val="5"/>
                <w:szCs w:val="5"/>
                <w:color w:val="auto"/>
              </w:rPr>
            </w:pPr>
          </w:p>
        </w:tc>
        <w:tc>
          <w:tcPr>
            <w:tcW w:w="900" w:type="dxa"/>
            <w:vAlign w:val="bottom"/>
            <w:shd w:val="clear" w:color="auto" w:fill="B6B6B6"/>
          </w:tcPr>
          <w:p>
            <w:pPr>
              <w:spacing w:after="0"/>
              <w:rPr>
                <w:sz w:val="5"/>
                <w:szCs w:val="5"/>
                <w:color w:val="auto"/>
              </w:rPr>
            </w:pPr>
          </w:p>
        </w:tc>
      </w:tr>
      <w:tr>
        <w:trPr>
          <w:trHeight w:val="250"/>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w:t>
            </w: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63"/>
        </w:trPr>
        <w:tc>
          <w:tcPr>
            <w:tcW w:w="516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Personnel</w:t>
            </w:r>
          </w:p>
        </w:tc>
        <w:tc>
          <w:tcPr>
            <w:tcW w:w="84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26,999</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23,283</w:t>
            </w:r>
          </w:p>
        </w:tc>
        <w:tc>
          <w:tcPr>
            <w:tcW w:w="8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77,750</w:t>
            </w:r>
          </w:p>
        </w:tc>
        <w:tc>
          <w:tcPr>
            <w:tcW w:w="8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68,689</w:t>
            </w:r>
          </w:p>
        </w:tc>
      </w:tr>
      <w:tr>
        <w:trPr>
          <w:trHeight w:val="250"/>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Occupancy</w:t>
            </w: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w:t>
            </w:r>
          </w:p>
        </w:tc>
      </w:tr>
      <w:tr>
        <w:trPr>
          <w:trHeight w:val="263"/>
        </w:trPr>
        <w:tc>
          <w:tcPr>
            <w:tcW w:w="516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84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8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5,028</w:t>
            </w:r>
          </w:p>
        </w:tc>
      </w:tr>
      <w:tr>
        <w:trPr>
          <w:trHeight w:val="250"/>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r>
      <w:tr>
        <w:trPr>
          <w:trHeight w:val="257"/>
        </w:trPr>
        <w:tc>
          <w:tcPr>
            <w:tcW w:w="516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 operating expense</w:t>
            </w:r>
          </w:p>
        </w:tc>
        <w:tc>
          <w:tcPr>
            <w:tcW w:w="840" w:type="dxa"/>
            <w:vAlign w:val="bottom"/>
            <w:shd w:val="clear" w:color="auto" w:fill="B6B6B6"/>
          </w:tcPr>
          <w:p>
            <w:pPr>
              <w:spacing w:after="0"/>
              <w:rPr>
                <w:sz w:val="22"/>
                <w:szCs w:val="22"/>
                <w:color w:val="auto"/>
              </w:rPr>
            </w:pPr>
          </w:p>
        </w:tc>
        <w:tc>
          <w:tcPr>
            <w:tcW w:w="240" w:type="dxa"/>
            <w:vAlign w:val="bottom"/>
            <w:tcBorders>
              <w:bottom w:val="single" w:sz="8" w:color="auto"/>
            </w:tcBorders>
            <w:shd w:val="clear" w:color="auto" w:fill="B6B6B6"/>
          </w:tcPr>
          <w:p>
            <w:pPr>
              <w:spacing w:after="0"/>
              <w:rPr>
                <w:sz w:val="22"/>
                <w:szCs w:val="22"/>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6,524</w:t>
            </w:r>
          </w:p>
        </w:tc>
        <w:tc>
          <w:tcPr>
            <w:tcW w:w="100" w:type="dxa"/>
            <w:vAlign w:val="bottom"/>
            <w:shd w:val="clear" w:color="auto" w:fill="B6B6B6"/>
          </w:tcPr>
          <w:p>
            <w:pPr>
              <w:spacing w:after="0"/>
              <w:rPr>
                <w:sz w:val="22"/>
                <w:szCs w:val="22"/>
                <w:color w:val="auto"/>
              </w:rPr>
            </w:pPr>
          </w:p>
        </w:tc>
        <w:tc>
          <w:tcPr>
            <w:tcW w:w="340" w:type="dxa"/>
            <w:vAlign w:val="bottom"/>
            <w:tcBorders>
              <w:bottom w:val="single" w:sz="8" w:color="auto"/>
            </w:tcBorders>
            <w:shd w:val="clear" w:color="auto" w:fill="B6B6B6"/>
          </w:tcPr>
          <w:p>
            <w:pPr>
              <w:spacing w:after="0"/>
              <w:rPr>
                <w:sz w:val="22"/>
                <w:szCs w:val="22"/>
                <w:color w:val="auto"/>
              </w:rPr>
            </w:pPr>
          </w:p>
        </w:tc>
        <w:tc>
          <w:tcPr>
            <w:tcW w:w="8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4,539</w:t>
            </w:r>
          </w:p>
        </w:tc>
        <w:tc>
          <w:tcPr>
            <w:tcW w:w="80" w:type="dxa"/>
            <w:vAlign w:val="bottom"/>
            <w:shd w:val="clear" w:color="auto" w:fill="B6B6B6"/>
          </w:tcPr>
          <w:p>
            <w:pPr>
              <w:spacing w:after="0"/>
              <w:rPr>
                <w:sz w:val="22"/>
                <w:szCs w:val="22"/>
                <w:color w:val="auto"/>
              </w:rPr>
            </w:pPr>
          </w:p>
        </w:tc>
        <w:tc>
          <w:tcPr>
            <w:tcW w:w="260" w:type="dxa"/>
            <w:vAlign w:val="bottom"/>
            <w:tcBorders>
              <w:bottom w:val="single" w:sz="8" w:color="auto"/>
            </w:tcBorders>
            <w:shd w:val="clear" w:color="auto" w:fill="B6B6B6"/>
          </w:tcPr>
          <w:p>
            <w:pPr>
              <w:spacing w:after="0"/>
              <w:rPr>
                <w:sz w:val="22"/>
                <w:szCs w:val="22"/>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15,748</w:t>
            </w:r>
          </w:p>
        </w:tc>
        <w:tc>
          <w:tcPr>
            <w:tcW w:w="80" w:type="dxa"/>
            <w:vAlign w:val="bottom"/>
            <w:shd w:val="clear" w:color="auto" w:fill="B6B6B6"/>
          </w:tcPr>
          <w:p>
            <w:pPr>
              <w:spacing w:after="0"/>
              <w:rPr>
                <w:sz w:val="22"/>
                <w:szCs w:val="22"/>
                <w:color w:val="auto"/>
              </w:rPr>
            </w:pPr>
          </w:p>
        </w:tc>
        <w:tc>
          <w:tcPr>
            <w:tcW w:w="260" w:type="dxa"/>
            <w:vAlign w:val="bottom"/>
            <w:tcBorders>
              <w:bottom w:val="single" w:sz="8" w:color="auto"/>
            </w:tcBorders>
            <w:shd w:val="clear" w:color="auto" w:fill="B6B6B6"/>
          </w:tcPr>
          <w:p>
            <w:pPr>
              <w:spacing w:after="0"/>
              <w:rPr>
                <w:sz w:val="22"/>
                <w:szCs w:val="22"/>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11,798</w:t>
            </w:r>
          </w:p>
        </w:tc>
      </w:tr>
      <w:tr>
        <w:trPr>
          <w:trHeight w:val="250"/>
        </w:trPr>
        <w:tc>
          <w:tcPr>
            <w:tcW w:w="5160" w:type="dxa"/>
            <w:vAlign w:val="bottom"/>
            <w:tcBorders>
              <w:bottom w:val="single" w:sz="8" w:color="B6B6B6"/>
            </w:tcBorders>
            <w:gridSpan w:val="2"/>
          </w:tcPr>
          <w:p>
            <w:pPr>
              <w:ind w:left="380"/>
              <w:spacing w:after="0"/>
              <w:rPr>
                <w:sz w:val="20"/>
                <w:szCs w:val="20"/>
                <w:color w:val="auto"/>
              </w:rPr>
            </w:pPr>
            <w:r>
              <w:rPr>
                <w:rFonts w:ascii="Times New Roman" w:cs="Times New Roman" w:eastAsia="Times New Roman" w:hAnsi="Times New Roman"/>
                <w:sz w:val="18"/>
                <w:szCs w:val="18"/>
                <w:color w:val="auto"/>
              </w:rPr>
              <w:t>Total operating expense</w:t>
            </w:r>
          </w:p>
        </w:tc>
        <w:tc>
          <w:tcPr>
            <w:tcW w:w="840" w:type="dxa"/>
            <w:vAlign w:val="bottom"/>
            <w:tcBorders>
              <w:bottom w:val="single" w:sz="8" w:color="B6B6B6"/>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36,321</w:t>
            </w:r>
          </w:p>
        </w:tc>
        <w:tc>
          <w:tcPr>
            <w:tcW w:w="100" w:type="dxa"/>
            <w:vAlign w:val="bottom"/>
            <w:tcBorders>
              <w:bottom w:val="single" w:sz="8" w:color="B6B6B6"/>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30,690</w:t>
            </w:r>
          </w:p>
        </w:tc>
        <w:tc>
          <w:tcPr>
            <w:tcW w:w="80" w:type="dxa"/>
            <w:vAlign w:val="bottom"/>
            <w:tcBorders>
              <w:bottom w:val="single" w:sz="8" w:color="B6B6B6"/>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101,788</w:t>
            </w:r>
          </w:p>
        </w:tc>
        <w:tc>
          <w:tcPr>
            <w:tcW w:w="80" w:type="dxa"/>
            <w:vAlign w:val="bottom"/>
            <w:tcBorders>
              <w:bottom w:val="single" w:sz="8" w:color="B6B6B6"/>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89,018</w:t>
            </w:r>
          </w:p>
        </w:tc>
      </w:tr>
      <w:tr>
        <w:trPr>
          <w:trHeight w:val="257"/>
        </w:trPr>
        <w:tc>
          <w:tcPr>
            <w:tcW w:w="5160" w:type="dxa"/>
            <w:vAlign w:val="bottom"/>
            <w:gridSpan w:val="2"/>
            <w:shd w:val="clear" w:color="auto" w:fill="B6B6B6"/>
          </w:tcPr>
          <w:p>
            <w:pPr>
              <w:ind w:left="56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84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10,884</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7,979</w:t>
            </w:r>
          </w:p>
        </w:tc>
        <w:tc>
          <w:tcPr>
            <w:tcW w:w="8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31,742</w:t>
            </w:r>
          </w:p>
        </w:tc>
        <w:tc>
          <w:tcPr>
            <w:tcW w:w="8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25,179</w:t>
            </w:r>
          </w:p>
        </w:tc>
      </w:tr>
      <w:tr>
        <w:trPr>
          <w:trHeight w:val="250"/>
        </w:trPr>
        <w:tc>
          <w:tcPr>
            <w:tcW w:w="5160" w:type="dxa"/>
            <w:vAlign w:val="bottom"/>
            <w:tcBorders>
              <w:bottom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840" w:type="dxa"/>
            <w:vAlign w:val="bottom"/>
            <w:tcBorders>
              <w:bottom w:val="single" w:sz="8" w:color="B6B6B6"/>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00" w:type="dxa"/>
            <w:vAlign w:val="bottom"/>
            <w:tcBorders>
              <w:bottom w:val="single" w:sz="8" w:color="B6B6B6"/>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80" w:type="dxa"/>
            <w:vAlign w:val="bottom"/>
            <w:tcBorders>
              <w:bottom w:val="single" w:sz="8" w:color="B6B6B6"/>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6,123</w:t>
            </w:r>
          </w:p>
        </w:tc>
        <w:tc>
          <w:tcPr>
            <w:tcW w:w="80" w:type="dxa"/>
            <w:vAlign w:val="bottom"/>
            <w:tcBorders>
              <w:bottom w:val="single" w:sz="8" w:color="B6B6B6"/>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4,277</w:t>
            </w:r>
          </w:p>
        </w:tc>
      </w:tr>
      <w:tr>
        <w:trPr>
          <w:trHeight w:val="276"/>
        </w:trPr>
        <w:tc>
          <w:tcPr>
            <w:tcW w:w="5160" w:type="dxa"/>
            <w:vAlign w:val="bottom"/>
            <w:gridSpan w:val="2"/>
            <w:shd w:val="clear" w:color="auto" w:fill="B6B6B6"/>
          </w:tcPr>
          <w:p>
            <w:pPr>
              <w:ind w:left="56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gridSpan w:val="2"/>
            <w:shd w:val="clear" w:color="auto" w:fill="B6B6B6"/>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8,799</w:t>
            </w:r>
          </w:p>
        </w:tc>
        <w:tc>
          <w:tcPr>
            <w:tcW w:w="100" w:type="dxa"/>
            <w:vAlign w:val="bottom"/>
            <w:shd w:val="clear" w:color="auto" w:fill="B6B6B6"/>
          </w:tcPr>
          <w:p>
            <w:pPr>
              <w:spacing w:after="0"/>
              <w:rPr>
                <w:sz w:val="24"/>
                <w:szCs w:val="24"/>
                <w:color w:val="auto"/>
              </w:rPr>
            </w:pPr>
          </w:p>
        </w:tc>
        <w:tc>
          <w:tcPr>
            <w:tcW w:w="34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6,805</w:t>
            </w:r>
          </w:p>
        </w:tc>
        <w:tc>
          <w:tcPr>
            <w:tcW w:w="80" w:type="dxa"/>
            <w:vAlign w:val="bottom"/>
            <w:shd w:val="clear" w:color="auto" w:fill="B6B6B6"/>
          </w:tcPr>
          <w:p>
            <w:pPr>
              <w:spacing w:after="0"/>
              <w:rPr>
                <w:sz w:val="24"/>
                <w:szCs w:val="24"/>
                <w:color w:val="auto"/>
              </w:rPr>
            </w:pPr>
          </w:p>
        </w:tc>
        <w:tc>
          <w:tcPr>
            <w:tcW w:w="260" w:type="dxa"/>
            <w:vAlign w:val="bottom"/>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25,619</w:t>
            </w:r>
          </w:p>
        </w:tc>
        <w:tc>
          <w:tcPr>
            <w:tcW w:w="80" w:type="dxa"/>
            <w:vAlign w:val="bottom"/>
            <w:shd w:val="clear" w:color="auto" w:fill="B6B6B6"/>
          </w:tcPr>
          <w:p>
            <w:pPr>
              <w:spacing w:after="0"/>
              <w:rPr>
                <w:sz w:val="24"/>
                <w:szCs w:val="24"/>
                <w:color w:val="auto"/>
              </w:rPr>
            </w:pPr>
          </w:p>
        </w:tc>
        <w:tc>
          <w:tcPr>
            <w:tcW w:w="260" w:type="dxa"/>
            <w:vAlign w:val="bottom"/>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20,902</w:t>
            </w:r>
          </w:p>
        </w:tc>
      </w:tr>
      <w:tr>
        <w:trPr>
          <w:trHeight w:val="20"/>
        </w:trPr>
        <w:tc>
          <w:tcPr>
            <w:tcW w:w="5160" w:type="dxa"/>
            <w:vAlign w:val="bottom"/>
            <w:tcBorders>
              <w:top w:val="single" w:sz="8" w:color="B6B6B6"/>
            </w:tcBorders>
            <w:gridSpan w:val="2"/>
          </w:tcPr>
          <w:p>
            <w:pPr>
              <w:spacing w:after="0" w:line="20" w:lineRule="exact"/>
              <w:rPr>
                <w:sz w:val="1"/>
                <w:szCs w:val="1"/>
                <w:color w:val="auto"/>
              </w:rPr>
            </w:pPr>
          </w:p>
        </w:tc>
        <w:tc>
          <w:tcPr>
            <w:tcW w:w="840" w:type="dxa"/>
            <w:vAlign w:val="bottom"/>
            <w:tcBorders>
              <w:top w:val="single" w:sz="8" w:color="B6B6B6"/>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516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080" w:type="dxa"/>
            <w:vAlign w:val="bottom"/>
            <w:gridSpan w:val="2"/>
            <w:shd w:val="clear" w:color="auto" w:fill="B6B6B6"/>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B6B6B6"/>
          </w:tcPr>
          <w:p>
            <w:pPr>
              <w:spacing w:after="0"/>
              <w:rPr>
                <w:sz w:val="22"/>
                <w:szCs w:val="22"/>
                <w:color w:val="auto"/>
              </w:rPr>
            </w:pPr>
          </w:p>
        </w:tc>
        <w:tc>
          <w:tcPr>
            <w:tcW w:w="260" w:type="dxa"/>
            <w:vAlign w:val="bottom"/>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shd w:val="clear" w:color="auto" w:fill="B6B6B6"/>
          </w:tcPr>
          <w:p>
            <w:pPr>
              <w:spacing w:after="0"/>
              <w:rPr>
                <w:sz w:val="22"/>
                <w:szCs w:val="22"/>
                <w:color w:val="auto"/>
              </w:rPr>
            </w:pPr>
          </w:p>
        </w:tc>
        <w:tc>
          <w:tcPr>
            <w:tcW w:w="260" w:type="dxa"/>
            <w:vAlign w:val="bottom"/>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4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08" w:right="6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7"/>
                <w:szCs w:val="17"/>
                <w:color w:val="auto"/>
              </w:rPr>
            </w:pPr>
          </w:p>
        </w:tc>
        <w:tc>
          <w:tcPr>
            <w:tcW w:w="272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50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r>
      <w:tr>
        <w:trPr>
          <w:trHeight w:val="246"/>
        </w:trPr>
        <w:tc>
          <w:tcPr>
            <w:tcW w:w="50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5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63"/>
        </w:trPr>
        <w:tc>
          <w:tcPr>
            <w:tcW w:w="50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8,799</w:t>
            </w:r>
          </w:p>
        </w:tc>
        <w:tc>
          <w:tcPr>
            <w:tcW w:w="100" w:type="dxa"/>
            <w:vAlign w:val="bottom"/>
            <w:shd w:val="clear" w:color="auto" w:fill="B6B6B6"/>
          </w:tcPr>
          <w:p>
            <w:pPr>
              <w:spacing w:after="0"/>
              <w:rPr>
                <w:sz w:val="22"/>
                <w:szCs w:val="22"/>
                <w:color w:val="auto"/>
              </w:rPr>
            </w:pPr>
          </w:p>
        </w:tc>
        <w:tc>
          <w:tcPr>
            <w:tcW w:w="540" w:type="dxa"/>
            <w:vAlign w:val="bottom"/>
            <w:shd w:val="clear" w:color="auto" w:fill="B6B6B6"/>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6,805</w:t>
            </w:r>
          </w:p>
        </w:tc>
        <w:tc>
          <w:tcPr>
            <w:tcW w:w="80" w:type="dxa"/>
            <w:vAlign w:val="bottom"/>
            <w:shd w:val="clear" w:color="auto" w:fill="B6B6B6"/>
          </w:tcPr>
          <w:p>
            <w:pPr>
              <w:spacing w:after="0"/>
              <w:rPr>
                <w:sz w:val="22"/>
                <w:szCs w:val="22"/>
                <w:color w:val="auto"/>
              </w:rPr>
            </w:pPr>
          </w:p>
        </w:tc>
        <w:tc>
          <w:tcPr>
            <w:tcW w:w="34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25,619</w:t>
            </w:r>
          </w:p>
        </w:tc>
        <w:tc>
          <w:tcPr>
            <w:tcW w:w="100" w:type="dxa"/>
            <w:vAlign w:val="bottom"/>
            <w:shd w:val="clear" w:color="auto" w:fill="B6B6B6"/>
          </w:tcPr>
          <w:p>
            <w:pPr>
              <w:spacing w:after="0"/>
              <w:rPr>
                <w:sz w:val="22"/>
                <w:szCs w:val="22"/>
                <w:color w:val="auto"/>
              </w:rPr>
            </w:pPr>
          </w:p>
        </w:tc>
        <w:tc>
          <w:tcPr>
            <w:tcW w:w="540" w:type="dxa"/>
            <w:vAlign w:val="bottom"/>
            <w:shd w:val="clear" w:color="auto" w:fill="B6B6B6"/>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20,902</w:t>
            </w:r>
          </w:p>
        </w:tc>
      </w:tr>
      <w:tr>
        <w:trPr>
          <w:trHeight w:val="25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7"/>
        </w:trPr>
        <w:tc>
          <w:tcPr>
            <w:tcW w:w="5060" w:type="dxa"/>
            <w:vAlign w:val="bottom"/>
            <w:shd w:val="clear" w:color="auto" w:fill="B6B6B6"/>
          </w:tcPr>
          <w:p>
            <w:pPr>
              <w:ind w:left="260"/>
              <w:spacing w:after="0"/>
              <w:rPr>
                <w:sz w:val="20"/>
                <w:szCs w:val="20"/>
                <w:color w:val="auto"/>
              </w:rPr>
            </w:pPr>
            <w:r>
              <w:rPr>
                <w:rFonts w:ascii="Times New Roman" w:cs="Times New Roman" w:eastAsia="Times New Roman" w:hAnsi="Times New Roman"/>
                <w:sz w:val="18"/>
                <w:szCs w:val="18"/>
                <w:color w:val="auto"/>
              </w:rPr>
              <w:t>Net unrealized loss on securities available-for-sale</w:t>
            </w:r>
          </w:p>
        </w:tc>
        <w:tc>
          <w:tcPr>
            <w:tcW w:w="320" w:type="dxa"/>
            <w:vAlign w:val="bottom"/>
            <w:shd w:val="clear" w:color="auto" w:fill="B6B6B6"/>
          </w:tcPr>
          <w:p>
            <w:pPr>
              <w:spacing w:after="0"/>
              <w:rPr>
                <w:sz w:val="24"/>
                <w:szCs w:val="24"/>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(26,127)</w:t>
            </w:r>
          </w:p>
        </w:tc>
        <w:tc>
          <w:tcPr>
            <w:tcW w:w="100" w:type="dxa"/>
            <w:vAlign w:val="bottom"/>
            <w:shd w:val="clear" w:color="auto" w:fill="B6B6B6"/>
          </w:tcPr>
          <w:p>
            <w:pPr>
              <w:spacing w:after="0"/>
              <w:rPr>
                <w:sz w:val="24"/>
                <w:szCs w:val="24"/>
                <w:color w:val="auto"/>
              </w:rPr>
            </w:pPr>
          </w:p>
        </w:tc>
        <w:tc>
          <w:tcPr>
            <w:tcW w:w="540" w:type="dxa"/>
            <w:vAlign w:val="bottom"/>
            <w:shd w:val="clear" w:color="auto" w:fill="B6B6B6"/>
          </w:tcPr>
          <w:p>
            <w:pPr>
              <w:spacing w:after="0"/>
              <w:rPr>
                <w:sz w:val="24"/>
                <w:szCs w:val="24"/>
                <w:color w:val="auto"/>
              </w:rPr>
            </w:pPr>
          </w:p>
        </w:tc>
        <w:tc>
          <w:tcPr>
            <w:tcW w:w="9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80" w:type="dxa"/>
            <w:vAlign w:val="bottom"/>
            <w:shd w:val="clear" w:color="auto" w:fill="B6B6B6"/>
          </w:tcPr>
          <w:p>
            <w:pPr>
              <w:spacing w:after="0"/>
              <w:rPr>
                <w:sz w:val="24"/>
                <w:szCs w:val="24"/>
                <w:color w:val="auto"/>
              </w:rPr>
            </w:pPr>
          </w:p>
        </w:tc>
        <w:tc>
          <w:tcPr>
            <w:tcW w:w="340" w:type="dxa"/>
            <w:vAlign w:val="bottom"/>
            <w:shd w:val="clear" w:color="auto" w:fill="B6B6B6"/>
          </w:tcPr>
          <w:p>
            <w:pPr>
              <w:spacing w:after="0"/>
              <w:rPr>
                <w:sz w:val="24"/>
                <w:szCs w:val="24"/>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(87,159)</w:t>
            </w:r>
          </w:p>
        </w:tc>
        <w:tc>
          <w:tcPr>
            <w:tcW w:w="100" w:type="dxa"/>
            <w:vAlign w:val="bottom"/>
            <w:shd w:val="clear" w:color="auto" w:fill="B6B6B6"/>
          </w:tcPr>
          <w:p>
            <w:pPr>
              <w:spacing w:after="0"/>
              <w:rPr>
                <w:sz w:val="24"/>
                <w:szCs w:val="24"/>
                <w:color w:val="auto"/>
              </w:rPr>
            </w:pPr>
          </w:p>
        </w:tc>
        <w:tc>
          <w:tcPr>
            <w:tcW w:w="540" w:type="dxa"/>
            <w:vAlign w:val="bottom"/>
            <w:shd w:val="clear" w:color="auto" w:fill="B6B6B6"/>
          </w:tcPr>
          <w:p>
            <w:pPr>
              <w:spacing w:after="0"/>
              <w:rPr>
                <w:sz w:val="24"/>
                <w:szCs w:val="24"/>
                <w:color w:val="auto"/>
              </w:rPr>
            </w:pPr>
          </w:p>
        </w:tc>
        <w:tc>
          <w:tcPr>
            <w:tcW w:w="9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(7,086)</w:t>
            </w:r>
          </w:p>
        </w:tc>
      </w:tr>
      <w:tr>
        <w:trPr>
          <w:trHeight w:val="250"/>
        </w:trPr>
        <w:tc>
          <w:tcPr>
            <w:tcW w:w="5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Tax effect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w:t>
            </w:r>
          </w:p>
        </w:tc>
      </w:tr>
      <w:tr>
        <w:trPr>
          <w:trHeight w:val="231"/>
        </w:trPr>
        <w:tc>
          <w:tcPr>
            <w:tcW w:w="5060" w:type="dxa"/>
            <w:vAlign w:val="bottom"/>
            <w:shd w:val="clear" w:color="auto" w:fill="B6B6B6"/>
          </w:tcPr>
          <w:p>
            <w:pPr>
              <w:ind w:left="260"/>
              <w:spacing w:after="0"/>
              <w:rPr>
                <w:sz w:val="20"/>
                <w:szCs w:val="20"/>
                <w:color w:val="auto"/>
              </w:rPr>
            </w:pPr>
            <w:r>
              <w:rPr>
                <w:rFonts w:ascii="Times New Roman" w:cs="Times New Roman" w:eastAsia="Times New Roman" w:hAnsi="Times New Roman"/>
                <w:sz w:val="18"/>
                <w:szCs w:val="18"/>
                <w:color w:val="auto"/>
              </w:rPr>
              <w:t>Reclassification adjustments for losses (gains) included in net</w:t>
            </w:r>
          </w:p>
        </w:tc>
        <w:tc>
          <w:tcPr>
            <w:tcW w:w="320" w:type="dxa"/>
            <w:vAlign w:val="bottom"/>
            <w:shd w:val="clear" w:color="auto" w:fill="B6B6B6"/>
          </w:tcPr>
          <w:p>
            <w:pPr>
              <w:spacing w:after="0"/>
              <w:rPr>
                <w:sz w:val="20"/>
                <w:szCs w:val="20"/>
                <w:color w:val="auto"/>
              </w:rPr>
            </w:pPr>
          </w:p>
        </w:tc>
        <w:tc>
          <w:tcPr>
            <w:tcW w:w="1140" w:type="dxa"/>
            <w:vAlign w:val="bottom"/>
            <w:shd w:val="clear" w:color="auto" w:fill="B6B6B6"/>
          </w:tcPr>
          <w:p>
            <w:pPr>
              <w:spacing w:after="0"/>
              <w:rPr>
                <w:sz w:val="20"/>
                <w:szCs w:val="20"/>
                <w:color w:val="auto"/>
              </w:rPr>
            </w:pPr>
          </w:p>
        </w:tc>
        <w:tc>
          <w:tcPr>
            <w:tcW w:w="100" w:type="dxa"/>
            <w:vAlign w:val="bottom"/>
            <w:shd w:val="clear" w:color="auto" w:fill="B6B6B6"/>
          </w:tcPr>
          <w:p>
            <w:pPr>
              <w:spacing w:after="0"/>
              <w:rPr>
                <w:sz w:val="20"/>
                <w:szCs w:val="20"/>
                <w:color w:val="auto"/>
              </w:rPr>
            </w:pPr>
          </w:p>
        </w:tc>
        <w:tc>
          <w:tcPr>
            <w:tcW w:w="540" w:type="dxa"/>
            <w:vAlign w:val="bottom"/>
            <w:shd w:val="clear" w:color="auto" w:fill="B6B6B6"/>
          </w:tcPr>
          <w:p>
            <w:pPr>
              <w:spacing w:after="0"/>
              <w:rPr>
                <w:sz w:val="20"/>
                <w:szCs w:val="20"/>
                <w:color w:val="auto"/>
              </w:rPr>
            </w:pPr>
          </w:p>
        </w:tc>
        <w:tc>
          <w:tcPr>
            <w:tcW w:w="940" w:type="dxa"/>
            <w:vAlign w:val="bottom"/>
            <w:shd w:val="clear" w:color="auto" w:fill="B6B6B6"/>
          </w:tcPr>
          <w:p>
            <w:pPr>
              <w:spacing w:after="0"/>
              <w:rPr>
                <w:sz w:val="20"/>
                <w:szCs w:val="20"/>
                <w:color w:val="auto"/>
              </w:rPr>
            </w:pPr>
          </w:p>
        </w:tc>
        <w:tc>
          <w:tcPr>
            <w:tcW w:w="80" w:type="dxa"/>
            <w:vAlign w:val="bottom"/>
            <w:shd w:val="clear" w:color="auto" w:fill="B6B6B6"/>
          </w:tcPr>
          <w:p>
            <w:pPr>
              <w:spacing w:after="0"/>
              <w:rPr>
                <w:sz w:val="20"/>
                <w:szCs w:val="20"/>
                <w:color w:val="auto"/>
              </w:rPr>
            </w:pPr>
          </w:p>
        </w:tc>
        <w:tc>
          <w:tcPr>
            <w:tcW w:w="340" w:type="dxa"/>
            <w:vAlign w:val="bottom"/>
            <w:shd w:val="clear" w:color="auto" w:fill="B6B6B6"/>
          </w:tcPr>
          <w:p>
            <w:pPr>
              <w:spacing w:after="0"/>
              <w:rPr>
                <w:sz w:val="20"/>
                <w:szCs w:val="20"/>
                <w:color w:val="auto"/>
              </w:rPr>
            </w:pPr>
          </w:p>
        </w:tc>
        <w:tc>
          <w:tcPr>
            <w:tcW w:w="1140" w:type="dxa"/>
            <w:vAlign w:val="bottom"/>
            <w:shd w:val="clear" w:color="auto" w:fill="B6B6B6"/>
          </w:tcPr>
          <w:p>
            <w:pPr>
              <w:spacing w:after="0"/>
              <w:rPr>
                <w:sz w:val="20"/>
                <w:szCs w:val="20"/>
                <w:color w:val="auto"/>
              </w:rPr>
            </w:pPr>
          </w:p>
        </w:tc>
        <w:tc>
          <w:tcPr>
            <w:tcW w:w="100" w:type="dxa"/>
            <w:vAlign w:val="bottom"/>
            <w:shd w:val="clear" w:color="auto" w:fill="B6B6B6"/>
          </w:tcPr>
          <w:p>
            <w:pPr>
              <w:spacing w:after="0"/>
              <w:rPr>
                <w:sz w:val="20"/>
                <w:szCs w:val="20"/>
                <w:color w:val="auto"/>
              </w:rPr>
            </w:pPr>
          </w:p>
        </w:tc>
        <w:tc>
          <w:tcPr>
            <w:tcW w:w="540" w:type="dxa"/>
            <w:vAlign w:val="bottom"/>
            <w:shd w:val="clear" w:color="auto" w:fill="B6B6B6"/>
          </w:tcPr>
          <w:p>
            <w:pPr>
              <w:spacing w:after="0"/>
              <w:rPr>
                <w:sz w:val="20"/>
                <w:szCs w:val="20"/>
                <w:color w:val="auto"/>
              </w:rPr>
            </w:pPr>
          </w:p>
        </w:tc>
        <w:tc>
          <w:tcPr>
            <w:tcW w:w="940" w:type="dxa"/>
            <w:vAlign w:val="bottom"/>
            <w:shd w:val="clear" w:color="auto" w:fill="B6B6B6"/>
          </w:tcPr>
          <w:p>
            <w:pPr>
              <w:spacing w:after="0"/>
              <w:rPr>
                <w:sz w:val="20"/>
                <w:szCs w:val="20"/>
                <w:color w:val="auto"/>
              </w:rPr>
            </w:pPr>
          </w:p>
        </w:tc>
      </w:tr>
      <w:tr>
        <w:trPr>
          <w:trHeight w:val="261"/>
        </w:trPr>
        <w:tc>
          <w:tcPr>
            <w:tcW w:w="5060" w:type="dxa"/>
            <w:vAlign w:val="bottom"/>
            <w:shd w:val="clear" w:color="auto" w:fill="B6B6B6"/>
          </w:tcPr>
          <w:p>
            <w:pPr>
              <w:ind w:left="520"/>
              <w:spacing w:after="0"/>
              <w:rPr>
                <w:sz w:val="20"/>
                <w:szCs w:val="20"/>
                <w:color w:val="auto"/>
              </w:rPr>
            </w:pPr>
            <w:r>
              <w:rPr>
                <w:rFonts w:ascii="Times New Roman" w:cs="Times New Roman" w:eastAsia="Times New Roman" w:hAnsi="Times New Roman"/>
                <w:sz w:val="18"/>
                <w:szCs w:val="18"/>
                <w:color w:val="auto"/>
              </w:rPr>
              <w:t>income</w:t>
            </w:r>
          </w:p>
        </w:tc>
        <w:tc>
          <w:tcPr>
            <w:tcW w:w="32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B6B6B6"/>
          </w:tcPr>
          <w:p>
            <w:pPr>
              <w:spacing w:after="0"/>
              <w:rPr>
                <w:sz w:val="22"/>
                <w:szCs w:val="22"/>
                <w:color w:val="auto"/>
              </w:rPr>
            </w:pPr>
          </w:p>
        </w:tc>
        <w:tc>
          <w:tcPr>
            <w:tcW w:w="540" w:type="dxa"/>
            <w:vAlign w:val="bottom"/>
            <w:shd w:val="clear" w:color="auto" w:fill="B6B6B6"/>
          </w:tcPr>
          <w:p>
            <w:pPr>
              <w:spacing w:after="0"/>
              <w:rPr>
                <w:sz w:val="22"/>
                <w:szCs w:val="22"/>
                <w:color w:val="auto"/>
              </w:rPr>
            </w:pPr>
          </w:p>
        </w:tc>
        <w:tc>
          <w:tcPr>
            <w:tcW w:w="9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B6B6B6"/>
          </w:tcPr>
          <w:p>
            <w:pPr>
              <w:spacing w:after="0"/>
              <w:rPr>
                <w:sz w:val="22"/>
                <w:szCs w:val="22"/>
                <w:color w:val="auto"/>
              </w:rPr>
            </w:pPr>
          </w:p>
        </w:tc>
        <w:tc>
          <w:tcPr>
            <w:tcW w:w="540" w:type="dxa"/>
            <w:vAlign w:val="bottom"/>
            <w:shd w:val="clear" w:color="auto" w:fill="B6B6B6"/>
          </w:tcPr>
          <w:p>
            <w:pPr>
              <w:spacing w:after="0"/>
              <w:rPr>
                <w:sz w:val="22"/>
                <w:szCs w:val="22"/>
                <w:color w:val="auto"/>
              </w:rPr>
            </w:pPr>
          </w:p>
        </w:tc>
        <w:tc>
          <w:tcPr>
            <w:tcW w:w="9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50"/>
        </w:trPr>
        <w:tc>
          <w:tcPr>
            <w:tcW w:w="5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Tax effect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5060" w:type="dxa"/>
            <w:vAlign w:val="bottom"/>
            <w:shd w:val="clear" w:color="auto" w:fill="B6B6B6"/>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tcBorders>
              <w:bottom w:val="single" w:sz="8" w:color="auto"/>
            </w:tcBorders>
            <w:shd w:val="clear" w:color="auto" w:fill="B6B6B6"/>
          </w:tcPr>
          <w:p>
            <w:pPr>
              <w:spacing w:after="0"/>
              <w:rPr>
                <w:sz w:val="23"/>
                <w:szCs w:val="23"/>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B6B6B6"/>
          </w:tcPr>
          <w:p>
            <w:pPr>
              <w:spacing w:after="0"/>
              <w:rPr>
                <w:sz w:val="23"/>
                <w:szCs w:val="23"/>
                <w:color w:val="auto"/>
              </w:rPr>
            </w:pPr>
          </w:p>
        </w:tc>
        <w:tc>
          <w:tcPr>
            <w:tcW w:w="540" w:type="dxa"/>
            <w:vAlign w:val="bottom"/>
            <w:tcBorders>
              <w:bottom w:val="single" w:sz="8" w:color="auto"/>
            </w:tcBorders>
            <w:shd w:val="clear" w:color="auto" w:fill="B6B6B6"/>
          </w:tcPr>
          <w:p>
            <w:pPr>
              <w:spacing w:after="0"/>
              <w:rPr>
                <w:sz w:val="23"/>
                <w:szCs w:val="23"/>
                <w:color w:val="auto"/>
              </w:rPr>
            </w:pPr>
          </w:p>
        </w:tc>
        <w:tc>
          <w:tcPr>
            <w:tcW w:w="9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shd w:val="clear" w:color="auto" w:fill="B6B6B6"/>
          </w:tcPr>
          <w:p>
            <w:pPr>
              <w:spacing w:after="0"/>
              <w:rPr>
                <w:sz w:val="23"/>
                <w:szCs w:val="23"/>
                <w:color w:val="auto"/>
              </w:rPr>
            </w:pPr>
          </w:p>
        </w:tc>
        <w:tc>
          <w:tcPr>
            <w:tcW w:w="340" w:type="dxa"/>
            <w:vAlign w:val="bottom"/>
            <w:tcBorders>
              <w:bottom w:val="single" w:sz="8" w:color="auto"/>
            </w:tcBorders>
            <w:shd w:val="clear" w:color="auto" w:fill="B6B6B6"/>
          </w:tcPr>
          <w:p>
            <w:pPr>
              <w:spacing w:after="0"/>
              <w:rPr>
                <w:sz w:val="23"/>
                <w:szCs w:val="23"/>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B6B6B6"/>
          </w:tcPr>
          <w:p>
            <w:pPr>
              <w:spacing w:after="0"/>
              <w:rPr>
                <w:sz w:val="23"/>
                <w:szCs w:val="23"/>
                <w:color w:val="auto"/>
              </w:rPr>
            </w:pPr>
          </w:p>
        </w:tc>
        <w:tc>
          <w:tcPr>
            <w:tcW w:w="540" w:type="dxa"/>
            <w:vAlign w:val="bottom"/>
            <w:tcBorders>
              <w:bottom w:val="single" w:sz="8" w:color="auto"/>
            </w:tcBorders>
            <w:shd w:val="clear" w:color="auto" w:fill="B6B6B6"/>
          </w:tcPr>
          <w:p>
            <w:pPr>
              <w:spacing w:after="0"/>
              <w:rPr>
                <w:sz w:val="23"/>
                <w:szCs w:val="23"/>
                <w:color w:val="auto"/>
              </w:rPr>
            </w:pPr>
          </w:p>
        </w:tc>
        <w:tc>
          <w:tcPr>
            <w:tcW w:w="9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5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(loss) income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(11,315)</w:t>
            </w:r>
          </w:p>
        </w:tc>
        <w:tc>
          <w:tcPr>
            <w:tcW w:w="100" w:type="dxa"/>
            <w:vAlign w:val="bottom"/>
          </w:tcPr>
          <w:p>
            <w:pPr>
              <w:spacing w:after="0"/>
              <w:rPr>
                <w:sz w:val="22"/>
                <w:szCs w:val="22"/>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8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(41,213)</w:t>
            </w:r>
          </w:p>
        </w:tc>
        <w:tc>
          <w:tcPr>
            <w:tcW w:w="100" w:type="dxa"/>
            <w:vAlign w:val="bottom"/>
          </w:tcPr>
          <w:p>
            <w:pPr>
              <w:spacing w:after="0"/>
              <w:rPr>
                <w:sz w:val="22"/>
                <w:szCs w:val="22"/>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15,324</w:t>
            </w:r>
          </w:p>
        </w:tc>
      </w:tr>
      <w:tr>
        <w:trPr>
          <w:trHeight w:val="21"/>
        </w:trPr>
        <w:tc>
          <w:tcPr>
            <w:tcW w:w="5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195"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13335</wp:posOffset>
            </wp:positionV>
            <wp:extent cx="19456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1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57"/>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25,619</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20,902</w:t>
            </w:r>
          </w:p>
        </w:tc>
        <w:tc>
          <w:tcPr>
            <w:tcW w:w="0" w:type="dxa"/>
            <w:vAlign w:val="bottom"/>
          </w:tcPr>
          <w:p>
            <w:pPr>
              <w:spacing w:after="0"/>
              <w:rPr>
                <w:sz w:val="1"/>
                <w:szCs w:val="1"/>
                <w:color w:val="auto"/>
              </w:rPr>
            </w:pPr>
          </w:p>
        </w:tc>
      </w:tr>
      <w:tr>
        <w:trPr>
          <w:trHeight w:val="263"/>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9,340</w:t>
            </w:r>
          </w:p>
        </w:tc>
        <w:tc>
          <w:tcPr>
            <w:tcW w:w="0" w:type="dxa"/>
            <w:vAlign w:val="bottom"/>
          </w:tcPr>
          <w:p>
            <w:pPr>
              <w:spacing w:after="0"/>
              <w:rPr>
                <w:sz w:val="1"/>
                <w:szCs w:val="1"/>
                <w:color w:val="auto"/>
              </w:rPr>
            </w:pPr>
          </w:p>
        </w:tc>
      </w:tr>
      <w:tr>
        <w:trPr>
          <w:trHeight w:val="263"/>
        </w:trPr>
        <w:tc>
          <w:tcPr>
            <w:tcW w:w="818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Gains on sales of securities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50"/>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0" w:type="dxa"/>
            <w:vAlign w:val="bottom"/>
          </w:tcPr>
          <w:p>
            <w:pPr>
              <w:spacing w:after="0"/>
              <w:rPr>
                <w:sz w:val="1"/>
                <w:szCs w:val="1"/>
                <w:color w:val="auto"/>
              </w:rPr>
            </w:pPr>
          </w:p>
        </w:tc>
      </w:tr>
      <w:tr>
        <w:trPr>
          <w:trHeight w:val="263"/>
        </w:trPr>
        <w:tc>
          <w:tcPr>
            <w:tcW w:w="818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Provision for (release of) credit losses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0" w:type="dxa"/>
            <w:vAlign w:val="bottom"/>
          </w:tcPr>
          <w:p>
            <w:pPr>
              <w:spacing w:after="0"/>
              <w:rPr>
                <w:sz w:val="1"/>
                <w:szCs w:val="1"/>
                <w:color w:val="auto"/>
              </w:rPr>
            </w:pPr>
          </w:p>
        </w:tc>
      </w:tr>
      <w:tr>
        <w:trPr>
          <w:trHeight w:val="250"/>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Decrease in deferred income tax asset</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63"/>
        </w:trPr>
        <w:tc>
          <w:tcPr>
            <w:tcW w:w="818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Increase in current income tax liability</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50"/>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Decrease in pension liability</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0" w:type="dxa"/>
            <w:vAlign w:val="bottom"/>
          </w:tcPr>
          <w:p>
            <w:pPr>
              <w:spacing w:after="0"/>
              <w:rPr>
                <w:sz w:val="1"/>
                <w:szCs w:val="1"/>
                <w:color w:val="auto"/>
              </w:rPr>
            </w:pPr>
          </w:p>
        </w:tc>
      </w:tr>
      <w:tr>
        <w:trPr>
          <w:trHeight w:val="263"/>
        </w:trPr>
        <w:tc>
          <w:tcPr>
            <w:tcW w:w="818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Increase in accounts receivable</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B6B6B6"/>
            </w:tcBorders>
          </w:tcPr>
          <w:p>
            <w:pPr>
              <w:ind w:left="380"/>
              <w:spacing w:after="0"/>
              <w:rPr>
                <w:sz w:val="20"/>
                <w:szCs w:val="20"/>
                <w:color w:val="auto"/>
              </w:rPr>
            </w:pPr>
            <w:r>
              <w:rPr>
                <w:rFonts w:ascii="Times New Roman" w:cs="Times New Roman" w:eastAsia="Times New Roman" w:hAnsi="Times New Roman"/>
                <w:sz w:val="18"/>
                <w:szCs w:val="18"/>
                <w:color w:val="auto"/>
              </w:rPr>
              <w:t>Other operating activities, net</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5,331</w:t>
            </w:r>
          </w:p>
        </w:tc>
        <w:tc>
          <w:tcPr>
            <w:tcW w:w="100" w:type="dxa"/>
            <w:vAlign w:val="bottom"/>
            <w:tcBorders>
              <w:bottom w:val="single" w:sz="8" w:color="B6B6B6"/>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50"/>
        </w:trPr>
        <w:tc>
          <w:tcPr>
            <w:tcW w:w="8180" w:type="dxa"/>
            <w:vAlign w:val="bottom"/>
            <w:shd w:val="clear" w:color="auto" w:fill="B6B6B6"/>
          </w:tcPr>
          <w:p>
            <w:pPr>
              <w:ind w:left="5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auto"/>
            </w:tcBorders>
            <w:shd w:val="clear" w:color="auto" w:fill="B6B6B6"/>
          </w:tcPr>
          <w:p>
            <w:pPr>
              <w:spacing w:after="0"/>
              <w:rPr>
                <w:sz w:val="21"/>
                <w:szCs w:val="21"/>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40,799</w:t>
            </w:r>
          </w:p>
        </w:tc>
        <w:tc>
          <w:tcPr>
            <w:tcW w:w="100" w:type="dxa"/>
            <w:vAlign w:val="bottom"/>
            <w:shd w:val="clear" w:color="auto" w:fill="B6B6B6"/>
          </w:tcPr>
          <w:p>
            <w:pPr>
              <w:spacing w:after="0"/>
              <w:rPr>
                <w:sz w:val="21"/>
                <w:szCs w:val="21"/>
                <w:color w:val="auto"/>
              </w:rPr>
            </w:pPr>
          </w:p>
        </w:tc>
        <w:tc>
          <w:tcPr>
            <w:tcW w:w="340" w:type="dxa"/>
            <w:vAlign w:val="bottom"/>
            <w:tcBorders>
              <w:bottom w:val="single" w:sz="8" w:color="auto"/>
            </w:tcBorders>
            <w:shd w:val="clear" w:color="auto" w:fill="B6B6B6"/>
          </w:tcPr>
          <w:p>
            <w:pPr>
              <w:spacing w:after="0"/>
              <w:rPr>
                <w:sz w:val="21"/>
                <w:szCs w:val="21"/>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30,680</w:t>
            </w:r>
          </w:p>
        </w:tc>
        <w:tc>
          <w:tcPr>
            <w:tcW w:w="0" w:type="dxa"/>
            <w:vAlign w:val="bottom"/>
          </w:tcPr>
          <w:p>
            <w:pPr>
              <w:spacing w:after="0"/>
              <w:rPr>
                <w:sz w:val="1"/>
                <w:szCs w:val="1"/>
                <w:color w:val="auto"/>
              </w:rPr>
            </w:pPr>
          </w:p>
        </w:tc>
      </w:tr>
      <w:tr>
        <w:trPr>
          <w:trHeight w:val="94"/>
        </w:trPr>
        <w:tc>
          <w:tcPr>
            <w:tcW w:w="8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sales of securities available-for-sale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43,190</w:t>
            </w:r>
          </w:p>
        </w:tc>
        <w:tc>
          <w:tcPr>
            <w:tcW w:w="0" w:type="dxa"/>
            <w:vAlign w:val="bottom"/>
          </w:tcPr>
          <w:p>
            <w:pPr>
              <w:spacing w:after="0"/>
              <w:rPr>
                <w:sz w:val="1"/>
                <w:szCs w:val="1"/>
                <w:color w:val="auto"/>
              </w:rPr>
            </w:pPr>
          </w:p>
        </w:tc>
      </w:tr>
      <w:tr>
        <w:trPr>
          <w:trHeight w:val="263"/>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Proceeds from maturities of securities available-for-sale</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45,740</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83,265</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securities available-for-sale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(322,336)</w:t>
            </w:r>
          </w:p>
        </w:tc>
        <w:tc>
          <w:tcPr>
            <w:tcW w:w="0" w:type="dxa"/>
            <w:vAlign w:val="bottom"/>
          </w:tcPr>
          <w:p>
            <w:pPr>
              <w:spacing w:after="0"/>
              <w:rPr>
                <w:sz w:val="1"/>
                <w:szCs w:val="1"/>
                <w:color w:val="auto"/>
              </w:rPr>
            </w:pPr>
          </w:p>
        </w:tc>
      </w:tr>
      <w:tr>
        <w:trPr>
          <w:trHeight w:val="263"/>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(increase) decrease in loans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(76,521)</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19,229</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bank-owned life insurance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(24,868)</w:t>
            </w:r>
          </w:p>
        </w:tc>
        <w:tc>
          <w:tcPr>
            <w:tcW w:w="0" w:type="dxa"/>
            <w:vAlign w:val="bottom"/>
          </w:tcPr>
          <w:p>
            <w:pPr>
              <w:spacing w:after="0"/>
              <w:rPr>
                <w:sz w:val="1"/>
                <w:szCs w:val="1"/>
                <w:color w:val="auto"/>
              </w:rPr>
            </w:pPr>
          </w:p>
        </w:tc>
      </w:tr>
      <w:tr>
        <w:trPr>
          <w:trHeight w:val="263"/>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Asset acquisition of Touchpoint</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(increase) in payments in advance of funding</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(71,816)</w:t>
            </w:r>
          </w:p>
        </w:tc>
        <w:tc>
          <w:tcPr>
            <w:tcW w:w="0" w:type="dxa"/>
            <w:vAlign w:val="bottom"/>
          </w:tcPr>
          <w:p>
            <w:pPr>
              <w:spacing w:after="0"/>
              <w:rPr>
                <w:sz w:val="1"/>
                <w:szCs w:val="1"/>
                <w:color w:val="auto"/>
              </w:rPr>
            </w:pPr>
          </w:p>
        </w:tc>
      </w:tr>
      <w:tr>
        <w:trPr>
          <w:trHeight w:val="257"/>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Purchases of premises and equipment, net</w:t>
            </w:r>
          </w:p>
        </w:tc>
        <w:tc>
          <w:tcPr>
            <w:tcW w:w="3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(4,270)</w:t>
            </w:r>
          </w:p>
        </w:tc>
        <w:tc>
          <w:tcPr>
            <w:tcW w:w="100" w:type="dxa"/>
            <w:vAlign w:val="bottom"/>
            <w:shd w:val="clear" w:color="auto" w:fill="B6B6B6"/>
          </w:tcPr>
          <w:p>
            <w:pPr>
              <w:spacing w:after="0"/>
              <w:rPr>
                <w:sz w:val="22"/>
                <w:szCs w:val="22"/>
                <w:color w:val="auto"/>
              </w:rPr>
            </w:pPr>
          </w:p>
        </w:tc>
        <w:tc>
          <w:tcPr>
            <w:tcW w:w="3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0" w:type="dxa"/>
            <w:vAlign w:val="bottom"/>
          </w:tcPr>
          <w:p>
            <w:pPr>
              <w:spacing w:after="0"/>
              <w:rPr>
                <w:sz w:val="1"/>
                <w:szCs w:val="1"/>
                <w:color w:val="auto"/>
              </w:rPr>
            </w:pPr>
          </w:p>
        </w:tc>
      </w:tr>
      <w:tr>
        <w:trPr>
          <w:trHeight w:val="250"/>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(249,861)</w:t>
            </w:r>
          </w:p>
        </w:tc>
        <w:tc>
          <w:tcPr>
            <w:tcW w:w="100" w:type="dxa"/>
            <w:vAlign w:val="bottom"/>
            <w:tcBorders>
              <w:bottom w:val="single" w:sz="8" w:color="B6B6B6"/>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(276,033)</w:t>
            </w:r>
          </w:p>
        </w:tc>
        <w:tc>
          <w:tcPr>
            <w:tcW w:w="0" w:type="dxa"/>
            <w:vAlign w:val="bottom"/>
          </w:tcPr>
          <w:p>
            <w:pPr>
              <w:spacing w:after="0"/>
              <w:rPr>
                <w:sz w:val="1"/>
                <w:szCs w:val="1"/>
                <w:color w:val="auto"/>
              </w:rPr>
            </w:pPr>
          </w:p>
        </w:tc>
      </w:tr>
      <w:tr>
        <w:trPr>
          <w:trHeight w:val="95"/>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shd w:val="clear" w:color="auto" w:fill="B6B6B6"/>
          </w:tcPr>
          <w:p>
            <w:pPr>
              <w:spacing w:after="0"/>
              <w:rPr>
                <w:sz w:val="8"/>
                <w:szCs w:val="8"/>
                <w:color w:val="auto"/>
              </w:rPr>
            </w:pPr>
          </w:p>
        </w:tc>
        <w:tc>
          <w:tcPr>
            <w:tcW w:w="1140" w:type="dxa"/>
            <w:vAlign w:val="bottom"/>
            <w:shd w:val="clear" w:color="auto" w:fill="B6B6B6"/>
          </w:tcPr>
          <w:p>
            <w:pPr>
              <w:spacing w:after="0"/>
              <w:rPr>
                <w:sz w:val="8"/>
                <w:szCs w:val="8"/>
                <w:color w:val="auto"/>
              </w:rPr>
            </w:pPr>
          </w:p>
        </w:tc>
        <w:tc>
          <w:tcPr>
            <w:tcW w:w="100" w:type="dxa"/>
            <w:vAlign w:val="bottom"/>
            <w:shd w:val="clear" w:color="auto" w:fill="B6B6B6"/>
          </w:tcPr>
          <w:p>
            <w:pPr>
              <w:spacing w:after="0"/>
              <w:rPr>
                <w:sz w:val="8"/>
                <w:szCs w:val="8"/>
                <w:color w:val="auto"/>
              </w:rPr>
            </w:pPr>
          </w:p>
        </w:tc>
        <w:tc>
          <w:tcPr>
            <w:tcW w:w="340" w:type="dxa"/>
            <w:vAlign w:val="bottom"/>
            <w:shd w:val="clear" w:color="auto" w:fill="B6B6B6"/>
          </w:tcPr>
          <w:p>
            <w:pPr>
              <w:spacing w:after="0"/>
              <w:rPr>
                <w:sz w:val="8"/>
                <w:szCs w:val="8"/>
                <w:color w:val="auto"/>
              </w:rPr>
            </w:pPr>
          </w:p>
        </w:tc>
        <w:tc>
          <w:tcPr>
            <w:tcW w:w="1140" w:type="dxa"/>
            <w:vAlign w:val="bottom"/>
            <w:shd w:val="clear" w:color="auto" w:fill="B6B6B6"/>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818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decrease in noninterest-bearing demand deposits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(26,184)</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interest-bearing demand and savings deposits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67,930</w:t>
            </w:r>
          </w:p>
        </w:tc>
        <w:tc>
          <w:tcPr>
            <w:tcW w:w="0" w:type="dxa"/>
            <w:vAlign w:val="bottom"/>
          </w:tcPr>
          <w:p>
            <w:pPr>
              <w:spacing w:after="0"/>
              <w:rPr>
                <w:sz w:val="1"/>
                <w:szCs w:val="1"/>
                <w:color w:val="auto"/>
              </w:rPr>
            </w:pPr>
          </w:p>
        </w:tc>
      </w:tr>
      <w:tr>
        <w:trPr>
          <w:trHeight w:val="263"/>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decrease in time deposits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(11,543)</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accounts and drafts payable and other customer receivables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70,099</w:t>
            </w:r>
          </w:p>
        </w:tc>
        <w:tc>
          <w:tcPr>
            <w:tcW w:w="0" w:type="dxa"/>
            <w:vAlign w:val="bottom"/>
          </w:tcPr>
          <w:p>
            <w:pPr>
              <w:spacing w:after="0"/>
              <w:rPr>
                <w:sz w:val="1"/>
                <w:szCs w:val="1"/>
                <w:color w:val="auto"/>
              </w:rPr>
            </w:pPr>
          </w:p>
        </w:tc>
      </w:tr>
      <w:tr>
        <w:trPr>
          <w:trHeight w:val="263"/>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Cash dividends paid</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(11,478)</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(11,576)</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common shares for treasury</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(18,975)</w:t>
            </w:r>
          </w:p>
        </w:tc>
        <w:tc>
          <w:tcPr>
            <w:tcW w:w="0" w:type="dxa"/>
            <w:vAlign w:val="bottom"/>
          </w:tcPr>
          <w:p>
            <w:pPr>
              <w:spacing w:after="0"/>
              <w:rPr>
                <w:sz w:val="1"/>
                <w:szCs w:val="1"/>
                <w:color w:val="auto"/>
              </w:rPr>
            </w:pPr>
          </w:p>
        </w:tc>
      </w:tr>
      <w:tr>
        <w:trPr>
          <w:trHeight w:val="257"/>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3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shd w:val="clear" w:color="auto" w:fill="B6B6B6"/>
          </w:tcPr>
          <w:p>
            <w:pPr>
              <w:spacing w:after="0"/>
              <w:rPr>
                <w:sz w:val="22"/>
                <w:szCs w:val="22"/>
                <w:color w:val="auto"/>
              </w:rPr>
            </w:pPr>
          </w:p>
        </w:tc>
        <w:tc>
          <w:tcPr>
            <w:tcW w:w="3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B6B6B6"/>
            </w:tcBorders>
          </w:tcPr>
          <w:p>
            <w:pPr>
              <w:ind w:left="5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41,128</w:t>
            </w:r>
          </w:p>
        </w:tc>
        <w:tc>
          <w:tcPr>
            <w:tcW w:w="100" w:type="dxa"/>
            <w:vAlign w:val="bottom"/>
            <w:tcBorders>
              <w:bottom w:val="single" w:sz="8" w:color="B6B6B6"/>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75,134</w:t>
            </w:r>
          </w:p>
        </w:tc>
        <w:tc>
          <w:tcPr>
            <w:tcW w:w="0" w:type="dxa"/>
            <w:vAlign w:val="bottom"/>
          </w:tcPr>
          <w:p>
            <w:pPr>
              <w:spacing w:after="0"/>
              <w:rPr>
                <w:sz w:val="1"/>
                <w:szCs w:val="1"/>
                <w:color w:val="auto"/>
              </w:rPr>
            </w:pPr>
          </w:p>
        </w:tc>
      </w:tr>
      <w:tr>
        <w:trPr>
          <w:trHeight w:val="256"/>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(167,934)</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(170,219)</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514,928</w:t>
            </w:r>
          </w:p>
        </w:tc>
        <w:tc>
          <w:tcPr>
            <w:tcW w:w="100" w:type="dxa"/>
            <w:vAlign w:val="bottom"/>
            <w:tcBorders>
              <w:bottom w:val="single" w:sz="8" w:color="B6B6B6"/>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670,528</w:t>
            </w:r>
          </w:p>
        </w:tc>
        <w:tc>
          <w:tcPr>
            <w:tcW w:w="0" w:type="dxa"/>
            <w:vAlign w:val="bottom"/>
          </w:tcPr>
          <w:p>
            <w:pPr>
              <w:spacing w:after="0"/>
              <w:rPr>
                <w:sz w:val="1"/>
                <w:szCs w:val="1"/>
                <w:color w:val="auto"/>
              </w:rPr>
            </w:pPr>
          </w:p>
        </w:tc>
      </w:tr>
      <w:tr>
        <w:trPr>
          <w:trHeight w:val="281"/>
        </w:trPr>
        <w:tc>
          <w:tcPr>
            <w:tcW w:w="81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40" w:type="dxa"/>
            <w:vAlign w:val="bottom"/>
            <w:tcBorders>
              <w:bottom w:val="single" w:sz="8" w:color="auto"/>
            </w:tcBorders>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346,994</w:t>
            </w:r>
          </w:p>
        </w:tc>
        <w:tc>
          <w:tcPr>
            <w:tcW w:w="100" w:type="dxa"/>
            <w:vAlign w:val="bottom"/>
            <w:tcBorders>
              <w:bottom w:val="single" w:sz="8" w:color="B6B6B6"/>
            </w:tcBorders>
            <w:shd w:val="clear" w:color="auto" w:fill="B6B6B6"/>
          </w:tcPr>
          <w:p>
            <w:pPr>
              <w:spacing w:after="0"/>
              <w:rPr>
                <w:sz w:val="24"/>
                <w:szCs w:val="24"/>
                <w:color w:val="auto"/>
              </w:rPr>
            </w:pPr>
          </w:p>
        </w:tc>
        <w:tc>
          <w:tcPr>
            <w:tcW w:w="340" w:type="dxa"/>
            <w:vAlign w:val="bottom"/>
            <w:tcBorders>
              <w:bottom w:val="single" w:sz="8" w:color="auto"/>
            </w:tcBorders>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500,309</w:t>
            </w:r>
          </w:p>
        </w:tc>
        <w:tc>
          <w:tcPr>
            <w:tcW w:w="0" w:type="dxa"/>
            <w:vAlign w:val="bottom"/>
          </w:tcPr>
          <w:p>
            <w:pPr>
              <w:spacing w:after="0"/>
              <w:rPr>
                <w:sz w:val="1"/>
                <w:szCs w:val="1"/>
                <w:color w:val="auto"/>
              </w:rPr>
            </w:pPr>
          </w:p>
        </w:tc>
      </w:tr>
      <w:tr>
        <w:trPr>
          <w:trHeight w:val="20"/>
        </w:trPr>
        <w:tc>
          <w:tcPr>
            <w:tcW w:w="8180" w:type="dxa"/>
            <w:vAlign w:val="bottom"/>
            <w:tcBorders>
              <w:top w:val="single" w:sz="8" w:color="B6B6B6"/>
            </w:tcBorders>
          </w:tcPr>
          <w:p>
            <w:pPr>
              <w:spacing w:after="0" w:line="20" w:lineRule="exact"/>
              <w:rPr>
                <w:sz w:val="1"/>
                <w:szCs w:val="1"/>
                <w:color w:val="auto"/>
              </w:rPr>
            </w:pPr>
          </w:p>
        </w:tc>
        <w:tc>
          <w:tcPr>
            <w:tcW w:w="340" w:type="dxa"/>
            <w:vAlign w:val="bottom"/>
            <w:tcBorders>
              <w:top w:val="single" w:sz="8" w:color="B6B6B6"/>
              <w:bottom w:val="single" w:sz="8" w:color="auto"/>
            </w:tcBorders>
          </w:tcPr>
          <w:p>
            <w:pPr>
              <w:spacing w:after="0" w:line="20" w:lineRule="exact"/>
              <w:rPr>
                <w:sz w:val="1"/>
                <w:szCs w:val="1"/>
                <w:color w:val="auto"/>
              </w:rPr>
            </w:pPr>
          </w:p>
        </w:tc>
        <w:tc>
          <w:tcPr>
            <w:tcW w:w="114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340" w:type="dxa"/>
            <w:vAlign w:val="bottom"/>
            <w:tcBorders>
              <w:top w:val="single" w:sz="8" w:color="B6B6B6"/>
              <w:bottom w:val="single" w:sz="8" w:color="auto"/>
            </w:tcBorders>
          </w:tcPr>
          <w:p>
            <w:pPr>
              <w:spacing w:after="0" w:line="20" w:lineRule="exact"/>
              <w:rPr>
                <w:sz w:val="1"/>
                <w:szCs w:val="1"/>
                <w:color w:val="auto"/>
              </w:rPr>
            </w:pPr>
          </w:p>
        </w:tc>
        <w:tc>
          <w:tcPr>
            <w:tcW w:w="1140" w:type="dxa"/>
            <w:vAlign w:val="bottom"/>
            <w:tcBorders>
              <w:top w:val="single" w:sz="8" w:color="B6B6B6"/>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8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Supplemental information:</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paid for interest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0" w:type="dxa"/>
            <w:vAlign w:val="bottom"/>
          </w:tcPr>
          <w:p>
            <w:pPr>
              <w:spacing w:after="0"/>
              <w:rPr>
                <w:sz w:val="1"/>
                <w:szCs w:val="1"/>
                <w:color w:val="auto"/>
              </w:rPr>
            </w:pPr>
          </w:p>
        </w:tc>
      </w:tr>
      <w:tr>
        <w:trPr>
          <w:trHeight w:val="263"/>
        </w:trPr>
        <w:tc>
          <w:tcPr>
            <w:tcW w:w="818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5,531</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80" w:type="dxa"/>
            <w:vAlign w:val="bottom"/>
          </w:tcPr>
          <w:p>
            <w:pPr>
              <w:spacing w:after="0"/>
              <w:rPr>
                <w:sz w:val="15"/>
                <w:szCs w:val="15"/>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160" w:type="dxa"/>
            <w:vAlign w:val="bottom"/>
          </w:tcPr>
          <w:p>
            <w:pPr>
              <w:spacing w:after="0"/>
              <w:rPr>
                <w:sz w:val="15"/>
                <w:szCs w:val="15"/>
                <w:color w:val="auto"/>
              </w:rPr>
            </w:pPr>
          </w:p>
        </w:tc>
        <w:tc>
          <w:tcPr>
            <w:tcW w:w="15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2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240" w:type="dxa"/>
            <w:vAlign w:val="bottom"/>
          </w:tcPr>
          <w:p>
            <w:pPr>
              <w:spacing w:after="0"/>
              <w:rPr>
                <w:sz w:val="16"/>
                <w:szCs w:val="16"/>
                <w:color w:val="auto"/>
              </w:rPr>
            </w:pPr>
          </w:p>
        </w:tc>
        <w:tc>
          <w:tcPr>
            <w:tcW w:w="90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8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60" w:type="dxa"/>
            <w:vAlign w:val="bottom"/>
          </w:tcPr>
          <w:p>
            <w:pPr>
              <w:spacing w:after="0"/>
              <w:rPr>
                <w:sz w:val="19"/>
                <w:szCs w:val="19"/>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8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60" w:type="dxa"/>
            <w:vAlign w:val="bottom"/>
          </w:tcPr>
          <w:p>
            <w:pPr>
              <w:spacing w:after="0"/>
              <w:rPr>
                <w:sz w:val="19"/>
                <w:szCs w:val="19"/>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tcBorders>
              <w:top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June 30, 2021</w:t>
            </w:r>
          </w:p>
        </w:tc>
        <w:tc>
          <w:tcPr>
            <w:tcW w:w="1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Borders>
              <w:top w:val="single" w:sz="8" w:color="B6B6B6"/>
            </w:tcBorders>
            <w:shd w:val="clear" w:color="auto" w:fill="B6B6B6"/>
          </w:tcPr>
          <w:p>
            <w:pPr>
              <w:spacing w:after="0"/>
              <w:rPr>
                <w:sz w:val="19"/>
                <w:szCs w:val="19"/>
                <w:color w:val="auto"/>
              </w:rPr>
            </w:pPr>
          </w:p>
        </w:tc>
        <w:tc>
          <w:tcPr>
            <w:tcW w:w="1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203,098</w:t>
            </w:r>
          </w:p>
        </w:tc>
        <w:tc>
          <w:tcPr>
            <w:tcW w:w="100" w:type="dxa"/>
            <w:vAlign w:val="bottom"/>
            <w:tcBorders>
              <w:top w:val="single" w:sz="8" w:color="B6B6B6"/>
            </w:tcBorders>
            <w:shd w:val="clear" w:color="auto" w:fill="B6B6B6"/>
          </w:tcPr>
          <w:p>
            <w:pPr>
              <w:spacing w:after="0"/>
              <w:rPr>
                <w:sz w:val="19"/>
                <w:szCs w:val="19"/>
                <w:color w:val="auto"/>
              </w:rPr>
            </w:pPr>
          </w:p>
        </w:tc>
        <w:tc>
          <w:tcPr>
            <w:tcW w:w="1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105,398</w:t>
            </w:r>
          </w:p>
        </w:tc>
        <w:tc>
          <w:tcPr>
            <w:tcW w:w="80" w:type="dxa"/>
            <w:vAlign w:val="bottom"/>
            <w:tcBorders>
              <w:top w:val="single" w:sz="8" w:color="B6B6B6"/>
            </w:tcBorders>
            <w:shd w:val="clear" w:color="auto" w:fill="B6B6B6"/>
          </w:tcPr>
          <w:p>
            <w:pPr>
              <w:spacing w:after="0"/>
              <w:rPr>
                <w:sz w:val="19"/>
                <w:szCs w:val="19"/>
                <w:color w:val="auto"/>
              </w:rPr>
            </w:pPr>
          </w:p>
        </w:tc>
        <w:tc>
          <w:tcPr>
            <w:tcW w:w="1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(53,437)</w:t>
            </w:r>
          </w:p>
        </w:tc>
        <w:tc>
          <w:tcPr>
            <w:tcW w:w="100" w:type="dxa"/>
            <w:vAlign w:val="bottom"/>
            <w:tcBorders>
              <w:top w:val="single" w:sz="8" w:color="B6B6B6"/>
            </w:tcBorders>
            <w:shd w:val="clear" w:color="auto" w:fill="B6B6B6"/>
          </w:tcPr>
          <w:p>
            <w:pPr>
              <w:spacing w:after="0"/>
              <w:rPr>
                <w:sz w:val="19"/>
                <w:szCs w:val="19"/>
                <w:color w:val="auto"/>
              </w:rPr>
            </w:pPr>
          </w:p>
        </w:tc>
        <w:tc>
          <w:tcPr>
            <w:tcW w:w="1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80" w:type="dxa"/>
            <w:vAlign w:val="bottom"/>
            <w:tcBorders>
              <w:top w:val="single" w:sz="8" w:color="B6B6B6"/>
            </w:tcBorders>
            <w:shd w:val="clear" w:color="auto" w:fill="B6B6B6"/>
          </w:tcPr>
          <w:p>
            <w:pPr>
              <w:spacing w:after="0"/>
              <w:rPr>
                <w:sz w:val="19"/>
                <w:szCs w:val="19"/>
                <w:color w:val="auto"/>
              </w:rPr>
            </w:pPr>
          </w:p>
        </w:tc>
        <w:tc>
          <w:tcPr>
            <w:tcW w:w="240" w:type="dxa"/>
            <w:vAlign w:val="bottom"/>
            <w:tcBorders>
              <w:top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260,767</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6,805</w:t>
            </w:r>
          </w:p>
        </w:tc>
        <w:tc>
          <w:tcPr>
            <w:tcW w:w="0" w:type="dxa"/>
            <w:vAlign w:val="bottom"/>
          </w:tcPr>
          <w:p>
            <w:pPr>
              <w:spacing w:after="0"/>
              <w:rPr>
                <w:sz w:val="1"/>
                <w:szCs w:val="1"/>
                <w:color w:val="auto"/>
              </w:rPr>
            </w:pPr>
          </w:p>
        </w:tc>
      </w:tr>
      <w:tr>
        <w:trPr>
          <w:trHeight w:val="229"/>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Cash dividends ($0.27 per share)</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0" w:type="dxa"/>
            <w:vAlign w:val="bottom"/>
          </w:tcPr>
          <w:p>
            <w:pPr>
              <w:spacing w:after="0"/>
              <w:rPr>
                <w:sz w:val="1"/>
                <w:szCs w:val="1"/>
                <w:color w:val="auto"/>
              </w:rPr>
            </w:pPr>
          </w:p>
        </w:tc>
      </w:tr>
      <w:tr>
        <w:trPr>
          <w:trHeight w:val="176"/>
        </w:trPr>
        <w:tc>
          <w:tcPr>
            <w:tcW w:w="3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4,412 common shares pursuant</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stock-based compensation plan, net</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9"/>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314,672 common shares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(13,715)</w:t>
            </w:r>
          </w:p>
        </w:tc>
        <w:tc>
          <w:tcPr>
            <w:tcW w:w="0" w:type="dxa"/>
            <w:vAlign w:val="bottom"/>
          </w:tcPr>
          <w:p>
            <w:pPr>
              <w:spacing w:after="0"/>
              <w:rPr>
                <w:sz w:val="1"/>
                <w:szCs w:val="1"/>
                <w:color w:val="auto"/>
              </w:rPr>
            </w:pPr>
          </w:p>
        </w:tc>
      </w:tr>
      <w:tr>
        <w:trPr>
          <w:trHeight w:val="229"/>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tcBorders>
              <w:bottom w:val="single" w:sz="8" w:color="auto"/>
            </w:tcBorders>
            <w:shd w:val="clear" w:color="auto" w:fill="B6B6B6"/>
          </w:tcPr>
          <w:p>
            <w:pPr>
              <w:spacing w:after="0"/>
              <w:rPr>
                <w:sz w:val="19"/>
                <w:szCs w:val="19"/>
                <w:color w:val="auto"/>
              </w:rPr>
            </w:pPr>
          </w:p>
        </w:tc>
        <w:tc>
          <w:tcPr>
            <w:tcW w:w="960" w:type="dxa"/>
            <w:vAlign w:val="bottom"/>
            <w:tcBorders>
              <w:bottom w:val="single" w:sz="8" w:color="auto"/>
            </w:tcBorders>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tcBorders>
              <w:bottom w:val="single" w:sz="8" w:color="auto"/>
            </w:tcBorders>
            <w:shd w:val="clear" w:color="auto" w:fill="B6B6B6"/>
          </w:tcPr>
          <w:p>
            <w:pPr>
              <w:spacing w:after="0"/>
              <w:rPr>
                <w:sz w:val="19"/>
                <w:szCs w:val="19"/>
                <w:color w:val="auto"/>
              </w:rPr>
            </w:pPr>
          </w:p>
        </w:tc>
        <w:tc>
          <w:tcPr>
            <w:tcW w:w="1100" w:type="dxa"/>
            <w:vAlign w:val="bottom"/>
            <w:tcBorders>
              <w:bottom w:val="single" w:sz="8" w:color="auto"/>
            </w:tcBorders>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tcBorders>
              <w:bottom w:val="single" w:sz="8" w:color="auto"/>
            </w:tcBorders>
            <w:shd w:val="clear" w:color="auto" w:fill="B6B6B6"/>
          </w:tcPr>
          <w:p>
            <w:pPr>
              <w:spacing w:after="0"/>
              <w:rPr>
                <w:sz w:val="19"/>
                <w:szCs w:val="19"/>
                <w:color w:val="auto"/>
              </w:rPr>
            </w:pPr>
          </w:p>
        </w:tc>
        <w:tc>
          <w:tcPr>
            <w:tcW w:w="980" w:type="dxa"/>
            <w:vAlign w:val="bottom"/>
            <w:tcBorders>
              <w:bottom w:val="single" w:sz="8" w:color="auto"/>
            </w:tcBorders>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80" w:type="dxa"/>
            <w:vAlign w:val="bottom"/>
            <w:tcBorders>
              <w:bottom w:val="single" w:sz="8" w:color="auto"/>
            </w:tcBorders>
            <w:shd w:val="clear" w:color="auto" w:fill="B6B6B6"/>
          </w:tcPr>
          <w:p>
            <w:pPr>
              <w:spacing w:after="0"/>
              <w:rPr>
                <w:sz w:val="19"/>
                <w:szCs w:val="19"/>
                <w:color w:val="auto"/>
              </w:rPr>
            </w:pPr>
          </w:p>
        </w:tc>
        <w:tc>
          <w:tcPr>
            <w:tcW w:w="960" w:type="dxa"/>
            <w:vAlign w:val="bottom"/>
            <w:tcBorders>
              <w:bottom w:val="single" w:sz="8" w:color="auto"/>
            </w:tcBorders>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tcBorders>
              <w:bottom w:val="single" w:sz="8" w:color="auto"/>
            </w:tcBorders>
            <w:shd w:val="clear" w:color="auto" w:fill="B6B6B6"/>
          </w:tcPr>
          <w:p>
            <w:pPr>
              <w:spacing w:after="0"/>
              <w:rPr>
                <w:sz w:val="19"/>
                <w:szCs w:val="19"/>
                <w:color w:val="auto"/>
              </w:rPr>
            </w:pPr>
          </w:p>
        </w:tc>
        <w:tc>
          <w:tcPr>
            <w:tcW w:w="14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80" w:type="dxa"/>
            <w:vAlign w:val="bottom"/>
            <w:shd w:val="clear" w:color="auto" w:fill="B6B6B6"/>
          </w:tcPr>
          <w:p>
            <w:pPr>
              <w:spacing w:after="0"/>
              <w:rPr>
                <w:sz w:val="19"/>
                <w:szCs w:val="19"/>
                <w:color w:val="auto"/>
              </w:rPr>
            </w:pPr>
          </w:p>
        </w:tc>
        <w:tc>
          <w:tcPr>
            <w:tcW w:w="240" w:type="dxa"/>
            <w:vAlign w:val="bottom"/>
            <w:tcBorders>
              <w:bottom w:val="single" w:sz="8" w:color="auto"/>
            </w:tcBorders>
            <w:shd w:val="clear" w:color="auto" w:fill="B6B6B6"/>
          </w:tcPr>
          <w:p>
            <w:pPr>
              <w:spacing w:after="0"/>
              <w:rPr>
                <w:sz w:val="19"/>
                <w:szCs w:val="19"/>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September 30, 2021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204,113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108,388</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(67,018)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(5,593)</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247,643</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33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8"/>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June 30, 2022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204,482</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121,386</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(81,742)</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(46,265)</w:t>
            </w:r>
          </w:p>
        </w:tc>
        <w:tc>
          <w:tcPr>
            <w:tcW w:w="8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205,614</w:t>
            </w:r>
          </w:p>
        </w:tc>
        <w:tc>
          <w:tcPr>
            <w:tcW w:w="0" w:type="dxa"/>
            <w:vAlign w:val="bottom"/>
          </w:tcPr>
          <w:p>
            <w:pPr>
              <w:spacing w:after="0"/>
              <w:rPr>
                <w:sz w:val="1"/>
                <w:szCs w:val="1"/>
                <w:color w:val="auto"/>
              </w:rPr>
            </w:pPr>
          </w:p>
        </w:tc>
      </w:tr>
      <w:tr>
        <w:trPr>
          <w:trHeight w:val="230"/>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8,799</w:t>
            </w: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8,799</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($0.28 per share)</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0" w:type="dxa"/>
            <w:vAlign w:val="bottom"/>
          </w:tcPr>
          <w:p>
            <w:pPr>
              <w:spacing w:after="0"/>
              <w:rPr>
                <w:sz w:val="1"/>
                <w:szCs w:val="1"/>
                <w:color w:val="auto"/>
              </w:rPr>
            </w:pPr>
          </w:p>
        </w:tc>
      </w:tr>
      <w:tr>
        <w:trPr>
          <w:trHeight w:val="175"/>
        </w:trPr>
        <w:tc>
          <w:tcPr>
            <w:tcW w:w="3320" w:type="dxa"/>
            <w:vAlign w:val="bottom"/>
            <w:shd w:val="clear" w:color="auto" w:fill="B6B6B6"/>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3,487 common shares pursuant</w:t>
            </w:r>
          </w:p>
        </w:tc>
        <w:tc>
          <w:tcPr>
            <w:tcW w:w="16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80" w:type="dxa"/>
            <w:vAlign w:val="bottom"/>
            <w:shd w:val="clear" w:color="auto" w:fill="B6B6B6"/>
          </w:tcPr>
          <w:p>
            <w:pPr>
              <w:spacing w:after="0"/>
              <w:rPr>
                <w:sz w:val="15"/>
                <w:szCs w:val="15"/>
                <w:color w:val="auto"/>
              </w:rPr>
            </w:pPr>
          </w:p>
        </w:tc>
        <w:tc>
          <w:tcPr>
            <w:tcW w:w="110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60" w:type="dxa"/>
            <w:vAlign w:val="bottom"/>
            <w:shd w:val="clear" w:color="auto" w:fill="B6B6B6"/>
          </w:tcPr>
          <w:p>
            <w:pPr>
              <w:spacing w:after="0"/>
              <w:rPr>
                <w:sz w:val="15"/>
                <w:szCs w:val="15"/>
                <w:color w:val="auto"/>
              </w:rPr>
            </w:pPr>
          </w:p>
        </w:tc>
        <w:tc>
          <w:tcPr>
            <w:tcW w:w="98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18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60" w:type="dxa"/>
            <w:vAlign w:val="bottom"/>
            <w:shd w:val="clear" w:color="auto" w:fill="B6B6B6"/>
          </w:tcPr>
          <w:p>
            <w:pPr>
              <w:spacing w:after="0"/>
              <w:rPr>
                <w:sz w:val="15"/>
                <w:szCs w:val="15"/>
                <w:color w:val="auto"/>
              </w:rPr>
            </w:pPr>
          </w:p>
        </w:tc>
        <w:tc>
          <w:tcPr>
            <w:tcW w:w="148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40" w:type="dxa"/>
            <w:vAlign w:val="bottom"/>
            <w:shd w:val="clear" w:color="auto" w:fill="B6B6B6"/>
          </w:tcPr>
          <w:p>
            <w:pPr>
              <w:spacing w:after="0"/>
              <w:rPr>
                <w:sz w:val="15"/>
                <w:szCs w:val="15"/>
                <w:color w:val="auto"/>
              </w:rPr>
            </w:pPr>
          </w:p>
        </w:tc>
        <w:tc>
          <w:tcPr>
            <w:tcW w:w="900" w:type="dxa"/>
            <w:vAlign w:val="bottom"/>
            <w:shd w:val="clear" w:color="auto" w:fill="B6B6B6"/>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to stock-based compensation plan, net</w:t>
            </w:r>
          </w:p>
        </w:tc>
        <w:tc>
          <w:tcPr>
            <w:tcW w:w="160" w:type="dxa"/>
            <w:vAlign w:val="bottom"/>
            <w:shd w:val="clear" w:color="auto" w:fill="B6B6B6"/>
          </w:tcPr>
          <w:p>
            <w:pPr>
              <w:spacing w:after="0"/>
              <w:rPr>
                <w:sz w:val="21"/>
                <w:szCs w:val="21"/>
                <w:color w:val="auto"/>
              </w:rPr>
            </w:pPr>
          </w:p>
        </w:tc>
        <w:tc>
          <w:tcPr>
            <w:tcW w:w="96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80" w:type="dxa"/>
            <w:vAlign w:val="bottom"/>
            <w:shd w:val="clear" w:color="auto" w:fill="B6B6B6"/>
          </w:tcPr>
          <w:p>
            <w:pPr>
              <w:spacing w:after="0"/>
              <w:rPr>
                <w:sz w:val="21"/>
                <w:szCs w:val="21"/>
                <w:color w:val="auto"/>
              </w:rPr>
            </w:pP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980" w:type="dxa"/>
            <w:vAlign w:val="bottom"/>
            <w:shd w:val="clear" w:color="auto" w:fill="B6B6B6"/>
          </w:tcPr>
          <w:p>
            <w:pPr>
              <w:spacing w:after="0"/>
              <w:rPr>
                <w:sz w:val="21"/>
                <w:szCs w:val="21"/>
                <w:color w:val="auto"/>
              </w:rPr>
            </w:pPr>
          </w:p>
        </w:tc>
        <w:tc>
          <w:tcPr>
            <w:tcW w:w="80" w:type="dxa"/>
            <w:vAlign w:val="bottom"/>
            <w:shd w:val="clear" w:color="auto" w:fill="B6B6B6"/>
          </w:tcPr>
          <w:p>
            <w:pPr>
              <w:spacing w:after="0"/>
              <w:rPr>
                <w:sz w:val="21"/>
                <w:szCs w:val="21"/>
                <w:color w:val="auto"/>
              </w:rPr>
            </w:pPr>
          </w:p>
        </w:tc>
        <w:tc>
          <w:tcPr>
            <w:tcW w:w="180" w:type="dxa"/>
            <w:vAlign w:val="bottom"/>
            <w:shd w:val="clear" w:color="auto" w:fill="B6B6B6"/>
          </w:tcPr>
          <w:p>
            <w:pPr>
              <w:spacing w:after="0"/>
              <w:rPr>
                <w:sz w:val="21"/>
                <w:szCs w:val="21"/>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1480" w:type="dxa"/>
            <w:vAlign w:val="bottom"/>
            <w:shd w:val="clear" w:color="auto" w:fill="B6B6B6"/>
          </w:tcPr>
          <w:p>
            <w:pPr>
              <w:spacing w:after="0"/>
              <w:rPr>
                <w:sz w:val="21"/>
                <w:szCs w:val="21"/>
                <w:color w:val="auto"/>
              </w:rPr>
            </w:pPr>
          </w:p>
        </w:tc>
        <w:tc>
          <w:tcPr>
            <w:tcW w:w="8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0" w:type="dxa"/>
            <w:vAlign w:val="bottom"/>
          </w:tcPr>
          <w:p>
            <w:pPr>
              <w:spacing w:after="0"/>
              <w:rPr>
                <w:sz w:val="1"/>
                <w:szCs w:val="1"/>
                <w:color w:val="auto"/>
              </w:rPr>
            </w:pPr>
          </w:p>
        </w:tc>
      </w:tr>
      <w:tr>
        <w:trPr>
          <w:trHeight w:val="230"/>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tcBorders>
              <w:bottom w:val="single" w:sz="8" w:color="auto"/>
            </w:tcBorders>
            <w:shd w:val="clear" w:color="auto" w:fill="B6B6B6"/>
          </w:tcPr>
          <w:p>
            <w:pPr>
              <w:spacing w:after="0"/>
              <w:rPr>
                <w:sz w:val="19"/>
                <w:szCs w:val="19"/>
                <w:color w:val="auto"/>
              </w:rPr>
            </w:pPr>
          </w:p>
        </w:tc>
        <w:tc>
          <w:tcPr>
            <w:tcW w:w="960" w:type="dxa"/>
            <w:vAlign w:val="bottom"/>
            <w:tcBorders>
              <w:bottom w:val="single" w:sz="8" w:color="auto"/>
            </w:tcBorders>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tcBorders>
              <w:bottom w:val="single" w:sz="8" w:color="auto"/>
            </w:tcBorders>
            <w:shd w:val="clear" w:color="auto" w:fill="B6B6B6"/>
          </w:tcPr>
          <w:p>
            <w:pPr>
              <w:spacing w:after="0"/>
              <w:rPr>
                <w:sz w:val="19"/>
                <w:szCs w:val="19"/>
                <w:color w:val="auto"/>
              </w:rPr>
            </w:pPr>
          </w:p>
        </w:tc>
        <w:tc>
          <w:tcPr>
            <w:tcW w:w="1100" w:type="dxa"/>
            <w:vAlign w:val="bottom"/>
            <w:tcBorders>
              <w:bottom w:val="single" w:sz="8" w:color="auto"/>
            </w:tcBorders>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tcBorders>
              <w:bottom w:val="single" w:sz="8" w:color="auto"/>
            </w:tcBorders>
            <w:shd w:val="clear" w:color="auto" w:fill="B6B6B6"/>
          </w:tcPr>
          <w:p>
            <w:pPr>
              <w:spacing w:after="0"/>
              <w:rPr>
                <w:sz w:val="19"/>
                <w:szCs w:val="19"/>
                <w:color w:val="auto"/>
              </w:rPr>
            </w:pPr>
          </w:p>
        </w:tc>
        <w:tc>
          <w:tcPr>
            <w:tcW w:w="980" w:type="dxa"/>
            <w:vAlign w:val="bottom"/>
            <w:tcBorders>
              <w:bottom w:val="single" w:sz="8" w:color="auto"/>
            </w:tcBorders>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80" w:type="dxa"/>
            <w:vAlign w:val="bottom"/>
            <w:tcBorders>
              <w:bottom w:val="single" w:sz="8" w:color="auto"/>
            </w:tcBorders>
            <w:shd w:val="clear" w:color="auto" w:fill="B6B6B6"/>
          </w:tcPr>
          <w:p>
            <w:pPr>
              <w:spacing w:after="0"/>
              <w:rPr>
                <w:sz w:val="19"/>
                <w:szCs w:val="19"/>
                <w:color w:val="auto"/>
              </w:rPr>
            </w:pPr>
          </w:p>
        </w:tc>
        <w:tc>
          <w:tcPr>
            <w:tcW w:w="960" w:type="dxa"/>
            <w:vAlign w:val="bottom"/>
            <w:tcBorders>
              <w:bottom w:val="single" w:sz="8" w:color="auto"/>
            </w:tcBorders>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tcBorders>
              <w:bottom w:val="single" w:sz="8" w:color="auto"/>
            </w:tcBorders>
            <w:shd w:val="clear" w:color="auto" w:fill="B6B6B6"/>
          </w:tcPr>
          <w:p>
            <w:pPr>
              <w:spacing w:after="0"/>
              <w:rPr>
                <w:sz w:val="19"/>
                <w:szCs w:val="19"/>
                <w:color w:val="auto"/>
              </w:rPr>
            </w:pPr>
          </w:p>
        </w:tc>
        <w:tc>
          <w:tcPr>
            <w:tcW w:w="14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(20,114)</w:t>
            </w:r>
          </w:p>
        </w:tc>
        <w:tc>
          <w:tcPr>
            <w:tcW w:w="80" w:type="dxa"/>
            <w:vAlign w:val="bottom"/>
            <w:shd w:val="clear" w:color="auto" w:fill="B6B6B6"/>
          </w:tcPr>
          <w:p>
            <w:pPr>
              <w:spacing w:after="0"/>
              <w:rPr>
                <w:sz w:val="19"/>
                <w:szCs w:val="19"/>
                <w:color w:val="auto"/>
              </w:rPr>
            </w:pPr>
          </w:p>
        </w:tc>
        <w:tc>
          <w:tcPr>
            <w:tcW w:w="240" w:type="dxa"/>
            <w:vAlign w:val="bottom"/>
            <w:tcBorders>
              <w:bottom w:val="single" w:sz="8" w:color="auto"/>
            </w:tcBorders>
            <w:shd w:val="clear" w:color="auto" w:fill="B6B6B6"/>
          </w:tcPr>
          <w:p>
            <w:pPr>
              <w:spacing w:after="0"/>
              <w:rPr>
                <w:sz w:val="19"/>
                <w:szCs w:val="19"/>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(20,114)</w:t>
            </w: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September 30, 2022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205,624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126,361</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(81,624)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(66,379)</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191,735</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 30,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80" w:type="dxa"/>
            <w:vAlign w:val="bottom"/>
          </w:tcPr>
          <w:p>
            <w:pPr>
              <w:spacing w:after="0"/>
              <w:rPr>
                <w:sz w:val="15"/>
                <w:szCs w:val="15"/>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160" w:type="dxa"/>
            <w:vAlign w:val="bottom"/>
          </w:tcPr>
          <w:p>
            <w:pPr>
              <w:spacing w:after="0"/>
              <w:rPr>
                <w:sz w:val="15"/>
                <w:szCs w:val="15"/>
                <w:color w:val="auto"/>
              </w:rPr>
            </w:pPr>
          </w:p>
        </w:tc>
        <w:tc>
          <w:tcPr>
            <w:tcW w:w="15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240" w:type="dxa"/>
            <w:vAlign w:val="bottom"/>
          </w:tcPr>
          <w:p>
            <w:pPr>
              <w:spacing w:after="0"/>
              <w:rPr>
                <w:sz w:val="15"/>
                <w:szCs w:val="15"/>
                <w:color w:val="auto"/>
              </w:rPr>
            </w:pPr>
          </w:p>
        </w:tc>
        <w:tc>
          <w:tcPr>
            <w:tcW w:w="90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80" w:type="dxa"/>
            <w:vAlign w:val="bottom"/>
          </w:tcPr>
          <w:p>
            <w:pPr>
              <w:spacing w:after="0"/>
              <w:rPr>
                <w:sz w:val="21"/>
                <w:szCs w:val="21"/>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60" w:type="dxa"/>
            <w:vAlign w:val="bottom"/>
          </w:tcPr>
          <w:p>
            <w:pPr>
              <w:spacing w:after="0"/>
              <w:rPr>
                <w:sz w:val="21"/>
                <w:szCs w:val="21"/>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8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60" w:type="dxa"/>
            <w:vAlign w:val="bottom"/>
          </w:tcPr>
          <w:p>
            <w:pPr>
              <w:spacing w:after="0"/>
              <w:rPr>
                <w:sz w:val="21"/>
                <w:szCs w:val="21"/>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24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320" w:type="dxa"/>
            <w:vAlign w:val="bottom"/>
            <w:tcBorders>
              <w:top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December 31, 2020</w:t>
            </w:r>
          </w:p>
        </w:tc>
        <w:tc>
          <w:tcPr>
            <w:tcW w:w="1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Borders>
              <w:top w:val="single" w:sz="8" w:color="B6B6B6"/>
            </w:tcBorders>
            <w:shd w:val="clear" w:color="auto" w:fill="B6B6B6"/>
          </w:tcPr>
          <w:p>
            <w:pPr>
              <w:spacing w:after="0"/>
              <w:rPr>
                <w:sz w:val="19"/>
                <w:szCs w:val="19"/>
                <w:color w:val="auto"/>
              </w:rPr>
            </w:pPr>
          </w:p>
        </w:tc>
        <w:tc>
          <w:tcPr>
            <w:tcW w:w="1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204,875</w:t>
            </w:r>
          </w:p>
        </w:tc>
        <w:tc>
          <w:tcPr>
            <w:tcW w:w="100" w:type="dxa"/>
            <w:vAlign w:val="bottom"/>
            <w:tcBorders>
              <w:top w:val="single" w:sz="8" w:color="B6B6B6"/>
            </w:tcBorders>
            <w:shd w:val="clear" w:color="auto" w:fill="B6B6B6"/>
          </w:tcPr>
          <w:p>
            <w:pPr>
              <w:spacing w:after="0"/>
              <w:rPr>
                <w:sz w:val="19"/>
                <w:szCs w:val="19"/>
                <w:color w:val="auto"/>
              </w:rPr>
            </w:pPr>
          </w:p>
        </w:tc>
        <w:tc>
          <w:tcPr>
            <w:tcW w:w="1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99,062</w:t>
            </w:r>
          </w:p>
        </w:tc>
        <w:tc>
          <w:tcPr>
            <w:tcW w:w="80" w:type="dxa"/>
            <w:vAlign w:val="bottom"/>
            <w:tcBorders>
              <w:top w:val="single" w:sz="8" w:color="B6B6B6"/>
            </w:tcBorders>
            <w:shd w:val="clear" w:color="auto" w:fill="B6B6B6"/>
          </w:tcPr>
          <w:p>
            <w:pPr>
              <w:spacing w:after="0"/>
              <w:rPr>
                <w:sz w:val="19"/>
                <w:szCs w:val="19"/>
                <w:color w:val="auto"/>
              </w:rPr>
            </w:pPr>
          </w:p>
        </w:tc>
        <w:tc>
          <w:tcPr>
            <w:tcW w:w="1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(50,515)</w:t>
            </w:r>
          </w:p>
        </w:tc>
        <w:tc>
          <w:tcPr>
            <w:tcW w:w="100" w:type="dxa"/>
            <w:vAlign w:val="bottom"/>
            <w:tcBorders>
              <w:top w:val="single" w:sz="8" w:color="B6B6B6"/>
            </w:tcBorders>
            <w:shd w:val="clear" w:color="auto" w:fill="B6B6B6"/>
          </w:tcPr>
          <w:p>
            <w:pPr>
              <w:spacing w:after="0"/>
              <w:rPr>
                <w:sz w:val="19"/>
                <w:szCs w:val="19"/>
                <w:color w:val="auto"/>
              </w:rPr>
            </w:pPr>
          </w:p>
        </w:tc>
        <w:tc>
          <w:tcPr>
            <w:tcW w:w="1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top w:val="single" w:sz="8" w:color="B6B6B6"/>
            </w:tcBorders>
            <w:shd w:val="clear" w:color="auto" w:fill="B6B6B6"/>
          </w:tcPr>
          <w:p>
            <w:pPr>
              <w:spacing w:after="0"/>
              <w:rPr>
                <w:sz w:val="19"/>
                <w:szCs w:val="19"/>
                <w:color w:val="auto"/>
              </w:rPr>
            </w:pPr>
          </w:p>
        </w:tc>
        <w:tc>
          <w:tcPr>
            <w:tcW w:w="240" w:type="dxa"/>
            <w:vAlign w:val="bottom"/>
            <w:tcBorders>
              <w:top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261,160</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20,902</w:t>
            </w:r>
          </w:p>
        </w:tc>
        <w:tc>
          <w:tcPr>
            <w:tcW w:w="0" w:type="dxa"/>
            <w:vAlign w:val="bottom"/>
          </w:tcPr>
          <w:p>
            <w:pPr>
              <w:spacing w:after="0"/>
              <w:rPr>
                <w:sz w:val="1"/>
                <w:szCs w:val="1"/>
                <w:color w:val="auto"/>
              </w:rPr>
            </w:pPr>
          </w:p>
        </w:tc>
      </w:tr>
      <w:tr>
        <w:trPr>
          <w:trHeight w:val="230"/>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Cash dividends ($.81 per share)</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(11,576)</w:t>
            </w: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(11,576)</w:t>
            </w:r>
          </w:p>
        </w:tc>
        <w:tc>
          <w:tcPr>
            <w:tcW w:w="0" w:type="dxa"/>
            <w:vAlign w:val="bottom"/>
          </w:tcPr>
          <w:p>
            <w:pPr>
              <w:spacing w:after="0"/>
              <w:rPr>
                <w:sz w:val="1"/>
                <w:szCs w:val="1"/>
                <w:color w:val="auto"/>
              </w:rPr>
            </w:pPr>
          </w:p>
        </w:tc>
      </w:tr>
      <w:tr>
        <w:trPr>
          <w:trHeight w:val="175"/>
        </w:trPr>
        <w:tc>
          <w:tcPr>
            <w:tcW w:w="3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83,506 common shares pursuant</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stock-based compensation plan, net</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29"/>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Exercise of SARs</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0" w:type="dxa"/>
            <w:vAlign w:val="bottom"/>
          </w:tcPr>
          <w:p>
            <w:pPr>
              <w:spacing w:after="0"/>
              <w:rPr>
                <w:sz w:val="1"/>
                <w:szCs w:val="1"/>
                <w:color w:val="auto"/>
              </w:rPr>
            </w:pPr>
          </w:p>
        </w:tc>
      </w:tr>
      <w:tr>
        <w:trPr>
          <w:trHeight w:val="229"/>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Purchase of 434,938 common shares</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(18,975)</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(18,975)</w:t>
            </w:r>
          </w:p>
        </w:tc>
        <w:tc>
          <w:tcPr>
            <w:tcW w:w="0" w:type="dxa"/>
            <w:vAlign w:val="bottom"/>
          </w:tcPr>
          <w:p>
            <w:pPr>
              <w:spacing w:after="0"/>
              <w:rPr>
                <w:sz w:val="1"/>
                <w:szCs w:val="1"/>
                <w:color w:val="auto"/>
              </w:rPr>
            </w:pPr>
          </w:p>
        </w:tc>
      </w:tr>
      <w:tr>
        <w:trPr>
          <w:trHeight w:val="229"/>
        </w:trPr>
        <w:tc>
          <w:tcPr>
            <w:tcW w:w="3320" w:type="dxa"/>
            <w:vAlign w:val="bottom"/>
            <w:tcBorders>
              <w:bottom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0" w:type="dxa"/>
            <w:vAlign w:val="bottom"/>
            <w:tcBorders>
              <w:bottom w:val="single" w:sz="8" w:color="B6B6B6"/>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(5,578)</w:t>
            </w:r>
          </w:p>
        </w:tc>
        <w:tc>
          <w:tcPr>
            <w:tcW w:w="80" w:type="dxa"/>
            <w:vAlign w:val="bottom"/>
            <w:tcBorders>
              <w:bottom w:val="single" w:sz="8" w:color="B6B6B6"/>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(5,578)</w:t>
            </w:r>
          </w:p>
        </w:tc>
        <w:tc>
          <w:tcPr>
            <w:tcW w:w="0" w:type="dxa"/>
            <w:vAlign w:val="bottom"/>
          </w:tcPr>
          <w:p>
            <w:pPr>
              <w:spacing w:after="0"/>
              <w:rPr>
                <w:sz w:val="1"/>
                <w:szCs w:val="1"/>
                <w:color w:val="auto"/>
              </w:rPr>
            </w:pPr>
          </w:p>
        </w:tc>
      </w:tr>
      <w:tr>
        <w:trPr>
          <w:trHeight w:val="248"/>
        </w:trPr>
        <w:tc>
          <w:tcPr>
            <w:tcW w:w="332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September 30, 2021</w:t>
            </w: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Borders>
              <w:bottom w:val="single" w:sz="8" w:color="B6B6B6"/>
            </w:tcBorders>
            <w:shd w:val="clear" w:color="auto" w:fill="B6B6B6"/>
          </w:tcPr>
          <w:p>
            <w:pPr>
              <w:spacing w:after="0"/>
              <w:rPr>
                <w:sz w:val="21"/>
                <w:szCs w:val="21"/>
                <w:color w:val="auto"/>
              </w:rPr>
            </w:pPr>
          </w:p>
        </w:tc>
        <w:tc>
          <w:tcPr>
            <w:tcW w:w="1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204,113</w:t>
            </w:r>
          </w:p>
        </w:tc>
        <w:tc>
          <w:tcPr>
            <w:tcW w:w="100" w:type="dxa"/>
            <w:vAlign w:val="bottom"/>
            <w:tcBorders>
              <w:bottom w:val="single" w:sz="8" w:color="B6B6B6"/>
            </w:tcBorders>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108,388</w:t>
            </w:r>
          </w:p>
        </w:tc>
        <w:tc>
          <w:tcPr>
            <w:tcW w:w="80" w:type="dxa"/>
            <w:vAlign w:val="bottom"/>
            <w:tcBorders>
              <w:bottom w:val="single" w:sz="8" w:color="B6B6B6"/>
            </w:tcBorders>
            <w:shd w:val="clear" w:color="auto" w:fill="B6B6B6"/>
          </w:tcPr>
          <w:p>
            <w:pPr>
              <w:spacing w:after="0"/>
              <w:rPr>
                <w:sz w:val="21"/>
                <w:szCs w:val="21"/>
                <w:color w:val="auto"/>
              </w:rPr>
            </w:pPr>
          </w:p>
        </w:tc>
        <w:tc>
          <w:tcPr>
            <w:tcW w:w="1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(67,018)</w:t>
            </w:r>
          </w:p>
        </w:tc>
        <w:tc>
          <w:tcPr>
            <w:tcW w:w="100" w:type="dxa"/>
            <w:vAlign w:val="bottom"/>
            <w:tcBorders>
              <w:bottom w:val="single" w:sz="8" w:color="B6B6B6"/>
            </w:tcBorders>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(5,593)</w:t>
            </w:r>
          </w:p>
        </w:tc>
        <w:tc>
          <w:tcPr>
            <w:tcW w:w="80" w:type="dxa"/>
            <w:vAlign w:val="bottom"/>
            <w:tcBorders>
              <w:bottom w:val="single" w:sz="8" w:color="B6B6B6"/>
            </w:tcBorders>
            <w:shd w:val="clear" w:color="auto" w:fill="B6B6B6"/>
          </w:tcPr>
          <w:p>
            <w:pPr>
              <w:spacing w:after="0"/>
              <w:rPr>
                <w:sz w:val="21"/>
                <w:szCs w:val="21"/>
                <w:color w:val="auto"/>
              </w:rPr>
            </w:pPr>
          </w:p>
        </w:tc>
        <w:tc>
          <w:tcPr>
            <w:tcW w:w="24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247,643</w:t>
            </w:r>
          </w:p>
        </w:tc>
        <w:tc>
          <w:tcPr>
            <w:tcW w:w="0" w:type="dxa"/>
            <w:vAlign w:val="bottom"/>
          </w:tcPr>
          <w:p>
            <w:pPr>
              <w:spacing w:after="0"/>
              <w:rPr>
                <w:sz w:val="1"/>
                <w:szCs w:val="1"/>
                <w:color w:val="auto"/>
              </w:rPr>
            </w:pPr>
          </w:p>
        </w:tc>
      </w:tr>
      <w:tr>
        <w:trPr>
          <w:trHeight w:val="20"/>
        </w:trPr>
        <w:tc>
          <w:tcPr>
            <w:tcW w:w="332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96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80" w:type="dxa"/>
            <w:vAlign w:val="bottom"/>
            <w:tcBorders>
              <w:top w:val="single" w:sz="8" w:color="B6B6B6"/>
              <w:bottom w:val="single" w:sz="8" w:color="auto"/>
            </w:tcBorders>
          </w:tcPr>
          <w:p>
            <w:pPr>
              <w:spacing w:after="0" w:line="20" w:lineRule="exact"/>
              <w:rPr>
                <w:sz w:val="1"/>
                <w:szCs w:val="1"/>
                <w:color w:val="auto"/>
              </w:rPr>
            </w:pPr>
          </w:p>
        </w:tc>
        <w:tc>
          <w:tcPr>
            <w:tcW w:w="110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980" w:type="dxa"/>
            <w:vAlign w:val="bottom"/>
            <w:tcBorders>
              <w:top w:val="single" w:sz="8" w:color="B6B6B6"/>
              <w:bottom w:val="single" w:sz="8" w:color="auto"/>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180" w:type="dxa"/>
            <w:vAlign w:val="bottom"/>
            <w:tcBorders>
              <w:top w:val="single" w:sz="8" w:color="B6B6B6"/>
              <w:bottom w:val="single" w:sz="8" w:color="auto"/>
            </w:tcBorders>
          </w:tcPr>
          <w:p>
            <w:pPr>
              <w:spacing w:after="0" w:line="20" w:lineRule="exact"/>
              <w:rPr>
                <w:sz w:val="1"/>
                <w:szCs w:val="1"/>
                <w:color w:val="auto"/>
              </w:rPr>
            </w:pPr>
          </w:p>
        </w:tc>
        <w:tc>
          <w:tcPr>
            <w:tcW w:w="96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1480" w:type="dxa"/>
            <w:vAlign w:val="bottom"/>
            <w:tcBorders>
              <w:top w:val="single" w:sz="8" w:color="B6B6B6"/>
              <w:bottom w:val="single" w:sz="8" w:color="auto"/>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240" w:type="dxa"/>
            <w:vAlign w:val="bottom"/>
            <w:tcBorders>
              <w:top w:val="single" w:sz="8" w:color="B6B6B6"/>
              <w:bottom w:val="single" w:sz="8" w:color="auto"/>
            </w:tcBorders>
          </w:tcPr>
          <w:p>
            <w:pPr>
              <w:spacing w:after="0" w:line="20" w:lineRule="exact"/>
              <w:rPr>
                <w:sz w:val="1"/>
                <w:szCs w:val="1"/>
                <w:color w:val="auto"/>
              </w:rPr>
            </w:pPr>
          </w:p>
        </w:tc>
        <w:tc>
          <w:tcPr>
            <w:tcW w:w="900" w:type="dxa"/>
            <w:vAlign w:val="bottom"/>
            <w:tcBorders>
              <w:top w:val="single" w:sz="8" w:color="B6B6B6"/>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33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204,276</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112,220</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(78,904)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8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245,798</w:t>
            </w:r>
          </w:p>
        </w:tc>
        <w:tc>
          <w:tcPr>
            <w:tcW w:w="0" w:type="dxa"/>
            <w:vAlign w:val="bottom"/>
          </w:tcPr>
          <w:p>
            <w:pPr>
              <w:spacing w:after="0"/>
              <w:rPr>
                <w:sz w:val="1"/>
                <w:szCs w:val="1"/>
                <w:color w:val="auto"/>
              </w:rPr>
            </w:pPr>
          </w:p>
        </w:tc>
      </w:tr>
      <w:tr>
        <w:trPr>
          <w:trHeight w:val="229"/>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25,619</w:t>
            </w: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25,619</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($.84 per share)</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(11,478)</w:t>
            </w:r>
          </w:p>
        </w:tc>
        <w:tc>
          <w:tcPr>
            <w:tcW w:w="0" w:type="dxa"/>
            <w:vAlign w:val="bottom"/>
          </w:tcPr>
          <w:p>
            <w:pPr>
              <w:spacing w:after="0"/>
              <w:rPr>
                <w:sz w:val="1"/>
                <w:szCs w:val="1"/>
                <w:color w:val="auto"/>
              </w:rPr>
            </w:pPr>
          </w:p>
        </w:tc>
      </w:tr>
      <w:tr>
        <w:trPr>
          <w:trHeight w:val="176"/>
        </w:trPr>
        <w:tc>
          <w:tcPr>
            <w:tcW w:w="3320" w:type="dxa"/>
            <w:vAlign w:val="bottom"/>
            <w:shd w:val="clear" w:color="auto" w:fill="B6B6B6"/>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80,396 common shares pursuant</w:t>
            </w:r>
          </w:p>
        </w:tc>
        <w:tc>
          <w:tcPr>
            <w:tcW w:w="16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80" w:type="dxa"/>
            <w:vAlign w:val="bottom"/>
            <w:shd w:val="clear" w:color="auto" w:fill="B6B6B6"/>
          </w:tcPr>
          <w:p>
            <w:pPr>
              <w:spacing w:after="0"/>
              <w:rPr>
                <w:sz w:val="15"/>
                <w:szCs w:val="15"/>
                <w:color w:val="auto"/>
              </w:rPr>
            </w:pPr>
          </w:p>
        </w:tc>
        <w:tc>
          <w:tcPr>
            <w:tcW w:w="110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60" w:type="dxa"/>
            <w:vAlign w:val="bottom"/>
            <w:shd w:val="clear" w:color="auto" w:fill="B6B6B6"/>
          </w:tcPr>
          <w:p>
            <w:pPr>
              <w:spacing w:after="0"/>
              <w:rPr>
                <w:sz w:val="15"/>
                <w:szCs w:val="15"/>
                <w:color w:val="auto"/>
              </w:rPr>
            </w:pPr>
          </w:p>
        </w:tc>
        <w:tc>
          <w:tcPr>
            <w:tcW w:w="98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18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60" w:type="dxa"/>
            <w:vAlign w:val="bottom"/>
            <w:shd w:val="clear" w:color="auto" w:fill="B6B6B6"/>
          </w:tcPr>
          <w:p>
            <w:pPr>
              <w:spacing w:after="0"/>
              <w:rPr>
                <w:sz w:val="15"/>
                <w:szCs w:val="15"/>
                <w:color w:val="auto"/>
              </w:rPr>
            </w:pPr>
          </w:p>
        </w:tc>
        <w:tc>
          <w:tcPr>
            <w:tcW w:w="148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40" w:type="dxa"/>
            <w:vAlign w:val="bottom"/>
            <w:shd w:val="clear" w:color="auto" w:fill="B6B6B6"/>
          </w:tcPr>
          <w:p>
            <w:pPr>
              <w:spacing w:after="0"/>
              <w:rPr>
                <w:sz w:val="15"/>
                <w:szCs w:val="15"/>
                <w:color w:val="auto"/>
              </w:rPr>
            </w:pPr>
          </w:p>
        </w:tc>
        <w:tc>
          <w:tcPr>
            <w:tcW w:w="900" w:type="dxa"/>
            <w:vAlign w:val="bottom"/>
            <w:shd w:val="clear" w:color="auto" w:fill="B6B6B6"/>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to stock-based compensation plan, net</w:t>
            </w:r>
          </w:p>
        </w:tc>
        <w:tc>
          <w:tcPr>
            <w:tcW w:w="160" w:type="dxa"/>
            <w:vAlign w:val="bottom"/>
            <w:shd w:val="clear" w:color="auto" w:fill="B6B6B6"/>
          </w:tcPr>
          <w:p>
            <w:pPr>
              <w:spacing w:after="0"/>
              <w:rPr>
                <w:sz w:val="21"/>
                <w:szCs w:val="21"/>
                <w:color w:val="auto"/>
              </w:rPr>
            </w:pPr>
          </w:p>
        </w:tc>
        <w:tc>
          <w:tcPr>
            <w:tcW w:w="96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80" w:type="dxa"/>
            <w:vAlign w:val="bottom"/>
            <w:shd w:val="clear" w:color="auto" w:fill="B6B6B6"/>
          </w:tcPr>
          <w:p>
            <w:pPr>
              <w:spacing w:after="0"/>
              <w:rPr>
                <w:sz w:val="21"/>
                <w:szCs w:val="21"/>
                <w:color w:val="auto"/>
              </w:rPr>
            </w:pP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10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980" w:type="dxa"/>
            <w:vAlign w:val="bottom"/>
            <w:shd w:val="clear" w:color="auto" w:fill="B6B6B6"/>
          </w:tcPr>
          <w:p>
            <w:pPr>
              <w:spacing w:after="0"/>
              <w:rPr>
                <w:sz w:val="21"/>
                <w:szCs w:val="21"/>
                <w:color w:val="auto"/>
              </w:rPr>
            </w:pPr>
          </w:p>
        </w:tc>
        <w:tc>
          <w:tcPr>
            <w:tcW w:w="80" w:type="dxa"/>
            <w:vAlign w:val="bottom"/>
            <w:shd w:val="clear" w:color="auto" w:fill="B6B6B6"/>
          </w:tcPr>
          <w:p>
            <w:pPr>
              <w:spacing w:after="0"/>
              <w:rPr>
                <w:sz w:val="21"/>
                <w:szCs w:val="21"/>
                <w:color w:val="auto"/>
              </w:rPr>
            </w:pPr>
          </w:p>
        </w:tc>
        <w:tc>
          <w:tcPr>
            <w:tcW w:w="180" w:type="dxa"/>
            <w:vAlign w:val="bottom"/>
            <w:shd w:val="clear" w:color="auto" w:fill="B6B6B6"/>
          </w:tcPr>
          <w:p>
            <w:pPr>
              <w:spacing w:after="0"/>
              <w:rPr>
                <w:sz w:val="21"/>
                <w:szCs w:val="21"/>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10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1480" w:type="dxa"/>
            <w:vAlign w:val="bottom"/>
            <w:shd w:val="clear" w:color="auto" w:fill="B6B6B6"/>
          </w:tcPr>
          <w:p>
            <w:pPr>
              <w:spacing w:after="0"/>
              <w:rPr>
                <w:sz w:val="21"/>
                <w:szCs w:val="21"/>
                <w:color w:val="auto"/>
              </w:rPr>
            </w:pPr>
          </w:p>
        </w:tc>
        <w:tc>
          <w:tcPr>
            <w:tcW w:w="8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SARs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30"/>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4,479</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4,479</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130,374 common shares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(5,299)</w:t>
            </w:r>
          </w:p>
        </w:tc>
        <w:tc>
          <w:tcPr>
            <w:tcW w:w="0" w:type="dxa"/>
            <w:vAlign w:val="bottom"/>
          </w:tcPr>
          <w:p>
            <w:pPr>
              <w:spacing w:after="0"/>
              <w:rPr>
                <w:sz w:val="1"/>
                <w:szCs w:val="1"/>
                <w:color w:val="auto"/>
              </w:rPr>
            </w:pPr>
          </w:p>
        </w:tc>
      </w:tr>
      <w:tr>
        <w:trPr>
          <w:trHeight w:val="230"/>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tcBorders>
              <w:bottom w:val="single" w:sz="8" w:color="auto"/>
            </w:tcBorders>
            <w:shd w:val="clear" w:color="auto" w:fill="B6B6B6"/>
          </w:tcPr>
          <w:p>
            <w:pPr>
              <w:spacing w:after="0"/>
              <w:rPr>
                <w:sz w:val="19"/>
                <w:szCs w:val="19"/>
                <w:color w:val="auto"/>
              </w:rPr>
            </w:pPr>
          </w:p>
        </w:tc>
        <w:tc>
          <w:tcPr>
            <w:tcW w:w="960" w:type="dxa"/>
            <w:vAlign w:val="bottom"/>
            <w:tcBorders>
              <w:bottom w:val="single" w:sz="8" w:color="auto"/>
            </w:tcBorders>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tcBorders>
              <w:bottom w:val="single" w:sz="8" w:color="auto"/>
            </w:tcBorders>
            <w:shd w:val="clear" w:color="auto" w:fill="B6B6B6"/>
          </w:tcPr>
          <w:p>
            <w:pPr>
              <w:spacing w:after="0"/>
              <w:rPr>
                <w:sz w:val="19"/>
                <w:szCs w:val="19"/>
                <w:color w:val="auto"/>
              </w:rPr>
            </w:pPr>
          </w:p>
        </w:tc>
        <w:tc>
          <w:tcPr>
            <w:tcW w:w="1100" w:type="dxa"/>
            <w:vAlign w:val="bottom"/>
            <w:tcBorders>
              <w:bottom w:val="single" w:sz="8" w:color="auto"/>
            </w:tcBorders>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tcBorders>
              <w:bottom w:val="single" w:sz="8" w:color="auto"/>
            </w:tcBorders>
            <w:shd w:val="clear" w:color="auto" w:fill="B6B6B6"/>
          </w:tcPr>
          <w:p>
            <w:pPr>
              <w:spacing w:after="0"/>
              <w:rPr>
                <w:sz w:val="19"/>
                <w:szCs w:val="19"/>
                <w:color w:val="auto"/>
              </w:rPr>
            </w:pPr>
          </w:p>
        </w:tc>
        <w:tc>
          <w:tcPr>
            <w:tcW w:w="980" w:type="dxa"/>
            <w:vAlign w:val="bottom"/>
            <w:tcBorders>
              <w:bottom w:val="single" w:sz="8" w:color="auto"/>
            </w:tcBorders>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80" w:type="dxa"/>
            <w:vAlign w:val="bottom"/>
            <w:tcBorders>
              <w:bottom w:val="single" w:sz="8" w:color="auto"/>
            </w:tcBorders>
            <w:shd w:val="clear" w:color="auto" w:fill="B6B6B6"/>
          </w:tcPr>
          <w:p>
            <w:pPr>
              <w:spacing w:after="0"/>
              <w:rPr>
                <w:sz w:val="19"/>
                <w:szCs w:val="19"/>
                <w:color w:val="auto"/>
              </w:rPr>
            </w:pPr>
          </w:p>
        </w:tc>
        <w:tc>
          <w:tcPr>
            <w:tcW w:w="960" w:type="dxa"/>
            <w:vAlign w:val="bottom"/>
            <w:tcBorders>
              <w:bottom w:val="single" w:sz="8" w:color="auto"/>
            </w:tcBorders>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tcBorders>
              <w:bottom w:val="single" w:sz="8" w:color="auto"/>
            </w:tcBorders>
            <w:shd w:val="clear" w:color="auto" w:fill="B6B6B6"/>
          </w:tcPr>
          <w:p>
            <w:pPr>
              <w:spacing w:after="0"/>
              <w:rPr>
                <w:sz w:val="19"/>
                <w:szCs w:val="19"/>
                <w:color w:val="auto"/>
              </w:rPr>
            </w:pPr>
          </w:p>
        </w:tc>
        <w:tc>
          <w:tcPr>
            <w:tcW w:w="14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(66,832)</w:t>
            </w:r>
          </w:p>
        </w:tc>
        <w:tc>
          <w:tcPr>
            <w:tcW w:w="80" w:type="dxa"/>
            <w:vAlign w:val="bottom"/>
            <w:shd w:val="clear" w:color="auto" w:fill="B6B6B6"/>
          </w:tcPr>
          <w:p>
            <w:pPr>
              <w:spacing w:after="0"/>
              <w:rPr>
                <w:sz w:val="19"/>
                <w:szCs w:val="19"/>
                <w:color w:val="auto"/>
              </w:rPr>
            </w:pPr>
          </w:p>
        </w:tc>
        <w:tc>
          <w:tcPr>
            <w:tcW w:w="240" w:type="dxa"/>
            <w:vAlign w:val="bottom"/>
            <w:tcBorders>
              <w:bottom w:val="single" w:sz="8" w:color="auto"/>
            </w:tcBorders>
            <w:shd w:val="clear" w:color="auto" w:fill="B6B6B6"/>
          </w:tcPr>
          <w:p>
            <w:pPr>
              <w:spacing w:after="0"/>
              <w:rPr>
                <w:sz w:val="19"/>
                <w:szCs w:val="19"/>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(66,832)</w:t>
            </w: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September 30, 2022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205,624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126,361</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(81,624)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(66,379)</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191,735</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1 - Basis of Presentation</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U.S. generally accepted accounting principles for interim financial information and with the instructions to Form 10-Q and Rule 10-01 of Regulation S-X. Accordingly, they do not include all of the information and notes required by U.S. generally accepted accounting principles for complete financial statements. In the opinion of management, all adjustments, consisting of normal recurring accruals, considered necessary for a fair presentation have been included. Certain amounts in prior-period financial statements have been reclassified to conform to the current period’s presentation. Such reclassifications have no effect on previously reported net income or shareholders’ equity. For further information, refer to the audited consolidated financial statements and related footnotes included in Cass Information System, Inc.’s (the “Company” or “Cass”) Annual Report on Form 10-K for the year ended December 31, 2021.</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Intangible Assets</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accounts for intangible assets in accordance with Financial Accounting Standards Board (“FASB”) Accounting Standards Codification (“ASC”) 350,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which requires that intangibles with indefinite useful lives be tested annually for impairment, or when management deems there is a triggering event, and those with finite useful lives be amortized over their useful lives.</w:t>
      </w:r>
    </w:p>
    <w:p>
      <w:pPr>
        <w:spacing w:after="0" w:line="13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June 2022, the Company acquired the assets of mobile church management software developer Touchpoint, a division of the Pursuant Group, Inc., and recorded intangible assets of $5,289,000. Those intangible assets were valued at $3,046,000 for goodwill, $1,692,000 for the customer list, $368,000 for software, and $183,000 for the trade name. The goodwill is deductible for tax purposes over 15 years, starting in 2022. The intangible assets and results of Touchpoint are included in the Information Services operating segment.</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purchase price of the acquisition consisted of a cash payment of $4,900,000 and potential contingent consideration in the form of an earn out up to $2,500,000. The Company valued the contingent earn out component at $389,000. The fair value of the contingent consideration was estimated on the acquisition date as the present value of the expected future contingent payments which were determined using a Monte Carlo simulation. The contingent consideration is based upon four years of earnings before interest, taxes, depreciation and amortization (EBITDA) subsequent to the acquisition date. Any changes in the estimated fair value of the contingent earn out consideration, up to the contracted amount, will be reflected in the results of operations in future periods as they are identified.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Details of the Company’s intangible assets are as follows: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50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175"/>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40" w:type="dxa"/>
            <w:vAlign w:val="bottom"/>
          </w:tcPr>
          <w:p>
            <w:pPr>
              <w:spacing w:after="0"/>
              <w:rPr>
                <w:sz w:val="15"/>
                <w:szCs w:val="15"/>
                <w:color w:val="auto"/>
              </w:rPr>
            </w:pPr>
          </w:p>
        </w:tc>
        <w:tc>
          <w:tcPr>
            <w:tcW w:w="1360" w:type="dxa"/>
            <w:vAlign w:val="bottom"/>
          </w:tcPr>
          <w:p>
            <w:pPr>
              <w:jc w:val="right"/>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7"/>
              </w:rPr>
              <w:t>Gross Carrying</w:t>
            </w:r>
          </w:p>
        </w:tc>
        <w:tc>
          <w:tcPr>
            <w:tcW w:w="240" w:type="dxa"/>
            <w:vAlign w:val="bottom"/>
          </w:tcPr>
          <w:p>
            <w:pPr>
              <w:spacing w:after="0"/>
              <w:rPr>
                <w:sz w:val="15"/>
                <w:szCs w:val="15"/>
                <w:color w:val="auto"/>
              </w:rPr>
            </w:pPr>
          </w:p>
        </w:tc>
        <w:tc>
          <w:tcPr>
            <w:tcW w:w="1360" w:type="dxa"/>
            <w:vAlign w:val="bottom"/>
          </w:tcPr>
          <w:p>
            <w:pPr>
              <w:jc w:val="right"/>
              <w:ind w:right="210"/>
              <w:spacing w:after="0" w:line="176"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60" w:type="dxa"/>
            <w:vAlign w:val="bottom"/>
          </w:tcPr>
          <w:p>
            <w:pPr>
              <w:spacing w:after="0"/>
              <w:rPr>
                <w:sz w:val="15"/>
                <w:szCs w:val="15"/>
                <w:color w:val="auto"/>
              </w:rPr>
            </w:pPr>
          </w:p>
        </w:tc>
        <w:tc>
          <w:tcPr>
            <w:tcW w:w="1400" w:type="dxa"/>
            <w:vAlign w:val="bottom"/>
          </w:tcPr>
          <w:p>
            <w:pPr>
              <w:jc w:val="right"/>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240" w:type="dxa"/>
            <w:vAlign w:val="bottom"/>
          </w:tcPr>
          <w:p>
            <w:pPr>
              <w:spacing w:after="0"/>
              <w:rPr>
                <w:sz w:val="15"/>
                <w:szCs w:val="15"/>
                <w:color w:val="auto"/>
              </w:rPr>
            </w:pPr>
          </w:p>
        </w:tc>
        <w:tc>
          <w:tcPr>
            <w:tcW w:w="1320" w:type="dxa"/>
            <w:vAlign w:val="bottom"/>
          </w:tcPr>
          <w:p>
            <w:pPr>
              <w:jc w:val="right"/>
              <w:ind w:right="170"/>
              <w:spacing w:after="0" w:line="176"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0" w:type="dxa"/>
            <w:vAlign w:val="bottom"/>
          </w:tcPr>
          <w:p>
            <w:pPr>
              <w:spacing w:after="0"/>
              <w:rPr>
                <w:sz w:val="1"/>
                <w:szCs w:val="1"/>
                <w:color w:val="auto"/>
              </w:rPr>
            </w:pPr>
          </w:p>
        </w:tc>
      </w:tr>
      <w:tr>
        <w:trPr>
          <w:trHeight w:val="241"/>
        </w:trPr>
        <w:tc>
          <w:tcPr>
            <w:tcW w:w="502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0" w:type="dxa"/>
            <w:vAlign w:val="bottom"/>
          </w:tcPr>
          <w:p>
            <w:pPr>
              <w:spacing w:after="0"/>
              <w:rPr>
                <w:sz w:val="1"/>
                <w:szCs w:val="1"/>
                <w:color w:val="auto"/>
              </w:rPr>
            </w:pPr>
          </w:p>
        </w:tc>
      </w:tr>
      <w:tr>
        <w:trPr>
          <w:trHeight w:val="252"/>
        </w:trPr>
        <w:tc>
          <w:tcPr>
            <w:tcW w:w="5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Assets eligible for amortization:</w:t>
            </w:r>
          </w:p>
        </w:tc>
        <w:tc>
          <w:tcPr>
            <w:tcW w:w="140" w:type="dxa"/>
            <w:vAlign w:val="bottom"/>
            <w:shd w:val="clear" w:color="auto" w:fill="B6B6B6"/>
          </w:tcPr>
          <w:p>
            <w:pPr>
              <w:spacing w:after="0"/>
              <w:rPr>
                <w:sz w:val="21"/>
                <w:szCs w:val="21"/>
                <w:color w:val="auto"/>
              </w:rPr>
            </w:pPr>
          </w:p>
        </w:tc>
        <w:tc>
          <w:tcPr>
            <w:tcW w:w="136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136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140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1320" w:type="dxa"/>
            <w:vAlign w:val="bottom"/>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lists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6,470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4,778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(4,341)</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Patents</w:t>
            </w:r>
          </w:p>
        </w:tc>
        <w:tc>
          <w:tcPr>
            <w:tcW w:w="14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B6B6B6"/>
          </w:tcPr>
          <w:p>
            <w:pPr>
              <w:spacing w:after="0"/>
              <w:rPr>
                <w:sz w:val="22"/>
                <w:szCs w:val="22"/>
                <w:color w:val="auto"/>
              </w:rPr>
            </w:pPr>
          </w:p>
        </w:tc>
        <w:tc>
          <w:tcPr>
            <w:tcW w:w="140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5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Software</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3,212</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2,844</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Trade name</w:t>
            </w:r>
          </w:p>
        </w:tc>
        <w:tc>
          <w:tcPr>
            <w:tcW w:w="14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373</w:t>
            </w: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shd w:val="clear" w:color="auto" w:fill="B6B6B6"/>
          </w:tcPr>
          <w:p>
            <w:pPr>
              <w:spacing w:after="0"/>
              <w:rPr>
                <w:sz w:val="22"/>
                <w:szCs w:val="22"/>
                <w:color w:val="auto"/>
              </w:rPr>
            </w:pPr>
          </w:p>
        </w:tc>
        <w:tc>
          <w:tcPr>
            <w:tcW w:w="140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190</w:t>
            </w: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5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Unamortized intangible assets:</w:t>
            </w:r>
          </w:p>
        </w:tc>
        <w:tc>
          <w:tcPr>
            <w:tcW w:w="1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4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17,309</w:t>
            </w: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14,262</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27,936</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(6,306)</w:t>
            </w: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22,646</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(5,820)</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customer lists are amortized over 7 to 10 years; the patents over 18 years; software over 3 to 7 years, the trade name over 10 to 20 years and other intangible assets over 15 years. Amortization of intangible assets amounted to $195,000 and $215,000 for the three month periods ended September 30, 2022 and 2021, respectively. Amortization of intangible assets amounted to $485,000 and $644,000 for the nine-month periods ended September 30, 2022 and 2021, respectively.</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annual amortization of intangibles is $680,000 in 2022, $780,000 in 2023, $738,000 in 2024, $730,000 in 2025, and $582,000 in 2026.</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3 – Earnings Per Share</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by the weighted-average number of common shares outstanding. Diluted earnings per share is computed by dividing net income by the sum of the weighted-average number of common shares outstanding and the weighted-average number of potential common shares outstanding. Under the treasury stock method, stock appreciation rights (“SARs”) are dilutive when the average market price of the Company’s common stock, combined with the effect of any unamortized compensation expense, exceeds the SAR price during a period.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calculations of basic and diluted earnings per share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share and per</w:t>
            </w:r>
          </w:p>
        </w:tc>
        <w:tc>
          <w:tcPr>
            <w:tcW w:w="340" w:type="dxa"/>
            <w:vAlign w:val="bottom"/>
          </w:tcPr>
          <w:p>
            <w:pPr>
              <w:spacing w:after="0"/>
              <w:rPr>
                <w:sz w:val="17"/>
                <w:szCs w:val="17"/>
                <w:color w:val="auto"/>
              </w:rPr>
            </w:pPr>
          </w:p>
        </w:tc>
        <w:tc>
          <w:tcPr>
            <w:tcW w:w="274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17"/>
                <w:szCs w:val="17"/>
                <w:color w:val="auto"/>
              </w:rPr>
            </w:pPr>
          </w:p>
        </w:tc>
        <w:tc>
          <w:tcPr>
            <w:tcW w:w="272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share data)</w:t>
            </w: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r>
      <w:tr>
        <w:trPr>
          <w:trHeight w:val="246"/>
        </w:trPr>
        <w:tc>
          <w:tcPr>
            <w:tcW w:w="50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50"/>
        </w:trPr>
        <w:tc>
          <w:tcPr>
            <w:tcW w:w="502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B6B6B6"/>
            </w:tcBorders>
            <w:shd w:val="clear" w:color="auto" w:fill="B6B6B6"/>
          </w:tcPr>
          <w:p>
            <w:pPr>
              <w:spacing w:after="0"/>
              <w:rPr>
                <w:sz w:val="21"/>
                <w:szCs w:val="21"/>
                <w:color w:val="auto"/>
              </w:rPr>
            </w:pPr>
          </w:p>
        </w:tc>
        <w:tc>
          <w:tcPr>
            <w:tcW w:w="1160" w:type="dxa"/>
            <w:vAlign w:val="bottom"/>
            <w:tcBorders>
              <w:bottom w:val="single" w:sz="8" w:color="B6B6B6"/>
            </w:tcBorders>
            <w:shd w:val="clear" w:color="auto" w:fill="B6B6B6"/>
          </w:tcPr>
          <w:p>
            <w:pPr>
              <w:spacing w:after="0"/>
              <w:rPr>
                <w:sz w:val="21"/>
                <w:szCs w:val="21"/>
                <w:color w:val="auto"/>
              </w:rPr>
            </w:pPr>
          </w:p>
        </w:tc>
        <w:tc>
          <w:tcPr>
            <w:tcW w:w="600" w:type="dxa"/>
            <w:vAlign w:val="bottom"/>
            <w:tcBorders>
              <w:bottom w:val="single" w:sz="8" w:color="B6B6B6"/>
            </w:tcBorders>
            <w:shd w:val="clear" w:color="auto" w:fill="B6B6B6"/>
          </w:tcPr>
          <w:p>
            <w:pPr>
              <w:spacing w:after="0"/>
              <w:rPr>
                <w:sz w:val="21"/>
                <w:szCs w:val="21"/>
                <w:color w:val="auto"/>
              </w:rPr>
            </w:pPr>
          </w:p>
        </w:tc>
        <w:tc>
          <w:tcPr>
            <w:tcW w:w="980" w:type="dxa"/>
            <w:vAlign w:val="bottom"/>
            <w:tcBorders>
              <w:bottom w:val="single" w:sz="8" w:color="B6B6B6"/>
            </w:tcBorders>
            <w:shd w:val="clear" w:color="auto" w:fill="B6B6B6"/>
          </w:tcPr>
          <w:p>
            <w:pPr>
              <w:spacing w:after="0"/>
              <w:rPr>
                <w:sz w:val="21"/>
                <w:szCs w:val="21"/>
                <w:color w:val="auto"/>
              </w:rPr>
            </w:pPr>
          </w:p>
        </w:tc>
        <w:tc>
          <w:tcPr>
            <w:tcW w:w="420" w:type="dxa"/>
            <w:vAlign w:val="bottom"/>
            <w:tcBorders>
              <w:bottom w:val="single" w:sz="8" w:color="B6B6B6"/>
            </w:tcBorders>
            <w:shd w:val="clear" w:color="auto" w:fill="B6B6B6"/>
          </w:tcPr>
          <w:p>
            <w:pPr>
              <w:spacing w:after="0"/>
              <w:rPr>
                <w:sz w:val="21"/>
                <w:szCs w:val="21"/>
                <w:color w:val="auto"/>
              </w:rPr>
            </w:pPr>
          </w:p>
        </w:tc>
        <w:tc>
          <w:tcPr>
            <w:tcW w:w="1160" w:type="dxa"/>
            <w:vAlign w:val="bottom"/>
            <w:tcBorders>
              <w:bottom w:val="single" w:sz="8" w:color="B6B6B6"/>
            </w:tcBorders>
            <w:shd w:val="clear" w:color="auto" w:fill="B6B6B6"/>
          </w:tcPr>
          <w:p>
            <w:pPr>
              <w:spacing w:after="0"/>
              <w:rPr>
                <w:sz w:val="21"/>
                <w:szCs w:val="21"/>
                <w:color w:val="auto"/>
              </w:rPr>
            </w:pPr>
          </w:p>
        </w:tc>
        <w:tc>
          <w:tcPr>
            <w:tcW w:w="600" w:type="dxa"/>
            <w:vAlign w:val="bottom"/>
            <w:tcBorders>
              <w:bottom w:val="single" w:sz="8" w:color="B6B6B6"/>
            </w:tcBorders>
            <w:shd w:val="clear" w:color="auto" w:fill="B6B6B6"/>
          </w:tcPr>
          <w:p>
            <w:pPr>
              <w:spacing w:after="0"/>
              <w:rPr>
                <w:sz w:val="21"/>
                <w:szCs w:val="21"/>
                <w:color w:val="auto"/>
              </w:rPr>
            </w:pPr>
          </w:p>
        </w:tc>
        <w:tc>
          <w:tcPr>
            <w:tcW w:w="960" w:type="dxa"/>
            <w:vAlign w:val="bottom"/>
            <w:tcBorders>
              <w:bottom w:val="single" w:sz="8" w:color="B6B6B6"/>
            </w:tcBorders>
            <w:shd w:val="clear" w:color="auto" w:fill="B6B6B6"/>
          </w:tcPr>
          <w:p>
            <w:pPr>
              <w:spacing w:after="0"/>
              <w:rPr>
                <w:sz w:val="21"/>
                <w:szCs w:val="21"/>
                <w:color w:val="auto"/>
              </w:rPr>
            </w:pPr>
          </w:p>
        </w:tc>
      </w:tr>
      <w:tr>
        <w:trPr>
          <w:trHeight w:val="25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8,799</w:t>
            </w:r>
          </w:p>
        </w:tc>
        <w:tc>
          <w:tcPr>
            <w:tcW w:w="6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6,805</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25,619</w:t>
            </w:r>
          </w:p>
        </w:tc>
        <w:tc>
          <w:tcPr>
            <w:tcW w:w="6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20,902</w:t>
            </w:r>
          </w:p>
        </w:tc>
      </w:tr>
      <w:tr>
        <w:trPr>
          <w:trHeight w:val="263"/>
        </w:trPr>
        <w:tc>
          <w:tcPr>
            <w:tcW w:w="502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40" w:type="dxa"/>
            <w:vAlign w:val="bottom"/>
            <w:shd w:val="clear" w:color="auto" w:fill="B6B6B6"/>
          </w:tcPr>
          <w:p>
            <w:pPr>
              <w:spacing w:after="0"/>
              <w:rPr>
                <w:sz w:val="22"/>
                <w:szCs w:val="22"/>
                <w:color w:val="auto"/>
              </w:rPr>
            </w:pPr>
          </w:p>
        </w:tc>
        <w:tc>
          <w:tcPr>
            <w:tcW w:w="11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13,542,231</w:t>
            </w:r>
          </w:p>
        </w:tc>
        <w:tc>
          <w:tcPr>
            <w:tcW w:w="600" w:type="dxa"/>
            <w:vAlign w:val="bottom"/>
            <w:shd w:val="clear" w:color="auto" w:fill="B6B6B6"/>
          </w:tcPr>
          <w:p>
            <w:pPr>
              <w:spacing w:after="0"/>
              <w:rPr>
                <w:sz w:val="22"/>
                <w:szCs w:val="22"/>
                <w:color w:val="auto"/>
              </w:rPr>
            </w:pPr>
          </w:p>
        </w:tc>
        <w:tc>
          <w:tcPr>
            <w:tcW w:w="9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14,040,089</w:t>
            </w:r>
          </w:p>
        </w:tc>
        <w:tc>
          <w:tcPr>
            <w:tcW w:w="420" w:type="dxa"/>
            <w:vAlign w:val="bottom"/>
            <w:shd w:val="clear" w:color="auto" w:fill="B6B6B6"/>
          </w:tcPr>
          <w:p>
            <w:pPr>
              <w:spacing w:after="0"/>
              <w:rPr>
                <w:sz w:val="22"/>
                <w:szCs w:val="22"/>
                <w:color w:val="auto"/>
              </w:rPr>
            </w:pPr>
          </w:p>
        </w:tc>
        <w:tc>
          <w:tcPr>
            <w:tcW w:w="11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13,554,169</w:t>
            </w:r>
          </w:p>
        </w:tc>
        <w:tc>
          <w:tcPr>
            <w:tcW w:w="600" w:type="dxa"/>
            <w:vAlign w:val="bottom"/>
            <w:shd w:val="clear" w:color="auto" w:fill="B6B6B6"/>
          </w:tcPr>
          <w:p>
            <w:pPr>
              <w:spacing w:after="0"/>
              <w:rPr>
                <w:sz w:val="22"/>
                <w:szCs w:val="22"/>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14,203,369</w:t>
            </w:r>
          </w:p>
        </w:tc>
      </w:tr>
      <w:tr>
        <w:trPr>
          <w:trHeight w:val="250"/>
        </w:trPr>
        <w:tc>
          <w:tcPr>
            <w:tcW w:w="50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0.65</w:t>
            </w:r>
          </w:p>
        </w:tc>
        <w:tc>
          <w:tcPr>
            <w:tcW w:w="6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0.48</w:t>
            </w:r>
          </w:p>
        </w:tc>
        <w:tc>
          <w:tcPr>
            <w:tcW w:w="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1.89</w:t>
            </w:r>
          </w:p>
        </w:tc>
        <w:tc>
          <w:tcPr>
            <w:tcW w:w="6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57"/>
        </w:trPr>
        <w:tc>
          <w:tcPr>
            <w:tcW w:w="50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r>
      <w:tr>
        <w:trPr>
          <w:trHeight w:val="250"/>
        </w:trPr>
        <w:tc>
          <w:tcPr>
            <w:tcW w:w="5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B6B6B6"/>
          </w:tcPr>
          <w:p>
            <w:pPr>
              <w:spacing w:after="0"/>
              <w:rPr>
                <w:sz w:val="21"/>
                <w:szCs w:val="21"/>
                <w:color w:val="auto"/>
              </w:rPr>
            </w:pPr>
          </w:p>
        </w:tc>
        <w:tc>
          <w:tcPr>
            <w:tcW w:w="1160" w:type="dxa"/>
            <w:vAlign w:val="bottom"/>
            <w:shd w:val="clear" w:color="auto" w:fill="B6B6B6"/>
          </w:tcPr>
          <w:p>
            <w:pPr>
              <w:spacing w:after="0"/>
              <w:rPr>
                <w:sz w:val="21"/>
                <w:szCs w:val="21"/>
                <w:color w:val="auto"/>
              </w:rPr>
            </w:pPr>
          </w:p>
        </w:tc>
        <w:tc>
          <w:tcPr>
            <w:tcW w:w="600" w:type="dxa"/>
            <w:vAlign w:val="bottom"/>
            <w:shd w:val="clear" w:color="auto" w:fill="B6B6B6"/>
          </w:tcPr>
          <w:p>
            <w:pPr>
              <w:spacing w:after="0"/>
              <w:rPr>
                <w:sz w:val="21"/>
                <w:szCs w:val="21"/>
                <w:color w:val="auto"/>
              </w:rPr>
            </w:pPr>
          </w:p>
        </w:tc>
        <w:tc>
          <w:tcPr>
            <w:tcW w:w="980" w:type="dxa"/>
            <w:vAlign w:val="bottom"/>
            <w:shd w:val="clear" w:color="auto" w:fill="B6B6B6"/>
          </w:tcPr>
          <w:p>
            <w:pPr>
              <w:spacing w:after="0"/>
              <w:rPr>
                <w:sz w:val="21"/>
                <w:szCs w:val="21"/>
                <w:color w:val="auto"/>
              </w:rPr>
            </w:pPr>
          </w:p>
        </w:tc>
        <w:tc>
          <w:tcPr>
            <w:tcW w:w="420" w:type="dxa"/>
            <w:vAlign w:val="bottom"/>
            <w:shd w:val="clear" w:color="auto" w:fill="B6B6B6"/>
          </w:tcPr>
          <w:p>
            <w:pPr>
              <w:spacing w:after="0"/>
              <w:rPr>
                <w:sz w:val="21"/>
                <w:szCs w:val="21"/>
                <w:color w:val="auto"/>
              </w:rPr>
            </w:pPr>
          </w:p>
        </w:tc>
        <w:tc>
          <w:tcPr>
            <w:tcW w:w="1160" w:type="dxa"/>
            <w:vAlign w:val="bottom"/>
            <w:shd w:val="clear" w:color="auto" w:fill="B6B6B6"/>
          </w:tcPr>
          <w:p>
            <w:pPr>
              <w:spacing w:after="0"/>
              <w:rPr>
                <w:sz w:val="21"/>
                <w:szCs w:val="21"/>
                <w:color w:val="auto"/>
              </w:rPr>
            </w:pPr>
          </w:p>
        </w:tc>
        <w:tc>
          <w:tcPr>
            <w:tcW w:w="600" w:type="dxa"/>
            <w:vAlign w:val="bottom"/>
            <w:shd w:val="clear" w:color="auto" w:fill="B6B6B6"/>
          </w:tcPr>
          <w:p>
            <w:pPr>
              <w:spacing w:after="0"/>
              <w:rPr>
                <w:sz w:val="21"/>
                <w:szCs w:val="21"/>
                <w:color w:val="auto"/>
              </w:rPr>
            </w:pPr>
          </w:p>
        </w:tc>
        <w:tc>
          <w:tcPr>
            <w:tcW w:w="960" w:type="dxa"/>
            <w:vAlign w:val="bottom"/>
            <w:shd w:val="clear" w:color="auto" w:fill="B6B6B6"/>
          </w:tcPr>
          <w:p>
            <w:pPr>
              <w:spacing w:after="0"/>
              <w:rPr>
                <w:sz w:val="21"/>
                <w:szCs w:val="21"/>
                <w:color w:val="auto"/>
              </w:rPr>
            </w:pPr>
          </w:p>
        </w:tc>
      </w:tr>
      <w:tr>
        <w:trPr>
          <w:trHeight w:val="25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8,799</w:t>
            </w:r>
          </w:p>
        </w:tc>
        <w:tc>
          <w:tcPr>
            <w:tcW w:w="6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6,805</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25,619</w:t>
            </w:r>
          </w:p>
        </w:tc>
        <w:tc>
          <w:tcPr>
            <w:tcW w:w="6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20,902</w:t>
            </w:r>
          </w:p>
        </w:tc>
      </w:tr>
      <w:tr>
        <w:trPr>
          <w:trHeight w:val="263"/>
        </w:trPr>
        <w:tc>
          <w:tcPr>
            <w:tcW w:w="502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40" w:type="dxa"/>
            <w:vAlign w:val="bottom"/>
            <w:shd w:val="clear" w:color="auto" w:fill="B6B6B6"/>
          </w:tcPr>
          <w:p>
            <w:pPr>
              <w:spacing w:after="0"/>
              <w:rPr>
                <w:sz w:val="22"/>
                <w:szCs w:val="22"/>
                <w:color w:val="auto"/>
              </w:rPr>
            </w:pPr>
          </w:p>
        </w:tc>
        <w:tc>
          <w:tcPr>
            <w:tcW w:w="11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13,542,231</w:t>
            </w:r>
          </w:p>
        </w:tc>
        <w:tc>
          <w:tcPr>
            <w:tcW w:w="600" w:type="dxa"/>
            <w:vAlign w:val="bottom"/>
            <w:shd w:val="clear" w:color="auto" w:fill="B6B6B6"/>
          </w:tcPr>
          <w:p>
            <w:pPr>
              <w:spacing w:after="0"/>
              <w:rPr>
                <w:sz w:val="22"/>
                <w:szCs w:val="22"/>
                <w:color w:val="auto"/>
              </w:rPr>
            </w:pPr>
          </w:p>
        </w:tc>
        <w:tc>
          <w:tcPr>
            <w:tcW w:w="9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14,040,089</w:t>
            </w:r>
          </w:p>
        </w:tc>
        <w:tc>
          <w:tcPr>
            <w:tcW w:w="420" w:type="dxa"/>
            <w:vAlign w:val="bottom"/>
            <w:shd w:val="clear" w:color="auto" w:fill="B6B6B6"/>
          </w:tcPr>
          <w:p>
            <w:pPr>
              <w:spacing w:after="0"/>
              <w:rPr>
                <w:sz w:val="22"/>
                <w:szCs w:val="22"/>
                <w:color w:val="auto"/>
              </w:rPr>
            </w:pPr>
          </w:p>
        </w:tc>
        <w:tc>
          <w:tcPr>
            <w:tcW w:w="11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13,554,169</w:t>
            </w:r>
          </w:p>
        </w:tc>
        <w:tc>
          <w:tcPr>
            <w:tcW w:w="600" w:type="dxa"/>
            <w:vAlign w:val="bottom"/>
            <w:shd w:val="clear" w:color="auto" w:fill="B6B6B6"/>
          </w:tcPr>
          <w:p>
            <w:pPr>
              <w:spacing w:after="0"/>
              <w:rPr>
                <w:sz w:val="22"/>
                <w:szCs w:val="22"/>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14,203,369</w:t>
            </w:r>
          </w:p>
        </w:tc>
      </w:tr>
      <w:tr>
        <w:trPr>
          <w:trHeight w:val="250"/>
        </w:trPr>
        <w:tc>
          <w:tcPr>
            <w:tcW w:w="50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Effect of dilutive restricted stock and stock appreciation rights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262,106</w:t>
            </w:r>
          </w:p>
        </w:tc>
        <w:tc>
          <w:tcPr>
            <w:tcW w:w="6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237,080</w:t>
            </w:r>
          </w:p>
        </w:tc>
        <w:tc>
          <w:tcPr>
            <w:tcW w:w="4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252,496</w:t>
            </w:r>
          </w:p>
        </w:tc>
        <w:tc>
          <w:tcPr>
            <w:tcW w:w="6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239,016</w:t>
            </w:r>
          </w:p>
        </w:tc>
      </w:tr>
      <w:tr>
        <w:trPr>
          <w:trHeight w:val="257"/>
        </w:trPr>
        <w:tc>
          <w:tcPr>
            <w:tcW w:w="502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 assuming dilution</w:t>
            </w:r>
          </w:p>
        </w:tc>
        <w:tc>
          <w:tcPr>
            <w:tcW w:w="340" w:type="dxa"/>
            <w:vAlign w:val="bottom"/>
            <w:shd w:val="clear" w:color="auto" w:fill="B6B6B6"/>
          </w:tcPr>
          <w:p>
            <w:pPr>
              <w:spacing w:after="0"/>
              <w:rPr>
                <w:sz w:val="22"/>
                <w:szCs w:val="22"/>
                <w:color w:val="auto"/>
              </w:rPr>
            </w:pPr>
          </w:p>
        </w:tc>
        <w:tc>
          <w:tcPr>
            <w:tcW w:w="11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13,804,337</w:t>
            </w:r>
          </w:p>
        </w:tc>
        <w:tc>
          <w:tcPr>
            <w:tcW w:w="600" w:type="dxa"/>
            <w:vAlign w:val="bottom"/>
            <w:shd w:val="clear" w:color="auto" w:fill="B6B6B6"/>
          </w:tcPr>
          <w:p>
            <w:pPr>
              <w:spacing w:after="0"/>
              <w:rPr>
                <w:sz w:val="22"/>
                <w:szCs w:val="22"/>
                <w:color w:val="auto"/>
              </w:rPr>
            </w:pPr>
          </w:p>
        </w:tc>
        <w:tc>
          <w:tcPr>
            <w:tcW w:w="9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14,277,169</w:t>
            </w:r>
          </w:p>
        </w:tc>
        <w:tc>
          <w:tcPr>
            <w:tcW w:w="420" w:type="dxa"/>
            <w:vAlign w:val="bottom"/>
            <w:shd w:val="clear" w:color="auto" w:fill="B6B6B6"/>
          </w:tcPr>
          <w:p>
            <w:pPr>
              <w:spacing w:after="0"/>
              <w:rPr>
                <w:sz w:val="22"/>
                <w:szCs w:val="22"/>
                <w:color w:val="auto"/>
              </w:rPr>
            </w:pPr>
          </w:p>
        </w:tc>
        <w:tc>
          <w:tcPr>
            <w:tcW w:w="11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13,806,665</w:t>
            </w:r>
          </w:p>
        </w:tc>
        <w:tc>
          <w:tcPr>
            <w:tcW w:w="600" w:type="dxa"/>
            <w:vAlign w:val="bottom"/>
            <w:shd w:val="clear" w:color="auto" w:fill="B6B6B6"/>
          </w:tcPr>
          <w:p>
            <w:pPr>
              <w:spacing w:after="0"/>
              <w:rPr>
                <w:sz w:val="22"/>
                <w:szCs w:val="22"/>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14,442,385</w:t>
            </w:r>
          </w:p>
        </w:tc>
      </w:tr>
      <w:tr>
        <w:trPr>
          <w:trHeight w:val="250"/>
        </w:trPr>
        <w:tc>
          <w:tcPr>
            <w:tcW w:w="50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0.64</w:t>
            </w:r>
          </w:p>
        </w:tc>
        <w:tc>
          <w:tcPr>
            <w:tcW w:w="6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0.48</w:t>
            </w:r>
          </w:p>
        </w:tc>
        <w:tc>
          <w:tcPr>
            <w:tcW w:w="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1.86</w:t>
            </w:r>
          </w:p>
        </w:tc>
        <w:tc>
          <w:tcPr>
            <w:tcW w:w="6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4 – Stock Repurchases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a treasury stock buyback program pursuant to which, in October 2021, the Board of Directors authorized the repurchase of up to 750,000 shares of the Company’s common stock with no expiration date. As of September 30, 2022, 340,707 shares remained available for repurchase under the program. The Company repurchased 0 and 314,672 shares during the three-month periods ended September 30, 2022 and 2021, and 130,374 and 434,938 shares during the nine-month periods ended September 30, 2022 and 2021, respectively. Repurchases may be made in the open market or through negotiated transactions from time to time depending on market conditions.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5 – Industry Segment Information</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services provided by the Company are classified into two reportable segments: Information Services and Banking Services. Each of these segments provides distinct services that are marketed through different channels. They are managed separately due to their unique service and processing requirements.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Services segment provides transportation, energy, telecommunication, and environmental invoice processing and payment services to large corporations as well as church management and on-line generosity services to faith-based ministries. The Banking Services segment provides banking services primarily to privately held businesses, restaurant franchises, and faith-based ministries and supports the banking needs of the Information Services segment.</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accounting policies for segments are the same as those described in the summary of significant accounting policies in the Company’s Annual Report on Form 10-K for the year ended December 31, 2021. Management evaluates segment performance based on tax-equivalized (as defined in the footnote to the chart on the following table) pre-tax income after allocations for corporate expenses. Transactions between segments are accounted for at what management believes to be fair value.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Substantially all revenue originates from, and all long-lived assets are located within, the United States and no revenue from any customer of any segment exceeds 10% of the Company’s consolidated revenue.</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Funding sources represent average balances and deposits generated by Information Services and Banking Services and there is no allocation methodology used. Segment interest income is a function of the relative share of average funding sources generated by each segment multiplied by the following rates:</w:t>
      </w:r>
    </w:p>
    <w:p>
      <w:pPr>
        <w:spacing w:after="0" w:line="12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Services – one or more fixed rates depending upon the specific characteristics of the funding source,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Banking Services – a variable rate that is based upon the overall performance of the Company’s earning assets.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difference between total segment interest income and overall total Company interest income is included in Corporate, Eliminations, and Other.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information about the Company’s operations in each industry segment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Information</w:t>
            </w:r>
          </w:p>
        </w:tc>
        <w:tc>
          <w:tcPr>
            <w:tcW w:w="340" w:type="dxa"/>
            <w:vAlign w:val="bottom"/>
          </w:tcPr>
          <w:p>
            <w:pPr>
              <w:spacing w:after="0"/>
              <w:rPr>
                <w:sz w:val="17"/>
                <w:szCs w:val="17"/>
                <w:color w:val="auto"/>
              </w:rPr>
            </w:pPr>
          </w:p>
        </w:tc>
        <w:tc>
          <w:tcPr>
            <w:tcW w:w="12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Banking</w:t>
            </w:r>
          </w:p>
        </w:tc>
        <w:tc>
          <w:tcPr>
            <w:tcW w:w="260" w:type="dxa"/>
            <w:vAlign w:val="bottom"/>
          </w:tcPr>
          <w:p>
            <w:pPr>
              <w:spacing w:after="0"/>
              <w:rPr>
                <w:sz w:val="17"/>
                <w:szCs w:val="17"/>
                <w:color w:val="auto"/>
              </w:rPr>
            </w:pPr>
          </w:p>
        </w:tc>
        <w:tc>
          <w:tcPr>
            <w:tcW w:w="13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1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Eliminations</w:t>
            </w:r>
          </w:p>
        </w:tc>
        <w:tc>
          <w:tcPr>
            <w:tcW w:w="380" w:type="dxa"/>
            <w:vAlign w:val="bottom"/>
          </w:tcPr>
          <w:p>
            <w:pPr>
              <w:spacing w:after="0"/>
              <w:rPr>
                <w:sz w:val="15"/>
                <w:szCs w:val="15"/>
                <w:color w:val="auto"/>
              </w:rPr>
            </w:pPr>
          </w:p>
        </w:tc>
        <w:tc>
          <w:tcPr>
            <w:tcW w:w="11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1"/>
        </w:trPr>
        <w:tc>
          <w:tcPr>
            <w:tcW w:w="408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0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2022:</w:t>
            </w:r>
          </w:p>
        </w:tc>
        <w:tc>
          <w:tcPr>
            <w:tcW w:w="1100" w:type="dxa"/>
            <w:vAlign w:val="bottom"/>
            <w:shd w:val="clear" w:color="auto" w:fill="B6B6B6"/>
          </w:tcPr>
          <w:p>
            <w:pPr>
              <w:spacing w:after="0"/>
              <w:rPr>
                <w:sz w:val="21"/>
                <w:szCs w:val="21"/>
                <w:color w:val="auto"/>
              </w:rPr>
            </w:pPr>
          </w:p>
        </w:tc>
        <w:tc>
          <w:tcPr>
            <w:tcW w:w="1320" w:type="dxa"/>
            <w:vAlign w:val="bottom"/>
            <w:shd w:val="clear" w:color="auto" w:fill="B6B6B6"/>
          </w:tcPr>
          <w:p>
            <w:pPr>
              <w:spacing w:after="0"/>
              <w:rPr>
                <w:sz w:val="21"/>
                <w:szCs w:val="21"/>
                <w:color w:val="auto"/>
              </w:rPr>
            </w:pPr>
          </w:p>
        </w:tc>
        <w:tc>
          <w:tcPr>
            <w:tcW w:w="340" w:type="dxa"/>
            <w:vAlign w:val="bottom"/>
            <w:shd w:val="clear" w:color="auto" w:fill="B6B6B6"/>
          </w:tcPr>
          <w:p>
            <w:pPr>
              <w:spacing w:after="0"/>
              <w:rPr>
                <w:sz w:val="21"/>
                <w:szCs w:val="21"/>
                <w:color w:val="auto"/>
              </w:rPr>
            </w:pPr>
          </w:p>
        </w:tc>
        <w:tc>
          <w:tcPr>
            <w:tcW w:w="1240" w:type="dxa"/>
            <w:vAlign w:val="bottom"/>
            <w:shd w:val="clear" w:color="auto" w:fill="B6B6B6"/>
          </w:tcPr>
          <w:p>
            <w:pPr>
              <w:spacing w:after="0"/>
              <w:rPr>
                <w:sz w:val="21"/>
                <w:szCs w:val="21"/>
                <w:color w:val="auto"/>
              </w:rPr>
            </w:pPr>
          </w:p>
        </w:tc>
        <w:tc>
          <w:tcPr>
            <w:tcW w:w="260" w:type="dxa"/>
            <w:vAlign w:val="bottom"/>
            <w:shd w:val="clear" w:color="auto" w:fill="B6B6B6"/>
          </w:tcPr>
          <w:p>
            <w:pPr>
              <w:spacing w:after="0"/>
              <w:rPr>
                <w:sz w:val="21"/>
                <w:szCs w:val="21"/>
                <w:color w:val="auto"/>
              </w:rPr>
            </w:pPr>
          </w:p>
        </w:tc>
        <w:tc>
          <w:tcPr>
            <w:tcW w:w="1360" w:type="dxa"/>
            <w:vAlign w:val="bottom"/>
            <w:shd w:val="clear" w:color="auto" w:fill="B6B6B6"/>
          </w:tcPr>
          <w:p>
            <w:pPr>
              <w:spacing w:after="0"/>
              <w:rPr>
                <w:sz w:val="21"/>
                <w:szCs w:val="21"/>
                <w:color w:val="auto"/>
              </w:rPr>
            </w:pPr>
          </w:p>
        </w:tc>
        <w:tc>
          <w:tcPr>
            <w:tcW w:w="380" w:type="dxa"/>
            <w:vAlign w:val="bottom"/>
            <w:shd w:val="clear" w:color="auto" w:fill="B6B6B6"/>
          </w:tcPr>
          <w:p>
            <w:pPr>
              <w:spacing w:after="0"/>
              <w:rPr>
                <w:sz w:val="21"/>
                <w:szCs w:val="21"/>
                <w:color w:val="auto"/>
              </w:rPr>
            </w:pPr>
          </w:p>
        </w:tc>
        <w:tc>
          <w:tcPr>
            <w:tcW w:w="1160" w:type="dxa"/>
            <w:vAlign w:val="bottom"/>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Fee income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30,418</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555</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31,784</w:t>
            </w:r>
          </w:p>
        </w:tc>
        <w:tc>
          <w:tcPr>
            <w:tcW w:w="0" w:type="dxa"/>
            <w:vAlign w:val="bottom"/>
          </w:tcPr>
          <w:p>
            <w:pPr>
              <w:spacing w:after="0"/>
              <w:rPr>
                <w:sz w:val="1"/>
                <w:szCs w:val="1"/>
                <w:color w:val="auto"/>
              </w:rPr>
            </w:pPr>
          </w:p>
        </w:tc>
      </w:tr>
      <w:tr>
        <w:trPr>
          <w:trHeight w:val="263"/>
        </w:trPr>
        <w:tc>
          <w:tcPr>
            <w:tcW w:w="408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10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7,158</w:t>
            </w: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8,733</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1,273</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17,164</w:t>
            </w:r>
          </w:p>
        </w:tc>
        <w:tc>
          <w:tcPr>
            <w:tcW w:w="0" w:type="dxa"/>
            <w:vAlign w:val="bottom"/>
          </w:tcPr>
          <w:p>
            <w:pPr>
              <w:spacing w:after="0"/>
              <w:rPr>
                <w:sz w:val="1"/>
                <w:szCs w:val="1"/>
                <w:color w:val="auto"/>
              </w:rPr>
            </w:pPr>
          </w:p>
        </w:tc>
      </w:tr>
      <w:tr>
        <w:trPr>
          <w:trHeight w:val="250"/>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1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782</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63"/>
        </w:trPr>
        <w:tc>
          <w:tcPr>
            <w:tcW w:w="408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Intersegment income (expense)</w:t>
            </w:r>
          </w:p>
        </w:tc>
        <w:tc>
          <w:tcPr>
            <w:tcW w:w="110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1,124</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Tax-equivalized pre-tax income*</w:t>
            </w:r>
          </w:p>
        </w:tc>
        <w:tc>
          <w:tcPr>
            <w:tcW w:w="11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5,605</w:t>
            </w:r>
          </w:p>
        </w:tc>
        <w:tc>
          <w:tcPr>
            <w:tcW w:w="3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4,126</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1,565</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11,296</w:t>
            </w:r>
          </w:p>
        </w:tc>
        <w:tc>
          <w:tcPr>
            <w:tcW w:w="0" w:type="dxa"/>
            <w:vAlign w:val="bottom"/>
          </w:tcPr>
          <w:p>
            <w:pPr>
              <w:spacing w:after="0"/>
              <w:rPr>
                <w:sz w:val="1"/>
                <w:szCs w:val="1"/>
                <w:color w:val="auto"/>
              </w:rPr>
            </w:pPr>
          </w:p>
        </w:tc>
      </w:tr>
      <w:tr>
        <w:trPr>
          <w:trHeight w:val="263"/>
        </w:trPr>
        <w:tc>
          <w:tcPr>
            <w:tcW w:w="408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110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17,173</w:t>
            </w: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17,309</w:t>
            </w:r>
          </w:p>
        </w:tc>
        <w:tc>
          <w:tcPr>
            <w:tcW w:w="0" w:type="dxa"/>
            <w:vAlign w:val="bottom"/>
          </w:tcPr>
          <w:p>
            <w:pPr>
              <w:spacing w:after="0"/>
              <w:rPr>
                <w:sz w:val="1"/>
                <w:szCs w:val="1"/>
                <w:color w:val="auto"/>
              </w:rPr>
            </w:pPr>
          </w:p>
        </w:tc>
      </w:tr>
      <w:tr>
        <w:trPr>
          <w:trHeight w:val="250"/>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1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4,321</w:t>
            </w:r>
          </w:p>
        </w:tc>
        <w:tc>
          <w:tcPr>
            <w:tcW w:w="3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4,321</w:t>
            </w:r>
          </w:p>
        </w:tc>
        <w:tc>
          <w:tcPr>
            <w:tcW w:w="0" w:type="dxa"/>
            <w:vAlign w:val="bottom"/>
          </w:tcPr>
          <w:p>
            <w:pPr>
              <w:spacing w:after="0"/>
              <w:rPr>
                <w:sz w:val="1"/>
                <w:szCs w:val="1"/>
                <w:color w:val="auto"/>
              </w:rPr>
            </w:pPr>
          </w:p>
        </w:tc>
      </w:tr>
      <w:tr>
        <w:trPr>
          <w:trHeight w:val="263"/>
        </w:trPr>
        <w:tc>
          <w:tcPr>
            <w:tcW w:w="408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110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1,196,399</w:t>
            </w: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1,598,519</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(184,103)</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2,610,815</w:t>
            </w:r>
          </w:p>
        </w:tc>
        <w:tc>
          <w:tcPr>
            <w:tcW w:w="0" w:type="dxa"/>
            <w:vAlign w:val="bottom"/>
          </w:tcPr>
          <w:p>
            <w:pPr>
              <w:spacing w:after="0"/>
              <w:rPr>
                <w:sz w:val="1"/>
                <w:szCs w:val="1"/>
                <w:color w:val="auto"/>
              </w:rPr>
            </w:pPr>
          </w:p>
        </w:tc>
      </w:tr>
      <w:tr>
        <w:trPr>
          <w:trHeight w:val="250"/>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Average funding sources</w:t>
            </w:r>
          </w:p>
        </w:tc>
        <w:tc>
          <w:tcPr>
            <w:tcW w:w="11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1,139,568</w:t>
            </w:r>
          </w:p>
        </w:tc>
        <w:tc>
          <w:tcPr>
            <w:tcW w:w="3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949,454</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2,089,022</w:t>
            </w:r>
          </w:p>
        </w:tc>
        <w:tc>
          <w:tcPr>
            <w:tcW w:w="0" w:type="dxa"/>
            <w:vAlign w:val="bottom"/>
          </w:tcPr>
          <w:p>
            <w:pPr>
              <w:spacing w:after="0"/>
              <w:rPr>
                <w:sz w:val="1"/>
                <w:szCs w:val="1"/>
                <w:color w:val="auto"/>
              </w:rPr>
            </w:pPr>
          </w:p>
        </w:tc>
      </w:tr>
      <w:tr>
        <w:trPr>
          <w:trHeight w:val="263"/>
        </w:trPr>
        <w:tc>
          <w:tcPr>
            <w:tcW w:w="40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2021:</w:t>
            </w:r>
          </w:p>
        </w:tc>
        <w:tc>
          <w:tcPr>
            <w:tcW w:w="110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Fee income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26,174</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338</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27,577</w:t>
            </w:r>
          </w:p>
        </w:tc>
        <w:tc>
          <w:tcPr>
            <w:tcW w:w="0" w:type="dxa"/>
            <w:vAlign w:val="bottom"/>
          </w:tcPr>
          <w:p>
            <w:pPr>
              <w:spacing w:after="0"/>
              <w:rPr>
                <w:sz w:val="1"/>
                <w:szCs w:val="1"/>
                <w:color w:val="auto"/>
              </w:rPr>
            </w:pPr>
          </w:p>
        </w:tc>
      </w:tr>
      <w:tr>
        <w:trPr>
          <w:trHeight w:val="263"/>
        </w:trPr>
        <w:tc>
          <w:tcPr>
            <w:tcW w:w="408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10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7,108</w:t>
            </w: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5,440</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12,187</w:t>
            </w:r>
          </w:p>
        </w:tc>
        <w:tc>
          <w:tcPr>
            <w:tcW w:w="0" w:type="dxa"/>
            <w:vAlign w:val="bottom"/>
          </w:tcPr>
          <w:p>
            <w:pPr>
              <w:spacing w:after="0"/>
              <w:rPr>
                <w:sz w:val="1"/>
                <w:szCs w:val="1"/>
                <w:color w:val="auto"/>
              </w:rPr>
            </w:pPr>
          </w:p>
        </w:tc>
      </w:tr>
      <w:tr>
        <w:trPr>
          <w:trHeight w:val="250"/>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1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63"/>
        </w:trPr>
        <w:tc>
          <w:tcPr>
            <w:tcW w:w="408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Intersegment income (expense)</w:t>
            </w:r>
          </w:p>
        </w:tc>
        <w:tc>
          <w:tcPr>
            <w:tcW w:w="110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859</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Tax-equivalized pre-tax income*</w:t>
            </w:r>
          </w:p>
        </w:tc>
        <w:tc>
          <w:tcPr>
            <w:tcW w:w="11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6,509</w:t>
            </w:r>
          </w:p>
        </w:tc>
        <w:tc>
          <w:tcPr>
            <w:tcW w:w="3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2,130</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8,446</w:t>
            </w:r>
          </w:p>
        </w:tc>
        <w:tc>
          <w:tcPr>
            <w:tcW w:w="0" w:type="dxa"/>
            <w:vAlign w:val="bottom"/>
          </w:tcPr>
          <w:p>
            <w:pPr>
              <w:spacing w:after="0"/>
              <w:rPr>
                <w:sz w:val="1"/>
                <w:szCs w:val="1"/>
                <w:color w:val="auto"/>
              </w:rPr>
            </w:pPr>
          </w:p>
        </w:tc>
      </w:tr>
      <w:tr>
        <w:trPr>
          <w:trHeight w:val="263"/>
        </w:trPr>
        <w:tc>
          <w:tcPr>
            <w:tcW w:w="408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110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14,126</w:t>
            </w: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14,262</w:t>
            </w:r>
          </w:p>
        </w:tc>
        <w:tc>
          <w:tcPr>
            <w:tcW w:w="0" w:type="dxa"/>
            <w:vAlign w:val="bottom"/>
          </w:tcPr>
          <w:p>
            <w:pPr>
              <w:spacing w:after="0"/>
              <w:rPr>
                <w:sz w:val="1"/>
                <w:szCs w:val="1"/>
                <w:color w:val="auto"/>
              </w:rPr>
            </w:pPr>
          </w:p>
        </w:tc>
      </w:tr>
      <w:tr>
        <w:trPr>
          <w:trHeight w:val="250"/>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1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2,779</w:t>
            </w:r>
          </w:p>
        </w:tc>
        <w:tc>
          <w:tcPr>
            <w:tcW w:w="3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0" w:type="dxa"/>
            <w:vAlign w:val="bottom"/>
          </w:tcPr>
          <w:p>
            <w:pPr>
              <w:spacing w:after="0"/>
              <w:rPr>
                <w:sz w:val="1"/>
                <w:szCs w:val="1"/>
                <w:color w:val="auto"/>
              </w:rPr>
            </w:pPr>
          </w:p>
        </w:tc>
      </w:tr>
      <w:tr>
        <w:trPr>
          <w:trHeight w:val="263"/>
        </w:trPr>
        <w:tc>
          <w:tcPr>
            <w:tcW w:w="408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110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1,018,710</w:t>
            </w: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1,279,452</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(5,176)</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2,292,986</w:t>
            </w:r>
          </w:p>
        </w:tc>
        <w:tc>
          <w:tcPr>
            <w:tcW w:w="0" w:type="dxa"/>
            <w:vAlign w:val="bottom"/>
          </w:tcPr>
          <w:p>
            <w:pPr>
              <w:spacing w:after="0"/>
              <w:rPr>
                <w:sz w:val="1"/>
                <w:szCs w:val="1"/>
                <w:color w:val="auto"/>
              </w:rPr>
            </w:pPr>
          </w:p>
        </w:tc>
      </w:tr>
      <w:tr>
        <w:trPr>
          <w:trHeight w:val="250"/>
        </w:trPr>
        <w:tc>
          <w:tcPr>
            <w:tcW w:w="40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Average funding sources</w:t>
            </w:r>
          </w:p>
        </w:tc>
        <w:tc>
          <w:tcPr>
            <w:tcW w:w="11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974,091</w:t>
            </w: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875,997</w:t>
            </w: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1,850,088</w:t>
            </w:r>
          </w:p>
        </w:tc>
        <w:tc>
          <w:tcPr>
            <w:tcW w:w="0" w:type="dxa"/>
            <w:vAlign w:val="bottom"/>
          </w:tcPr>
          <w:p>
            <w:pPr>
              <w:spacing w:after="0"/>
              <w:rPr>
                <w:sz w:val="1"/>
                <w:szCs w:val="1"/>
                <w:color w:val="auto"/>
              </w:rPr>
            </w:pPr>
          </w:p>
        </w:tc>
      </w:tr>
      <w:tr>
        <w:trPr>
          <w:trHeight w:val="256"/>
        </w:trPr>
        <w:tc>
          <w:tcPr>
            <w:tcW w:w="40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2022:</w:t>
            </w:r>
          </w:p>
        </w:tc>
        <w:tc>
          <w:tcPr>
            <w:tcW w:w="110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Fee income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89,329</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1,689</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92,865</w:t>
            </w:r>
          </w:p>
        </w:tc>
        <w:tc>
          <w:tcPr>
            <w:tcW w:w="0" w:type="dxa"/>
            <w:vAlign w:val="bottom"/>
          </w:tcPr>
          <w:p>
            <w:pPr>
              <w:spacing w:after="0"/>
              <w:rPr>
                <w:sz w:val="1"/>
                <w:szCs w:val="1"/>
                <w:color w:val="auto"/>
              </w:rPr>
            </w:pPr>
          </w:p>
        </w:tc>
      </w:tr>
      <w:tr>
        <w:trPr>
          <w:trHeight w:val="263"/>
        </w:trPr>
        <w:tc>
          <w:tcPr>
            <w:tcW w:w="408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10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20,175</w:t>
            </w: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22,478</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1,500</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44,153</w:t>
            </w:r>
          </w:p>
        </w:tc>
        <w:tc>
          <w:tcPr>
            <w:tcW w:w="0" w:type="dxa"/>
            <w:vAlign w:val="bottom"/>
          </w:tcPr>
          <w:p>
            <w:pPr>
              <w:spacing w:after="0"/>
              <w:rPr>
                <w:sz w:val="1"/>
                <w:szCs w:val="1"/>
                <w:color w:val="auto"/>
              </w:rPr>
            </w:pPr>
          </w:p>
        </w:tc>
      </w:tr>
      <w:tr>
        <w:trPr>
          <w:trHeight w:val="250"/>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1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1,344</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0" w:type="dxa"/>
            <w:vAlign w:val="bottom"/>
          </w:tcPr>
          <w:p>
            <w:pPr>
              <w:spacing w:after="0"/>
              <w:rPr>
                <w:sz w:val="1"/>
                <w:szCs w:val="1"/>
                <w:color w:val="auto"/>
              </w:rPr>
            </w:pPr>
          </w:p>
        </w:tc>
      </w:tr>
      <w:tr>
        <w:trPr>
          <w:trHeight w:val="263"/>
        </w:trPr>
        <w:tc>
          <w:tcPr>
            <w:tcW w:w="408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Intersegment income (expense)</w:t>
            </w:r>
          </w:p>
        </w:tc>
        <w:tc>
          <w:tcPr>
            <w:tcW w:w="110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3,549</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Tax-equivalized pre-tax income*</w:t>
            </w:r>
          </w:p>
        </w:tc>
        <w:tc>
          <w:tcPr>
            <w:tcW w:w="11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20,259</w:t>
            </w:r>
          </w:p>
        </w:tc>
        <w:tc>
          <w:tcPr>
            <w:tcW w:w="3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10,418</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2,359</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33,036</w:t>
            </w:r>
          </w:p>
        </w:tc>
        <w:tc>
          <w:tcPr>
            <w:tcW w:w="0" w:type="dxa"/>
            <w:vAlign w:val="bottom"/>
          </w:tcPr>
          <w:p>
            <w:pPr>
              <w:spacing w:after="0"/>
              <w:rPr>
                <w:sz w:val="1"/>
                <w:szCs w:val="1"/>
                <w:color w:val="auto"/>
              </w:rPr>
            </w:pPr>
          </w:p>
        </w:tc>
      </w:tr>
      <w:tr>
        <w:trPr>
          <w:trHeight w:val="263"/>
        </w:trPr>
        <w:tc>
          <w:tcPr>
            <w:tcW w:w="408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110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17,173</w:t>
            </w: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17,309</w:t>
            </w:r>
          </w:p>
        </w:tc>
        <w:tc>
          <w:tcPr>
            <w:tcW w:w="0" w:type="dxa"/>
            <w:vAlign w:val="bottom"/>
          </w:tcPr>
          <w:p>
            <w:pPr>
              <w:spacing w:after="0"/>
              <w:rPr>
                <w:sz w:val="1"/>
                <w:szCs w:val="1"/>
                <w:color w:val="auto"/>
              </w:rPr>
            </w:pPr>
          </w:p>
        </w:tc>
      </w:tr>
      <w:tr>
        <w:trPr>
          <w:trHeight w:val="250"/>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1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4,321</w:t>
            </w:r>
          </w:p>
        </w:tc>
        <w:tc>
          <w:tcPr>
            <w:tcW w:w="3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4,321</w:t>
            </w:r>
          </w:p>
        </w:tc>
        <w:tc>
          <w:tcPr>
            <w:tcW w:w="0" w:type="dxa"/>
            <w:vAlign w:val="bottom"/>
          </w:tcPr>
          <w:p>
            <w:pPr>
              <w:spacing w:after="0"/>
              <w:rPr>
                <w:sz w:val="1"/>
                <w:szCs w:val="1"/>
                <w:color w:val="auto"/>
              </w:rPr>
            </w:pPr>
          </w:p>
        </w:tc>
      </w:tr>
      <w:tr>
        <w:trPr>
          <w:trHeight w:val="263"/>
        </w:trPr>
        <w:tc>
          <w:tcPr>
            <w:tcW w:w="408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110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1,196,399</w:t>
            </w: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1,598,519</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(184,103)</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2,610,815</w:t>
            </w:r>
          </w:p>
        </w:tc>
        <w:tc>
          <w:tcPr>
            <w:tcW w:w="0" w:type="dxa"/>
            <w:vAlign w:val="bottom"/>
          </w:tcPr>
          <w:p>
            <w:pPr>
              <w:spacing w:after="0"/>
              <w:rPr>
                <w:sz w:val="1"/>
                <w:szCs w:val="1"/>
                <w:color w:val="auto"/>
              </w:rPr>
            </w:pPr>
          </w:p>
        </w:tc>
      </w:tr>
      <w:tr>
        <w:trPr>
          <w:trHeight w:val="250"/>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Average funding sources</w:t>
            </w:r>
          </w:p>
        </w:tc>
        <w:tc>
          <w:tcPr>
            <w:tcW w:w="11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1,082,449</w:t>
            </w:r>
          </w:p>
        </w:tc>
        <w:tc>
          <w:tcPr>
            <w:tcW w:w="3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963,588</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2,046,037</w:t>
            </w:r>
          </w:p>
        </w:tc>
        <w:tc>
          <w:tcPr>
            <w:tcW w:w="0" w:type="dxa"/>
            <w:vAlign w:val="bottom"/>
          </w:tcPr>
          <w:p>
            <w:pPr>
              <w:spacing w:after="0"/>
              <w:rPr>
                <w:sz w:val="1"/>
                <w:szCs w:val="1"/>
                <w:color w:val="auto"/>
              </w:rPr>
            </w:pPr>
          </w:p>
        </w:tc>
      </w:tr>
      <w:tr>
        <w:trPr>
          <w:trHeight w:val="263"/>
        </w:trPr>
        <w:tc>
          <w:tcPr>
            <w:tcW w:w="40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2021:</w:t>
            </w:r>
          </w:p>
        </w:tc>
        <w:tc>
          <w:tcPr>
            <w:tcW w:w="110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Fee income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77,863</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1,175</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80,739</w:t>
            </w:r>
          </w:p>
        </w:tc>
        <w:tc>
          <w:tcPr>
            <w:tcW w:w="0" w:type="dxa"/>
            <w:vAlign w:val="bottom"/>
          </w:tcPr>
          <w:p>
            <w:pPr>
              <w:spacing w:after="0"/>
              <w:rPr>
                <w:sz w:val="1"/>
                <w:szCs w:val="1"/>
                <w:color w:val="auto"/>
              </w:rPr>
            </w:pPr>
          </w:p>
        </w:tc>
      </w:tr>
      <w:tr>
        <w:trPr>
          <w:trHeight w:val="263"/>
        </w:trPr>
        <w:tc>
          <w:tcPr>
            <w:tcW w:w="408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10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18,501</w:t>
            </w: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17,754</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34,920</w:t>
            </w:r>
          </w:p>
        </w:tc>
        <w:tc>
          <w:tcPr>
            <w:tcW w:w="0" w:type="dxa"/>
            <w:vAlign w:val="bottom"/>
          </w:tcPr>
          <w:p>
            <w:pPr>
              <w:spacing w:after="0"/>
              <w:rPr>
                <w:sz w:val="1"/>
                <w:szCs w:val="1"/>
                <w:color w:val="auto"/>
              </w:rPr>
            </w:pPr>
          </w:p>
        </w:tc>
      </w:tr>
      <w:tr>
        <w:trPr>
          <w:trHeight w:val="250"/>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1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915</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0" w:type="dxa"/>
            <w:vAlign w:val="bottom"/>
          </w:tcPr>
          <w:p>
            <w:pPr>
              <w:spacing w:after="0"/>
              <w:rPr>
                <w:sz w:val="1"/>
                <w:szCs w:val="1"/>
                <w:color w:val="auto"/>
              </w:rPr>
            </w:pPr>
          </w:p>
        </w:tc>
      </w:tr>
      <w:tr>
        <w:trPr>
          <w:trHeight w:val="263"/>
        </w:trPr>
        <w:tc>
          <w:tcPr>
            <w:tcW w:w="408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Intersegment income (expense)</w:t>
            </w:r>
          </w:p>
        </w:tc>
        <w:tc>
          <w:tcPr>
            <w:tcW w:w="110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2,170</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Tax-equivalized pre-tax income*</w:t>
            </w:r>
          </w:p>
        </w:tc>
        <w:tc>
          <w:tcPr>
            <w:tcW w:w="11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18,477</w:t>
            </w:r>
          </w:p>
        </w:tc>
        <w:tc>
          <w:tcPr>
            <w:tcW w:w="3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8,773</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26,596</w:t>
            </w:r>
          </w:p>
        </w:tc>
        <w:tc>
          <w:tcPr>
            <w:tcW w:w="0" w:type="dxa"/>
            <w:vAlign w:val="bottom"/>
          </w:tcPr>
          <w:p>
            <w:pPr>
              <w:spacing w:after="0"/>
              <w:rPr>
                <w:sz w:val="1"/>
                <w:szCs w:val="1"/>
                <w:color w:val="auto"/>
              </w:rPr>
            </w:pPr>
          </w:p>
        </w:tc>
      </w:tr>
      <w:tr>
        <w:trPr>
          <w:trHeight w:val="263"/>
        </w:trPr>
        <w:tc>
          <w:tcPr>
            <w:tcW w:w="408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110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14,126</w:t>
            </w: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14,262</w:t>
            </w:r>
          </w:p>
        </w:tc>
        <w:tc>
          <w:tcPr>
            <w:tcW w:w="0" w:type="dxa"/>
            <w:vAlign w:val="bottom"/>
          </w:tcPr>
          <w:p>
            <w:pPr>
              <w:spacing w:after="0"/>
              <w:rPr>
                <w:sz w:val="1"/>
                <w:szCs w:val="1"/>
                <w:color w:val="auto"/>
              </w:rPr>
            </w:pPr>
          </w:p>
        </w:tc>
      </w:tr>
      <w:tr>
        <w:trPr>
          <w:trHeight w:val="250"/>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1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2,779</w:t>
            </w:r>
          </w:p>
        </w:tc>
        <w:tc>
          <w:tcPr>
            <w:tcW w:w="3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0" w:type="dxa"/>
            <w:vAlign w:val="bottom"/>
          </w:tcPr>
          <w:p>
            <w:pPr>
              <w:spacing w:after="0"/>
              <w:rPr>
                <w:sz w:val="1"/>
                <w:szCs w:val="1"/>
                <w:color w:val="auto"/>
              </w:rPr>
            </w:pPr>
          </w:p>
        </w:tc>
      </w:tr>
      <w:tr>
        <w:trPr>
          <w:trHeight w:val="263"/>
        </w:trPr>
        <w:tc>
          <w:tcPr>
            <w:tcW w:w="408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110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1,018,710</w:t>
            </w: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1,279,452</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(5,176)</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2,292,986</w:t>
            </w:r>
          </w:p>
        </w:tc>
        <w:tc>
          <w:tcPr>
            <w:tcW w:w="0" w:type="dxa"/>
            <w:vAlign w:val="bottom"/>
          </w:tcPr>
          <w:p>
            <w:pPr>
              <w:spacing w:after="0"/>
              <w:rPr>
                <w:sz w:val="1"/>
                <w:szCs w:val="1"/>
                <w:color w:val="auto"/>
              </w:rPr>
            </w:pPr>
          </w:p>
        </w:tc>
      </w:tr>
      <w:tr>
        <w:trPr>
          <w:trHeight w:val="250"/>
        </w:trPr>
        <w:tc>
          <w:tcPr>
            <w:tcW w:w="40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Average funding sources</w:t>
            </w:r>
          </w:p>
        </w:tc>
        <w:tc>
          <w:tcPr>
            <w:tcW w:w="11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906,474</w:t>
            </w: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862,142</w:t>
            </w: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1,768,616</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right="120" w:firstLine="8"/>
        <w:spacing w:after="0" w:line="282" w:lineRule="auto"/>
        <w:tabs>
          <w:tab w:leader="none" w:pos="108"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on a tax-equivalent basis assuming a tax rate of 21% for both 2022 and 2021. The tax-equivalent adjustment was approximately $412,000 and $468,000 for the third quarter of 2022 and 2021, respectively and $1,294,000 and $1,417,000 for the nine months ended September 30, 2022 and 2021, respectively.</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gridSpan w:val="2"/>
          </w:tcPr>
          <w:p>
            <w:pPr>
              <w:jc w:val="center"/>
              <w:ind w:right="3570"/>
              <w:spacing w:after="0"/>
              <w:rPr>
                <w:sz w:val="20"/>
                <w:szCs w:val="20"/>
                <w:color w:val="auto"/>
              </w:rPr>
            </w:pPr>
            <w:r>
              <w:rPr>
                <w:rFonts w:ascii="Times New Roman" w:cs="Times New Roman" w:eastAsia="Times New Roman" w:hAnsi="Times New Roman"/>
                <w:sz w:val="18"/>
                <w:szCs w:val="18"/>
                <w:color w:val="auto"/>
                <w:w w:val="99"/>
              </w:rPr>
              <w:t>Note 6 – Loans by Type</w:t>
            </w:r>
          </w:p>
        </w:tc>
        <w:tc>
          <w:tcPr>
            <w:tcW w:w="25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loans is as follows:</w:t>
            </w:r>
          </w:p>
        </w:tc>
        <w:tc>
          <w:tcPr>
            <w:tcW w:w="2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20" w:type="dxa"/>
            <w:vAlign w:val="bottom"/>
          </w:tcPr>
          <w:p>
            <w:pPr>
              <w:spacing w:after="0"/>
              <w:rPr>
                <w:sz w:val="24"/>
                <w:szCs w:val="24"/>
                <w:color w:val="auto"/>
              </w:rPr>
            </w:pPr>
          </w:p>
        </w:tc>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580" w:type="dxa"/>
            <w:vAlign w:val="bottom"/>
          </w:tcPr>
          <w:p>
            <w:pPr>
              <w:spacing w:after="0"/>
              <w:rPr>
                <w:sz w:val="24"/>
                <w:szCs w:val="24"/>
                <w:color w:val="auto"/>
              </w:rPr>
            </w:pPr>
          </w:p>
        </w:tc>
        <w:tc>
          <w:tcPr>
            <w:tcW w:w="14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5180" w:type="dxa"/>
            <w:vAlign w:val="bottom"/>
            <w:tcBorders>
              <w:bottom w:val="single" w:sz="8" w:color="auto"/>
            </w:tcBorders>
            <w:vMerge w:val="continue"/>
          </w:tcPr>
          <w:p>
            <w:pPr>
              <w:spacing w:after="0"/>
              <w:rPr>
                <w:sz w:val="21"/>
                <w:szCs w:val="21"/>
                <w:color w:val="auto"/>
              </w:rPr>
            </w:pPr>
          </w:p>
        </w:tc>
        <w:tc>
          <w:tcPr>
            <w:tcW w:w="25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56"/>
        </w:trPr>
        <w:tc>
          <w:tcPr>
            <w:tcW w:w="220" w:type="dxa"/>
            <w:vAlign w:val="bottom"/>
          </w:tcPr>
          <w:p>
            <w:pPr>
              <w:spacing w:after="0"/>
              <w:rPr>
                <w:sz w:val="22"/>
                <w:szCs w:val="22"/>
                <w:color w:val="auto"/>
              </w:rPr>
            </w:pPr>
          </w:p>
        </w:tc>
        <w:tc>
          <w:tcPr>
            <w:tcW w:w="5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5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539,272</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450,336</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25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20" w:type="dxa"/>
            <w:vAlign w:val="bottom"/>
          </w:tcPr>
          <w:p>
            <w:pPr>
              <w:spacing w:after="0"/>
              <w:rPr>
                <w:sz w:val="22"/>
                <w:szCs w:val="22"/>
                <w:color w:val="auto"/>
              </w:rPr>
            </w:pPr>
          </w:p>
        </w:tc>
        <w:tc>
          <w:tcPr>
            <w:tcW w:w="5180" w:type="dxa"/>
            <w:vAlign w:val="bottom"/>
            <w:shd w:val="clear" w:color="auto" w:fill="B6B6B6"/>
          </w:tcPr>
          <w:p>
            <w:pPr>
              <w:jc w:val="center"/>
              <w:ind w:right="3750"/>
              <w:spacing w:after="0"/>
              <w:rPr>
                <w:sz w:val="20"/>
                <w:szCs w:val="20"/>
                <w:color w:val="auto"/>
              </w:rPr>
            </w:pPr>
            <w:r>
              <w:rPr>
                <w:rFonts w:ascii="Times New Roman" w:cs="Times New Roman" w:eastAsia="Times New Roman" w:hAnsi="Times New Roman"/>
                <w:sz w:val="18"/>
                <w:szCs w:val="18"/>
                <w:color w:val="auto"/>
                <w:w w:val="99"/>
              </w:rPr>
              <w:t>Commercial:</w:t>
            </w:r>
          </w:p>
        </w:tc>
        <w:tc>
          <w:tcPr>
            <w:tcW w:w="2580" w:type="dxa"/>
            <w:vAlign w:val="bottom"/>
            <w:shd w:val="clear" w:color="auto" w:fill="B6B6B6"/>
          </w:tcPr>
          <w:p>
            <w:pPr>
              <w:spacing w:after="0"/>
              <w:rPr>
                <w:sz w:val="22"/>
                <w:szCs w:val="22"/>
                <w:color w:val="auto"/>
              </w:rPr>
            </w:pPr>
          </w:p>
        </w:tc>
        <w:tc>
          <w:tcPr>
            <w:tcW w:w="148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5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Mortgage</w:t>
            </w:r>
          </w:p>
        </w:tc>
        <w:tc>
          <w:tcPr>
            <w:tcW w:w="25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98,088</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108,759</w:t>
            </w:r>
          </w:p>
        </w:tc>
        <w:tc>
          <w:tcPr>
            <w:tcW w:w="0" w:type="dxa"/>
            <w:vAlign w:val="bottom"/>
          </w:tcPr>
          <w:p>
            <w:pPr>
              <w:spacing w:after="0"/>
              <w:rPr>
                <w:sz w:val="1"/>
                <w:szCs w:val="1"/>
                <w:color w:val="auto"/>
              </w:rPr>
            </w:pPr>
          </w:p>
        </w:tc>
      </w:tr>
      <w:tr>
        <w:trPr>
          <w:trHeight w:val="263"/>
        </w:trPr>
        <w:tc>
          <w:tcPr>
            <w:tcW w:w="220" w:type="dxa"/>
            <w:vAlign w:val="bottom"/>
          </w:tcPr>
          <w:p>
            <w:pPr>
              <w:spacing w:after="0"/>
              <w:rPr>
                <w:sz w:val="22"/>
                <w:szCs w:val="22"/>
                <w:color w:val="auto"/>
              </w:rPr>
            </w:pPr>
          </w:p>
        </w:tc>
        <w:tc>
          <w:tcPr>
            <w:tcW w:w="5180" w:type="dxa"/>
            <w:vAlign w:val="bottom"/>
            <w:shd w:val="clear" w:color="auto" w:fill="B6B6B6"/>
          </w:tcPr>
          <w:p>
            <w:pPr>
              <w:ind w:left="560"/>
              <w:spacing w:after="0"/>
              <w:rPr>
                <w:sz w:val="20"/>
                <w:szCs w:val="20"/>
                <w:color w:val="auto"/>
              </w:rPr>
            </w:pPr>
            <w:r>
              <w:rPr>
                <w:rFonts w:ascii="Times New Roman" w:cs="Times New Roman" w:eastAsia="Times New Roman" w:hAnsi="Times New Roman"/>
                <w:sz w:val="18"/>
                <w:szCs w:val="18"/>
                <w:color w:val="auto"/>
              </w:rPr>
              <w:t>Construction</w:t>
            </w:r>
          </w:p>
        </w:tc>
        <w:tc>
          <w:tcPr>
            <w:tcW w:w="2580" w:type="dxa"/>
            <w:vAlign w:val="bottom"/>
            <w:shd w:val="clear" w:color="auto" w:fill="B6B6B6"/>
          </w:tcPr>
          <w:p>
            <w:pPr>
              <w:spacing w:after="0"/>
              <w:rPr>
                <w:sz w:val="22"/>
                <w:szCs w:val="22"/>
                <w:color w:val="auto"/>
              </w:rPr>
            </w:pPr>
          </w:p>
        </w:tc>
        <w:tc>
          <w:tcPr>
            <w:tcW w:w="14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26,284</w:t>
            </w: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24,797</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5180" w:type="dxa"/>
            <w:vAlign w:val="bottom"/>
          </w:tcPr>
          <w:p>
            <w:pPr>
              <w:jc w:val="center"/>
              <w:ind w:right="3790"/>
              <w:spacing w:after="0"/>
              <w:rPr>
                <w:sz w:val="20"/>
                <w:szCs w:val="20"/>
                <w:color w:val="auto"/>
              </w:rPr>
            </w:pPr>
            <w:r>
              <w:rPr>
                <w:rFonts w:ascii="Times New Roman" w:cs="Times New Roman" w:eastAsia="Times New Roman" w:hAnsi="Times New Roman"/>
                <w:sz w:val="18"/>
                <w:szCs w:val="18"/>
                <w:color w:val="auto"/>
              </w:rPr>
              <w:t>Faith-based:</w:t>
            </w:r>
          </w:p>
        </w:tc>
        <w:tc>
          <w:tcPr>
            <w:tcW w:w="25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20" w:type="dxa"/>
            <w:vAlign w:val="bottom"/>
          </w:tcPr>
          <w:p>
            <w:pPr>
              <w:spacing w:after="0"/>
              <w:rPr>
                <w:sz w:val="22"/>
                <w:szCs w:val="22"/>
                <w:color w:val="auto"/>
              </w:rPr>
            </w:pPr>
          </w:p>
        </w:tc>
        <w:tc>
          <w:tcPr>
            <w:tcW w:w="5180" w:type="dxa"/>
            <w:vAlign w:val="bottom"/>
            <w:shd w:val="clear" w:color="auto" w:fill="B6B6B6"/>
          </w:tcPr>
          <w:p>
            <w:pPr>
              <w:ind w:left="560"/>
              <w:spacing w:after="0"/>
              <w:rPr>
                <w:sz w:val="20"/>
                <w:szCs w:val="20"/>
                <w:color w:val="auto"/>
              </w:rPr>
            </w:pPr>
            <w:r>
              <w:rPr>
                <w:rFonts w:ascii="Times New Roman" w:cs="Times New Roman" w:eastAsia="Times New Roman" w:hAnsi="Times New Roman"/>
                <w:sz w:val="18"/>
                <w:szCs w:val="18"/>
                <w:color w:val="auto"/>
              </w:rPr>
              <w:t>Mortgage</w:t>
            </w:r>
          </w:p>
        </w:tc>
        <w:tc>
          <w:tcPr>
            <w:tcW w:w="2580" w:type="dxa"/>
            <w:vAlign w:val="bottom"/>
            <w:shd w:val="clear" w:color="auto" w:fill="B6B6B6"/>
          </w:tcPr>
          <w:p>
            <w:pPr>
              <w:spacing w:after="0"/>
              <w:rPr>
                <w:sz w:val="22"/>
                <w:szCs w:val="22"/>
                <w:color w:val="auto"/>
              </w:rPr>
            </w:pPr>
          </w:p>
        </w:tc>
        <w:tc>
          <w:tcPr>
            <w:tcW w:w="14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365,584</w:t>
            </w: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355,582</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5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Construction</w:t>
            </w:r>
          </w:p>
        </w:tc>
        <w:tc>
          <w:tcPr>
            <w:tcW w:w="25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7,853</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14,664</w:t>
            </w:r>
          </w:p>
        </w:tc>
        <w:tc>
          <w:tcPr>
            <w:tcW w:w="0" w:type="dxa"/>
            <w:vAlign w:val="bottom"/>
          </w:tcPr>
          <w:p>
            <w:pPr>
              <w:spacing w:after="0"/>
              <w:rPr>
                <w:sz w:val="1"/>
                <w:szCs w:val="1"/>
                <w:color w:val="auto"/>
              </w:rPr>
            </w:pPr>
          </w:p>
        </w:tc>
      </w:tr>
      <w:tr>
        <w:trPr>
          <w:trHeight w:val="263"/>
        </w:trPr>
        <w:tc>
          <w:tcPr>
            <w:tcW w:w="220" w:type="dxa"/>
            <w:vAlign w:val="bottom"/>
          </w:tcPr>
          <w:p>
            <w:pPr>
              <w:spacing w:after="0"/>
              <w:rPr>
                <w:sz w:val="22"/>
                <w:szCs w:val="22"/>
                <w:color w:val="auto"/>
              </w:rPr>
            </w:pPr>
          </w:p>
        </w:tc>
        <w:tc>
          <w:tcPr>
            <w:tcW w:w="5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Paycheck Protection Program (“PPP”)</w:t>
            </w:r>
          </w:p>
        </w:tc>
        <w:tc>
          <w:tcPr>
            <w:tcW w:w="2580" w:type="dxa"/>
            <w:vAlign w:val="bottom"/>
            <w:shd w:val="clear" w:color="auto" w:fill="B6B6B6"/>
          </w:tcPr>
          <w:p>
            <w:pPr>
              <w:spacing w:after="0"/>
              <w:rPr>
                <w:sz w:val="22"/>
                <w:szCs w:val="22"/>
                <w:color w:val="auto"/>
              </w:rPr>
            </w:pPr>
          </w:p>
        </w:tc>
        <w:tc>
          <w:tcPr>
            <w:tcW w:w="14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5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56"/>
        </w:trPr>
        <w:tc>
          <w:tcPr>
            <w:tcW w:w="220" w:type="dxa"/>
            <w:vAlign w:val="bottom"/>
          </w:tcPr>
          <w:p>
            <w:pPr>
              <w:spacing w:after="0"/>
              <w:rPr>
                <w:sz w:val="22"/>
                <w:szCs w:val="22"/>
                <w:color w:val="auto"/>
              </w:rPr>
            </w:pPr>
          </w:p>
        </w:tc>
        <w:tc>
          <w:tcPr>
            <w:tcW w:w="518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Total loans</w:t>
            </w:r>
          </w:p>
        </w:tc>
        <w:tc>
          <w:tcPr>
            <w:tcW w:w="25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1,037,101</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960,567</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aging of loans past due by category at September 30, 2022 and December 31,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7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Performing</w:t>
            </w: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Nonperforming</w:t>
            </w:r>
          </w:p>
        </w:tc>
        <w:tc>
          <w:tcPr>
            <w:tcW w:w="320" w:type="dxa"/>
            <w:vAlign w:val="bottom"/>
            <w:tcBorders>
              <w:bottom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2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center"/>
              <w:ind w:right="190"/>
              <w:spacing w:after="0" w:line="180" w:lineRule="exact"/>
              <w:rPr>
                <w:sz w:val="20"/>
                <w:szCs w:val="20"/>
                <w:color w:val="auto"/>
              </w:rPr>
            </w:pPr>
            <w:r>
              <w:rPr>
                <w:rFonts w:ascii="Times New Roman" w:cs="Times New Roman" w:eastAsia="Times New Roman" w:hAnsi="Times New Roman"/>
                <w:sz w:val="18"/>
                <w:szCs w:val="18"/>
                <w:b w:val="1"/>
                <w:bCs w:val="1"/>
                <w:color w:val="auto"/>
                <w:w w:val="99"/>
              </w:rPr>
              <w:t>90</w:t>
            </w: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30-59</w:t>
            </w:r>
          </w:p>
        </w:tc>
        <w:tc>
          <w:tcPr>
            <w:tcW w:w="360" w:type="dxa"/>
            <w:vAlign w:val="bottom"/>
          </w:tcPr>
          <w:p>
            <w:pPr>
              <w:spacing w:after="0"/>
              <w:rPr>
                <w:sz w:val="16"/>
                <w:szCs w:val="16"/>
                <w:color w:val="auto"/>
              </w:rPr>
            </w:pP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60-89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center"/>
              <w:ind w:right="190"/>
              <w:spacing w:after="0" w:line="184" w:lineRule="exact"/>
              <w:rPr>
                <w:sz w:val="20"/>
                <w:szCs w:val="20"/>
                <w:color w:val="auto"/>
              </w:rPr>
            </w:pPr>
            <w:r>
              <w:rPr>
                <w:rFonts w:ascii="Times New Roman" w:cs="Times New Roman" w:eastAsia="Times New Roman" w:hAnsi="Times New Roman"/>
                <w:sz w:val="18"/>
                <w:szCs w:val="18"/>
                <w:b w:val="1"/>
                <w:bCs w:val="1"/>
                <w:color w:val="auto"/>
                <w:w w:val="99"/>
              </w:rPr>
              <w:t>Days</w:t>
            </w:r>
          </w:p>
        </w:tc>
        <w:tc>
          <w:tcPr>
            <w:tcW w:w="11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Non-</w:t>
            </w: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5"/>
        </w:trPr>
        <w:tc>
          <w:tcPr>
            <w:tcW w:w="2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40" w:type="dxa"/>
            <w:vAlign w:val="bottom"/>
          </w:tcPr>
          <w:p>
            <w:pPr>
              <w:spacing w:after="0"/>
              <w:rPr>
                <w:sz w:val="15"/>
                <w:szCs w:val="15"/>
                <w:color w:val="auto"/>
              </w:rPr>
            </w:pPr>
          </w:p>
        </w:tc>
        <w:tc>
          <w:tcPr>
            <w:tcW w:w="11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center"/>
              <w:ind w:right="21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and</w:t>
            </w:r>
          </w:p>
        </w:tc>
        <w:tc>
          <w:tcPr>
            <w:tcW w:w="11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76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Days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Days</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Over</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accrual</w:t>
            </w:r>
          </w:p>
        </w:tc>
        <w:tc>
          <w:tcPr>
            <w:tcW w:w="3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0" w:type="dxa"/>
            <w:vAlign w:val="bottom"/>
          </w:tcPr>
          <w:p>
            <w:pPr>
              <w:spacing w:after="0"/>
              <w:rPr>
                <w:sz w:val="1"/>
                <w:szCs w:val="1"/>
                <w:color w:val="auto"/>
              </w:rPr>
            </w:pPr>
          </w:p>
        </w:tc>
      </w:tr>
      <w:tr>
        <w:trPr>
          <w:trHeight w:val="256"/>
        </w:trPr>
        <w:tc>
          <w:tcPr>
            <w:tcW w:w="2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i w:val="1"/>
                <w:iCs w:val="1"/>
                <w:color w:val="auto"/>
              </w:rPr>
              <w:t>September 30, 2022</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18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04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539,272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539,272</w:t>
            </w: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18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04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98,088</w:t>
            </w:r>
          </w:p>
        </w:tc>
        <w:tc>
          <w:tcPr>
            <w:tcW w:w="240" w:type="dxa"/>
            <w:vAlign w:val="bottom"/>
            <w:shd w:val="clear" w:color="auto" w:fill="B6B6B6"/>
          </w:tcPr>
          <w:p>
            <w:pPr>
              <w:spacing w:after="0"/>
              <w:rPr>
                <w:sz w:val="22"/>
                <w:szCs w:val="22"/>
                <w:color w:val="auto"/>
              </w:rPr>
            </w:pPr>
          </w:p>
        </w:tc>
        <w:tc>
          <w:tcPr>
            <w:tcW w:w="1180" w:type="dxa"/>
            <w:vAlign w:val="bottom"/>
            <w:shd w:val="clear" w:color="auto" w:fill="B6B6B6"/>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B6B6B6"/>
          </w:tcPr>
          <w:p>
            <w:pPr>
              <w:spacing w:after="0"/>
              <w:rPr>
                <w:sz w:val="22"/>
                <w:szCs w:val="22"/>
                <w:color w:val="auto"/>
              </w:rPr>
            </w:pPr>
          </w:p>
        </w:tc>
        <w:tc>
          <w:tcPr>
            <w:tcW w:w="1140" w:type="dxa"/>
            <w:vAlign w:val="bottom"/>
            <w:gridSpan w:val="2"/>
            <w:shd w:val="clear" w:color="auto" w:fill="B6B6B6"/>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B6B6"/>
          </w:tcPr>
          <w:p>
            <w:pPr>
              <w:spacing w:after="0"/>
              <w:rPr>
                <w:sz w:val="22"/>
                <w:szCs w:val="22"/>
                <w:color w:val="auto"/>
              </w:rPr>
            </w:pPr>
          </w:p>
        </w:tc>
        <w:tc>
          <w:tcPr>
            <w:tcW w:w="320" w:type="dxa"/>
            <w:vAlign w:val="bottom"/>
            <w:shd w:val="clear" w:color="auto" w:fill="B6B6B6"/>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98,088</w:t>
            </w:r>
          </w:p>
        </w:tc>
        <w:tc>
          <w:tcPr>
            <w:tcW w:w="0" w:type="dxa"/>
            <w:vAlign w:val="bottom"/>
          </w:tcPr>
          <w:p>
            <w:pPr>
              <w:spacing w:after="0"/>
              <w:rPr>
                <w:sz w:val="1"/>
                <w:szCs w:val="1"/>
                <w:color w:val="auto"/>
              </w:rPr>
            </w:pPr>
          </w:p>
        </w:tc>
      </w:tr>
      <w:tr>
        <w:trPr>
          <w:trHeight w:val="250"/>
        </w:trPr>
        <w:tc>
          <w:tcPr>
            <w:tcW w:w="2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26,284</w:t>
            </w:r>
          </w:p>
        </w:tc>
        <w:tc>
          <w:tcPr>
            <w:tcW w:w="240" w:type="dxa"/>
            <w:vAlign w:val="bottom"/>
          </w:tcPr>
          <w:p>
            <w:pPr>
              <w:spacing w:after="0"/>
              <w:rPr>
                <w:sz w:val="21"/>
                <w:szCs w:val="21"/>
                <w:color w:val="auto"/>
              </w:rPr>
            </w:pPr>
          </w:p>
        </w:tc>
        <w:tc>
          <w:tcPr>
            <w:tcW w:w="11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1"/>
                <w:szCs w:val="21"/>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26,284</w:t>
            </w: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Faith-based:</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18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04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365,584</w:t>
            </w:r>
          </w:p>
        </w:tc>
        <w:tc>
          <w:tcPr>
            <w:tcW w:w="240" w:type="dxa"/>
            <w:vAlign w:val="bottom"/>
          </w:tcPr>
          <w:p>
            <w:pPr>
              <w:spacing w:after="0"/>
              <w:rPr>
                <w:sz w:val="21"/>
                <w:szCs w:val="21"/>
                <w:color w:val="auto"/>
              </w:rPr>
            </w:pPr>
          </w:p>
        </w:tc>
        <w:tc>
          <w:tcPr>
            <w:tcW w:w="11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1"/>
                <w:szCs w:val="21"/>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365,584</w:t>
            </w: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7,853</w:t>
            </w:r>
          </w:p>
        </w:tc>
        <w:tc>
          <w:tcPr>
            <w:tcW w:w="240" w:type="dxa"/>
            <w:vAlign w:val="bottom"/>
            <w:shd w:val="clear" w:color="auto" w:fill="B6B6B6"/>
          </w:tcPr>
          <w:p>
            <w:pPr>
              <w:spacing w:after="0"/>
              <w:rPr>
                <w:sz w:val="22"/>
                <w:szCs w:val="22"/>
                <w:color w:val="auto"/>
              </w:rPr>
            </w:pPr>
          </w:p>
        </w:tc>
        <w:tc>
          <w:tcPr>
            <w:tcW w:w="1180" w:type="dxa"/>
            <w:vAlign w:val="bottom"/>
            <w:shd w:val="clear" w:color="auto" w:fill="B6B6B6"/>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B6B6B6"/>
          </w:tcPr>
          <w:p>
            <w:pPr>
              <w:spacing w:after="0"/>
              <w:rPr>
                <w:sz w:val="22"/>
                <w:szCs w:val="22"/>
                <w:color w:val="auto"/>
              </w:rPr>
            </w:pPr>
          </w:p>
        </w:tc>
        <w:tc>
          <w:tcPr>
            <w:tcW w:w="1140" w:type="dxa"/>
            <w:vAlign w:val="bottom"/>
            <w:gridSpan w:val="2"/>
            <w:shd w:val="clear" w:color="auto" w:fill="B6B6B6"/>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B6B6"/>
          </w:tcPr>
          <w:p>
            <w:pPr>
              <w:spacing w:after="0"/>
              <w:rPr>
                <w:sz w:val="22"/>
                <w:szCs w:val="22"/>
                <w:color w:val="auto"/>
              </w:rPr>
            </w:pPr>
          </w:p>
        </w:tc>
        <w:tc>
          <w:tcPr>
            <w:tcW w:w="320" w:type="dxa"/>
            <w:vAlign w:val="bottom"/>
            <w:shd w:val="clear" w:color="auto" w:fill="B6B6B6"/>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7,853</w:t>
            </w:r>
          </w:p>
        </w:tc>
        <w:tc>
          <w:tcPr>
            <w:tcW w:w="0" w:type="dxa"/>
            <w:vAlign w:val="bottom"/>
          </w:tcPr>
          <w:p>
            <w:pPr>
              <w:spacing w:after="0"/>
              <w:rPr>
                <w:sz w:val="1"/>
                <w:szCs w:val="1"/>
                <w:color w:val="auto"/>
              </w:rPr>
            </w:pPr>
          </w:p>
        </w:tc>
      </w:tr>
      <w:tr>
        <w:trPr>
          <w:trHeight w:val="250"/>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PPP</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1"/>
                <w:szCs w:val="21"/>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76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B6B6B6"/>
          </w:tcPr>
          <w:p>
            <w:pPr>
              <w:spacing w:after="0"/>
              <w:rPr>
                <w:sz w:val="22"/>
                <w:szCs w:val="22"/>
                <w:color w:val="auto"/>
              </w:rPr>
            </w:pPr>
          </w:p>
        </w:tc>
        <w:tc>
          <w:tcPr>
            <w:tcW w:w="112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Borders>
              <w:bottom w:val="single" w:sz="8" w:color="auto"/>
            </w:tcBorders>
            <w:shd w:val="clear" w:color="auto" w:fill="B6B6B6"/>
          </w:tcPr>
          <w:p>
            <w:pPr>
              <w:spacing w:after="0"/>
              <w:rPr>
                <w:sz w:val="22"/>
                <w:szCs w:val="22"/>
                <w:color w:val="auto"/>
              </w:rPr>
            </w:pPr>
          </w:p>
        </w:tc>
        <w:tc>
          <w:tcPr>
            <w:tcW w:w="1180" w:type="dxa"/>
            <w:vAlign w:val="bottom"/>
            <w:tcBorders>
              <w:bottom w:val="single" w:sz="8" w:color="auto"/>
            </w:tcBorders>
            <w:shd w:val="clear" w:color="auto" w:fill="B6B6B6"/>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gridSpan w:val="2"/>
            <w:shd w:val="clear" w:color="auto" w:fill="B6B6B6"/>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B6B6B6"/>
          </w:tcPr>
          <w:p>
            <w:pPr>
              <w:spacing w:after="0"/>
              <w:rPr>
                <w:sz w:val="22"/>
                <w:szCs w:val="22"/>
                <w:color w:val="auto"/>
              </w:rPr>
            </w:pPr>
          </w:p>
        </w:tc>
        <w:tc>
          <w:tcPr>
            <w:tcW w:w="1060" w:type="dxa"/>
            <w:vAlign w:val="bottom"/>
            <w:tcBorders>
              <w:bottom w:val="single" w:sz="8" w:color="auto"/>
            </w:tcBorders>
            <w:shd w:val="clear" w:color="auto" w:fill="B6B6B6"/>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6B6B6"/>
          </w:tcPr>
          <w:p>
            <w:pPr>
              <w:spacing w:after="0"/>
              <w:rPr>
                <w:sz w:val="22"/>
                <w:szCs w:val="22"/>
                <w:color w:val="auto"/>
              </w:rPr>
            </w:pPr>
          </w:p>
        </w:tc>
        <w:tc>
          <w:tcPr>
            <w:tcW w:w="320" w:type="dxa"/>
            <w:vAlign w:val="bottom"/>
            <w:tcBorders>
              <w:bottom w:val="single" w:sz="8" w:color="auto"/>
            </w:tcBorders>
            <w:shd w:val="clear" w:color="auto" w:fill="B6B6B6"/>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B6B6B6"/>
          </w:tcPr>
          <w:p>
            <w:pPr>
              <w:spacing w:after="0"/>
              <w:rPr>
                <w:sz w:val="22"/>
                <w:szCs w:val="22"/>
                <w:color w:val="auto"/>
              </w:rPr>
            </w:pPr>
          </w:p>
        </w:tc>
        <w:tc>
          <w:tcPr>
            <w:tcW w:w="10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50"/>
        </w:trPr>
        <w:tc>
          <w:tcPr>
            <w:tcW w:w="2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1,037,101</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1,037,101</w:t>
            </w:r>
          </w:p>
        </w:tc>
        <w:tc>
          <w:tcPr>
            <w:tcW w:w="0" w:type="dxa"/>
            <w:vAlign w:val="bottom"/>
          </w:tcPr>
          <w:p>
            <w:pPr>
              <w:spacing w:after="0"/>
              <w:rPr>
                <w:sz w:val="1"/>
                <w:szCs w:val="1"/>
                <w:color w:val="auto"/>
              </w:rPr>
            </w:pPr>
          </w:p>
        </w:tc>
      </w:tr>
      <w:tr>
        <w:trPr>
          <w:trHeight w:val="257"/>
        </w:trPr>
        <w:tc>
          <w:tcPr>
            <w:tcW w:w="2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i w:val="1"/>
                <w:iCs w:val="1"/>
                <w:color w:val="auto"/>
              </w:rPr>
              <w:t>December 31, 2021</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18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04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450,336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450,336</w:t>
            </w: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18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04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108,759</w:t>
            </w:r>
          </w:p>
        </w:tc>
        <w:tc>
          <w:tcPr>
            <w:tcW w:w="240" w:type="dxa"/>
            <w:vAlign w:val="bottom"/>
            <w:shd w:val="clear" w:color="auto" w:fill="B6B6B6"/>
          </w:tcPr>
          <w:p>
            <w:pPr>
              <w:spacing w:after="0"/>
              <w:rPr>
                <w:sz w:val="22"/>
                <w:szCs w:val="22"/>
                <w:color w:val="auto"/>
              </w:rPr>
            </w:pPr>
          </w:p>
        </w:tc>
        <w:tc>
          <w:tcPr>
            <w:tcW w:w="1180" w:type="dxa"/>
            <w:vAlign w:val="bottom"/>
            <w:shd w:val="clear" w:color="auto" w:fill="B6B6B6"/>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B6B6B6"/>
          </w:tcPr>
          <w:p>
            <w:pPr>
              <w:spacing w:after="0"/>
              <w:rPr>
                <w:sz w:val="22"/>
                <w:szCs w:val="22"/>
                <w:color w:val="auto"/>
              </w:rPr>
            </w:pPr>
          </w:p>
        </w:tc>
        <w:tc>
          <w:tcPr>
            <w:tcW w:w="1140" w:type="dxa"/>
            <w:vAlign w:val="bottom"/>
            <w:gridSpan w:val="2"/>
            <w:shd w:val="clear" w:color="auto" w:fill="B6B6B6"/>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B6B6"/>
          </w:tcPr>
          <w:p>
            <w:pPr>
              <w:spacing w:after="0"/>
              <w:rPr>
                <w:sz w:val="22"/>
                <w:szCs w:val="22"/>
                <w:color w:val="auto"/>
              </w:rPr>
            </w:pPr>
          </w:p>
        </w:tc>
        <w:tc>
          <w:tcPr>
            <w:tcW w:w="320" w:type="dxa"/>
            <w:vAlign w:val="bottom"/>
            <w:shd w:val="clear" w:color="auto" w:fill="B6B6B6"/>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108,759</w:t>
            </w:r>
          </w:p>
        </w:tc>
        <w:tc>
          <w:tcPr>
            <w:tcW w:w="0" w:type="dxa"/>
            <w:vAlign w:val="bottom"/>
          </w:tcPr>
          <w:p>
            <w:pPr>
              <w:spacing w:after="0"/>
              <w:rPr>
                <w:sz w:val="1"/>
                <w:szCs w:val="1"/>
                <w:color w:val="auto"/>
              </w:rPr>
            </w:pPr>
          </w:p>
        </w:tc>
      </w:tr>
      <w:tr>
        <w:trPr>
          <w:trHeight w:val="250"/>
        </w:trPr>
        <w:tc>
          <w:tcPr>
            <w:tcW w:w="2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24,797</w:t>
            </w:r>
          </w:p>
        </w:tc>
        <w:tc>
          <w:tcPr>
            <w:tcW w:w="240" w:type="dxa"/>
            <w:vAlign w:val="bottom"/>
          </w:tcPr>
          <w:p>
            <w:pPr>
              <w:spacing w:after="0"/>
              <w:rPr>
                <w:sz w:val="21"/>
                <w:szCs w:val="21"/>
                <w:color w:val="auto"/>
              </w:rPr>
            </w:pPr>
          </w:p>
        </w:tc>
        <w:tc>
          <w:tcPr>
            <w:tcW w:w="11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1"/>
                <w:szCs w:val="21"/>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24,797</w:t>
            </w: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Faith-based:</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18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04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355,582</w:t>
            </w:r>
          </w:p>
        </w:tc>
        <w:tc>
          <w:tcPr>
            <w:tcW w:w="240" w:type="dxa"/>
            <w:vAlign w:val="bottom"/>
          </w:tcPr>
          <w:p>
            <w:pPr>
              <w:spacing w:after="0"/>
              <w:rPr>
                <w:sz w:val="21"/>
                <w:szCs w:val="21"/>
                <w:color w:val="auto"/>
              </w:rPr>
            </w:pPr>
          </w:p>
        </w:tc>
        <w:tc>
          <w:tcPr>
            <w:tcW w:w="11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1"/>
                <w:szCs w:val="21"/>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355,582</w:t>
            </w: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14,664</w:t>
            </w:r>
          </w:p>
        </w:tc>
        <w:tc>
          <w:tcPr>
            <w:tcW w:w="240" w:type="dxa"/>
            <w:vAlign w:val="bottom"/>
            <w:shd w:val="clear" w:color="auto" w:fill="B6B6B6"/>
          </w:tcPr>
          <w:p>
            <w:pPr>
              <w:spacing w:after="0"/>
              <w:rPr>
                <w:sz w:val="22"/>
                <w:szCs w:val="22"/>
                <w:color w:val="auto"/>
              </w:rPr>
            </w:pPr>
          </w:p>
        </w:tc>
        <w:tc>
          <w:tcPr>
            <w:tcW w:w="1180" w:type="dxa"/>
            <w:vAlign w:val="bottom"/>
            <w:shd w:val="clear" w:color="auto" w:fill="B6B6B6"/>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B6B6B6"/>
          </w:tcPr>
          <w:p>
            <w:pPr>
              <w:spacing w:after="0"/>
              <w:rPr>
                <w:sz w:val="22"/>
                <w:szCs w:val="22"/>
                <w:color w:val="auto"/>
              </w:rPr>
            </w:pPr>
          </w:p>
        </w:tc>
        <w:tc>
          <w:tcPr>
            <w:tcW w:w="1140" w:type="dxa"/>
            <w:vAlign w:val="bottom"/>
            <w:gridSpan w:val="2"/>
            <w:shd w:val="clear" w:color="auto" w:fill="B6B6B6"/>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B6B6"/>
          </w:tcPr>
          <w:p>
            <w:pPr>
              <w:spacing w:after="0"/>
              <w:rPr>
                <w:sz w:val="22"/>
                <w:szCs w:val="22"/>
                <w:color w:val="auto"/>
              </w:rPr>
            </w:pPr>
          </w:p>
        </w:tc>
        <w:tc>
          <w:tcPr>
            <w:tcW w:w="320" w:type="dxa"/>
            <w:vAlign w:val="bottom"/>
            <w:shd w:val="clear" w:color="auto" w:fill="B6B6B6"/>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14,664</w:t>
            </w:r>
          </w:p>
        </w:tc>
        <w:tc>
          <w:tcPr>
            <w:tcW w:w="0" w:type="dxa"/>
            <w:vAlign w:val="bottom"/>
          </w:tcPr>
          <w:p>
            <w:pPr>
              <w:spacing w:after="0"/>
              <w:rPr>
                <w:sz w:val="1"/>
                <w:szCs w:val="1"/>
                <w:color w:val="auto"/>
              </w:rPr>
            </w:pPr>
          </w:p>
        </w:tc>
      </w:tr>
      <w:tr>
        <w:trPr>
          <w:trHeight w:val="250"/>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PPP</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6,299</w:t>
            </w:r>
          </w:p>
        </w:tc>
        <w:tc>
          <w:tcPr>
            <w:tcW w:w="240" w:type="dxa"/>
            <w:vAlign w:val="bottom"/>
          </w:tcPr>
          <w:p>
            <w:pPr>
              <w:spacing w:after="0"/>
              <w:rPr>
                <w:sz w:val="21"/>
                <w:szCs w:val="21"/>
                <w:color w:val="auto"/>
              </w:rPr>
            </w:pPr>
          </w:p>
        </w:tc>
        <w:tc>
          <w:tcPr>
            <w:tcW w:w="11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1"/>
                <w:szCs w:val="21"/>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0" w:type="dxa"/>
            <w:vAlign w:val="bottom"/>
          </w:tcPr>
          <w:p>
            <w:pPr>
              <w:spacing w:after="0"/>
              <w:rPr>
                <w:sz w:val="1"/>
                <w:szCs w:val="1"/>
                <w:color w:val="auto"/>
              </w:rPr>
            </w:pPr>
          </w:p>
        </w:tc>
      </w:tr>
      <w:tr>
        <w:trPr>
          <w:trHeight w:val="257"/>
        </w:trPr>
        <w:tc>
          <w:tcPr>
            <w:tcW w:w="276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B6B6B6"/>
          </w:tcPr>
          <w:p>
            <w:pPr>
              <w:spacing w:after="0"/>
              <w:rPr>
                <w:sz w:val="22"/>
                <w:szCs w:val="22"/>
                <w:color w:val="auto"/>
              </w:rPr>
            </w:pPr>
          </w:p>
        </w:tc>
        <w:tc>
          <w:tcPr>
            <w:tcW w:w="112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tcBorders>
              <w:bottom w:val="single" w:sz="8" w:color="auto"/>
            </w:tcBorders>
            <w:shd w:val="clear" w:color="auto" w:fill="B6B6B6"/>
          </w:tcPr>
          <w:p>
            <w:pPr>
              <w:spacing w:after="0"/>
              <w:rPr>
                <w:sz w:val="22"/>
                <w:szCs w:val="22"/>
                <w:color w:val="auto"/>
              </w:rPr>
            </w:pPr>
          </w:p>
        </w:tc>
        <w:tc>
          <w:tcPr>
            <w:tcW w:w="1180" w:type="dxa"/>
            <w:vAlign w:val="bottom"/>
            <w:tcBorders>
              <w:bottom w:val="single" w:sz="8" w:color="auto"/>
            </w:tcBorders>
            <w:shd w:val="clear" w:color="auto" w:fill="B6B6B6"/>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gridSpan w:val="2"/>
            <w:shd w:val="clear" w:color="auto" w:fill="B6B6B6"/>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B6B6B6"/>
          </w:tcPr>
          <w:p>
            <w:pPr>
              <w:spacing w:after="0"/>
              <w:rPr>
                <w:sz w:val="22"/>
                <w:szCs w:val="22"/>
                <w:color w:val="auto"/>
              </w:rPr>
            </w:pPr>
          </w:p>
        </w:tc>
        <w:tc>
          <w:tcPr>
            <w:tcW w:w="1060" w:type="dxa"/>
            <w:vAlign w:val="bottom"/>
            <w:tcBorders>
              <w:bottom w:val="single" w:sz="8" w:color="auto"/>
            </w:tcBorders>
            <w:shd w:val="clear" w:color="auto" w:fill="B6B6B6"/>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6B6B6"/>
          </w:tcPr>
          <w:p>
            <w:pPr>
              <w:spacing w:after="0"/>
              <w:rPr>
                <w:sz w:val="22"/>
                <w:szCs w:val="22"/>
                <w:color w:val="auto"/>
              </w:rPr>
            </w:pPr>
          </w:p>
        </w:tc>
        <w:tc>
          <w:tcPr>
            <w:tcW w:w="320" w:type="dxa"/>
            <w:vAlign w:val="bottom"/>
            <w:tcBorders>
              <w:bottom w:val="single" w:sz="8" w:color="auto"/>
            </w:tcBorders>
            <w:shd w:val="clear" w:color="auto" w:fill="B6B6B6"/>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B6B6B6"/>
          </w:tcPr>
          <w:p>
            <w:pPr>
              <w:spacing w:after="0"/>
              <w:rPr>
                <w:sz w:val="22"/>
                <w:szCs w:val="22"/>
                <w:color w:val="auto"/>
              </w:rPr>
            </w:pPr>
          </w:p>
        </w:tc>
        <w:tc>
          <w:tcPr>
            <w:tcW w:w="10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50"/>
        </w:trPr>
        <w:tc>
          <w:tcPr>
            <w:tcW w:w="2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960,567</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960,567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credit exposure of the loan portfolio by internally assigned credit grade as of September 30, 2022 and December 31, 2021: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240" w:type="dxa"/>
            <w:vAlign w:val="bottom"/>
          </w:tcPr>
          <w:p>
            <w:pPr>
              <w:spacing w:after="0"/>
              <w:rPr>
                <w:sz w:val="17"/>
                <w:szCs w:val="17"/>
                <w:color w:val="auto"/>
              </w:rPr>
            </w:pPr>
          </w:p>
        </w:tc>
        <w:tc>
          <w:tcPr>
            <w:tcW w:w="13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Performing</w:t>
            </w:r>
          </w:p>
        </w:tc>
        <w:tc>
          <w:tcPr>
            <w:tcW w:w="260" w:type="dxa"/>
            <w:vAlign w:val="bottom"/>
          </w:tcPr>
          <w:p>
            <w:pPr>
              <w:spacing w:after="0"/>
              <w:rPr>
                <w:sz w:val="17"/>
                <w:szCs w:val="17"/>
                <w:color w:val="auto"/>
              </w:rPr>
            </w:pPr>
          </w:p>
        </w:tc>
        <w:tc>
          <w:tcPr>
            <w:tcW w:w="15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Nonperforming</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20" w:type="dxa"/>
            <w:vAlign w:val="bottom"/>
          </w:tcPr>
          <w:p>
            <w:pPr>
              <w:jc w:val="center"/>
              <w:ind w:right="130"/>
              <w:spacing w:after="0" w:line="202" w:lineRule="exact"/>
              <w:rPr>
                <w:sz w:val="20"/>
                <w:szCs w:val="20"/>
                <w:color w:val="auto"/>
              </w:rPr>
            </w:pPr>
            <w:r>
              <w:rPr>
                <w:rFonts w:ascii="Times New Roman" w:cs="Times New Roman" w:eastAsia="Times New Roman" w:hAnsi="Times New Roman"/>
                <w:sz w:val="18"/>
                <w:szCs w:val="18"/>
                <w:b w:val="1"/>
                <w:bCs w:val="1"/>
                <w:color w:val="auto"/>
              </w:rPr>
              <w:t>Subject to</w:t>
            </w:r>
          </w:p>
        </w:tc>
        <w:tc>
          <w:tcPr>
            <w:tcW w:w="240" w:type="dxa"/>
            <w:vAlign w:val="bottom"/>
          </w:tcPr>
          <w:p>
            <w:pPr>
              <w:spacing w:after="0"/>
              <w:rPr>
                <w:sz w:val="17"/>
                <w:szCs w:val="17"/>
                <w:color w:val="auto"/>
              </w:rPr>
            </w:pPr>
          </w:p>
        </w:tc>
        <w:tc>
          <w:tcPr>
            <w:tcW w:w="1360" w:type="dxa"/>
            <w:vAlign w:val="bottom"/>
          </w:tcPr>
          <w:p>
            <w:pPr>
              <w:jc w:val="center"/>
              <w:ind w:right="90"/>
              <w:spacing w:after="0" w:line="202" w:lineRule="exact"/>
              <w:rPr>
                <w:sz w:val="20"/>
                <w:szCs w:val="20"/>
                <w:color w:val="auto"/>
              </w:rPr>
            </w:pPr>
            <w:r>
              <w:rPr>
                <w:rFonts w:ascii="Times New Roman" w:cs="Times New Roman" w:eastAsia="Times New Roman" w:hAnsi="Times New Roman"/>
                <w:sz w:val="18"/>
                <w:szCs w:val="18"/>
                <w:b w:val="1"/>
                <w:bCs w:val="1"/>
                <w:color w:val="auto"/>
              </w:rPr>
              <w:t>Loans Subject</w:t>
            </w:r>
          </w:p>
        </w:tc>
        <w:tc>
          <w:tcPr>
            <w:tcW w:w="260" w:type="dxa"/>
            <w:vAlign w:val="bottom"/>
          </w:tcPr>
          <w:p>
            <w:pPr>
              <w:spacing w:after="0"/>
              <w:rPr>
                <w:sz w:val="17"/>
                <w:szCs w:val="17"/>
                <w:color w:val="auto"/>
              </w:rPr>
            </w:pPr>
          </w:p>
        </w:tc>
        <w:tc>
          <w:tcPr>
            <w:tcW w:w="1540" w:type="dxa"/>
            <w:vAlign w:val="bottom"/>
          </w:tcPr>
          <w:p>
            <w:pPr>
              <w:jc w:val="center"/>
              <w:ind w:right="110"/>
              <w:spacing w:after="0" w:line="202" w:lineRule="exact"/>
              <w:rPr>
                <w:sz w:val="20"/>
                <w:szCs w:val="20"/>
                <w:color w:val="auto"/>
              </w:rPr>
            </w:pPr>
            <w:r>
              <w:rPr>
                <w:rFonts w:ascii="Times New Roman" w:cs="Times New Roman" w:eastAsia="Times New Roman" w:hAnsi="Times New Roman"/>
                <w:sz w:val="18"/>
                <w:szCs w:val="18"/>
                <w:b w:val="1"/>
                <w:bCs w:val="1"/>
                <w:color w:val="auto"/>
              </w:rPr>
              <w:t>Loans Subject</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5"/>
        </w:trPr>
        <w:tc>
          <w:tcPr>
            <w:tcW w:w="3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Normal</w:t>
            </w:r>
          </w:p>
        </w:tc>
        <w:tc>
          <w:tcPr>
            <w:tcW w:w="240" w:type="dxa"/>
            <w:vAlign w:val="bottom"/>
          </w:tcPr>
          <w:p>
            <w:pPr>
              <w:spacing w:after="0"/>
              <w:rPr>
                <w:sz w:val="18"/>
                <w:szCs w:val="18"/>
                <w:color w:val="auto"/>
              </w:rPr>
            </w:pPr>
          </w:p>
        </w:tc>
        <w:tc>
          <w:tcPr>
            <w:tcW w:w="13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to Special</w:t>
            </w:r>
          </w:p>
        </w:tc>
        <w:tc>
          <w:tcPr>
            <w:tcW w:w="260" w:type="dxa"/>
            <w:vAlign w:val="bottom"/>
          </w:tcPr>
          <w:p>
            <w:pPr>
              <w:spacing w:after="0"/>
              <w:rPr>
                <w:sz w:val="18"/>
                <w:szCs w:val="18"/>
                <w:color w:val="auto"/>
              </w:rPr>
            </w:pPr>
          </w:p>
        </w:tc>
        <w:tc>
          <w:tcPr>
            <w:tcW w:w="15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to Special</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60"/>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5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130"/>
              <w:spacing w:after="0" w:line="253" w:lineRule="exact"/>
              <w:rPr>
                <w:sz w:val="20"/>
                <w:szCs w:val="20"/>
                <w:color w:val="auto"/>
              </w:rPr>
            </w:pPr>
            <w:r>
              <w:rPr>
                <w:rFonts w:ascii="Times New Roman" w:cs="Times New Roman" w:eastAsia="Times New Roman" w:hAnsi="Times New Roman"/>
                <w:sz w:val="18"/>
                <w:szCs w:val="18"/>
                <w:b w:val="1"/>
                <w:bCs w:val="1"/>
                <w:color w:val="auto"/>
                <w:w w:val="98"/>
              </w:rPr>
              <w:t>Monitoring</w:t>
            </w:r>
            <w:r>
              <w:rPr>
                <w:rFonts w:ascii="Times New Roman" w:cs="Times New Roman" w:eastAsia="Times New Roman" w:hAnsi="Times New Roman"/>
                <w:sz w:val="23"/>
                <w:szCs w:val="23"/>
                <w:b w:val="1"/>
                <w:bCs w:val="1"/>
                <w:color w:val="auto"/>
                <w:w w:val="98"/>
                <w:vertAlign w:val="superscript"/>
              </w:rPr>
              <w:t>1</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90"/>
              <w:spacing w:after="0" w:line="253" w:lineRule="exact"/>
              <w:rPr>
                <w:sz w:val="20"/>
                <w:szCs w:val="20"/>
                <w:color w:val="auto"/>
              </w:rPr>
            </w:pPr>
            <w:r>
              <w:rPr>
                <w:rFonts w:ascii="Times New Roman" w:cs="Times New Roman" w:eastAsia="Times New Roman" w:hAnsi="Times New Roman"/>
                <w:sz w:val="18"/>
                <w:szCs w:val="18"/>
                <w:b w:val="1"/>
                <w:bCs w:val="1"/>
                <w:color w:val="auto"/>
                <w:w w:val="98"/>
              </w:rPr>
              <w:t>Monitoring</w:t>
            </w:r>
            <w:r>
              <w:rPr>
                <w:rFonts w:ascii="Times New Roman" w:cs="Times New Roman" w:eastAsia="Times New Roman" w:hAnsi="Times New Roman"/>
                <w:sz w:val="23"/>
                <w:szCs w:val="23"/>
                <w:b w:val="1"/>
                <w:bCs w:val="1"/>
                <w:color w:val="auto"/>
                <w:w w:val="98"/>
                <w:vertAlign w:val="superscript"/>
              </w:rPr>
              <w:t>2</w:t>
            </w: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center"/>
              <w:ind w:right="110"/>
              <w:spacing w:after="0" w:line="253" w:lineRule="exact"/>
              <w:rPr>
                <w:sz w:val="20"/>
                <w:szCs w:val="20"/>
                <w:color w:val="auto"/>
              </w:rPr>
            </w:pPr>
            <w:r>
              <w:rPr>
                <w:rFonts w:ascii="Times New Roman" w:cs="Times New Roman" w:eastAsia="Times New Roman" w:hAnsi="Times New Roman"/>
                <w:sz w:val="18"/>
                <w:szCs w:val="18"/>
                <w:b w:val="1"/>
                <w:bCs w:val="1"/>
                <w:color w:val="auto"/>
                <w:w w:val="98"/>
              </w:rPr>
              <w:t>Monitoring</w:t>
            </w:r>
            <w:r>
              <w:rPr>
                <w:rFonts w:ascii="Times New Roman" w:cs="Times New Roman" w:eastAsia="Times New Roman" w:hAnsi="Times New Roman"/>
                <w:sz w:val="23"/>
                <w:szCs w:val="23"/>
                <w:b w:val="1"/>
                <w:bCs w:val="1"/>
                <w:color w:val="auto"/>
                <w:w w:val="98"/>
                <w:vertAlign w:val="superscript"/>
              </w:rPr>
              <w:t>2</w:t>
            </w: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 Loans</w:t>
            </w:r>
          </w:p>
        </w:tc>
      </w:tr>
      <w:tr>
        <w:trPr>
          <w:trHeight w:val="256"/>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i w:val="1"/>
                <w:iCs w:val="1"/>
                <w:color w:val="auto"/>
              </w:rPr>
              <w:t>September 30, 2022</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r>
      <w:tr>
        <w:trPr>
          <w:trHeight w:val="25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536,066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3,206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539,272</w:t>
            </w:r>
          </w:p>
        </w:tc>
      </w:tr>
      <w:tr>
        <w:trPr>
          <w:trHeight w:val="263"/>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r>
      <w:tr>
        <w:trPr>
          <w:trHeight w:val="250"/>
        </w:trPr>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w:t>
            </w:r>
          </w:p>
        </w:tc>
        <w:tc>
          <w:tcPr>
            <w:tcW w:w="15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332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97,558</w:t>
            </w: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530</w:t>
            </w: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98,088</w:t>
            </w:r>
          </w:p>
        </w:tc>
      </w:tr>
      <w:tr>
        <w:trPr>
          <w:trHeight w:val="250"/>
        </w:trPr>
        <w:tc>
          <w:tcPr>
            <w:tcW w:w="3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15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26,284</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5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26,284</w:t>
            </w:r>
          </w:p>
        </w:tc>
      </w:tr>
      <w:tr>
        <w:trPr>
          <w:trHeight w:val="263"/>
        </w:trPr>
        <w:tc>
          <w:tcPr>
            <w:tcW w:w="332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Faith-based:</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r>
      <w:tr>
        <w:trPr>
          <w:trHeight w:val="250"/>
        </w:trPr>
        <w:tc>
          <w:tcPr>
            <w:tcW w:w="3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15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364,627</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957</w:t>
            </w:r>
          </w:p>
        </w:tc>
        <w:tc>
          <w:tcPr>
            <w:tcW w:w="260" w:type="dxa"/>
            <w:vAlign w:val="bottom"/>
          </w:tcPr>
          <w:p>
            <w:pPr>
              <w:spacing w:after="0"/>
              <w:rPr>
                <w:sz w:val="21"/>
                <w:szCs w:val="21"/>
                <w:color w:val="auto"/>
              </w:rPr>
            </w:pPr>
          </w:p>
        </w:tc>
        <w:tc>
          <w:tcPr>
            <w:tcW w:w="15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365,584</w:t>
            </w:r>
          </w:p>
        </w:tc>
      </w:tr>
      <w:tr>
        <w:trPr>
          <w:trHeight w:val="263"/>
        </w:trPr>
        <w:tc>
          <w:tcPr>
            <w:tcW w:w="332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7,853</w:t>
            </w: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7,853</w:t>
            </w:r>
          </w:p>
        </w:tc>
      </w:tr>
      <w:tr>
        <w:trPr>
          <w:trHeight w:val="250"/>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50"/>
        </w:trPr>
        <w:tc>
          <w:tcPr>
            <w:tcW w:w="332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1,032,408</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4,693</w:t>
            </w:r>
          </w:p>
        </w:tc>
        <w:tc>
          <w:tcPr>
            <w:tcW w:w="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B6B6B6"/>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1,037,101</w:t>
            </w:r>
          </w:p>
        </w:tc>
      </w:tr>
      <w:tr>
        <w:trPr>
          <w:trHeight w:val="25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December 31, 2021</w:t>
            </w:r>
          </w:p>
        </w:tc>
        <w:tc>
          <w:tcPr>
            <w:tcW w:w="15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5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440,607</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9,729</w:t>
            </w:r>
          </w:p>
        </w:tc>
        <w:tc>
          <w:tcPr>
            <w:tcW w:w="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B6B6B6"/>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450,336</w:t>
            </w:r>
          </w:p>
        </w:tc>
      </w:tr>
      <w:tr>
        <w:trPr>
          <w:trHeight w:val="25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5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332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Commercial:</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r>
      <w:tr>
        <w:trPr>
          <w:trHeight w:val="250"/>
        </w:trPr>
        <w:tc>
          <w:tcPr>
            <w:tcW w:w="3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15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108,759</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5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108,759</w:t>
            </w:r>
          </w:p>
        </w:tc>
      </w:tr>
      <w:tr>
        <w:trPr>
          <w:trHeight w:val="263"/>
        </w:trPr>
        <w:tc>
          <w:tcPr>
            <w:tcW w:w="332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24,797</w:t>
            </w: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24,797</w:t>
            </w:r>
          </w:p>
        </w:tc>
      </w:tr>
      <w:tr>
        <w:trPr>
          <w:trHeight w:val="250"/>
        </w:trPr>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Faith-based:</w:t>
            </w:r>
          </w:p>
        </w:tc>
        <w:tc>
          <w:tcPr>
            <w:tcW w:w="15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332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352,717</w:t>
            </w: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2,865</w:t>
            </w: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355,582</w:t>
            </w:r>
          </w:p>
        </w:tc>
      </w:tr>
      <w:tr>
        <w:trPr>
          <w:trHeight w:val="250"/>
        </w:trPr>
        <w:tc>
          <w:tcPr>
            <w:tcW w:w="3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15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14,664</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5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14,664</w:t>
            </w:r>
          </w:p>
        </w:tc>
      </w:tr>
      <w:tr>
        <w:trPr>
          <w:trHeight w:val="263"/>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PPP</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6,299</w:t>
            </w: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6,299</w:t>
            </w:r>
          </w:p>
        </w:tc>
      </w:tr>
      <w:tr>
        <w:trPr>
          <w:trHeight w:val="250"/>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50"/>
        </w:trPr>
        <w:tc>
          <w:tcPr>
            <w:tcW w:w="332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947,973</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12,594</w:t>
            </w:r>
          </w:p>
        </w:tc>
        <w:tc>
          <w:tcPr>
            <w:tcW w:w="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B6B6B6"/>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960,567</w:t>
            </w:r>
          </w:p>
        </w:tc>
      </w:tr>
    </w:tbl>
    <w:p>
      <w:pPr>
        <w:spacing w:after="0" w:line="306" w:lineRule="exact"/>
        <w:rPr>
          <w:sz w:val="20"/>
          <w:szCs w:val="20"/>
          <w:color w:val="auto"/>
        </w:rPr>
      </w:pPr>
    </w:p>
    <w:p>
      <w:pPr>
        <w:ind w:left="20" w:right="20" w:firstLine="6"/>
        <w:spacing w:after="0" w:line="222" w:lineRule="auto"/>
        <w:tabs>
          <w:tab w:leader="none" w:pos="131"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Loans subject to normal monitoring involve borrowers of acceptable-to-strong credit quality and risk, who have the apparent ability to satisfy their loan obligations.</w:t>
      </w:r>
    </w:p>
    <w:p>
      <w:pPr>
        <w:spacing w:after="0" w:line="6" w:lineRule="exact"/>
        <w:rPr>
          <w:sz w:val="20"/>
          <w:szCs w:val="20"/>
          <w:color w:val="auto"/>
        </w:rPr>
      </w:pPr>
    </w:p>
    <w:p>
      <w:pPr>
        <w:ind w:left="120" w:hanging="94"/>
        <w:spacing w:after="0"/>
        <w:tabs>
          <w:tab w:leader="none" w:pos="12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Loans subject to special monitoring possess some credit deficiency or potential weakness which requires a high level of management attention.</w:t>
      </w:r>
    </w:p>
    <w:p>
      <w:pPr>
        <w:spacing w:after="0" w:line="2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had no loans evaluated for expected credit losses on an individual basis as of September 30, 2022 or December 31, 2021. There were no foreclosed loans recorded as other real estate owned as of September 30, 2022 or December 31, 2021. There were no loans considered troubled debt restructurings as of September 30, 2022 or December 31, 2021.</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summary of the activity in allowance for credit losses (“ACL”) by category for the periods ended September 30, 2022 and December 31, 2021 is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720" w:type="dxa"/>
            <w:vAlign w:val="bottom"/>
          </w:tcPr>
          <w:p>
            <w:pPr>
              <w:spacing w:after="0"/>
              <w:rPr>
                <w:sz w:val="17"/>
                <w:szCs w:val="17"/>
                <w:color w:val="auto"/>
              </w:rPr>
            </w:pPr>
          </w:p>
        </w:tc>
        <w:tc>
          <w:tcPr>
            <w:tcW w:w="108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C&amp;I</w:t>
            </w:r>
          </w:p>
        </w:tc>
        <w:tc>
          <w:tcPr>
            <w:tcW w:w="360" w:type="dxa"/>
            <w:vAlign w:val="bottom"/>
          </w:tcPr>
          <w:p>
            <w:pPr>
              <w:spacing w:after="0"/>
              <w:rPr>
                <w:sz w:val="17"/>
                <w:szCs w:val="17"/>
                <w:color w:val="auto"/>
              </w:rPr>
            </w:pPr>
          </w:p>
        </w:tc>
        <w:tc>
          <w:tcPr>
            <w:tcW w:w="110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CRE</w:t>
            </w:r>
          </w:p>
        </w:tc>
        <w:tc>
          <w:tcPr>
            <w:tcW w:w="220" w:type="dxa"/>
            <w:vAlign w:val="bottom"/>
          </w:tcPr>
          <w:p>
            <w:pPr>
              <w:spacing w:after="0"/>
              <w:rPr>
                <w:sz w:val="17"/>
                <w:szCs w:val="17"/>
                <w:color w:val="auto"/>
              </w:rPr>
            </w:pP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Faith-based</w:t>
            </w:r>
          </w:p>
        </w:tc>
        <w:tc>
          <w:tcPr>
            <w:tcW w:w="240" w:type="dxa"/>
            <w:vAlign w:val="bottom"/>
          </w:tcPr>
          <w:p>
            <w:pPr>
              <w:spacing w:after="0"/>
              <w:rPr>
                <w:sz w:val="17"/>
                <w:szCs w:val="17"/>
                <w:color w:val="auto"/>
              </w:rPr>
            </w:pPr>
          </w:p>
        </w:tc>
        <w:tc>
          <w:tcPr>
            <w:tcW w:w="13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Construction</w:t>
            </w:r>
          </w:p>
        </w:tc>
        <w:tc>
          <w:tcPr>
            <w:tcW w:w="340" w:type="dxa"/>
            <w:vAlign w:val="bottom"/>
          </w:tcPr>
          <w:p>
            <w:pPr>
              <w:spacing w:after="0"/>
              <w:rPr>
                <w:sz w:val="17"/>
                <w:szCs w:val="17"/>
                <w:color w:val="auto"/>
              </w:rPr>
            </w:pPr>
          </w:p>
        </w:tc>
        <w:tc>
          <w:tcPr>
            <w:tcW w:w="10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auto"/>
            </w:tcBorders>
            <w:vMerge w:val="continue"/>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CRE</w:t>
            </w: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54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72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4,635</w:t>
            </w:r>
          </w:p>
        </w:tc>
        <w:tc>
          <w:tcPr>
            <w:tcW w:w="36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1,175</w:t>
            </w:r>
          </w:p>
        </w:tc>
        <w:tc>
          <w:tcPr>
            <w:tcW w:w="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5,717</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417</w:t>
            </w:r>
          </w:p>
        </w:tc>
        <w:tc>
          <w:tcPr>
            <w:tcW w:w="34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11,944</w:t>
            </w:r>
          </w:p>
        </w:tc>
        <w:tc>
          <w:tcPr>
            <w:tcW w:w="0" w:type="dxa"/>
            <w:vAlign w:val="bottom"/>
          </w:tcPr>
          <w:p>
            <w:pPr>
              <w:spacing w:after="0"/>
              <w:rPr>
                <w:sz w:val="1"/>
                <w:szCs w:val="1"/>
                <w:color w:val="auto"/>
              </w:rPr>
            </w:pPr>
          </w:p>
        </w:tc>
      </w:tr>
      <w:tr>
        <w:trPr>
          <w:trHeight w:val="250"/>
        </w:trPr>
        <w:tc>
          <w:tcPr>
            <w:tcW w:w="3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(release of) credit losses</w:t>
            </w:r>
          </w:p>
        </w:tc>
        <w:tc>
          <w:tcPr>
            <w:tcW w:w="7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387</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57"/>
        </w:trPr>
        <w:tc>
          <w:tcPr>
            <w:tcW w:w="354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Recoveries</w:t>
            </w:r>
          </w:p>
        </w:tc>
        <w:tc>
          <w:tcPr>
            <w:tcW w:w="720" w:type="dxa"/>
            <w:vAlign w:val="bottom"/>
            <w:tcBorders>
              <w:bottom w:val="single" w:sz="8" w:color="auto"/>
            </w:tcBorders>
            <w:shd w:val="clear" w:color="auto" w:fill="B6B6B6"/>
          </w:tcPr>
          <w:p>
            <w:pPr>
              <w:spacing w:after="0"/>
              <w:rPr>
                <w:sz w:val="22"/>
                <w:szCs w:val="22"/>
                <w:color w:val="auto"/>
              </w:rPr>
            </w:pPr>
          </w:p>
        </w:tc>
        <w:tc>
          <w:tcPr>
            <w:tcW w:w="108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tcBorders>
              <w:bottom w:val="single" w:sz="8" w:color="auto"/>
            </w:tcBorders>
            <w:shd w:val="clear" w:color="auto" w:fill="B6B6B6"/>
          </w:tcPr>
          <w:p>
            <w:pPr>
              <w:spacing w:after="0"/>
              <w:rPr>
                <w:sz w:val="22"/>
                <w:szCs w:val="22"/>
                <w:color w:val="auto"/>
              </w:rPr>
            </w:pPr>
          </w:p>
        </w:tc>
        <w:tc>
          <w:tcPr>
            <w:tcW w:w="110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B6B6B6"/>
          </w:tcPr>
          <w:p>
            <w:pPr>
              <w:spacing w:after="0"/>
              <w:rPr>
                <w:sz w:val="22"/>
                <w:szCs w:val="22"/>
                <w:color w:val="auto"/>
              </w:rPr>
            </w:pPr>
          </w:p>
        </w:tc>
        <w:tc>
          <w:tcPr>
            <w:tcW w:w="122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bottom w:val="single" w:sz="8" w:color="auto"/>
            </w:tcBorders>
            <w:shd w:val="clear" w:color="auto" w:fill="B6B6B6"/>
          </w:tcPr>
          <w:p>
            <w:pPr>
              <w:spacing w:after="0"/>
              <w:rPr>
                <w:sz w:val="22"/>
                <w:szCs w:val="22"/>
                <w:color w:val="auto"/>
              </w:rPr>
            </w:pPr>
          </w:p>
        </w:tc>
        <w:tc>
          <w:tcPr>
            <w:tcW w:w="136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B6B6B6"/>
          </w:tcPr>
          <w:p>
            <w:pPr>
              <w:spacing w:after="0"/>
              <w:rPr>
                <w:sz w:val="22"/>
                <w:szCs w:val="22"/>
                <w:color w:val="auto"/>
              </w:rPr>
            </w:pPr>
          </w:p>
        </w:tc>
        <w:tc>
          <w:tcPr>
            <w:tcW w:w="10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5,034</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1,031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5,684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292</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12,041</w:t>
            </w:r>
          </w:p>
        </w:tc>
        <w:tc>
          <w:tcPr>
            <w:tcW w:w="0" w:type="dxa"/>
            <w:vAlign w:val="bottom"/>
          </w:tcPr>
          <w:p>
            <w:pPr>
              <w:spacing w:after="0"/>
              <w:rPr>
                <w:sz w:val="1"/>
                <w:szCs w:val="1"/>
                <w:color w:val="auto"/>
              </w:rPr>
            </w:pPr>
          </w:p>
        </w:tc>
      </w:tr>
      <w:tr>
        <w:trPr>
          <w:trHeight w:val="256"/>
        </w:trPr>
        <w:tc>
          <w:tcPr>
            <w:tcW w:w="354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Provision for (release of) credit losses</w:t>
            </w:r>
          </w:p>
        </w:tc>
        <w:tc>
          <w:tcPr>
            <w:tcW w:w="720" w:type="dxa"/>
            <w:vAlign w:val="bottom"/>
            <w:shd w:val="clear" w:color="auto" w:fill="B6B6B6"/>
          </w:tcPr>
          <w:p>
            <w:pPr>
              <w:spacing w:after="0"/>
              <w:rPr>
                <w:sz w:val="22"/>
                <w:szCs w:val="22"/>
                <w:color w:val="auto"/>
              </w:rPr>
            </w:pPr>
          </w:p>
        </w:tc>
        <w:tc>
          <w:tcPr>
            <w:tcW w:w="10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919</w:t>
            </w:r>
          </w:p>
        </w:tc>
        <w:tc>
          <w:tcPr>
            <w:tcW w:w="360" w:type="dxa"/>
            <w:vAlign w:val="bottom"/>
            <w:shd w:val="clear" w:color="auto" w:fill="B6B6B6"/>
          </w:tcPr>
          <w:p>
            <w:pPr>
              <w:spacing w:after="0"/>
              <w:rPr>
                <w:sz w:val="22"/>
                <w:szCs w:val="22"/>
                <w:color w:val="auto"/>
              </w:rPr>
            </w:pP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shd w:val="clear" w:color="auto" w:fill="B6B6B6"/>
          </w:tcPr>
          <w:p>
            <w:pPr>
              <w:spacing w:after="0"/>
              <w:rPr>
                <w:sz w:val="22"/>
                <w:szCs w:val="22"/>
                <w:color w:val="auto"/>
              </w:rPr>
            </w:pPr>
          </w:p>
        </w:tc>
        <w:tc>
          <w:tcPr>
            <w:tcW w:w="12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259</w:t>
            </w: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4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Recoveries</w:t>
            </w:r>
          </w:p>
        </w:tc>
        <w:tc>
          <w:tcPr>
            <w:tcW w:w="7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720" w:type="dxa"/>
            <w:vAlign w:val="bottom"/>
            <w:tcBorders>
              <w:bottom w:val="single" w:sz="8" w:color="auto"/>
            </w:tcBorders>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5,965</w:t>
            </w:r>
          </w:p>
        </w:tc>
        <w:tc>
          <w:tcPr>
            <w:tcW w:w="360" w:type="dxa"/>
            <w:vAlign w:val="bottom"/>
            <w:tcBorders>
              <w:bottom w:val="single" w:sz="8" w:color="auto"/>
            </w:tcBorders>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902</w:t>
            </w:r>
          </w:p>
        </w:tc>
        <w:tc>
          <w:tcPr>
            <w:tcW w:w="2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5,943</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239</w:t>
            </w:r>
          </w:p>
        </w:tc>
        <w:tc>
          <w:tcPr>
            <w:tcW w:w="340" w:type="dxa"/>
            <w:vAlign w:val="bottom"/>
            <w:tcBorders>
              <w:bottom w:val="single" w:sz="8" w:color="auto"/>
            </w:tcBorders>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13,049</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credit losses during the period ended September 30, 2022 was primarily driven by growth of the loan portfolio.</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7 – Commitments and Contingencies</w:t>
      </w:r>
    </w:p>
    <w:p>
      <w:pPr>
        <w:spacing w:after="0" w:line="19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the normal course of business, the Company is party to activities that contain credit, market and operational risks that are not reflected in whole or in part in the Company’s consolidated financial statements. Such activities include traditional off-balance sheet credit-related financial instruments and commitments under operating leases. These financial instruments include commitments to extend credit, commercial letters of credit and standby letters of credit. The Company’s maximum potential exposure to credit loss in the event of nonperformance by the other party to the financial instrument for commitments to extend credit, commercial letters of credit and standby letters of credit is represented by the contractual amounts of those instruments. An allowance for unfunded commitments of $222,000 and $367,000 had been recorded at September 30, 2022 and December 31, 2021, respectively.</w:t>
      </w:r>
    </w:p>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Commitments to extend credit are agreements to lend to a customer as long as there is no violation of any condition established in the contract. Commercial and standby letters of credit are conditional commitments issued by the Company or its subsidiaries to guarantee the performance of a customer to a third party. These off-balance sheet financial instruments generally have fixed expiration dates or other termination clauses and may require payment of a fee. At September 30, 2022, the balances of unfunded commitments, standby and commercial letters of credit were $207,883,000, $13,450,000, and $1,633,000, respectively. Since some of the financial instruments may expire without being drawn upon, the total amounts do not necessarily represent future cash requirements. Commitments to extend credit and letters of credit are subject to the same underwriting standards as those financial instruments included on the consolidated balance sheets. The Company evaluates each customer’s credit worthiness on a case-by-case basis. The amount of collateral obtained, if deemed necessary upon extension of the credit, is based on management’s credit evaluation of the borrower. Collateral held varies, but is generally accounts receivable, inventory, residential or income-producing commercial property or equipment. In the event of nonperformance, the Company or its subsidiaries may obtain and liquidate the collateral to recover amounts paid under guarantees on these financial instruments.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8 – Stock-Based Compensation</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Amended and Restated Omnibus Stock and Performance Compensation Plan (the “Omnibus Plan”) permits the issuance of up to 1,500,000 shares of the Company’s common stock in the form of stock options, SARs, restricted stock, restricted stock units and performance awards. The Company may issue shares out of treasury stock for these awards. During the nine months ended September 30, 2022, 62,375 restricted shares, 57,542 performance-based restricted shares, and no SARs were granted under the Omnibus Plan. Stock-based compensation expense for the three months ended September 30, 2022 and 2021 was $1,307,000 and $1,066,000, respectively, and $4,479,000 and $2,585,000 for the nine months ended September 30, 2022 and 2021,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Restricted shares granted to Company employees are amortized to expense over a three-year cliff vesting period, or until vesting occurs upon retirement. Restricted shares granted to members of the Board of Directors are amortized to expense over a one-year service period, with the exception of those shares granted in lieu of cash payments for retainer fees which are expensed in the period earned.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2022, the total unrecognized compensation expense related to non-vested restricted shares was $2,239,000, and the related weighted-average period over which it is expected to be recognized is approximately 0.74 years.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is a summary of the activity of the Company's restricted stock for the nine months ended September 30, 2022, with total shares and weighted-average fair value:</w:t>
      </w:r>
    </w:p>
    <w:p>
      <w:pPr>
        <w:spacing w:after="0" w:line="171"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20" w:lineRule="exact"/>
        <w:rPr>
          <w:sz w:val="20"/>
          <w:szCs w:val="20"/>
          <w:color w:val="auto"/>
        </w:rPr>
      </w:pPr>
    </w:p>
    <w:p>
      <w:pPr>
        <w:ind w:left="8960"/>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21590</wp:posOffset>
            </wp:positionV>
            <wp:extent cx="19456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60" w:type="dxa"/>
            <w:vAlign w:val="bottom"/>
            <w:tcBorders>
              <w:bottom w:val="single" w:sz="8" w:color="auto"/>
            </w:tcBorders>
          </w:tcPr>
          <w:p>
            <w:pPr>
              <w:spacing w:after="0"/>
              <w:rPr>
                <w:sz w:val="21"/>
                <w:szCs w:val="21"/>
                <w:color w:val="auto"/>
              </w:rPr>
            </w:pPr>
          </w:p>
        </w:tc>
        <w:tc>
          <w:tcPr>
            <w:tcW w:w="4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56"/>
        </w:trPr>
        <w:tc>
          <w:tcPr>
            <w:tcW w:w="54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424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165,553</w:t>
            </w:r>
          </w:p>
        </w:tc>
        <w:tc>
          <w:tcPr>
            <w:tcW w:w="28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44.81</w:t>
            </w:r>
          </w:p>
        </w:tc>
      </w:tr>
      <w:tr>
        <w:trPr>
          <w:trHeight w:val="25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4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62,375</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w:t>
            </w:r>
          </w:p>
        </w:tc>
      </w:tr>
      <w:tr>
        <w:trPr>
          <w:trHeight w:val="263"/>
        </w:trPr>
        <w:tc>
          <w:tcPr>
            <w:tcW w:w="54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4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(23,316)</w:t>
            </w:r>
          </w:p>
        </w:tc>
        <w:tc>
          <w:tcPr>
            <w:tcW w:w="28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48.85</w:t>
            </w:r>
          </w:p>
        </w:tc>
      </w:tr>
      <w:tr>
        <w:trPr>
          <w:trHeight w:val="250"/>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4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43.89</w:t>
            </w:r>
          </w:p>
        </w:tc>
      </w:tr>
      <w:tr>
        <w:trPr>
          <w:trHeight w:val="250"/>
        </w:trPr>
        <w:tc>
          <w:tcPr>
            <w:tcW w:w="546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424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203,789</w:t>
            </w:r>
          </w:p>
        </w:tc>
        <w:tc>
          <w:tcPr>
            <w:tcW w:w="28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42.63</w:t>
            </w: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Restricted Stock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granted three-year performance-based restricted stock (“PBRS”) awards which are contingent upon the Company’s achievement of pre-established financial goals over a three-year cliff vest period. The number of shares issued ranges from 0% to 150% of the target opportunity based on the actual achievement of financial goals for the three-year performance period.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summary of the activity of the PBRS for the nine months ended September 30, 2022, based on 100% of target value:</w:t>
      </w:r>
    </w:p>
    <w:p>
      <w:pPr>
        <w:spacing w:after="0" w:line="235"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20" w:lineRule="exact"/>
        <w:rPr>
          <w:sz w:val="20"/>
          <w:szCs w:val="20"/>
          <w:color w:val="auto"/>
        </w:rPr>
      </w:pPr>
    </w:p>
    <w:p>
      <w:pPr>
        <w:ind w:left="8960"/>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21590</wp:posOffset>
            </wp:positionV>
            <wp:extent cx="19456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60" w:type="dxa"/>
            <w:vAlign w:val="bottom"/>
            <w:tcBorders>
              <w:bottom w:val="single" w:sz="8" w:color="auto"/>
            </w:tcBorders>
          </w:tcPr>
          <w:p>
            <w:pPr>
              <w:spacing w:after="0"/>
              <w:rPr>
                <w:sz w:val="21"/>
                <w:szCs w:val="21"/>
                <w:color w:val="auto"/>
              </w:rPr>
            </w:pPr>
          </w:p>
        </w:tc>
        <w:tc>
          <w:tcPr>
            <w:tcW w:w="4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56"/>
        </w:trPr>
        <w:tc>
          <w:tcPr>
            <w:tcW w:w="54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424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116,543</w:t>
            </w:r>
          </w:p>
        </w:tc>
        <w:tc>
          <w:tcPr>
            <w:tcW w:w="28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46.79</w:t>
            </w:r>
          </w:p>
        </w:tc>
      </w:tr>
      <w:tr>
        <w:trPr>
          <w:trHeight w:val="25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4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57,542</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w:t>
            </w:r>
          </w:p>
        </w:tc>
      </w:tr>
      <w:tr>
        <w:trPr>
          <w:trHeight w:val="263"/>
        </w:trPr>
        <w:tc>
          <w:tcPr>
            <w:tcW w:w="54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4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(34,066)</w:t>
            </w:r>
          </w:p>
        </w:tc>
        <w:tc>
          <w:tcPr>
            <w:tcW w:w="28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49.05</w:t>
            </w:r>
          </w:p>
        </w:tc>
      </w:tr>
      <w:tr>
        <w:trPr>
          <w:trHeight w:val="250"/>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4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43.89</w:t>
            </w:r>
          </w:p>
        </w:tc>
      </w:tr>
      <w:tr>
        <w:trPr>
          <w:trHeight w:val="250"/>
        </w:trPr>
        <w:tc>
          <w:tcPr>
            <w:tcW w:w="546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424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138,785</w:t>
            </w:r>
          </w:p>
        </w:tc>
        <w:tc>
          <w:tcPr>
            <w:tcW w:w="28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43.19</w:t>
            </w: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PBRS that vested during the nine months ended September 30, 2022 were based on the Company's achievement of 52.9% of target financial goals, resulting in the issuance of 18,021 shares of common stock. The outstanding PBRS at September 30, 2022 will vest at scheduled vesting dates and the actual number of shares of common stock issued will range from 0% to 150% of the target opportunity based on the actual achievement of financial goals for the respective three-year performance period.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SARs granted and no expense recognized during the nine months ended September 30, 2022. Following is a summary of the activity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SARs program for the nine months ended September 30, 2022: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20" w:type="dxa"/>
            <w:vAlign w:val="bottom"/>
          </w:tcPr>
          <w:p>
            <w:pPr>
              <w:spacing w:after="0"/>
              <w:rPr>
                <w:sz w:val="18"/>
                <w:szCs w:val="18"/>
                <w:color w:val="auto"/>
              </w:rPr>
            </w:pPr>
          </w:p>
        </w:tc>
        <w:tc>
          <w:tcPr>
            <w:tcW w:w="14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76"/>
        </w:trPr>
        <w:tc>
          <w:tcPr>
            <w:tcW w:w="3960" w:type="dxa"/>
            <w:vAlign w:val="bottom"/>
          </w:tcPr>
          <w:p>
            <w:pPr>
              <w:spacing w:after="0"/>
              <w:rPr>
                <w:sz w:val="6"/>
                <w:szCs w:val="6"/>
                <w:color w:val="auto"/>
              </w:rPr>
            </w:pPr>
          </w:p>
        </w:tc>
        <w:tc>
          <w:tcPr>
            <w:tcW w:w="2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42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140"/>
        </w:trPr>
        <w:tc>
          <w:tcPr>
            <w:tcW w:w="39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vMerge w:val="restart"/>
          </w:tcPr>
          <w:p>
            <w:pPr>
              <w:jc w:val="center"/>
              <w:ind w:right="290"/>
              <w:spacing w:after="0" w:line="18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480" w:type="dxa"/>
            <w:vAlign w:val="bottom"/>
            <w:vMerge w:val="restart"/>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2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39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14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42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184"/>
        </w:trPr>
        <w:tc>
          <w:tcPr>
            <w:tcW w:w="3960" w:type="dxa"/>
            <w:vAlign w:val="bottom"/>
          </w:tcPr>
          <w:p>
            <w:pPr>
              <w:spacing w:after="0"/>
              <w:rPr>
                <w:sz w:val="16"/>
                <w:szCs w:val="16"/>
                <w:color w:val="auto"/>
              </w:rPr>
            </w:pPr>
          </w:p>
        </w:tc>
        <w:tc>
          <w:tcPr>
            <w:tcW w:w="248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80" w:type="dxa"/>
            <w:vAlign w:val="bottom"/>
          </w:tcPr>
          <w:p>
            <w:pPr>
              <w:spacing w:after="0"/>
              <w:rPr>
                <w:sz w:val="16"/>
                <w:szCs w:val="16"/>
                <w:color w:val="auto"/>
              </w:rPr>
            </w:pPr>
          </w:p>
        </w:tc>
        <w:tc>
          <w:tcPr>
            <w:tcW w:w="1400" w:type="dxa"/>
            <w:vAlign w:val="bottom"/>
          </w:tcPr>
          <w:p>
            <w:pPr>
              <w:jc w:val="center"/>
              <w:ind w:right="290"/>
              <w:spacing w:after="0" w:line="184" w:lineRule="exact"/>
              <w:rPr>
                <w:sz w:val="20"/>
                <w:szCs w:val="20"/>
                <w:color w:val="auto"/>
              </w:rPr>
            </w:pPr>
            <w:r>
              <w:rPr>
                <w:rFonts w:ascii="Times New Roman" w:cs="Times New Roman" w:eastAsia="Times New Roman" w:hAnsi="Times New Roman"/>
                <w:sz w:val="18"/>
                <w:szCs w:val="18"/>
                <w:b w:val="1"/>
                <w:bCs w:val="1"/>
                <w:color w:val="auto"/>
              </w:rPr>
              <w:t>Exercise</w:t>
            </w:r>
          </w:p>
        </w:tc>
        <w:tc>
          <w:tcPr>
            <w:tcW w:w="1480" w:type="dxa"/>
            <w:vAlign w:val="bottom"/>
          </w:tcPr>
          <w:p>
            <w:pPr>
              <w:jc w:val="center"/>
              <w:ind w:right="10"/>
              <w:spacing w:after="0" w:line="184" w:lineRule="exact"/>
              <w:rPr>
                <w:sz w:val="20"/>
                <w:szCs w:val="20"/>
                <w:color w:val="auto"/>
              </w:rPr>
            </w:pPr>
            <w:r>
              <w:rPr>
                <w:rFonts w:ascii="Times New Roman" w:cs="Times New Roman" w:eastAsia="Times New Roman" w:hAnsi="Times New Roman"/>
                <w:sz w:val="18"/>
                <w:szCs w:val="18"/>
                <w:b w:val="1"/>
                <w:bCs w:val="1"/>
                <w:color w:val="auto"/>
              </w:rPr>
              <w:t>Contractual</w:t>
            </w:r>
          </w:p>
        </w:tc>
        <w:tc>
          <w:tcPr>
            <w:tcW w:w="2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96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4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Term Years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0" w:type="dxa"/>
            <w:vAlign w:val="bottom"/>
          </w:tcPr>
          <w:p>
            <w:pPr>
              <w:spacing w:after="0"/>
              <w:rPr>
                <w:sz w:val="1"/>
                <w:szCs w:val="1"/>
                <w:color w:val="auto"/>
              </w:rPr>
            </w:pPr>
          </w:p>
        </w:tc>
      </w:tr>
      <w:tr>
        <w:trPr>
          <w:trHeight w:val="250"/>
        </w:trPr>
        <w:tc>
          <w:tcPr>
            <w:tcW w:w="39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48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117,089</w:t>
            </w:r>
          </w:p>
        </w:tc>
        <w:tc>
          <w:tcPr>
            <w:tcW w:w="28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34.91</w:t>
            </w:r>
          </w:p>
        </w:tc>
        <w:tc>
          <w:tcPr>
            <w:tcW w:w="1480" w:type="dxa"/>
            <w:vAlign w:val="bottom"/>
            <w:shd w:val="clear" w:color="auto" w:fill="B6B6B6"/>
          </w:tcPr>
          <w:p>
            <w:pPr>
              <w:jc w:val="center"/>
              <w:ind w:left="950"/>
              <w:spacing w:after="0"/>
              <w:rPr>
                <w:sz w:val="20"/>
                <w:szCs w:val="20"/>
                <w:color w:val="auto"/>
              </w:rPr>
            </w:pPr>
            <w:r>
              <w:rPr>
                <w:rFonts w:ascii="Times New Roman" w:cs="Times New Roman" w:eastAsia="Times New Roman" w:hAnsi="Times New Roman"/>
                <w:sz w:val="18"/>
                <w:szCs w:val="18"/>
                <w:color w:val="auto"/>
              </w:rPr>
              <w:t>1.21</w:t>
            </w:r>
          </w:p>
        </w:tc>
        <w:tc>
          <w:tcPr>
            <w:tcW w:w="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5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(23,976)</w:t>
            </w:r>
          </w:p>
        </w:tc>
        <w:tc>
          <w:tcPr>
            <w:tcW w:w="280" w:type="dxa"/>
            <w:vAlign w:val="bottom"/>
          </w:tcPr>
          <w:p>
            <w:pPr>
              <w:spacing w:after="0"/>
              <w:rPr>
                <w:sz w:val="21"/>
                <w:szCs w:val="21"/>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27.78</w:t>
            </w:r>
          </w:p>
        </w:tc>
        <w:tc>
          <w:tcPr>
            <w:tcW w:w="148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6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Exercisable at September 30, 2022</w:t>
            </w:r>
          </w:p>
        </w:tc>
        <w:tc>
          <w:tcPr>
            <w:tcW w:w="248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93,113</w:t>
            </w:r>
          </w:p>
        </w:tc>
        <w:tc>
          <w:tcPr>
            <w:tcW w:w="28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36.75</w:t>
            </w:r>
          </w:p>
        </w:tc>
        <w:tc>
          <w:tcPr>
            <w:tcW w:w="1480" w:type="dxa"/>
            <w:vAlign w:val="bottom"/>
            <w:tcBorders>
              <w:bottom w:val="single" w:sz="8" w:color="auto"/>
            </w:tcBorders>
            <w:shd w:val="clear" w:color="auto" w:fill="B6B6B6"/>
          </w:tcPr>
          <w:p>
            <w:pPr>
              <w:jc w:val="center"/>
              <w:ind w:left="950"/>
              <w:spacing w:after="0"/>
              <w:rPr>
                <w:sz w:val="20"/>
                <w:szCs w:val="20"/>
                <w:color w:val="auto"/>
              </w:rPr>
            </w:pPr>
            <w:r>
              <w:rPr>
                <w:rFonts w:ascii="Times New Roman" w:cs="Times New Roman" w:eastAsia="Times New Roman" w:hAnsi="Times New Roman"/>
                <w:sz w:val="18"/>
                <w:szCs w:val="18"/>
                <w:color w:val="auto"/>
              </w:rPr>
              <w:t>0.65</w:t>
            </w:r>
          </w:p>
        </w:tc>
        <w:tc>
          <w:tcPr>
            <w:tcW w:w="2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non-vested SARs at September 30, 2022.</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9 – Defined Pension Plans</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 noncontributory defined-benefit pension plan (the “Plan”), which covers eligible employees. Effective December 31, 2016, the Plan was closed to all new participants. Additionally, the Plan’s benefits were frozen for all remaining participants as of February 28, 2021. As such, subsequent to February 28, 2021, there is no service cost associated with the Plan. The Company accrues and makes contributions designed to fund normal service costs on a current basis using the projected unit credit with service proration method to amortize prior service costs arising from improvements in pension benefits and qualifying service prior to the establishment of the plan over a period of approximately 30 years. Disclosure information is based on a measurement date of December 31 of the corresponding year. The following table represents the components of the net periodic pension costs: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40" w:type="dxa"/>
            <w:vAlign w:val="bottom"/>
          </w:tcPr>
          <w:p>
            <w:pPr>
              <w:spacing w:after="0"/>
              <w:rPr>
                <w:sz w:val="17"/>
                <w:szCs w:val="17"/>
                <w:color w:val="auto"/>
              </w:rPr>
            </w:pPr>
          </w:p>
        </w:tc>
        <w:tc>
          <w:tcPr>
            <w:tcW w:w="13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260" w:type="dxa"/>
            <w:vAlign w:val="bottom"/>
          </w:tcPr>
          <w:p>
            <w:pPr>
              <w:spacing w:after="0"/>
              <w:rPr>
                <w:sz w:val="17"/>
                <w:szCs w:val="17"/>
                <w:color w:val="auto"/>
              </w:rPr>
            </w:pPr>
          </w:p>
        </w:tc>
        <w:tc>
          <w:tcPr>
            <w:tcW w:w="12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Actual 2021</w:t>
            </w:r>
          </w:p>
        </w:tc>
        <w:tc>
          <w:tcPr>
            <w:tcW w:w="0" w:type="dxa"/>
            <w:vAlign w:val="bottom"/>
          </w:tcPr>
          <w:p>
            <w:pPr>
              <w:spacing w:after="0"/>
              <w:rPr>
                <w:sz w:val="1"/>
                <w:szCs w:val="1"/>
                <w:color w:val="auto"/>
              </w:rPr>
            </w:pPr>
          </w:p>
        </w:tc>
      </w:tr>
      <w:tr>
        <w:trPr>
          <w:trHeight w:val="243"/>
        </w:trPr>
        <w:tc>
          <w:tcPr>
            <w:tcW w:w="5760" w:type="dxa"/>
            <w:vAlign w:val="bottom"/>
            <w:tcBorders>
              <w:bottom w:val="single" w:sz="8" w:color="auto"/>
            </w:tcBorders>
            <w:vMerge w:val="continue"/>
          </w:tcPr>
          <w:p>
            <w:pPr>
              <w:spacing w:after="0"/>
              <w:rPr>
                <w:sz w:val="21"/>
                <w:szCs w:val="21"/>
                <w:color w:val="auto"/>
              </w:rPr>
            </w:pPr>
          </w:p>
        </w:tc>
        <w:tc>
          <w:tcPr>
            <w:tcW w:w="26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Service cost – benefits earned during the year</w:t>
            </w:r>
          </w:p>
        </w:tc>
        <w:tc>
          <w:tcPr>
            <w:tcW w:w="264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0" w:type="dxa"/>
            <w:vAlign w:val="bottom"/>
          </w:tcPr>
          <w:p>
            <w:pPr>
              <w:spacing w:after="0"/>
              <w:rPr>
                <w:sz w:val="1"/>
                <w:szCs w:val="1"/>
                <w:color w:val="auto"/>
              </w:rPr>
            </w:pPr>
          </w:p>
        </w:tc>
      </w:tr>
      <w:tr>
        <w:trPr>
          <w:trHeight w:val="250"/>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 on projected benefit obligations</w:t>
            </w:r>
          </w:p>
        </w:tc>
        <w:tc>
          <w:tcPr>
            <w:tcW w:w="264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3,290</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0" w:type="dxa"/>
            <w:vAlign w:val="bottom"/>
          </w:tcPr>
          <w:p>
            <w:pPr>
              <w:spacing w:after="0"/>
              <w:rPr>
                <w:sz w:val="1"/>
                <w:szCs w:val="1"/>
                <w:color w:val="auto"/>
              </w:rPr>
            </w:pPr>
          </w:p>
        </w:tc>
      </w:tr>
      <w:tr>
        <w:trPr>
          <w:trHeight w:val="263"/>
        </w:trPr>
        <w:tc>
          <w:tcPr>
            <w:tcW w:w="5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64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(5,860)</w:t>
            </w:r>
          </w:p>
        </w:tc>
        <w:tc>
          <w:tcPr>
            <w:tcW w:w="260" w:type="dxa"/>
            <w:vAlign w:val="bottom"/>
            <w:shd w:val="clear" w:color="auto" w:fill="B6B6B6"/>
          </w:tcPr>
          <w:p>
            <w:pPr>
              <w:spacing w:after="0"/>
              <w:rPr>
                <w:sz w:val="22"/>
                <w:szCs w:val="22"/>
                <w:color w:val="auto"/>
              </w:rPr>
            </w:pP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(6,310)</w:t>
            </w:r>
          </w:p>
        </w:tc>
        <w:tc>
          <w:tcPr>
            <w:tcW w:w="0" w:type="dxa"/>
            <w:vAlign w:val="bottom"/>
          </w:tcPr>
          <w:p>
            <w:pPr>
              <w:spacing w:after="0"/>
              <w:rPr>
                <w:sz w:val="1"/>
                <w:szCs w:val="1"/>
                <w:color w:val="auto"/>
              </w:rPr>
            </w:pPr>
          </w:p>
        </w:tc>
      </w:tr>
      <w:tr>
        <w:trPr>
          <w:trHeight w:val="250"/>
        </w:trPr>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amortization</w:t>
            </w:r>
          </w:p>
        </w:tc>
        <w:tc>
          <w:tcPr>
            <w:tcW w:w="26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50"/>
        </w:trPr>
        <w:tc>
          <w:tcPr>
            <w:tcW w:w="576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Net periodic pension benefit</w:t>
            </w:r>
          </w:p>
        </w:tc>
        <w:tc>
          <w:tcPr>
            <w:tcW w:w="264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2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recorded a net periodic benefit of $616,000 and $1,847,000 for the three and nine-month periods ended September 30, 2022, respectively, and $678,000 and $1,096,000 for the three and nine-month period ended September 30, 2021, respectively. The net periodic pension benefit increased during the nine-month period ended September 30, 2022 primarily due to the Plan being frozen as of February 28, 2021. The Company made no contributions to the Plan during the nine-month period ended September 30, 2022 and is evaluating the amount of contributions, if any, for the remainder of 2022.</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above funded benefit plan, the Company has an unfunded supplemental executive retirement plan which covers key executives of the Company. This is a noncontributory plan in which the Company and its subsidiaries make accruals designed to fund normal service costs on a current basis using the same method and criteria as its defined benefit plan. The following table represents the components of the net periodic pension costs for 2021 and an estimate for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0" w:type="dxa"/>
            <w:vAlign w:val="bottom"/>
          </w:tcPr>
          <w:p>
            <w:pPr>
              <w:spacing w:after="0"/>
              <w:rPr>
                <w:sz w:val="1"/>
                <w:szCs w:val="1"/>
                <w:color w:val="auto"/>
              </w:rPr>
            </w:pPr>
          </w:p>
        </w:tc>
      </w:tr>
      <w:tr>
        <w:trPr>
          <w:trHeight w:val="241"/>
        </w:trPr>
        <w:tc>
          <w:tcPr>
            <w:tcW w:w="5760" w:type="dxa"/>
            <w:vAlign w:val="bottom"/>
            <w:tcBorders>
              <w:bottom w:val="single" w:sz="8" w:color="auto"/>
            </w:tcBorders>
            <w:vMerge w:val="continue"/>
          </w:tcPr>
          <w:p>
            <w:pPr>
              <w:spacing w:after="0"/>
              <w:rPr>
                <w:sz w:val="20"/>
                <w:szCs w:val="20"/>
                <w:color w:val="auto"/>
              </w:rPr>
            </w:pPr>
          </w:p>
        </w:tc>
        <w:tc>
          <w:tcPr>
            <w:tcW w:w="35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52"/>
        </w:trPr>
        <w:tc>
          <w:tcPr>
            <w:tcW w:w="5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Service cost – benefits earned during the year</w:t>
            </w:r>
          </w:p>
        </w:tc>
        <w:tc>
          <w:tcPr>
            <w:tcW w:w="3560" w:type="dxa"/>
            <w:vAlign w:val="bottom"/>
            <w:shd w:val="clear" w:color="auto" w:fill="B6B6B6"/>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50"/>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 on projected benefit obligation</w:t>
            </w:r>
          </w:p>
        </w:tc>
        <w:tc>
          <w:tcPr>
            <w:tcW w:w="356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318</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57"/>
        </w:trPr>
        <w:tc>
          <w:tcPr>
            <w:tcW w:w="576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amortization</w:t>
            </w:r>
          </w:p>
        </w:tc>
        <w:tc>
          <w:tcPr>
            <w:tcW w:w="3560" w:type="dxa"/>
            <w:vAlign w:val="bottom"/>
            <w:tcBorders>
              <w:bottom w:val="single" w:sz="8" w:color="auto"/>
            </w:tcBorders>
            <w:shd w:val="clear" w:color="auto" w:fill="B6B6B6"/>
          </w:tcPr>
          <w:p>
            <w:pPr>
              <w:spacing w:after="0"/>
              <w:rPr>
                <w:sz w:val="22"/>
                <w:szCs w:val="22"/>
                <w:color w:val="auto"/>
              </w:rPr>
            </w:pPr>
          </w:p>
        </w:tc>
        <w:tc>
          <w:tcPr>
            <w:tcW w:w="3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w w:val="88"/>
              </w:rPr>
              <w:t>108</w:t>
            </w:r>
          </w:p>
        </w:tc>
        <w:tc>
          <w:tcPr>
            <w:tcW w:w="380" w:type="dxa"/>
            <w:vAlign w:val="bottom"/>
            <w:tcBorders>
              <w:bottom w:val="single" w:sz="8" w:color="auto"/>
            </w:tcBorders>
            <w:shd w:val="clear" w:color="auto" w:fill="B6B6B6"/>
          </w:tcPr>
          <w:p>
            <w:pPr>
              <w:spacing w:after="0"/>
              <w:rPr>
                <w:sz w:val="22"/>
                <w:szCs w:val="22"/>
                <w:color w:val="auto"/>
              </w:rPr>
            </w:pPr>
          </w:p>
        </w:tc>
        <w:tc>
          <w:tcPr>
            <w:tcW w:w="11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50"/>
        </w:trPr>
        <w:tc>
          <w:tcPr>
            <w:tcW w:w="57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356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426</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Supplemental executive retirement plan costs recorded to expense were $107,000 and $320,000 for the three and nine-month periods ended September 30, 2022, respectively, and $160,000 and $481,000 for the three and nine-month periods ended September 30, 2021, respectively.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10 – Income Taxes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effective tax rate was 19.2% and 19.3% for the three and nine-month periods ended September 30, 2022, respectively, and 14.7% and 17.0% for the three and nine-month periods ended September 30, 2021, respectively. The effective tax rate for all periods differs from the statutory rate of 21% primarily due to the tax-exempt interest received from municipal bonds and bank-owned life insurance, among other factors. The increase in the effective tax rate for the nine-month period ended September 30, 2022 as compared to the same period of 2021 is primarily a result of taxable income being higher in the current period, which reduces the relative impact of the tax-exempt income.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11 – Investment in Securities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Investment securities available-for-sale are recorded at fair value on a recurring basis. The Company’s investment securities available-for-sale are measured at fair value using Level 2 valuations. The market evaluation utilizes several sources which include “observable inputs” rather than “significant unobservable inputs” and therefore fall into the Level 2</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category. The amortized cost, gross unrealized gains, gross unrealized losses and fair value of investment securities are summarized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600" w:type="dxa"/>
            <w:vAlign w:val="bottom"/>
          </w:tcPr>
          <w:p>
            <w:pPr>
              <w:spacing w:after="0"/>
              <w:rPr>
                <w:sz w:val="15"/>
                <w:szCs w:val="15"/>
                <w:color w:val="auto"/>
              </w:rPr>
            </w:pPr>
          </w:p>
        </w:tc>
        <w:tc>
          <w:tcPr>
            <w:tcW w:w="1080" w:type="dxa"/>
            <w:vAlign w:val="bottom"/>
            <w:gridSpan w:val="2"/>
          </w:tcPr>
          <w:p>
            <w:pPr>
              <w:jc w:val="center"/>
              <w:ind w:right="430"/>
              <w:spacing w:after="0" w:line="176"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center"/>
              <w:ind w:right="410"/>
              <w:spacing w:after="0" w:line="176"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0" w:type="dxa"/>
            <w:vAlign w:val="bottom"/>
          </w:tcPr>
          <w:p>
            <w:pPr>
              <w:spacing w:after="0"/>
              <w:rPr>
                <w:sz w:val="1"/>
                <w:szCs w:val="1"/>
                <w:color w:val="auto"/>
              </w:rPr>
            </w:pPr>
          </w:p>
        </w:tc>
      </w:tr>
      <w:tr>
        <w:trPr>
          <w:trHeight w:val="176"/>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68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320" w:type="dxa"/>
            <w:vAlign w:val="bottom"/>
          </w:tcPr>
          <w:p>
            <w:pPr>
              <w:spacing w:after="0"/>
              <w:rPr>
                <w:sz w:val="15"/>
                <w:szCs w:val="15"/>
                <w:color w:val="auto"/>
              </w:rPr>
            </w:pPr>
          </w:p>
        </w:tc>
        <w:tc>
          <w:tcPr>
            <w:tcW w:w="1200" w:type="dxa"/>
            <w:vAlign w:val="bottom"/>
            <w:gridSpan w:val="2"/>
          </w:tcPr>
          <w:p>
            <w:pPr>
              <w:jc w:val="center"/>
              <w:ind w:right="1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04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Cost</w:t>
            </w:r>
          </w:p>
        </w:tc>
        <w:tc>
          <w:tcPr>
            <w:tcW w:w="6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52"/>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60" w:type="dxa"/>
            <w:vAlign w:val="bottom"/>
            <w:shd w:val="clear" w:color="auto" w:fill="B6B6B6"/>
          </w:tcPr>
          <w:p>
            <w:pPr>
              <w:spacing w:after="0"/>
              <w:rPr>
                <w:sz w:val="21"/>
                <w:szCs w:val="21"/>
                <w:color w:val="auto"/>
              </w:rPr>
            </w:pPr>
          </w:p>
        </w:tc>
        <w:tc>
          <w:tcPr>
            <w:tcW w:w="1140" w:type="dxa"/>
            <w:vAlign w:val="bottom"/>
            <w:shd w:val="clear" w:color="auto" w:fill="B6B6B6"/>
          </w:tcPr>
          <w:p>
            <w:pPr>
              <w:spacing w:after="0"/>
              <w:rPr>
                <w:sz w:val="21"/>
                <w:szCs w:val="21"/>
                <w:color w:val="auto"/>
              </w:rPr>
            </w:pPr>
          </w:p>
        </w:tc>
        <w:tc>
          <w:tcPr>
            <w:tcW w:w="420" w:type="dxa"/>
            <w:vAlign w:val="bottom"/>
            <w:shd w:val="clear" w:color="auto" w:fill="B6B6B6"/>
          </w:tcPr>
          <w:p>
            <w:pPr>
              <w:spacing w:after="0"/>
              <w:rPr>
                <w:sz w:val="21"/>
                <w:szCs w:val="21"/>
                <w:color w:val="auto"/>
              </w:rPr>
            </w:pPr>
          </w:p>
        </w:tc>
        <w:tc>
          <w:tcPr>
            <w:tcW w:w="960" w:type="dxa"/>
            <w:vAlign w:val="bottom"/>
            <w:gridSpan w:val="2"/>
            <w:shd w:val="clear" w:color="auto" w:fill="B6B6B6"/>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326,506</w:t>
            </w:r>
          </w:p>
        </w:tc>
        <w:tc>
          <w:tcPr>
            <w:tcW w:w="600" w:type="dxa"/>
            <w:vAlign w:val="bottom"/>
            <w:shd w:val="clear" w:color="auto" w:fill="B6B6B6"/>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1"/>
                <w:szCs w:val="21"/>
                <w:color w:val="auto"/>
              </w:rPr>
            </w:pPr>
          </w:p>
        </w:tc>
        <w:tc>
          <w:tcPr>
            <w:tcW w:w="800" w:type="dxa"/>
            <w:vAlign w:val="bottom"/>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B6B6B6"/>
          </w:tcPr>
          <w:p>
            <w:pPr>
              <w:spacing w:after="0"/>
              <w:rPr>
                <w:sz w:val="21"/>
                <w:szCs w:val="21"/>
                <w:color w:val="auto"/>
              </w:rPr>
            </w:pP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28,078</w:t>
            </w:r>
          </w:p>
        </w:tc>
        <w:tc>
          <w:tcPr>
            <w:tcW w:w="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B6B6B6"/>
          </w:tcPr>
          <w:p>
            <w:pPr>
              <w:spacing w:after="0"/>
              <w:rPr>
                <w:sz w:val="21"/>
                <w:szCs w:val="21"/>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298,446</w:t>
            </w:r>
          </w:p>
        </w:tc>
        <w:tc>
          <w:tcPr>
            <w:tcW w:w="0" w:type="dxa"/>
            <w:vAlign w:val="bottom"/>
          </w:tcPr>
          <w:p>
            <w:pPr>
              <w:spacing w:after="0"/>
              <w:rPr>
                <w:sz w:val="1"/>
                <w:szCs w:val="1"/>
                <w:color w:val="auto"/>
              </w:rPr>
            </w:pPr>
          </w:p>
        </w:tc>
      </w:tr>
      <w:tr>
        <w:trPr>
          <w:trHeight w:val="211"/>
        </w:trPr>
        <w:tc>
          <w:tcPr>
            <w:tcW w:w="4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Mortgage-backed securities issued or guaranteed by U.S.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government agencies or sponsored enterprises</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210,111</w:t>
            </w: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31,978</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178,133</w:t>
            </w:r>
          </w:p>
        </w:tc>
        <w:tc>
          <w:tcPr>
            <w:tcW w:w="0" w:type="dxa"/>
            <w:vAlign w:val="bottom"/>
          </w:tcPr>
          <w:p>
            <w:pPr>
              <w:spacing w:after="0"/>
              <w:rPr>
                <w:sz w:val="1"/>
                <w:szCs w:val="1"/>
                <w:color w:val="auto"/>
              </w:rPr>
            </w:pPr>
          </w:p>
        </w:tc>
      </w:tr>
      <w:tr>
        <w:trPr>
          <w:trHeight w:val="263"/>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42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700" w:type="dxa"/>
            <w:vAlign w:val="bottom"/>
            <w:shd w:val="clear" w:color="auto" w:fill="B6B6B6"/>
          </w:tcPr>
          <w:p>
            <w:pPr>
              <w:spacing w:after="0"/>
              <w:rPr>
                <w:sz w:val="22"/>
                <w:szCs w:val="22"/>
                <w:color w:val="auto"/>
              </w:rPr>
            </w:pPr>
          </w:p>
        </w:tc>
        <w:tc>
          <w:tcPr>
            <w:tcW w:w="7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96,405</w:t>
            </w:r>
          </w:p>
        </w:tc>
        <w:tc>
          <w:tcPr>
            <w:tcW w:w="6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800" w:type="dxa"/>
            <w:vAlign w:val="bottom"/>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2"/>
                <w:szCs w:val="22"/>
                <w:color w:val="auto"/>
              </w:rPr>
            </w:pPr>
          </w:p>
        </w:tc>
        <w:tc>
          <w:tcPr>
            <w:tcW w:w="220" w:type="dxa"/>
            <w:vAlign w:val="bottom"/>
            <w:shd w:val="clear" w:color="auto" w:fill="B6B6B6"/>
          </w:tcPr>
          <w:p>
            <w:pPr>
              <w:spacing w:after="0"/>
              <w:rPr>
                <w:sz w:val="22"/>
                <w:szCs w:val="22"/>
                <w:color w:val="auto"/>
              </w:rPr>
            </w:pP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12,614</w:t>
            </w:r>
          </w:p>
        </w:tc>
        <w:tc>
          <w:tcPr>
            <w:tcW w:w="26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83,791</w:t>
            </w:r>
          </w:p>
        </w:tc>
        <w:tc>
          <w:tcPr>
            <w:tcW w:w="0" w:type="dxa"/>
            <w:vAlign w:val="bottom"/>
          </w:tcPr>
          <w:p>
            <w:pPr>
              <w:spacing w:after="0"/>
              <w:rPr>
                <w:sz w:val="1"/>
                <w:szCs w:val="1"/>
                <w:color w:val="auto"/>
              </w:rPr>
            </w:pPr>
          </w:p>
        </w:tc>
      </w:tr>
      <w:tr>
        <w:trPr>
          <w:trHeight w:val="25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bonds</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158,623</w:t>
            </w: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155,119</w:t>
            </w:r>
          </w:p>
        </w:tc>
        <w:tc>
          <w:tcPr>
            <w:tcW w:w="0" w:type="dxa"/>
            <w:vAlign w:val="bottom"/>
          </w:tcPr>
          <w:p>
            <w:pPr>
              <w:spacing w:after="0"/>
              <w:rPr>
                <w:sz w:val="1"/>
                <w:szCs w:val="1"/>
                <w:color w:val="auto"/>
              </w:rPr>
            </w:pPr>
          </w:p>
        </w:tc>
      </w:tr>
      <w:tr>
        <w:trPr>
          <w:trHeight w:val="218"/>
        </w:trPr>
        <w:tc>
          <w:tcPr>
            <w:tcW w:w="4760" w:type="dxa"/>
            <w:vAlign w:val="bottom"/>
            <w:gridSpan w:val="4"/>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Asset backed securities issued or guaranteed by U.S. government</w:t>
            </w:r>
          </w:p>
        </w:tc>
        <w:tc>
          <w:tcPr>
            <w:tcW w:w="260" w:type="dxa"/>
            <w:vAlign w:val="bottom"/>
            <w:shd w:val="clear" w:color="auto" w:fill="B6B6B6"/>
          </w:tcPr>
          <w:p>
            <w:pPr>
              <w:spacing w:after="0"/>
              <w:rPr>
                <w:sz w:val="18"/>
                <w:szCs w:val="18"/>
                <w:color w:val="auto"/>
              </w:rPr>
            </w:pPr>
          </w:p>
        </w:tc>
        <w:tc>
          <w:tcPr>
            <w:tcW w:w="700" w:type="dxa"/>
            <w:vAlign w:val="bottom"/>
            <w:shd w:val="clear" w:color="auto" w:fill="B6B6B6"/>
          </w:tcPr>
          <w:p>
            <w:pPr>
              <w:spacing w:after="0"/>
              <w:rPr>
                <w:sz w:val="18"/>
                <w:szCs w:val="18"/>
                <w:color w:val="auto"/>
              </w:rPr>
            </w:pPr>
          </w:p>
        </w:tc>
        <w:tc>
          <w:tcPr>
            <w:tcW w:w="740" w:type="dxa"/>
            <w:vAlign w:val="bottom"/>
            <w:shd w:val="clear" w:color="auto" w:fill="B6B6B6"/>
          </w:tcPr>
          <w:p>
            <w:pPr>
              <w:spacing w:after="0"/>
              <w:rPr>
                <w:sz w:val="18"/>
                <w:szCs w:val="18"/>
                <w:color w:val="auto"/>
              </w:rPr>
            </w:pPr>
          </w:p>
        </w:tc>
        <w:tc>
          <w:tcPr>
            <w:tcW w:w="600" w:type="dxa"/>
            <w:vAlign w:val="bottom"/>
            <w:shd w:val="clear" w:color="auto" w:fill="B6B6B6"/>
          </w:tcPr>
          <w:p>
            <w:pPr>
              <w:spacing w:after="0"/>
              <w:rPr>
                <w:sz w:val="18"/>
                <w:szCs w:val="18"/>
                <w:color w:val="auto"/>
              </w:rPr>
            </w:pPr>
          </w:p>
        </w:tc>
        <w:tc>
          <w:tcPr>
            <w:tcW w:w="280" w:type="dxa"/>
            <w:vAlign w:val="bottom"/>
            <w:shd w:val="clear" w:color="auto" w:fill="B6B6B6"/>
          </w:tcPr>
          <w:p>
            <w:pPr>
              <w:spacing w:after="0"/>
              <w:rPr>
                <w:sz w:val="18"/>
                <w:szCs w:val="18"/>
                <w:color w:val="auto"/>
              </w:rPr>
            </w:pPr>
          </w:p>
        </w:tc>
        <w:tc>
          <w:tcPr>
            <w:tcW w:w="800" w:type="dxa"/>
            <w:vAlign w:val="bottom"/>
            <w:shd w:val="clear" w:color="auto" w:fill="B6B6B6"/>
          </w:tcPr>
          <w:p>
            <w:pPr>
              <w:spacing w:after="0"/>
              <w:rPr>
                <w:sz w:val="18"/>
                <w:szCs w:val="18"/>
                <w:color w:val="auto"/>
              </w:rPr>
            </w:pPr>
          </w:p>
        </w:tc>
        <w:tc>
          <w:tcPr>
            <w:tcW w:w="320" w:type="dxa"/>
            <w:vAlign w:val="bottom"/>
            <w:shd w:val="clear" w:color="auto" w:fill="B6B6B6"/>
          </w:tcPr>
          <w:p>
            <w:pPr>
              <w:spacing w:after="0"/>
              <w:rPr>
                <w:sz w:val="18"/>
                <w:szCs w:val="18"/>
                <w:color w:val="auto"/>
              </w:rPr>
            </w:pPr>
          </w:p>
        </w:tc>
        <w:tc>
          <w:tcPr>
            <w:tcW w:w="220" w:type="dxa"/>
            <w:vAlign w:val="bottom"/>
            <w:shd w:val="clear" w:color="auto" w:fill="B6B6B6"/>
          </w:tcPr>
          <w:p>
            <w:pPr>
              <w:spacing w:after="0"/>
              <w:rPr>
                <w:sz w:val="18"/>
                <w:szCs w:val="18"/>
                <w:color w:val="auto"/>
              </w:rPr>
            </w:pPr>
          </w:p>
        </w:tc>
        <w:tc>
          <w:tcPr>
            <w:tcW w:w="980" w:type="dxa"/>
            <w:vAlign w:val="bottom"/>
            <w:shd w:val="clear" w:color="auto" w:fill="B6B6B6"/>
          </w:tcPr>
          <w:p>
            <w:pPr>
              <w:spacing w:after="0"/>
              <w:rPr>
                <w:sz w:val="18"/>
                <w:szCs w:val="18"/>
                <w:color w:val="auto"/>
              </w:rPr>
            </w:pPr>
          </w:p>
        </w:tc>
        <w:tc>
          <w:tcPr>
            <w:tcW w:w="260" w:type="dxa"/>
            <w:vAlign w:val="bottom"/>
            <w:shd w:val="clear" w:color="auto" w:fill="B6B6B6"/>
          </w:tcPr>
          <w:p>
            <w:pPr>
              <w:spacing w:after="0"/>
              <w:rPr>
                <w:sz w:val="18"/>
                <w:szCs w:val="18"/>
                <w:color w:val="auto"/>
              </w:rPr>
            </w:pPr>
          </w:p>
        </w:tc>
        <w:tc>
          <w:tcPr>
            <w:tcW w:w="160" w:type="dxa"/>
            <w:vAlign w:val="bottom"/>
            <w:shd w:val="clear" w:color="auto" w:fill="B6B6B6"/>
          </w:tcPr>
          <w:p>
            <w:pPr>
              <w:spacing w:after="0"/>
              <w:rPr>
                <w:sz w:val="18"/>
                <w:szCs w:val="18"/>
                <w:color w:val="auto"/>
              </w:rPr>
            </w:pPr>
          </w:p>
        </w:tc>
        <w:tc>
          <w:tcPr>
            <w:tcW w:w="116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4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agencies or sponsored enterprises</w:t>
            </w:r>
          </w:p>
        </w:tc>
        <w:tc>
          <w:tcPr>
            <w:tcW w:w="160" w:type="dxa"/>
            <w:vAlign w:val="bottom"/>
            <w:tcBorders>
              <w:bottom w:val="single" w:sz="8" w:color="auto"/>
            </w:tcBorders>
            <w:shd w:val="clear" w:color="auto" w:fill="B6B6B6"/>
          </w:tcPr>
          <w:p>
            <w:pPr>
              <w:spacing w:after="0"/>
              <w:rPr>
                <w:sz w:val="20"/>
                <w:szCs w:val="20"/>
                <w:color w:val="auto"/>
              </w:rPr>
            </w:pPr>
          </w:p>
        </w:tc>
        <w:tc>
          <w:tcPr>
            <w:tcW w:w="1140" w:type="dxa"/>
            <w:vAlign w:val="bottom"/>
            <w:tcBorders>
              <w:bottom w:val="single" w:sz="8" w:color="auto"/>
            </w:tcBorders>
            <w:shd w:val="clear" w:color="auto" w:fill="B6B6B6"/>
          </w:tcPr>
          <w:p>
            <w:pPr>
              <w:spacing w:after="0"/>
              <w:rPr>
                <w:sz w:val="20"/>
                <w:szCs w:val="20"/>
                <w:color w:val="auto"/>
              </w:rPr>
            </w:pPr>
          </w:p>
        </w:tc>
        <w:tc>
          <w:tcPr>
            <w:tcW w:w="420" w:type="dxa"/>
            <w:vAlign w:val="bottom"/>
            <w:tcBorders>
              <w:bottom w:val="single" w:sz="8" w:color="auto"/>
            </w:tcBorders>
            <w:shd w:val="clear" w:color="auto" w:fill="B6B6B6"/>
          </w:tcPr>
          <w:p>
            <w:pPr>
              <w:spacing w:after="0"/>
              <w:rPr>
                <w:sz w:val="20"/>
                <w:szCs w:val="20"/>
                <w:color w:val="auto"/>
              </w:rPr>
            </w:pPr>
          </w:p>
        </w:tc>
        <w:tc>
          <w:tcPr>
            <w:tcW w:w="260" w:type="dxa"/>
            <w:vAlign w:val="bottom"/>
            <w:tcBorders>
              <w:bottom w:val="single" w:sz="8" w:color="auto"/>
            </w:tcBorders>
            <w:shd w:val="clear" w:color="auto" w:fill="B6B6B6"/>
          </w:tcPr>
          <w:p>
            <w:pPr>
              <w:spacing w:after="0"/>
              <w:rPr>
                <w:sz w:val="20"/>
                <w:szCs w:val="20"/>
                <w:color w:val="auto"/>
              </w:rPr>
            </w:pPr>
          </w:p>
        </w:tc>
        <w:tc>
          <w:tcPr>
            <w:tcW w:w="700" w:type="dxa"/>
            <w:vAlign w:val="bottom"/>
            <w:tcBorders>
              <w:bottom w:val="single" w:sz="8" w:color="auto"/>
            </w:tcBorders>
            <w:shd w:val="clear" w:color="auto" w:fill="B6B6B6"/>
          </w:tcPr>
          <w:p>
            <w:pPr>
              <w:spacing w:after="0"/>
              <w:rPr>
                <w:sz w:val="20"/>
                <w:szCs w:val="20"/>
                <w:color w:val="auto"/>
              </w:rPr>
            </w:pPr>
          </w:p>
        </w:tc>
        <w:tc>
          <w:tcPr>
            <w:tcW w:w="7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50,136</w:t>
            </w:r>
          </w:p>
        </w:tc>
        <w:tc>
          <w:tcPr>
            <w:tcW w:w="600" w:type="dxa"/>
            <w:vAlign w:val="bottom"/>
            <w:tcBorders>
              <w:bottom w:val="single" w:sz="8" w:color="auto"/>
            </w:tcBorders>
            <w:shd w:val="clear" w:color="auto" w:fill="B6B6B6"/>
          </w:tcPr>
          <w:p>
            <w:pPr>
              <w:spacing w:after="0"/>
              <w:rPr>
                <w:sz w:val="20"/>
                <w:szCs w:val="20"/>
                <w:color w:val="auto"/>
              </w:rPr>
            </w:pPr>
          </w:p>
        </w:tc>
        <w:tc>
          <w:tcPr>
            <w:tcW w:w="280" w:type="dxa"/>
            <w:vAlign w:val="bottom"/>
            <w:tcBorders>
              <w:bottom w:val="single" w:sz="8" w:color="auto"/>
            </w:tcBorders>
            <w:shd w:val="clear" w:color="auto" w:fill="B6B6B6"/>
          </w:tcPr>
          <w:p>
            <w:pPr>
              <w:spacing w:after="0"/>
              <w:rPr>
                <w:sz w:val="20"/>
                <w:szCs w:val="20"/>
                <w:color w:val="auto"/>
              </w:rPr>
            </w:pPr>
          </w:p>
        </w:tc>
        <w:tc>
          <w:tcPr>
            <w:tcW w:w="800" w:type="dxa"/>
            <w:vAlign w:val="bottom"/>
            <w:tcBorders>
              <w:bottom w:val="single" w:sz="8" w:color="auto"/>
            </w:tcBorders>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B6B6B6"/>
          </w:tcPr>
          <w:p>
            <w:pPr>
              <w:spacing w:after="0"/>
              <w:rPr>
                <w:sz w:val="20"/>
                <w:szCs w:val="20"/>
                <w:color w:val="auto"/>
              </w:rPr>
            </w:pPr>
          </w:p>
        </w:tc>
        <w:tc>
          <w:tcPr>
            <w:tcW w:w="220" w:type="dxa"/>
            <w:vAlign w:val="bottom"/>
            <w:tcBorders>
              <w:bottom w:val="single" w:sz="8" w:color="auto"/>
            </w:tcBorders>
            <w:shd w:val="clear" w:color="auto" w:fill="B6B6B6"/>
          </w:tcPr>
          <w:p>
            <w:pPr>
              <w:spacing w:after="0"/>
              <w:rPr>
                <w:sz w:val="20"/>
                <w:szCs w:val="20"/>
                <w:color w:val="auto"/>
              </w:rPr>
            </w:pPr>
          </w:p>
        </w:tc>
        <w:tc>
          <w:tcPr>
            <w:tcW w:w="9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260" w:type="dxa"/>
            <w:vAlign w:val="bottom"/>
            <w:tcBorders>
              <w:bottom w:val="single" w:sz="8" w:color="auto"/>
            </w:tcBorders>
            <w:shd w:val="clear" w:color="auto" w:fill="B6B6B6"/>
          </w:tcPr>
          <w:p>
            <w:pPr>
              <w:spacing w:after="0"/>
              <w:rPr>
                <w:sz w:val="20"/>
                <w:szCs w:val="20"/>
                <w:color w:val="auto"/>
              </w:rPr>
            </w:pPr>
          </w:p>
        </w:tc>
        <w:tc>
          <w:tcPr>
            <w:tcW w:w="160" w:type="dxa"/>
            <w:vAlign w:val="bottom"/>
            <w:tcBorders>
              <w:bottom w:val="single" w:sz="8" w:color="auto"/>
            </w:tcBorders>
            <w:shd w:val="clear" w:color="auto" w:fill="B6B6B6"/>
          </w:tcPr>
          <w:p>
            <w:pPr>
              <w:spacing w:after="0"/>
              <w:rPr>
                <w:sz w:val="20"/>
                <w:szCs w:val="20"/>
                <w:color w:val="auto"/>
              </w:rPr>
            </w:pPr>
          </w:p>
        </w:tc>
        <w:tc>
          <w:tcPr>
            <w:tcW w:w="1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48,300</w:t>
            </w:r>
          </w:p>
        </w:tc>
        <w:tc>
          <w:tcPr>
            <w:tcW w:w="0" w:type="dxa"/>
            <w:vAlign w:val="bottom"/>
          </w:tcPr>
          <w:p>
            <w:pPr>
              <w:spacing w:after="0"/>
              <w:rPr>
                <w:sz w:val="1"/>
                <w:szCs w:val="1"/>
                <w:color w:val="auto"/>
              </w:rPr>
            </w:pPr>
          </w:p>
        </w:tc>
      </w:tr>
      <w:tr>
        <w:trPr>
          <w:trHeight w:val="250"/>
        </w:trPr>
        <w:tc>
          <w:tcPr>
            <w:tcW w:w="30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841,781</w:t>
            </w:r>
          </w:p>
        </w:tc>
        <w:tc>
          <w:tcPr>
            <w:tcW w:w="6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78,010</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763,789</w:t>
            </w:r>
          </w:p>
        </w:tc>
        <w:tc>
          <w:tcPr>
            <w:tcW w:w="0" w:type="dxa"/>
            <w:vAlign w:val="bottom"/>
          </w:tcPr>
          <w:p>
            <w:pPr>
              <w:spacing w:after="0"/>
              <w:rPr>
                <w:sz w:val="1"/>
                <w:szCs w:val="1"/>
                <w:color w:val="auto"/>
              </w:rPr>
            </w:pPr>
          </w:p>
        </w:tc>
      </w:tr>
      <w:tr>
        <w:trPr>
          <w:trHeight w:val="547"/>
        </w:trPr>
        <w:tc>
          <w:tcPr>
            <w:tcW w:w="3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600" w:type="dxa"/>
            <w:vAlign w:val="bottom"/>
          </w:tcPr>
          <w:p>
            <w:pPr>
              <w:spacing w:after="0"/>
              <w:rPr>
                <w:sz w:val="15"/>
                <w:szCs w:val="15"/>
                <w:color w:val="auto"/>
              </w:rPr>
            </w:pPr>
          </w:p>
        </w:tc>
        <w:tc>
          <w:tcPr>
            <w:tcW w:w="1080" w:type="dxa"/>
            <w:vAlign w:val="bottom"/>
            <w:gridSpan w:val="2"/>
          </w:tcPr>
          <w:p>
            <w:pPr>
              <w:jc w:val="center"/>
              <w:ind w:right="430"/>
              <w:spacing w:after="0" w:line="176"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center"/>
              <w:ind w:right="410"/>
              <w:spacing w:after="0" w:line="176"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68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320" w:type="dxa"/>
            <w:vAlign w:val="bottom"/>
          </w:tcPr>
          <w:p>
            <w:pPr>
              <w:spacing w:after="0"/>
              <w:rPr>
                <w:sz w:val="15"/>
                <w:szCs w:val="15"/>
                <w:color w:val="auto"/>
              </w:rPr>
            </w:pPr>
          </w:p>
        </w:tc>
        <w:tc>
          <w:tcPr>
            <w:tcW w:w="1200" w:type="dxa"/>
            <w:vAlign w:val="bottom"/>
            <w:gridSpan w:val="2"/>
          </w:tcPr>
          <w:p>
            <w:pPr>
              <w:jc w:val="center"/>
              <w:ind w:right="1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41"/>
        </w:trPr>
        <w:tc>
          <w:tcPr>
            <w:tcW w:w="304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Cost</w:t>
            </w:r>
          </w:p>
        </w:tc>
        <w:tc>
          <w:tcPr>
            <w:tcW w:w="6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60" w:type="dxa"/>
            <w:vAlign w:val="bottom"/>
            <w:shd w:val="clear" w:color="auto" w:fill="B6B6B6"/>
          </w:tcPr>
          <w:p>
            <w:pPr>
              <w:spacing w:after="0"/>
              <w:rPr>
                <w:sz w:val="21"/>
                <w:szCs w:val="21"/>
                <w:color w:val="auto"/>
              </w:rPr>
            </w:pPr>
          </w:p>
        </w:tc>
        <w:tc>
          <w:tcPr>
            <w:tcW w:w="1140" w:type="dxa"/>
            <w:vAlign w:val="bottom"/>
            <w:shd w:val="clear" w:color="auto" w:fill="B6B6B6"/>
          </w:tcPr>
          <w:p>
            <w:pPr>
              <w:spacing w:after="0"/>
              <w:rPr>
                <w:sz w:val="21"/>
                <w:szCs w:val="21"/>
                <w:color w:val="auto"/>
              </w:rPr>
            </w:pPr>
          </w:p>
        </w:tc>
        <w:tc>
          <w:tcPr>
            <w:tcW w:w="420" w:type="dxa"/>
            <w:vAlign w:val="bottom"/>
            <w:shd w:val="clear" w:color="auto" w:fill="B6B6B6"/>
          </w:tcPr>
          <w:p>
            <w:pPr>
              <w:spacing w:after="0"/>
              <w:rPr>
                <w:sz w:val="21"/>
                <w:szCs w:val="21"/>
                <w:color w:val="auto"/>
              </w:rPr>
            </w:pPr>
          </w:p>
        </w:tc>
        <w:tc>
          <w:tcPr>
            <w:tcW w:w="960" w:type="dxa"/>
            <w:vAlign w:val="bottom"/>
            <w:gridSpan w:val="2"/>
            <w:shd w:val="clear" w:color="auto" w:fill="B6B6B6"/>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359,187</w:t>
            </w:r>
          </w:p>
        </w:tc>
        <w:tc>
          <w:tcPr>
            <w:tcW w:w="600" w:type="dxa"/>
            <w:vAlign w:val="bottom"/>
            <w:shd w:val="clear" w:color="auto" w:fill="B6B6B6"/>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1"/>
                <w:szCs w:val="21"/>
                <w:color w:val="auto"/>
              </w:rPr>
            </w:pPr>
          </w:p>
        </w:tc>
        <w:tc>
          <w:tcPr>
            <w:tcW w:w="800" w:type="dxa"/>
            <w:vAlign w:val="bottom"/>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12,931</w:t>
            </w:r>
          </w:p>
        </w:tc>
        <w:tc>
          <w:tcPr>
            <w:tcW w:w="32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B6B6B6"/>
          </w:tcPr>
          <w:p>
            <w:pPr>
              <w:spacing w:after="0"/>
              <w:rPr>
                <w:sz w:val="21"/>
                <w:szCs w:val="21"/>
                <w:color w:val="auto"/>
              </w:rPr>
            </w:pP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B6B6B6"/>
          </w:tcPr>
          <w:p>
            <w:pPr>
              <w:spacing w:after="0"/>
              <w:rPr>
                <w:sz w:val="21"/>
                <w:szCs w:val="21"/>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371,128</w:t>
            </w:r>
          </w:p>
        </w:tc>
        <w:tc>
          <w:tcPr>
            <w:tcW w:w="0" w:type="dxa"/>
            <w:vAlign w:val="bottom"/>
          </w:tcPr>
          <w:p>
            <w:pPr>
              <w:spacing w:after="0"/>
              <w:rPr>
                <w:sz w:val="1"/>
                <w:szCs w:val="1"/>
                <w:color w:val="auto"/>
              </w:rPr>
            </w:pPr>
          </w:p>
        </w:tc>
      </w:tr>
      <w:tr>
        <w:trPr>
          <w:trHeight w:val="211"/>
        </w:trPr>
        <w:tc>
          <w:tcPr>
            <w:tcW w:w="4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Mortgage-backed securities issued or guaranteed by U.S.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government agencies or sponsored enterprises</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170,711</w:t>
            </w: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135</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168,646</w:t>
            </w:r>
          </w:p>
        </w:tc>
        <w:tc>
          <w:tcPr>
            <w:tcW w:w="0" w:type="dxa"/>
            <w:vAlign w:val="bottom"/>
          </w:tcPr>
          <w:p>
            <w:pPr>
              <w:spacing w:after="0"/>
              <w:rPr>
                <w:sz w:val="1"/>
                <w:szCs w:val="1"/>
                <w:color w:val="auto"/>
              </w:rPr>
            </w:pPr>
          </w:p>
        </w:tc>
      </w:tr>
      <w:tr>
        <w:trPr>
          <w:trHeight w:val="263"/>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42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700" w:type="dxa"/>
            <w:vAlign w:val="bottom"/>
            <w:shd w:val="clear" w:color="auto" w:fill="B6B6B6"/>
          </w:tcPr>
          <w:p>
            <w:pPr>
              <w:spacing w:after="0"/>
              <w:rPr>
                <w:sz w:val="22"/>
                <w:szCs w:val="22"/>
                <w:color w:val="auto"/>
              </w:rPr>
            </w:pPr>
          </w:p>
        </w:tc>
        <w:tc>
          <w:tcPr>
            <w:tcW w:w="7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84,538</w:t>
            </w:r>
          </w:p>
        </w:tc>
        <w:tc>
          <w:tcPr>
            <w:tcW w:w="6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800" w:type="dxa"/>
            <w:vAlign w:val="bottom"/>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72</w:t>
            </w:r>
          </w:p>
        </w:tc>
        <w:tc>
          <w:tcPr>
            <w:tcW w:w="320" w:type="dxa"/>
            <w:vAlign w:val="bottom"/>
            <w:shd w:val="clear" w:color="auto" w:fill="B6B6B6"/>
          </w:tcPr>
          <w:p>
            <w:pPr>
              <w:spacing w:after="0"/>
              <w:rPr>
                <w:sz w:val="22"/>
                <w:szCs w:val="22"/>
                <w:color w:val="auto"/>
              </w:rPr>
            </w:pPr>
          </w:p>
        </w:tc>
        <w:tc>
          <w:tcPr>
            <w:tcW w:w="220" w:type="dxa"/>
            <w:vAlign w:val="bottom"/>
            <w:shd w:val="clear" w:color="auto" w:fill="B6B6B6"/>
          </w:tcPr>
          <w:p>
            <w:pPr>
              <w:spacing w:after="0"/>
              <w:rPr>
                <w:sz w:val="22"/>
                <w:szCs w:val="22"/>
                <w:color w:val="auto"/>
              </w:rPr>
            </w:pP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6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84,338</w:t>
            </w:r>
          </w:p>
        </w:tc>
        <w:tc>
          <w:tcPr>
            <w:tcW w:w="0" w:type="dxa"/>
            <w:vAlign w:val="bottom"/>
          </w:tcPr>
          <w:p>
            <w:pPr>
              <w:spacing w:after="0"/>
              <w:rPr>
                <w:sz w:val="1"/>
                <w:szCs w:val="1"/>
                <w:color w:val="auto"/>
              </w:rPr>
            </w:pPr>
          </w:p>
        </w:tc>
      </w:tr>
      <w:tr>
        <w:trPr>
          <w:trHeight w:val="211"/>
        </w:trPr>
        <w:tc>
          <w:tcPr>
            <w:tcW w:w="47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Asset backed securities issued or guaranteed by U.S. government</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agencies or sponsored enterprises</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49,835</w:t>
            </w:r>
          </w:p>
        </w:tc>
        <w:tc>
          <w:tcPr>
            <w:tcW w:w="6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49,341</w:t>
            </w:r>
          </w:p>
        </w:tc>
        <w:tc>
          <w:tcPr>
            <w:tcW w:w="0" w:type="dxa"/>
            <w:vAlign w:val="bottom"/>
          </w:tcPr>
          <w:p>
            <w:pPr>
              <w:spacing w:after="0"/>
              <w:rPr>
                <w:sz w:val="1"/>
                <w:szCs w:val="1"/>
                <w:color w:val="auto"/>
              </w:rPr>
            </w:pPr>
          </w:p>
        </w:tc>
      </w:tr>
      <w:tr>
        <w:trPr>
          <w:trHeight w:val="250"/>
        </w:trPr>
        <w:tc>
          <w:tcPr>
            <w:tcW w:w="304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B6B6B6"/>
          </w:tcPr>
          <w:p>
            <w:pPr>
              <w:spacing w:after="0"/>
              <w:rPr>
                <w:sz w:val="21"/>
                <w:szCs w:val="21"/>
                <w:color w:val="auto"/>
              </w:rPr>
            </w:pPr>
          </w:p>
        </w:tc>
        <w:tc>
          <w:tcPr>
            <w:tcW w:w="1140" w:type="dxa"/>
            <w:vAlign w:val="bottom"/>
            <w:tcBorders>
              <w:bottom w:val="single" w:sz="8" w:color="auto"/>
            </w:tcBorders>
            <w:shd w:val="clear" w:color="auto" w:fill="B6B6B6"/>
          </w:tcPr>
          <w:p>
            <w:pPr>
              <w:spacing w:after="0"/>
              <w:rPr>
                <w:sz w:val="21"/>
                <w:szCs w:val="21"/>
                <w:color w:val="auto"/>
              </w:rPr>
            </w:pPr>
          </w:p>
        </w:tc>
        <w:tc>
          <w:tcPr>
            <w:tcW w:w="420" w:type="dxa"/>
            <w:vAlign w:val="bottom"/>
            <w:tcBorders>
              <w:bottom w:val="single" w:sz="8" w:color="auto"/>
            </w:tcBorders>
            <w:shd w:val="clear" w:color="auto" w:fill="B6B6B6"/>
          </w:tcPr>
          <w:p>
            <w:pPr>
              <w:spacing w:after="0"/>
              <w:rPr>
                <w:sz w:val="21"/>
                <w:szCs w:val="21"/>
                <w:color w:val="auto"/>
              </w:rPr>
            </w:pPr>
          </w:p>
        </w:tc>
        <w:tc>
          <w:tcPr>
            <w:tcW w:w="960" w:type="dxa"/>
            <w:vAlign w:val="bottom"/>
            <w:tcBorders>
              <w:bottom w:val="single" w:sz="8" w:color="auto"/>
            </w:tcBorders>
            <w:gridSpan w:val="2"/>
            <w:shd w:val="clear" w:color="auto" w:fill="B6B6B6"/>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664,271</w:t>
            </w:r>
          </w:p>
        </w:tc>
        <w:tc>
          <w:tcPr>
            <w:tcW w:w="600" w:type="dxa"/>
            <w:vAlign w:val="bottom"/>
            <w:tcBorders>
              <w:bottom w:val="single" w:sz="8" w:color="auto"/>
            </w:tcBorders>
            <w:shd w:val="clear" w:color="auto" w:fill="B6B6B6"/>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B6B6B6"/>
          </w:tcPr>
          <w:p>
            <w:pPr>
              <w:spacing w:after="0"/>
              <w:rPr>
                <w:sz w:val="21"/>
                <w:szCs w:val="21"/>
                <w:color w:val="auto"/>
              </w:rPr>
            </w:pPr>
          </w:p>
        </w:tc>
        <w:tc>
          <w:tcPr>
            <w:tcW w:w="800" w:type="dxa"/>
            <w:vAlign w:val="bottom"/>
            <w:tcBorders>
              <w:bottom w:val="single" w:sz="8" w:color="auto"/>
            </w:tcBorders>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13,138</w:t>
            </w:r>
          </w:p>
        </w:tc>
        <w:tc>
          <w:tcPr>
            <w:tcW w:w="320" w:type="dxa"/>
            <w:vAlign w:val="bottom"/>
            <w:tcBorders>
              <w:bottom w:val="single" w:sz="8" w:color="auto"/>
            </w:tcBorders>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B6B6B6"/>
          </w:tcPr>
          <w:p>
            <w:pPr>
              <w:spacing w:after="0"/>
              <w:rPr>
                <w:sz w:val="21"/>
                <w:szCs w:val="21"/>
                <w:color w:val="auto"/>
              </w:rPr>
            </w:pPr>
          </w:p>
        </w:tc>
        <w:tc>
          <w:tcPr>
            <w:tcW w:w="9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B6B6B6"/>
          </w:tcPr>
          <w:p>
            <w:pPr>
              <w:spacing w:after="0"/>
              <w:rPr>
                <w:sz w:val="21"/>
                <w:szCs w:val="21"/>
                <w:color w:val="auto"/>
              </w:rPr>
            </w:pPr>
          </w:p>
        </w:tc>
        <w:tc>
          <w:tcPr>
            <w:tcW w:w="1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673,453</w:t>
            </w:r>
          </w:p>
        </w:tc>
        <w:tc>
          <w:tcPr>
            <w:tcW w:w="0" w:type="dxa"/>
            <w:vAlign w:val="bottom"/>
          </w:tcPr>
          <w:p>
            <w:pPr>
              <w:spacing w:after="0"/>
              <w:rPr>
                <w:sz w:val="1"/>
                <w:szCs w:val="1"/>
                <w:color w:val="auto"/>
              </w:rPr>
            </w:pPr>
          </w:p>
        </w:tc>
      </w:tr>
      <w:tr>
        <w:trPr>
          <w:trHeight w:val="486"/>
        </w:trPr>
        <w:tc>
          <w:tcPr>
            <w:tcW w:w="4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fair values of securities with unrealized losses are as follows:</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30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242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3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5"/>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Pr>
          <w:p>
            <w:pPr>
              <w:spacing w:after="0"/>
              <w:rPr>
                <w:sz w:val="15"/>
                <w:szCs w:val="15"/>
                <w:color w:val="auto"/>
              </w:rPr>
            </w:pPr>
          </w:p>
        </w:tc>
        <w:tc>
          <w:tcPr>
            <w:tcW w:w="1140" w:type="dxa"/>
            <w:vAlign w:val="bottom"/>
          </w:tcPr>
          <w:p>
            <w:pPr>
              <w:jc w:val="right"/>
              <w:ind w:right="190"/>
              <w:spacing w:after="0" w:line="176"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1380" w:type="dxa"/>
            <w:vAlign w:val="bottom"/>
            <w:gridSpan w:val="3"/>
          </w:tcPr>
          <w:p>
            <w:pPr>
              <w:jc w:val="right"/>
              <w:ind w:right="170"/>
              <w:spacing w:after="0" w:line="176"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340" w:type="dxa"/>
            <w:vAlign w:val="bottom"/>
            <w:gridSpan w:val="2"/>
          </w:tcPr>
          <w:p>
            <w:pPr>
              <w:jc w:val="right"/>
              <w:ind w:right="150"/>
              <w:spacing w:after="0" w:line="176"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80" w:type="dxa"/>
            <w:vAlign w:val="bottom"/>
          </w:tcPr>
          <w:p>
            <w:pPr>
              <w:spacing w:after="0"/>
              <w:rPr>
                <w:sz w:val="15"/>
                <w:szCs w:val="15"/>
                <w:color w:val="auto"/>
              </w:rPr>
            </w:pPr>
          </w:p>
        </w:tc>
        <w:tc>
          <w:tcPr>
            <w:tcW w:w="1120" w:type="dxa"/>
            <w:vAlign w:val="bottom"/>
            <w:gridSpan w:val="2"/>
          </w:tcPr>
          <w:p>
            <w:pPr>
              <w:ind w:left="60"/>
              <w:spacing w:after="0" w:line="176"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2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ind w:right="130"/>
              <w:spacing w:after="0" w:line="176"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0" w:type="dxa"/>
            <w:vAlign w:val="bottom"/>
          </w:tcPr>
          <w:p>
            <w:pPr>
              <w:spacing w:after="0"/>
              <w:rPr>
                <w:sz w:val="1"/>
                <w:szCs w:val="1"/>
                <w:color w:val="auto"/>
              </w:rPr>
            </w:pPr>
          </w:p>
        </w:tc>
      </w:tr>
      <w:tr>
        <w:trPr>
          <w:trHeight w:val="241"/>
        </w:trPr>
        <w:tc>
          <w:tcPr>
            <w:tcW w:w="304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34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0" w:type="dxa"/>
            <w:vAlign w:val="bottom"/>
          </w:tcPr>
          <w:p>
            <w:pPr>
              <w:spacing w:after="0"/>
              <w:rPr>
                <w:sz w:val="1"/>
                <w:szCs w:val="1"/>
                <w:color w:val="auto"/>
              </w:rPr>
            </w:pPr>
          </w:p>
        </w:tc>
      </w:tr>
      <w:tr>
        <w:trPr>
          <w:trHeight w:val="252"/>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246,743</w:t>
            </w:r>
          </w:p>
        </w:tc>
        <w:tc>
          <w:tcPr>
            <w:tcW w:w="420" w:type="dxa"/>
            <w:vAlign w:val="bottom"/>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19,158</w:t>
            </w:r>
          </w:p>
        </w:tc>
        <w:tc>
          <w:tcPr>
            <w:tcW w:w="740" w:type="dxa"/>
            <w:vAlign w:val="bottom"/>
            <w:shd w:val="clear" w:color="auto" w:fill="B6B6B6"/>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30,025</w:t>
            </w:r>
          </w:p>
        </w:tc>
        <w:tc>
          <w:tcPr>
            <w:tcW w:w="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8,920</w:t>
            </w:r>
          </w:p>
        </w:tc>
        <w:tc>
          <w:tcPr>
            <w:tcW w:w="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276,768</w:t>
            </w:r>
          </w:p>
        </w:tc>
        <w:tc>
          <w:tcPr>
            <w:tcW w:w="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28,078</w:t>
            </w:r>
          </w:p>
        </w:tc>
        <w:tc>
          <w:tcPr>
            <w:tcW w:w="0" w:type="dxa"/>
            <w:vAlign w:val="bottom"/>
          </w:tcPr>
          <w:p>
            <w:pPr>
              <w:spacing w:after="0"/>
              <w:rPr>
                <w:sz w:val="1"/>
                <w:szCs w:val="1"/>
                <w:color w:val="auto"/>
              </w:rPr>
            </w:pPr>
          </w:p>
        </w:tc>
      </w:tr>
      <w:tr>
        <w:trPr>
          <w:trHeight w:val="211"/>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Mortgage-backed securities issued or</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guaranteed by U.S. government agencies</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 sponsored enterprises</w:t>
            </w:r>
          </w:p>
        </w:tc>
        <w:tc>
          <w:tcPr>
            <w:tcW w:w="16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119,478</w:t>
            </w:r>
          </w:p>
        </w:tc>
        <w:tc>
          <w:tcPr>
            <w:tcW w:w="420" w:type="dxa"/>
            <w:vAlign w:val="bottom"/>
          </w:tcPr>
          <w:p>
            <w:pPr>
              <w:spacing w:after="0"/>
              <w:rPr>
                <w:sz w:val="22"/>
                <w:szCs w:val="22"/>
                <w:color w:val="auto"/>
              </w:rPr>
            </w:pP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18,240</w:t>
            </w:r>
          </w:p>
        </w:tc>
        <w:tc>
          <w:tcPr>
            <w:tcW w:w="7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58,655</w:t>
            </w:r>
          </w:p>
        </w:tc>
        <w:tc>
          <w:tcPr>
            <w:tcW w:w="28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13,738</w:t>
            </w:r>
          </w:p>
        </w:tc>
        <w:tc>
          <w:tcPr>
            <w:tcW w:w="220" w:type="dxa"/>
            <w:vAlign w:val="bottom"/>
          </w:tcPr>
          <w:p>
            <w:pPr>
              <w:spacing w:after="0"/>
              <w:rPr>
                <w:sz w:val="22"/>
                <w:szCs w:val="22"/>
                <w:color w:val="auto"/>
              </w:rPr>
            </w:pPr>
          </w:p>
        </w:tc>
        <w:tc>
          <w:tcPr>
            <w:tcW w:w="1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178,133</w:t>
            </w: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31,978</w:t>
            </w:r>
          </w:p>
        </w:tc>
        <w:tc>
          <w:tcPr>
            <w:tcW w:w="0" w:type="dxa"/>
            <w:vAlign w:val="bottom"/>
          </w:tcPr>
          <w:p>
            <w:pPr>
              <w:spacing w:after="0"/>
              <w:rPr>
                <w:sz w:val="1"/>
                <w:szCs w:val="1"/>
                <w:color w:val="auto"/>
              </w:rPr>
            </w:pPr>
          </w:p>
        </w:tc>
      </w:tr>
      <w:tr>
        <w:trPr>
          <w:trHeight w:val="263"/>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B6B6B6"/>
          </w:tcPr>
          <w:p>
            <w:pPr>
              <w:spacing w:after="0"/>
              <w:rPr>
                <w:sz w:val="22"/>
                <w:szCs w:val="22"/>
                <w:color w:val="auto"/>
              </w:rPr>
            </w:pP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72,280</w:t>
            </w:r>
          </w:p>
        </w:tc>
        <w:tc>
          <w:tcPr>
            <w:tcW w:w="420" w:type="dxa"/>
            <w:vAlign w:val="bottom"/>
            <w:shd w:val="clear" w:color="auto" w:fill="B6B6B6"/>
          </w:tcPr>
          <w:p>
            <w:pPr>
              <w:spacing w:after="0"/>
              <w:rPr>
                <w:sz w:val="22"/>
                <w:szCs w:val="22"/>
                <w:color w:val="auto"/>
              </w:rPr>
            </w:pPr>
          </w:p>
        </w:tc>
        <w:tc>
          <w:tcPr>
            <w:tcW w:w="960" w:type="dxa"/>
            <w:vAlign w:val="bottom"/>
            <w:gridSpan w:val="2"/>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11,075</w:t>
            </w:r>
          </w:p>
        </w:tc>
        <w:tc>
          <w:tcPr>
            <w:tcW w:w="740" w:type="dxa"/>
            <w:vAlign w:val="bottom"/>
            <w:shd w:val="clear" w:color="auto" w:fill="B6B6B6"/>
          </w:tcPr>
          <w:p>
            <w:pPr>
              <w:spacing w:after="0"/>
              <w:rPr>
                <w:sz w:val="22"/>
                <w:szCs w:val="22"/>
                <w:color w:val="auto"/>
              </w:rPr>
            </w:pPr>
          </w:p>
        </w:tc>
        <w:tc>
          <w:tcPr>
            <w:tcW w:w="6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6,511</w:t>
            </w:r>
          </w:p>
        </w:tc>
        <w:tc>
          <w:tcPr>
            <w:tcW w:w="280" w:type="dxa"/>
            <w:vAlign w:val="bottom"/>
            <w:shd w:val="clear" w:color="auto" w:fill="B6B6B6"/>
          </w:tcPr>
          <w:p>
            <w:pPr>
              <w:spacing w:after="0"/>
              <w:rPr>
                <w:sz w:val="22"/>
                <w:szCs w:val="22"/>
                <w:color w:val="auto"/>
              </w:rPr>
            </w:pPr>
          </w:p>
        </w:tc>
        <w:tc>
          <w:tcPr>
            <w:tcW w:w="1120" w:type="dxa"/>
            <w:vAlign w:val="bottom"/>
            <w:gridSpan w:val="2"/>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220" w:type="dxa"/>
            <w:vAlign w:val="bottom"/>
            <w:shd w:val="clear" w:color="auto" w:fill="B6B6B6"/>
          </w:tcPr>
          <w:p>
            <w:pPr>
              <w:spacing w:after="0"/>
              <w:rPr>
                <w:sz w:val="22"/>
                <w:szCs w:val="22"/>
                <w:color w:val="auto"/>
              </w:rPr>
            </w:pPr>
          </w:p>
        </w:tc>
        <w:tc>
          <w:tcPr>
            <w:tcW w:w="1240" w:type="dxa"/>
            <w:vAlign w:val="bottom"/>
            <w:gridSpan w:val="2"/>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78,791</w:t>
            </w:r>
          </w:p>
        </w:tc>
        <w:tc>
          <w:tcPr>
            <w:tcW w:w="16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12,614</w:t>
            </w:r>
          </w:p>
        </w:tc>
        <w:tc>
          <w:tcPr>
            <w:tcW w:w="0" w:type="dxa"/>
            <w:vAlign w:val="bottom"/>
          </w:tcPr>
          <w:p>
            <w:pPr>
              <w:spacing w:after="0"/>
              <w:rPr>
                <w:sz w:val="1"/>
                <w:szCs w:val="1"/>
                <w:color w:val="auto"/>
              </w:rPr>
            </w:pPr>
          </w:p>
        </w:tc>
      </w:tr>
      <w:tr>
        <w:trPr>
          <w:trHeight w:val="25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bonds</w:t>
            </w: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155,119</w:t>
            </w:r>
          </w:p>
        </w:tc>
        <w:tc>
          <w:tcPr>
            <w:tcW w:w="420" w:type="dxa"/>
            <w:vAlign w:val="bottom"/>
          </w:tcPr>
          <w:p>
            <w:pPr>
              <w:spacing w:after="0"/>
              <w:rPr>
                <w:sz w:val="21"/>
                <w:szCs w:val="21"/>
                <w:color w:val="auto"/>
              </w:rPr>
            </w:pP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3,504</w:t>
            </w:r>
          </w:p>
        </w:tc>
        <w:tc>
          <w:tcPr>
            <w:tcW w:w="7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155,119</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0" w:type="dxa"/>
            <w:vAlign w:val="bottom"/>
          </w:tcPr>
          <w:p>
            <w:pPr>
              <w:spacing w:after="0"/>
              <w:rPr>
                <w:sz w:val="1"/>
                <w:szCs w:val="1"/>
                <w:color w:val="auto"/>
              </w:rPr>
            </w:pPr>
          </w:p>
        </w:tc>
      </w:tr>
      <w:tr>
        <w:trPr>
          <w:trHeight w:val="218"/>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Asset backed securities issued or</w:t>
            </w:r>
          </w:p>
        </w:tc>
        <w:tc>
          <w:tcPr>
            <w:tcW w:w="160" w:type="dxa"/>
            <w:vAlign w:val="bottom"/>
            <w:shd w:val="clear" w:color="auto" w:fill="B6B6B6"/>
          </w:tcPr>
          <w:p>
            <w:pPr>
              <w:spacing w:after="0"/>
              <w:rPr>
                <w:sz w:val="18"/>
                <w:szCs w:val="18"/>
                <w:color w:val="auto"/>
              </w:rPr>
            </w:pPr>
          </w:p>
        </w:tc>
        <w:tc>
          <w:tcPr>
            <w:tcW w:w="1140" w:type="dxa"/>
            <w:vAlign w:val="bottom"/>
            <w:shd w:val="clear" w:color="auto" w:fill="B6B6B6"/>
          </w:tcPr>
          <w:p>
            <w:pPr>
              <w:spacing w:after="0"/>
              <w:rPr>
                <w:sz w:val="18"/>
                <w:szCs w:val="18"/>
                <w:color w:val="auto"/>
              </w:rPr>
            </w:pPr>
          </w:p>
        </w:tc>
        <w:tc>
          <w:tcPr>
            <w:tcW w:w="420" w:type="dxa"/>
            <w:vAlign w:val="bottom"/>
            <w:shd w:val="clear" w:color="auto" w:fill="B6B6B6"/>
          </w:tcPr>
          <w:p>
            <w:pPr>
              <w:spacing w:after="0"/>
              <w:rPr>
                <w:sz w:val="18"/>
                <w:szCs w:val="18"/>
                <w:color w:val="auto"/>
              </w:rPr>
            </w:pPr>
          </w:p>
        </w:tc>
        <w:tc>
          <w:tcPr>
            <w:tcW w:w="260" w:type="dxa"/>
            <w:vAlign w:val="bottom"/>
            <w:shd w:val="clear" w:color="auto" w:fill="B6B6B6"/>
          </w:tcPr>
          <w:p>
            <w:pPr>
              <w:spacing w:after="0"/>
              <w:rPr>
                <w:sz w:val="18"/>
                <w:szCs w:val="18"/>
                <w:color w:val="auto"/>
              </w:rPr>
            </w:pPr>
          </w:p>
        </w:tc>
        <w:tc>
          <w:tcPr>
            <w:tcW w:w="700" w:type="dxa"/>
            <w:vAlign w:val="bottom"/>
            <w:shd w:val="clear" w:color="auto" w:fill="B6B6B6"/>
          </w:tcPr>
          <w:p>
            <w:pPr>
              <w:spacing w:after="0"/>
              <w:rPr>
                <w:sz w:val="18"/>
                <w:szCs w:val="18"/>
                <w:color w:val="auto"/>
              </w:rPr>
            </w:pPr>
          </w:p>
        </w:tc>
        <w:tc>
          <w:tcPr>
            <w:tcW w:w="740" w:type="dxa"/>
            <w:vAlign w:val="bottom"/>
            <w:shd w:val="clear" w:color="auto" w:fill="B6B6B6"/>
          </w:tcPr>
          <w:p>
            <w:pPr>
              <w:spacing w:after="0"/>
              <w:rPr>
                <w:sz w:val="18"/>
                <w:szCs w:val="18"/>
                <w:color w:val="auto"/>
              </w:rPr>
            </w:pPr>
          </w:p>
        </w:tc>
        <w:tc>
          <w:tcPr>
            <w:tcW w:w="600" w:type="dxa"/>
            <w:vAlign w:val="bottom"/>
            <w:shd w:val="clear" w:color="auto" w:fill="B6B6B6"/>
          </w:tcPr>
          <w:p>
            <w:pPr>
              <w:spacing w:after="0"/>
              <w:rPr>
                <w:sz w:val="18"/>
                <w:szCs w:val="18"/>
                <w:color w:val="auto"/>
              </w:rPr>
            </w:pPr>
          </w:p>
        </w:tc>
        <w:tc>
          <w:tcPr>
            <w:tcW w:w="280" w:type="dxa"/>
            <w:vAlign w:val="bottom"/>
            <w:shd w:val="clear" w:color="auto" w:fill="B6B6B6"/>
          </w:tcPr>
          <w:p>
            <w:pPr>
              <w:spacing w:after="0"/>
              <w:rPr>
                <w:sz w:val="18"/>
                <w:szCs w:val="18"/>
                <w:color w:val="auto"/>
              </w:rPr>
            </w:pPr>
          </w:p>
        </w:tc>
        <w:tc>
          <w:tcPr>
            <w:tcW w:w="800" w:type="dxa"/>
            <w:vAlign w:val="bottom"/>
            <w:shd w:val="clear" w:color="auto" w:fill="B6B6B6"/>
          </w:tcPr>
          <w:p>
            <w:pPr>
              <w:spacing w:after="0"/>
              <w:rPr>
                <w:sz w:val="18"/>
                <w:szCs w:val="18"/>
                <w:color w:val="auto"/>
              </w:rPr>
            </w:pPr>
          </w:p>
        </w:tc>
        <w:tc>
          <w:tcPr>
            <w:tcW w:w="320" w:type="dxa"/>
            <w:vAlign w:val="bottom"/>
            <w:shd w:val="clear" w:color="auto" w:fill="B6B6B6"/>
          </w:tcPr>
          <w:p>
            <w:pPr>
              <w:spacing w:after="0"/>
              <w:rPr>
                <w:sz w:val="18"/>
                <w:szCs w:val="18"/>
                <w:color w:val="auto"/>
              </w:rPr>
            </w:pPr>
          </w:p>
        </w:tc>
        <w:tc>
          <w:tcPr>
            <w:tcW w:w="220" w:type="dxa"/>
            <w:vAlign w:val="bottom"/>
            <w:shd w:val="clear" w:color="auto" w:fill="B6B6B6"/>
          </w:tcPr>
          <w:p>
            <w:pPr>
              <w:spacing w:after="0"/>
              <w:rPr>
                <w:sz w:val="18"/>
                <w:szCs w:val="18"/>
                <w:color w:val="auto"/>
              </w:rPr>
            </w:pPr>
          </w:p>
        </w:tc>
        <w:tc>
          <w:tcPr>
            <w:tcW w:w="980" w:type="dxa"/>
            <w:vAlign w:val="bottom"/>
            <w:shd w:val="clear" w:color="auto" w:fill="B6B6B6"/>
          </w:tcPr>
          <w:p>
            <w:pPr>
              <w:spacing w:after="0"/>
              <w:rPr>
                <w:sz w:val="18"/>
                <w:szCs w:val="18"/>
                <w:color w:val="auto"/>
              </w:rPr>
            </w:pPr>
          </w:p>
        </w:tc>
        <w:tc>
          <w:tcPr>
            <w:tcW w:w="260" w:type="dxa"/>
            <w:vAlign w:val="bottom"/>
            <w:shd w:val="clear" w:color="auto" w:fill="B6B6B6"/>
          </w:tcPr>
          <w:p>
            <w:pPr>
              <w:spacing w:after="0"/>
              <w:rPr>
                <w:sz w:val="18"/>
                <w:szCs w:val="18"/>
                <w:color w:val="auto"/>
              </w:rPr>
            </w:pPr>
          </w:p>
        </w:tc>
        <w:tc>
          <w:tcPr>
            <w:tcW w:w="160" w:type="dxa"/>
            <w:vAlign w:val="bottom"/>
            <w:shd w:val="clear" w:color="auto" w:fill="B6B6B6"/>
          </w:tcPr>
          <w:p>
            <w:pPr>
              <w:spacing w:after="0"/>
              <w:rPr>
                <w:sz w:val="18"/>
                <w:szCs w:val="18"/>
                <w:color w:val="auto"/>
              </w:rPr>
            </w:pPr>
          </w:p>
        </w:tc>
        <w:tc>
          <w:tcPr>
            <w:tcW w:w="116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40" w:type="dxa"/>
            <w:vAlign w:val="bottom"/>
            <w:shd w:val="clear" w:color="auto" w:fill="B6B6B6"/>
          </w:tcPr>
          <w:p>
            <w:pPr>
              <w:ind w:left="20"/>
              <w:spacing w:after="0" w:line="202" w:lineRule="exact"/>
              <w:rPr>
                <w:sz w:val="20"/>
                <w:szCs w:val="20"/>
                <w:color w:val="auto"/>
              </w:rPr>
            </w:pPr>
            <w:r>
              <w:rPr>
                <w:rFonts w:ascii="Times New Roman" w:cs="Times New Roman" w:eastAsia="Times New Roman" w:hAnsi="Times New Roman"/>
                <w:sz w:val="18"/>
                <w:szCs w:val="18"/>
                <w:color w:val="auto"/>
              </w:rPr>
              <w:t>guaranteed by U.S. government agencies</w:t>
            </w:r>
          </w:p>
        </w:tc>
        <w:tc>
          <w:tcPr>
            <w:tcW w:w="160" w:type="dxa"/>
            <w:vAlign w:val="bottom"/>
            <w:shd w:val="clear" w:color="auto" w:fill="B6B6B6"/>
          </w:tcPr>
          <w:p>
            <w:pPr>
              <w:spacing w:after="0"/>
              <w:rPr>
                <w:sz w:val="17"/>
                <w:szCs w:val="17"/>
                <w:color w:val="auto"/>
              </w:rPr>
            </w:pPr>
          </w:p>
        </w:tc>
        <w:tc>
          <w:tcPr>
            <w:tcW w:w="1140" w:type="dxa"/>
            <w:vAlign w:val="bottom"/>
            <w:shd w:val="clear" w:color="auto" w:fill="B6B6B6"/>
          </w:tcPr>
          <w:p>
            <w:pPr>
              <w:spacing w:after="0"/>
              <w:rPr>
                <w:sz w:val="17"/>
                <w:szCs w:val="17"/>
                <w:color w:val="auto"/>
              </w:rPr>
            </w:pPr>
          </w:p>
        </w:tc>
        <w:tc>
          <w:tcPr>
            <w:tcW w:w="420" w:type="dxa"/>
            <w:vAlign w:val="bottom"/>
            <w:shd w:val="clear" w:color="auto" w:fill="B6B6B6"/>
          </w:tcPr>
          <w:p>
            <w:pPr>
              <w:spacing w:after="0"/>
              <w:rPr>
                <w:sz w:val="17"/>
                <w:szCs w:val="17"/>
                <w:color w:val="auto"/>
              </w:rPr>
            </w:pPr>
          </w:p>
        </w:tc>
        <w:tc>
          <w:tcPr>
            <w:tcW w:w="260" w:type="dxa"/>
            <w:vAlign w:val="bottom"/>
            <w:shd w:val="clear" w:color="auto" w:fill="B6B6B6"/>
          </w:tcPr>
          <w:p>
            <w:pPr>
              <w:spacing w:after="0"/>
              <w:rPr>
                <w:sz w:val="17"/>
                <w:szCs w:val="17"/>
                <w:color w:val="auto"/>
              </w:rPr>
            </w:pPr>
          </w:p>
        </w:tc>
        <w:tc>
          <w:tcPr>
            <w:tcW w:w="700" w:type="dxa"/>
            <w:vAlign w:val="bottom"/>
            <w:shd w:val="clear" w:color="auto" w:fill="B6B6B6"/>
          </w:tcPr>
          <w:p>
            <w:pPr>
              <w:spacing w:after="0"/>
              <w:rPr>
                <w:sz w:val="17"/>
                <w:szCs w:val="17"/>
                <w:color w:val="auto"/>
              </w:rPr>
            </w:pPr>
          </w:p>
        </w:tc>
        <w:tc>
          <w:tcPr>
            <w:tcW w:w="740" w:type="dxa"/>
            <w:vAlign w:val="bottom"/>
            <w:shd w:val="clear" w:color="auto" w:fill="B6B6B6"/>
          </w:tcPr>
          <w:p>
            <w:pPr>
              <w:spacing w:after="0"/>
              <w:rPr>
                <w:sz w:val="17"/>
                <w:szCs w:val="17"/>
                <w:color w:val="auto"/>
              </w:rPr>
            </w:pPr>
          </w:p>
        </w:tc>
        <w:tc>
          <w:tcPr>
            <w:tcW w:w="600" w:type="dxa"/>
            <w:vAlign w:val="bottom"/>
            <w:shd w:val="clear" w:color="auto" w:fill="B6B6B6"/>
          </w:tcPr>
          <w:p>
            <w:pPr>
              <w:spacing w:after="0"/>
              <w:rPr>
                <w:sz w:val="17"/>
                <w:szCs w:val="17"/>
                <w:color w:val="auto"/>
              </w:rPr>
            </w:pPr>
          </w:p>
        </w:tc>
        <w:tc>
          <w:tcPr>
            <w:tcW w:w="280" w:type="dxa"/>
            <w:vAlign w:val="bottom"/>
            <w:shd w:val="clear" w:color="auto" w:fill="B6B6B6"/>
          </w:tcPr>
          <w:p>
            <w:pPr>
              <w:spacing w:after="0"/>
              <w:rPr>
                <w:sz w:val="17"/>
                <w:szCs w:val="17"/>
                <w:color w:val="auto"/>
              </w:rPr>
            </w:pPr>
          </w:p>
        </w:tc>
        <w:tc>
          <w:tcPr>
            <w:tcW w:w="800" w:type="dxa"/>
            <w:vAlign w:val="bottom"/>
            <w:shd w:val="clear" w:color="auto" w:fill="B6B6B6"/>
          </w:tcPr>
          <w:p>
            <w:pPr>
              <w:spacing w:after="0"/>
              <w:rPr>
                <w:sz w:val="17"/>
                <w:szCs w:val="17"/>
                <w:color w:val="auto"/>
              </w:rPr>
            </w:pPr>
          </w:p>
        </w:tc>
        <w:tc>
          <w:tcPr>
            <w:tcW w:w="320" w:type="dxa"/>
            <w:vAlign w:val="bottom"/>
            <w:shd w:val="clear" w:color="auto" w:fill="B6B6B6"/>
          </w:tcPr>
          <w:p>
            <w:pPr>
              <w:spacing w:after="0"/>
              <w:rPr>
                <w:sz w:val="17"/>
                <w:szCs w:val="17"/>
                <w:color w:val="auto"/>
              </w:rPr>
            </w:pPr>
          </w:p>
        </w:tc>
        <w:tc>
          <w:tcPr>
            <w:tcW w:w="220" w:type="dxa"/>
            <w:vAlign w:val="bottom"/>
            <w:shd w:val="clear" w:color="auto" w:fill="B6B6B6"/>
          </w:tcPr>
          <w:p>
            <w:pPr>
              <w:spacing w:after="0"/>
              <w:rPr>
                <w:sz w:val="17"/>
                <w:szCs w:val="17"/>
                <w:color w:val="auto"/>
              </w:rPr>
            </w:pPr>
          </w:p>
        </w:tc>
        <w:tc>
          <w:tcPr>
            <w:tcW w:w="980" w:type="dxa"/>
            <w:vAlign w:val="bottom"/>
            <w:shd w:val="clear" w:color="auto" w:fill="B6B6B6"/>
          </w:tcPr>
          <w:p>
            <w:pPr>
              <w:spacing w:after="0"/>
              <w:rPr>
                <w:sz w:val="17"/>
                <w:szCs w:val="17"/>
                <w:color w:val="auto"/>
              </w:rPr>
            </w:pPr>
          </w:p>
        </w:tc>
        <w:tc>
          <w:tcPr>
            <w:tcW w:w="260" w:type="dxa"/>
            <w:vAlign w:val="bottom"/>
            <w:shd w:val="clear" w:color="auto" w:fill="B6B6B6"/>
          </w:tcPr>
          <w:p>
            <w:pPr>
              <w:spacing w:after="0"/>
              <w:rPr>
                <w:sz w:val="17"/>
                <w:szCs w:val="17"/>
                <w:color w:val="auto"/>
              </w:rPr>
            </w:pPr>
          </w:p>
        </w:tc>
        <w:tc>
          <w:tcPr>
            <w:tcW w:w="160" w:type="dxa"/>
            <w:vAlign w:val="bottom"/>
            <w:shd w:val="clear" w:color="auto" w:fill="B6B6B6"/>
          </w:tcPr>
          <w:p>
            <w:pPr>
              <w:spacing w:after="0"/>
              <w:rPr>
                <w:sz w:val="17"/>
                <w:szCs w:val="17"/>
                <w:color w:val="auto"/>
              </w:rPr>
            </w:pPr>
          </w:p>
        </w:tc>
        <w:tc>
          <w:tcPr>
            <w:tcW w:w="1160" w:type="dxa"/>
            <w:vAlign w:val="bottom"/>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04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or sponsored enterprises</w:t>
            </w:r>
          </w:p>
        </w:tc>
        <w:tc>
          <w:tcPr>
            <w:tcW w:w="16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48,300</w:t>
            </w:r>
          </w:p>
        </w:tc>
        <w:tc>
          <w:tcPr>
            <w:tcW w:w="420" w:type="dxa"/>
            <w:vAlign w:val="bottom"/>
            <w:tcBorders>
              <w:bottom w:val="single" w:sz="8" w:color="auto"/>
            </w:tcBorders>
            <w:shd w:val="clear" w:color="auto" w:fill="B6B6B6"/>
          </w:tcPr>
          <w:p>
            <w:pPr>
              <w:spacing w:after="0"/>
              <w:rPr>
                <w:sz w:val="22"/>
                <w:szCs w:val="22"/>
                <w:color w:val="auto"/>
              </w:rPr>
            </w:pPr>
          </w:p>
        </w:tc>
        <w:tc>
          <w:tcPr>
            <w:tcW w:w="960" w:type="dxa"/>
            <w:vAlign w:val="bottom"/>
            <w:tcBorders>
              <w:bottom w:val="single" w:sz="8" w:color="auto"/>
            </w:tcBorders>
            <w:gridSpan w:val="2"/>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1,836</w:t>
            </w:r>
          </w:p>
        </w:tc>
        <w:tc>
          <w:tcPr>
            <w:tcW w:w="740" w:type="dxa"/>
            <w:vAlign w:val="bottom"/>
            <w:tcBorders>
              <w:bottom w:val="single" w:sz="8" w:color="auto"/>
            </w:tcBorders>
            <w:shd w:val="clear" w:color="auto" w:fill="B6B6B6"/>
          </w:tcPr>
          <w:p>
            <w:pPr>
              <w:spacing w:after="0"/>
              <w:rPr>
                <w:sz w:val="22"/>
                <w:szCs w:val="22"/>
                <w:color w:val="auto"/>
              </w:rPr>
            </w:pPr>
          </w:p>
        </w:tc>
        <w:tc>
          <w:tcPr>
            <w:tcW w:w="6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B6B6B6"/>
          </w:tcPr>
          <w:p>
            <w:pPr>
              <w:spacing w:after="0"/>
              <w:rPr>
                <w:sz w:val="22"/>
                <w:szCs w:val="22"/>
                <w:color w:val="auto"/>
              </w:rPr>
            </w:pPr>
          </w:p>
        </w:tc>
        <w:tc>
          <w:tcPr>
            <w:tcW w:w="800" w:type="dxa"/>
            <w:vAlign w:val="bottom"/>
            <w:tcBorders>
              <w:bottom w:val="single" w:sz="8" w:color="auto"/>
            </w:tcBorders>
            <w:shd w:val="clear" w:color="auto" w:fill="B6B6B6"/>
          </w:tcPr>
          <w:p>
            <w:pPr>
              <w:spacing w:after="0"/>
              <w:rPr>
                <w:sz w:val="22"/>
                <w:szCs w:val="22"/>
                <w:color w:val="auto"/>
              </w:rPr>
            </w:pPr>
          </w:p>
        </w:tc>
        <w:tc>
          <w:tcPr>
            <w:tcW w:w="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B6B6B6"/>
          </w:tcPr>
          <w:p>
            <w:pPr>
              <w:spacing w:after="0"/>
              <w:rPr>
                <w:sz w:val="22"/>
                <w:szCs w:val="22"/>
                <w:color w:val="auto"/>
              </w:rPr>
            </w:pPr>
          </w:p>
        </w:tc>
        <w:tc>
          <w:tcPr>
            <w:tcW w:w="1240" w:type="dxa"/>
            <w:vAlign w:val="bottom"/>
            <w:tcBorders>
              <w:bottom w:val="single" w:sz="8" w:color="auto"/>
            </w:tcBorders>
            <w:gridSpan w:val="2"/>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48,300</w:t>
            </w:r>
          </w:p>
        </w:tc>
        <w:tc>
          <w:tcPr>
            <w:tcW w:w="160" w:type="dxa"/>
            <w:vAlign w:val="bottom"/>
            <w:tcBorders>
              <w:bottom w:val="single" w:sz="8" w:color="auto"/>
            </w:tcBorders>
            <w:shd w:val="clear" w:color="auto" w:fill="B6B6B6"/>
          </w:tcPr>
          <w:p>
            <w:pPr>
              <w:spacing w:after="0"/>
              <w:rPr>
                <w:sz w:val="22"/>
                <w:szCs w:val="22"/>
                <w:color w:val="auto"/>
              </w:rPr>
            </w:pPr>
          </w:p>
        </w:tc>
        <w:tc>
          <w:tcPr>
            <w:tcW w:w="1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0" w:type="dxa"/>
            <w:vAlign w:val="bottom"/>
          </w:tcPr>
          <w:p>
            <w:pPr>
              <w:spacing w:after="0"/>
              <w:rPr>
                <w:sz w:val="1"/>
                <w:szCs w:val="1"/>
                <w:color w:val="auto"/>
              </w:rPr>
            </w:pPr>
          </w:p>
        </w:tc>
      </w:tr>
      <w:tr>
        <w:trPr>
          <w:trHeight w:val="250"/>
        </w:trPr>
        <w:tc>
          <w:tcPr>
            <w:tcW w:w="30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641,920</w:t>
            </w:r>
          </w:p>
        </w:tc>
        <w:tc>
          <w:tcPr>
            <w:tcW w:w="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53,813</w:t>
            </w:r>
          </w:p>
        </w:tc>
        <w:tc>
          <w:tcPr>
            <w:tcW w:w="7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95,191</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24,197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737,111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0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24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Pr>
          <w:p>
            <w:pPr>
              <w:spacing w:after="0"/>
              <w:rPr>
                <w:sz w:val="15"/>
                <w:szCs w:val="15"/>
                <w:color w:val="auto"/>
              </w:rPr>
            </w:pPr>
          </w:p>
        </w:tc>
        <w:tc>
          <w:tcPr>
            <w:tcW w:w="1140" w:type="dxa"/>
            <w:vAlign w:val="bottom"/>
          </w:tcPr>
          <w:p>
            <w:pPr>
              <w:jc w:val="right"/>
              <w:ind w:right="190"/>
              <w:spacing w:after="0" w:line="180"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40" w:type="dxa"/>
            <w:vAlign w:val="bottom"/>
          </w:tcPr>
          <w:p>
            <w:pPr>
              <w:spacing w:after="0"/>
              <w:rPr>
                <w:sz w:val="15"/>
                <w:szCs w:val="15"/>
                <w:color w:val="auto"/>
              </w:rPr>
            </w:pPr>
          </w:p>
        </w:tc>
        <w:tc>
          <w:tcPr>
            <w:tcW w:w="1140" w:type="dxa"/>
            <w:vAlign w:val="bottom"/>
          </w:tcPr>
          <w:p>
            <w:pPr>
              <w:jc w:val="right"/>
              <w:ind w:right="170"/>
              <w:spacing w:after="0" w:line="180"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40" w:type="dxa"/>
            <w:vAlign w:val="bottom"/>
          </w:tcPr>
          <w:p>
            <w:pPr>
              <w:spacing w:after="0"/>
              <w:rPr>
                <w:sz w:val="15"/>
                <w:szCs w:val="15"/>
                <w:color w:val="auto"/>
              </w:rPr>
            </w:pPr>
          </w:p>
        </w:tc>
        <w:tc>
          <w:tcPr>
            <w:tcW w:w="1140" w:type="dxa"/>
            <w:vAlign w:val="bottom"/>
          </w:tcPr>
          <w:p>
            <w:pPr>
              <w:ind w:left="80"/>
              <w:spacing w:after="0" w:line="180"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40" w:type="dxa"/>
            <w:vAlign w:val="bottom"/>
          </w:tcPr>
          <w:p>
            <w:pPr>
              <w:spacing w:after="0"/>
              <w:rPr>
                <w:sz w:val="15"/>
                <w:szCs w:val="15"/>
                <w:color w:val="auto"/>
              </w:rPr>
            </w:pPr>
          </w:p>
        </w:tc>
        <w:tc>
          <w:tcPr>
            <w:tcW w:w="1160" w:type="dxa"/>
            <w:vAlign w:val="bottom"/>
          </w:tcPr>
          <w:p>
            <w:pPr>
              <w:ind w:left="60"/>
              <w:spacing w:after="0" w:line="180"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40" w:type="dxa"/>
            <w:vAlign w:val="bottom"/>
          </w:tcPr>
          <w:p>
            <w:pPr>
              <w:spacing w:after="0"/>
              <w:rPr>
                <w:sz w:val="15"/>
                <w:szCs w:val="15"/>
                <w:color w:val="auto"/>
              </w:rPr>
            </w:pPr>
          </w:p>
        </w:tc>
        <w:tc>
          <w:tcPr>
            <w:tcW w:w="1120" w:type="dxa"/>
            <w:vAlign w:val="bottom"/>
          </w:tcPr>
          <w:p>
            <w:pPr>
              <w:jc w:val="right"/>
              <w:ind w:right="170"/>
              <w:spacing w:after="0" w:line="180"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80" w:type="dxa"/>
            <w:vAlign w:val="bottom"/>
          </w:tcPr>
          <w:p>
            <w:pPr>
              <w:spacing w:after="0"/>
              <w:rPr>
                <w:sz w:val="15"/>
                <w:szCs w:val="15"/>
                <w:color w:val="auto"/>
              </w:rPr>
            </w:pPr>
          </w:p>
        </w:tc>
        <w:tc>
          <w:tcPr>
            <w:tcW w:w="1100" w:type="dxa"/>
            <w:vAlign w:val="bottom"/>
          </w:tcPr>
          <w:p>
            <w:pPr>
              <w:jc w:val="right"/>
              <w:ind w:right="130"/>
              <w:spacing w:after="0" w:line="180"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0" w:type="dxa"/>
            <w:vAlign w:val="bottom"/>
          </w:tcPr>
          <w:p>
            <w:pPr>
              <w:spacing w:after="0"/>
              <w:rPr>
                <w:sz w:val="1"/>
                <w:szCs w:val="1"/>
                <w:color w:val="auto"/>
              </w:rPr>
            </w:pPr>
          </w:p>
        </w:tc>
      </w:tr>
      <w:tr>
        <w:trPr>
          <w:trHeight w:val="238"/>
        </w:trPr>
        <w:tc>
          <w:tcPr>
            <w:tcW w:w="304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0" w:type="dxa"/>
            <w:vAlign w:val="bottom"/>
          </w:tcPr>
          <w:p>
            <w:pPr>
              <w:spacing w:after="0"/>
              <w:rPr>
                <w:sz w:val="1"/>
                <w:szCs w:val="1"/>
                <w:color w:val="auto"/>
              </w:rPr>
            </w:pPr>
          </w:p>
        </w:tc>
      </w:tr>
      <w:tr>
        <w:trPr>
          <w:trHeight w:val="250"/>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60,083</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990</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6B6B6"/>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B6B6B6"/>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60,083</w:t>
            </w:r>
          </w:p>
        </w:tc>
        <w:tc>
          <w:tcPr>
            <w:tcW w:w="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25"/>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Mortgage-backed securities issued or</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0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guaranteed by U.S. government agencies</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 sponsored enterprises</w:t>
            </w:r>
          </w:p>
        </w:tc>
        <w:tc>
          <w:tcPr>
            <w:tcW w:w="16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163,652</w:t>
            </w:r>
          </w:p>
        </w:tc>
        <w:tc>
          <w:tcPr>
            <w:tcW w:w="2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2,200</w:t>
            </w:r>
          </w:p>
        </w:tc>
        <w:tc>
          <w:tcPr>
            <w:tcW w:w="240" w:type="dxa"/>
            <w:vAlign w:val="bottom"/>
          </w:tcPr>
          <w:p>
            <w:pPr>
              <w:spacing w:after="0"/>
              <w:rPr>
                <w:sz w:val="20"/>
                <w:szCs w:val="20"/>
                <w:color w:val="auto"/>
              </w:rPr>
            </w:pPr>
          </w:p>
        </w:tc>
        <w:tc>
          <w:tcPr>
            <w:tcW w:w="11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163,652</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0" w:type="dxa"/>
            <w:vAlign w:val="bottom"/>
          </w:tcPr>
          <w:p>
            <w:pPr>
              <w:spacing w:after="0"/>
              <w:rPr>
                <w:sz w:val="1"/>
                <w:szCs w:val="1"/>
                <w:color w:val="auto"/>
              </w:rPr>
            </w:pPr>
          </w:p>
        </w:tc>
      </w:tr>
      <w:tr>
        <w:trPr>
          <w:trHeight w:val="263"/>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B6B6B6"/>
          </w:tcPr>
          <w:p>
            <w:pPr>
              <w:spacing w:after="0"/>
              <w:rPr>
                <w:sz w:val="22"/>
                <w:szCs w:val="22"/>
                <w:color w:val="auto"/>
              </w:rPr>
            </w:pP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55,120</w:t>
            </w:r>
          </w:p>
        </w:tc>
        <w:tc>
          <w:tcPr>
            <w:tcW w:w="240" w:type="dxa"/>
            <w:vAlign w:val="bottom"/>
            <w:shd w:val="clear" w:color="auto" w:fill="B6B6B6"/>
          </w:tcPr>
          <w:p>
            <w:pPr>
              <w:spacing w:after="0"/>
              <w:rPr>
                <w:sz w:val="22"/>
                <w:szCs w:val="22"/>
                <w:color w:val="auto"/>
              </w:rPr>
            </w:pP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272</w:t>
            </w:r>
          </w:p>
        </w:tc>
        <w:tc>
          <w:tcPr>
            <w:tcW w:w="240" w:type="dxa"/>
            <w:vAlign w:val="bottom"/>
            <w:shd w:val="clear" w:color="auto" w:fill="B6B6B6"/>
          </w:tcPr>
          <w:p>
            <w:pPr>
              <w:spacing w:after="0"/>
              <w:rPr>
                <w:sz w:val="22"/>
                <w:szCs w:val="22"/>
                <w:color w:val="auto"/>
              </w:rPr>
            </w:pPr>
          </w:p>
        </w:tc>
        <w:tc>
          <w:tcPr>
            <w:tcW w:w="1140" w:type="dxa"/>
            <w:vAlign w:val="bottom"/>
            <w:shd w:val="clear" w:color="auto" w:fill="B6B6B6"/>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B6B6B6"/>
          </w:tcPr>
          <w:p>
            <w:pPr>
              <w:spacing w:after="0"/>
              <w:rPr>
                <w:sz w:val="22"/>
                <w:szCs w:val="22"/>
                <w:color w:val="auto"/>
              </w:rPr>
            </w:pPr>
          </w:p>
        </w:tc>
        <w:tc>
          <w:tcPr>
            <w:tcW w:w="1160" w:type="dxa"/>
            <w:vAlign w:val="bottom"/>
            <w:shd w:val="clear" w:color="auto" w:fill="B6B6B6"/>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55,120</w:t>
            </w:r>
          </w:p>
        </w:tc>
        <w:tc>
          <w:tcPr>
            <w:tcW w:w="280" w:type="dxa"/>
            <w:vAlign w:val="bottom"/>
            <w:shd w:val="clear" w:color="auto" w:fill="B6B6B6"/>
          </w:tcPr>
          <w:p>
            <w:pPr>
              <w:spacing w:after="0"/>
              <w:rPr>
                <w:sz w:val="22"/>
                <w:szCs w:val="22"/>
                <w:color w:val="auto"/>
              </w:rPr>
            </w:pP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25"/>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backed securities issued or</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0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guaranteed by U.S. government agencies</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or sponsored enterprises</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49,341</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494</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49,341</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50"/>
        </w:trPr>
        <w:tc>
          <w:tcPr>
            <w:tcW w:w="304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328,196</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3,956</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B6B6B6"/>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B6B6B6"/>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328,196</w:t>
            </w:r>
          </w:p>
        </w:tc>
        <w:tc>
          <w:tcPr>
            <w:tcW w:w="2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were 326 securities, or 93% (44 of which for greater than 12 months), in an unrealized loss position as of September 30, 2022. The unrealized losses at September 30, 2022 were primarily attributable to changes in market interest rates after the securities were purchased. There were 101 securities, or 28% (0 of which for greater than 12 months), in an unrealized loss position as of December 31, 2021. At September 30, 2022 and December 31, 2021, the Company had not recorded an allowance for credit losses on securities.</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amortized cost and fair value of investment securities by contractual maturity are shown in the following table. Expected maturities may differ from contractual maturities because borrowers have the right to prepay obligations with or without prepayment penalties.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September 30, 2022</w:t>
            </w:r>
          </w:p>
        </w:tc>
      </w:tr>
      <w:tr>
        <w:trPr>
          <w:trHeight w:val="25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Amortized Cost</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56"/>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Due in 1 year or less</w:t>
            </w:r>
          </w:p>
        </w:tc>
        <w:tc>
          <w:tcPr>
            <w:tcW w:w="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65,238</w:t>
            </w:r>
          </w:p>
        </w:tc>
        <w:tc>
          <w:tcPr>
            <w:tcW w:w="30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64,875</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1 year through 5 years</w:t>
            </w:r>
          </w:p>
        </w:tc>
        <w:tc>
          <w:tcPr>
            <w:tcW w:w="1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267,021</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260,368</w:t>
            </w:r>
          </w:p>
        </w:tc>
      </w:tr>
      <w:tr>
        <w:trPr>
          <w:trHeight w:val="263"/>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Due after 5 years through 10 years</w:t>
            </w:r>
          </w:p>
        </w:tc>
        <w:tc>
          <w:tcPr>
            <w:tcW w:w="120" w:type="dxa"/>
            <w:vAlign w:val="bottom"/>
            <w:shd w:val="clear" w:color="auto" w:fill="B6B6B6"/>
          </w:tcPr>
          <w:p>
            <w:pPr>
              <w:spacing w:after="0"/>
              <w:rPr>
                <w:sz w:val="22"/>
                <w:szCs w:val="22"/>
                <w:color w:val="auto"/>
              </w:rPr>
            </w:pPr>
          </w:p>
        </w:tc>
        <w:tc>
          <w:tcPr>
            <w:tcW w:w="13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231,748</w:t>
            </w: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203,575</w:t>
            </w:r>
          </w:p>
        </w:tc>
      </w:tr>
      <w:tr>
        <w:trPr>
          <w:trHeight w:val="25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Due after 10 years</w:t>
            </w: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277,774</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234,971</w:t>
            </w:r>
          </w:p>
        </w:tc>
      </w:tr>
      <w:tr>
        <w:trPr>
          <w:trHeight w:val="250"/>
        </w:trPr>
        <w:tc>
          <w:tcPr>
            <w:tcW w:w="818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841,781</w:t>
            </w:r>
          </w:p>
        </w:tc>
        <w:tc>
          <w:tcPr>
            <w:tcW w:w="30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763,789</w:t>
            </w:r>
          </w:p>
        </w:tc>
      </w:tr>
    </w:tbl>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Proceeds from sales of investment securities classified as available-for-sale were $2,317,000 and $3,838,000 for the three and nine months ended September 30, 2022 and $30,074,000 and $43,190,000 for the three and nine months ended September 30, 2021, respectively. Gross realized gains were $13,000 and $15,000 for the three and nine months ended September 30, 2022. Gross realized losses were $1,000 for the three months ended September 30, 2021 while for the nine months ended September 30, 2021, there were gross realized gains of $44,000. There were no securities pledged to secure public deposits or for other purposes at September 30, 2022.</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Note 12 – Fair Value of Financial Instruments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Following is a summary of the carrying amounts and fair values of the Company’s financial instruments: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50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176"/>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0" w:type="dxa"/>
            <w:vAlign w:val="bottom"/>
          </w:tcPr>
          <w:p>
            <w:pPr>
              <w:spacing w:after="0"/>
              <w:rPr>
                <w:sz w:val="15"/>
                <w:szCs w:val="15"/>
                <w:color w:val="auto"/>
              </w:rPr>
            </w:pPr>
          </w:p>
        </w:tc>
        <w:tc>
          <w:tcPr>
            <w:tcW w:w="1240" w:type="dxa"/>
            <w:vAlign w:val="bottom"/>
          </w:tcPr>
          <w:p>
            <w:pPr>
              <w:jc w:val="right"/>
              <w:ind w:right="31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300" w:type="dxa"/>
            <w:vAlign w:val="bottom"/>
          </w:tcPr>
          <w:p>
            <w:pPr>
              <w:spacing w:after="0"/>
              <w:rPr>
                <w:sz w:val="15"/>
                <w:szCs w:val="15"/>
                <w:color w:val="auto"/>
              </w:rPr>
            </w:pPr>
          </w:p>
        </w:tc>
        <w:tc>
          <w:tcPr>
            <w:tcW w:w="13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Pr>
          <w:p>
            <w:pPr>
              <w:spacing w:after="0"/>
              <w:rPr>
                <w:sz w:val="15"/>
                <w:szCs w:val="15"/>
                <w:color w:val="auto"/>
              </w:rPr>
            </w:pPr>
          </w:p>
        </w:tc>
        <w:tc>
          <w:tcPr>
            <w:tcW w:w="1260" w:type="dxa"/>
            <w:vAlign w:val="bottom"/>
          </w:tcPr>
          <w:p>
            <w:pPr>
              <w:jc w:val="right"/>
              <w:ind w:right="31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300" w:type="dxa"/>
            <w:vAlign w:val="bottom"/>
          </w:tcPr>
          <w:p>
            <w:pPr>
              <w:spacing w:after="0"/>
              <w:rPr>
                <w:sz w:val="15"/>
                <w:szCs w:val="15"/>
                <w:color w:val="auto"/>
              </w:rPr>
            </w:pPr>
          </w:p>
        </w:tc>
        <w:tc>
          <w:tcPr>
            <w:tcW w:w="12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1"/>
        </w:trPr>
        <w:tc>
          <w:tcPr>
            <w:tcW w:w="502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sheet assets:</w:t>
            </w:r>
          </w:p>
        </w:tc>
        <w:tc>
          <w:tcPr>
            <w:tcW w:w="260" w:type="dxa"/>
            <w:vAlign w:val="bottom"/>
            <w:shd w:val="clear" w:color="auto" w:fill="B6B6B6"/>
          </w:tcPr>
          <w:p>
            <w:pPr>
              <w:spacing w:after="0"/>
              <w:rPr>
                <w:sz w:val="21"/>
                <w:szCs w:val="21"/>
                <w:color w:val="auto"/>
              </w:rPr>
            </w:pPr>
          </w:p>
        </w:tc>
        <w:tc>
          <w:tcPr>
            <w:tcW w:w="1240" w:type="dxa"/>
            <w:vAlign w:val="bottom"/>
            <w:shd w:val="clear" w:color="auto" w:fill="B6B6B6"/>
          </w:tcPr>
          <w:p>
            <w:pPr>
              <w:spacing w:after="0"/>
              <w:rPr>
                <w:sz w:val="21"/>
                <w:szCs w:val="21"/>
                <w:color w:val="auto"/>
              </w:rPr>
            </w:pPr>
          </w:p>
        </w:tc>
        <w:tc>
          <w:tcPr>
            <w:tcW w:w="300" w:type="dxa"/>
            <w:vAlign w:val="bottom"/>
            <w:shd w:val="clear" w:color="auto" w:fill="B6B6B6"/>
          </w:tcPr>
          <w:p>
            <w:pPr>
              <w:spacing w:after="0"/>
              <w:rPr>
                <w:sz w:val="21"/>
                <w:szCs w:val="21"/>
                <w:color w:val="auto"/>
              </w:rPr>
            </w:pPr>
          </w:p>
        </w:tc>
        <w:tc>
          <w:tcPr>
            <w:tcW w:w="126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1260" w:type="dxa"/>
            <w:vAlign w:val="bottom"/>
            <w:shd w:val="clear" w:color="auto" w:fill="B6B6B6"/>
          </w:tcPr>
          <w:p>
            <w:pPr>
              <w:spacing w:after="0"/>
              <w:rPr>
                <w:sz w:val="21"/>
                <w:szCs w:val="21"/>
                <w:color w:val="auto"/>
              </w:rPr>
            </w:pPr>
          </w:p>
        </w:tc>
        <w:tc>
          <w:tcPr>
            <w:tcW w:w="300" w:type="dxa"/>
            <w:vAlign w:val="bottom"/>
            <w:shd w:val="clear" w:color="auto" w:fill="B6B6B6"/>
          </w:tcPr>
          <w:p>
            <w:pPr>
              <w:spacing w:after="0"/>
              <w:rPr>
                <w:sz w:val="21"/>
                <w:szCs w:val="21"/>
                <w:color w:val="auto"/>
              </w:rPr>
            </w:pPr>
          </w:p>
        </w:tc>
        <w:tc>
          <w:tcPr>
            <w:tcW w:w="1260" w:type="dxa"/>
            <w:vAlign w:val="bottom"/>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346,994</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346,994</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514,928</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514,928</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Investment securities</w:t>
            </w:r>
          </w:p>
        </w:tc>
        <w:tc>
          <w:tcPr>
            <w:tcW w:w="26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763,789</w:t>
            </w: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763,789</w:t>
            </w: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2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673,453</w:t>
            </w: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673,453</w:t>
            </w:r>
          </w:p>
        </w:tc>
        <w:tc>
          <w:tcPr>
            <w:tcW w:w="0" w:type="dxa"/>
            <w:vAlign w:val="bottom"/>
          </w:tcPr>
          <w:p>
            <w:pPr>
              <w:spacing w:after="0"/>
              <w:rPr>
                <w:sz w:val="1"/>
                <w:szCs w:val="1"/>
                <w:color w:val="auto"/>
              </w:rPr>
            </w:pPr>
          </w:p>
        </w:tc>
      </w:tr>
      <w:tr>
        <w:trPr>
          <w:trHeight w:val="250"/>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 net</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1,024,052</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972,338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948,526</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948,701</w:t>
            </w:r>
          </w:p>
        </w:tc>
        <w:tc>
          <w:tcPr>
            <w:tcW w:w="0" w:type="dxa"/>
            <w:vAlign w:val="bottom"/>
          </w:tcPr>
          <w:p>
            <w:pPr>
              <w:spacing w:after="0"/>
              <w:rPr>
                <w:sz w:val="1"/>
                <w:szCs w:val="1"/>
                <w:color w:val="auto"/>
              </w:rPr>
            </w:pPr>
          </w:p>
        </w:tc>
      </w:tr>
      <w:tr>
        <w:trPr>
          <w:trHeight w:val="257"/>
        </w:trPr>
        <w:tc>
          <w:tcPr>
            <w:tcW w:w="502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260" w:type="dxa"/>
            <w:vAlign w:val="bottom"/>
            <w:tcBorders>
              <w:bottom w:val="single" w:sz="8" w:color="auto"/>
            </w:tcBorders>
            <w:shd w:val="clear" w:color="auto" w:fill="B6B6B6"/>
          </w:tcPr>
          <w:p>
            <w:pPr>
              <w:spacing w:after="0"/>
              <w:rPr>
                <w:sz w:val="22"/>
                <w:szCs w:val="22"/>
                <w:color w:val="auto"/>
              </w:rPr>
            </w:pPr>
          </w:p>
        </w:tc>
        <w:tc>
          <w:tcPr>
            <w:tcW w:w="12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7,609</w:t>
            </w:r>
          </w:p>
        </w:tc>
        <w:tc>
          <w:tcPr>
            <w:tcW w:w="300" w:type="dxa"/>
            <w:vAlign w:val="bottom"/>
            <w:tcBorders>
              <w:bottom w:val="single" w:sz="8" w:color="auto"/>
            </w:tcBorders>
            <w:shd w:val="clear" w:color="auto" w:fill="B6B6B6"/>
          </w:tcPr>
          <w:p>
            <w:pPr>
              <w:spacing w:after="0"/>
              <w:rPr>
                <w:sz w:val="22"/>
                <w:szCs w:val="22"/>
                <w:color w:val="auto"/>
              </w:rPr>
            </w:pP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7,609</w:t>
            </w:r>
          </w:p>
        </w:tc>
        <w:tc>
          <w:tcPr>
            <w:tcW w:w="100" w:type="dxa"/>
            <w:vAlign w:val="bottom"/>
            <w:tcBorders>
              <w:bottom w:val="single" w:sz="8" w:color="auto"/>
            </w:tcBorders>
            <w:shd w:val="clear" w:color="auto" w:fill="B6B6B6"/>
          </w:tcPr>
          <w:p>
            <w:pPr>
              <w:spacing w:after="0"/>
              <w:rPr>
                <w:sz w:val="22"/>
                <w:szCs w:val="22"/>
                <w:color w:val="auto"/>
              </w:rPr>
            </w:pPr>
          </w:p>
        </w:tc>
        <w:tc>
          <w:tcPr>
            <w:tcW w:w="240" w:type="dxa"/>
            <w:vAlign w:val="bottom"/>
            <w:tcBorders>
              <w:bottom w:val="single" w:sz="8" w:color="auto"/>
            </w:tcBorders>
            <w:shd w:val="clear" w:color="auto" w:fill="B6B6B6"/>
          </w:tcPr>
          <w:p>
            <w:pPr>
              <w:spacing w:after="0"/>
              <w:rPr>
                <w:sz w:val="22"/>
                <w:szCs w:val="22"/>
                <w:color w:val="auto"/>
              </w:rPr>
            </w:pPr>
          </w:p>
        </w:tc>
        <w:tc>
          <w:tcPr>
            <w:tcW w:w="12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6,799</w:t>
            </w:r>
          </w:p>
        </w:tc>
        <w:tc>
          <w:tcPr>
            <w:tcW w:w="300" w:type="dxa"/>
            <w:vAlign w:val="bottom"/>
            <w:tcBorders>
              <w:bottom w:val="single" w:sz="8" w:color="auto"/>
            </w:tcBorders>
            <w:shd w:val="clear" w:color="auto" w:fill="B6B6B6"/>
          </w:tcPr>
          <w:p>
            <w:pPr>
              <w:spacing w:after="0"/>
              <w:rPr>
                <w:sz w:val="22"/>
                <w:szCs w:val="22"/>
                <w:color w:val="auto"/>
              </w:rPr>
            </w:pP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6,799</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2,142,444</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2,090,730</w:t>
            </w: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2,143,706</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2,143,881</w:t>
            </w:r>
          </w:p>
        </w:tc>
        <w:tc>
          <w:tcPr>
            <w:tcW w:w="0" w:type="dxa"/>
            <w:vAlign w:val="bottom"/>
          </w:tcPr>
          <w:p>
            <w:pPr>
              <w:spacing w:after="0"/>
              <w:rPr>
                <w:sz w:val="1"/>
                <w:szCs w:val="1"/>
                <w:color w:val="auto"/>
              </w:rPr>
            </w:pPr>
          </w:p>
        </w:tc>
      </w:tr>
      <w:tr>
        <w:trPr>
          <w:trHeight w:val="256"/>
        </w:trPr>
        <w:tc>
          <w:tcPr>
            <w:tcW w:w="5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sheet liabilities:</w:t>
            </w:r>
          </w:p>
        </w:tc>
        <w:tc>
          <w:tcPr>
            <w:tcW w:w="260" w:type="dxa"/>
            <w:vAlign w:val="bottom"/>
            <w:shd w:val="clear" w:color="auto" w:fill="B6B6B6"/>
          </w:tcPr>
          <w:p>
            <w:pPr>
              <w:spacing w:after="0"/>
              <w:rPr>
                <w:sz w:val="22"/>
                <w:szCs w:val="22"/>
                <w:color w:val="auto"/>
              </w:rPr>
            </w:pPr>
          </w:p>
        </w:tc>
        <w:tc>
          <w:tcPr>
            <w:tcW w:w="124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26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Deposits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1,229,721</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1,229,721</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1,221,503</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1,221,503</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Accounts and drafts payable</w:t>
            </w:r>
          </w:p>
        </w:tc>
        <w:tc>
          <w:tcPr>
            <w:tcW w:w="26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1,146,334</w:t>
            </w: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1,146,334</w:t>
            </w: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2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1,050,396</w:t>
            </w: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1,050,396</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Accrued interest payable</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2,376,101</w:t>
            </w:r>
          </w:p>
        </w:tc>
        <w:tc>
          <w:tcPr>
            <w:tcW w:w="30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2,376,101</w:t>
            </w:r>
          </w:p>
        </w:tc>
        <w:tc>
          <w:tcPr>
            <w:tcW w:w="100" w:type="dxa"/>
            <w:vAlign w:val="bottom"/>
            <w:tcBorders>
              <w:bottom w:val="single" w:sz="8" w:color="auto"/>
            </w:tcBorders>
            <w:shd w:val="clear" w:color="auto" w:fill="B6B6B6"/>
          </w:tcPr>
          <w:p>
            <w:pPr>
              <w:spacing w:after="0"/>
              <w:rPr>
                <w:sz w:val="21"/>
                <w:szCs w:val="21"/>
                <w:color w:val="auto"/>
              </w:rPr>
            </w:pPr>
          </w:p>
        </w:tc>
        <w:tc>
          <w:tcPr>
            <w:tcW w:w="240" w:type="dxa"/>
            <w:vAlign w:val="bottom"/>
            <w:tcBorders>
              <w:bottom w:val="single" w:sz="8" w:color="auto"/>
            </w:tcBorders>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2,271,915</w:t>
            </w:r>
          </w:p>
        </w:tc>
        <w:tc>
          <w:tcPr>
            <w:tcW w:w="30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2,271,915</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each class of financial instruments for which it is practicable to estimate that value: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The carrying amount approximates fair value.</w:t>
      </w:r>
    </w:p>
    <w:p>
      <w:pPr>
        <w:spacing w:after="0" w:line="19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Investment in Securities </w:t>
      </w:r>
      <w:r>
        <w:rPr>
          <w:rFonts w:ascii="Times New Roman" w:cs="Times New Roman" w:eastAsia="Times New Roman" w:hAnsi="Times New Roman"/>
          <w:sz w:val="18"/>
          <w:szCs w:val="18"/>
          <w:color w:val="auto"/>
        </w:rPr>
        <w:t>- The fair value is measured on a recurring basis using Level 2 valuations. Refer to Note 11, “Investment in Securities,” for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and unrealized gains and losses by investment type.</w:t>
      </w:r>
    </w:p>
    <w:p>
      <w:pPr>
        <w:spacing w:after="0" w:line="11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Loans </w:t>
      </w:r>
      <w:r>
        <w:rPr>
          <w:rFonts w:ascii="Times New Roman" w:cs="Times New Roman" w:eastAsia="Times New Roman" w:hAnsi="Times New Roman"/>
          <w:sz w:val="18"/>
          <w:szCs w:val="18"/>
          <w:color w:val="auto"/>
        </w:rPr>
        <w:t>- The fair value is estimated using present values of future cash flows discounted at risk-adjusted interest rates for each loan category designated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and is therefore a Level 3 valuation. Management believes that the risk factor embedded in the interest rates along with the allowance for credit losses result in a fair valuation.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Accrued Interest Receivable </w:t>
      </w:r>
      <w:r>
        <w:rPr>
          <w:rFonts w:ascii="Times New Roman" w:cs="Times New Roman" w:eastAsia="Times New Roman" w:hAnsi="Times New Roman"/>
          <w:sz w:val="18"/>
          <w:szCs w:val="18"/>
          <w:color w:val="auto"/>
        </w:rPr>
        <w:t>- The carrying amount approximates fair value.</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Deposits </w:t>
      </w:r>
      <w:r>
        <w:rPr>
          <w:rFonts w:ascii="Times New Roman" w:cs="Times New Roman" w:eastAsia="Times New Roman" w:hAnsi="Times New Roman"/>
          <w:sz w:val="18"/>
          <w:szCs w:val="18"/>
          <w:color w:val="auto"/>
        </w:rPr>
        <w:t>- The fair value of demand deposits, savings deposits and certain money market deposits is the amount payable on demand at the reporting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 of fixed-maturity certificates of deposit is estimated using the rates currently offered for deposits of similar remaining maturities and therefore, is a Level 2 valuation. The fair value estimates above do not include the benefit that results from the low-cost funding provided by the deposit liabilities compared to the cost of borrowing funds in the market or the benefit derived from the customer relationship inherent in existing deposits.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Accounts and Drafts Payable </w:t>
      </w:r>
      <w:r>
        <w:rPr>
          <w:rFonts w:ascii="Times New Roman" w:cs="Times New Roman" w:eastAsia="Times New Roman" w:hAnsi="Times New Roman"/>
          <w:sz w:val="18"/>
          <w:szCs w:val="18"/>
          <w:color w:val="auto"/>
        </w:rPr>
        <w:t>- The carrying amount approximates fair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Accrued Interest Payable </w:t>
      </w:r>
      <w:r>
        <w:rPr>
          <w:rFonts w:ascii="Times New Roman" w:cs="Times New Roman" w:eastAsia="Times New Roman" w:hAnsi="Times New Roman"/>
          <w:sz w:val="18"/>
          <w:szCs w:val="18"/>
          <w:color w:val="auto"/>
        </w:rPr>
        <w:t>- The carrying amount approximates fair value.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13 – Revenue from Contracts with Customers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is recognized as the obligation to the customer is satisfied. The following is detail of the Company’s revenue from contracts with clients.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Processing fees </w:t>
      </w:r>
      <w:r>
        <w:rPr>
          <w:rFonts w:ascii="Times New Roman" w:cs="Times New Roman" w:eastAsia="Times New Roman" w:hAnsi="Times New Roman"/>
          <w:sz w:val="18"/>
          <w:szCs w:val="18"/>
          <w:color w:val="auto"/>
        </w:rPr>
        <w:t>– The Company earns fees on a per-item or monthly basis for the invoice processing services rendered on behalf of customers. Per-item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fees are recognized at the point in time when the performance obligation is satisfied. Monthly fees are earned over the course of a month, representing the period over which the performance obligation is satisfied. The contracts have no significant impact of variable consideration and no significant financing components.</w:t>
      </w:r>
    </w:p>
    <w:p>
      <w:pPr>
        <w:spacing w:after="0" w:line="15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Financial fees </w:t>
      </w:r>
      <w:r>
        <w:rPr>
          <w:rFonts w:ascii="Times New Roman" w:cs="Times New Roman" w:eastAsia="Times New Roman" w:hAnsi="Times New Roman"/>
          <w:sz w:val="18"/>
          <w:szCs w:val="18"/>
          <w:color w:val="auto"/>
        </w:rPr>
        <w:t>– The Company earns fees on a transaction level basis for invoice payment services when making customer payments. Fees are recognized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the point in time when the payment transactions are made, which is when the performance obligation is satisfied. The contracts have no significant impact of variable consideration and no significant financing components.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Bank service fees </w:t>
      </w:r>
      <w:r>
        <w:rPr>
          <w:rFonts w:ascii="Times New Roman" w:cs="Times New Roman" w:eastAsia="Times New Roman" w:hAnsi="Times New Roman"/>
          <w:sz w:val="18"/>
          <w:szCs w:val="18"/>
          <w:color w:val="auto"/>
        </w:rPr>
        <w:t>– Revenue from service fees consists of service charges and fees on deposit accounts under depository agreements with customers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access to deposited funds. Service charges on deposit accounts are transaction-based fees that are recognized at the point in time when the performance obligation is satisfied. Service charges are recognized on a monthly basis representing the period over which the performance obligation is satisfied. The contracts have no significant impact of variable consideration and no significant financing components.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220" w:type="dxa"/>
            <w:vAlign w:val="bottom"/>
          </w:tcPr>
          <w:p>
            <w:pPr>
              <w:spacing w:after="0"/>
              <w:rPr>
                <w:sz w:val="17"/>
                <w:szCs w:val="17"/>
                <w:color w:val="auto"/>
              </w:rPr>
            </w:pPr>
          </w:p>
        </w:tc>
        <w:tc>
          <w:tcPr>
            <w:tcW w:w="260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38"/>
        </w:trPr>
        <w:tc>
          <w:tcPr>
            <w:tcW w:w="5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2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0" w:type="dxa"/>
            <w:vAlign w:val="bottom"/>
          </w:tcPr>
          <w:p>
            <w:pPr>
              <w:spacing w:after="0"/>
              <w:rPr>
                <w:sz w:val="1"/>
                <w:szCs w:val="1"/>
                <w:color w:val="auto"/>
              </w:rPr>
            </w:pPr>
          </w:p>
        </w:tc>
      </w:tr>
      <w:tr>
        <w:trPr>
          <w:trHeight w:val="257"/>
        </w:trPr>
        <w:tc>
          <w:tcPr>
            <w:tcW w:w="55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Fee revenue and other income</w:t>
            </w:r>
          </w:p>
        </w:tc>
        <w:tc>
          <w:tcPr>
            <w:tcW w:w="20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2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500" w:type="dxa"/>
            <w:vAlign w:val="bottom"/>
            <w:shd w:val="clear" w:color="auto" w:fill="B6B6B6"/>
          </w:tcPr>
          <w:p>
            <w:pPr>
              <w:spacing w:after="0"/>
              <w:rPr>
                <w:sz w:val="22"/>
                <w:szCs w:val="22"/>
                <w:color w:val="auto"/>
              </w:rPr>
            </w:pPr>
          </w:p>
        </w:tc>
        <w:tc>
          <w:tcPr>
            <w:tcW w:w="86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In-scope of FASB ASC 606</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52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Processing fees</w:t>
            </w:r>
          </w:p>
        </w:tc>
        <w:tc>
          <w:tcPr>
            <w:tcW w:w="20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18,964</w:t>
            </w: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18,461</w:t>
            </w:r>
          </w:p>
        </w:tc>
        <w:tc>
          <w:tcPr>
            <w:tcW w:w="100" w:type="dxa"/>
            <w:vAlign w:val="bottom"/>
            <w:shd w:val="clear" w:color="auto" w:fill="B6B6B6"/>
          </w:tcPr>
          <w:p>
            <w:pPr>
              <w:spacing w:after="0"/>
              <w:rPr>
                <w:sz w:val="22"/>
                <w:szCs w:val="22"/>
                <w:color w:val="auto"/>
              </w:rPr>
            </w:pPr>
          </w:p>
        </w:tc>
        <w:tc>
          <w:tcPr>
            <w:tcW w:w="22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57,184</w:t>
            </w:r>
          </w:p>
        </w:tc>
        <w:tc>
          <w:tcPr>
            <w:tcW w:w="100" w:type="dxa"/>
            <w:vAlign w:val="bottom"/>
            <w:shd w:val="clear" w:color="auto" w:fill="B6B6B6"/>
          </w:tcPr>
          <w:p>
            <w:pPr>
              <w:spacing w:after="0"/>
              <w:rPr>
                <w:sz w:val="22"/>
                <w:szCs w:val="22"/>
                <w:color w:val="auto"/>
              </w:rPr>
            </w:pPr>
          </w:p>
        </w:tc>
        <w:tc>
          <w:tcPr>
            <w:tcW w:w="500" w:type="dxa"/>
            <w:vAlign w:val="bottom"/>
            <w:shd w:val="clear" w:color="auto" w:fill="B6B6B6"/>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55,882</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B6B6B6"/>
            </w:tcBorders>
          </w:tcPr>
          <w:p>
            <w:pPr>
              <w:ind w:left="380"/>
              <w:spacing w:after="0"/>
              <w:rPr>
                <w:sz w:val="20"/>
                <w:szCs w:val="20"/>
                <w:color w:val="auto"/>
              </w:rPr>
            </w:pPr>
            <w:r>
              <w:rPr>
                <w:rFonts w:ascii="Times New Roman" w:cs="Times New Roman" w:eastAsia="Times New Roman" w:hAnsi="Times New Roman"/>
                <w:sz w:val="18"/>
                <w:szCs w:val="18"/>
                <w:color w:val="auto"/>
              </w:rPr>
              <w:t>Financial fees</w:t>
            </w: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11,252</w:t>
            </w:r>
          </w:p>
        </w:tc>
        <w:tc>
          <w:tcPr>
            <w:tcW w:w="100" w:type="dxa"/>
            <w:vAlign w:val="bottom"/>
            <w:tcBorders>
              <w:bottom w:val="single" w:sz="8" w:color="B6B6B6"/>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8,624</w:t>
            </w:r>
          </w:p>
        </w:tc>
        <w:tc>
          <w:tcPr>
            <w:tcW w:w="100" w:type="dxa"/>
            <w:vAlign w:val="bottom"/>
            <w:tcBorders>
              <w:bottom w:val="single" w:sz="8" w:color="B6B6B6"/>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32,406</w:t>
            </w:r>
          </w:p>
        </w:tc>
        <w:tc>
          <w:tcPr>
            <w:tcW w:w="100" w:type="dxa"/>
            <w:vAlign w:val="bottom"/>
            <w:tcBorders>
              <w:bottom w:val="single" w:sz="8" w:color="B6B6B6"/>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23,122</w:t>
            </w:r>
          </w:p>
        </w:tc>
        <w:tc>
          <w:tcPr>
            <w:tcW w:w="0" w:type="dxa"/>
            <w:vAlign w:val="bottom"/>
          </w:tcPr>
          <w:p>
            <w:pPr>
              <w:spacing w:after="0"/>
              <w:rPr>
                <w:sz w:val="1"/>
                <w:szCs w:val="1"/>
                <w:color w:val="auto"/>
              </w:rPr>
            </w:pPr>
          </w:p>
        </w:tc>
      </w:tr>
      <w:tr>
        <w:trPr>
          <w:trHeight w:val="256"/>
        </w:trPr>
        <w:tc>
          <w:tcPr>
            <w:tcW w:w="5520" w:type="dxa"/>
            <w:vAlign w:val="bottom"/>
            <w:shd w:val="clear" w:color="auto" w:fill="B6B6B6"/>
          </w:tcPr>
          <w:p>
            <w:pPr>
              <w:ind w:left="600"/>
              <w:spacing w:after="0"/>
              <w:rPr>
                <w:sz w:val="20"/>
                <w:szCs w:val="20"/>
                <w:color w:val="auto"/>
              </w:rPr>
            </w:pPr>
            <w:r>
              <w:rPr>
                <w:rFonts w:ascii="Times New Roman" w:cs="Times New Roman" w:eastAsia="Times New Roman" w:hAnsi="Times New Roman"/>
                <w:sz w:val="18"/>
                <w:szCs w:val="18"/>
                <w:color w:val="auto"/>
              </w:rPr>
              <w:t>Information services payment and processing revenue</w:t>
            </w:r>
          </w:p>
        </w:tc>
        <w:tc>
          <w:tcPr>
            <w:tcW w:w="20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30,216</w:t>
            </w: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27,085</w:t>
            </w:r>
          </w:p>
        </w:tc>
        <w:tc>
          <w:tcPr>
            <w:tcW w:w="100" w:type="dxa"/>
            <w:vAlign w:val="bottom"/>
            <w:shd w:val="clear" w:color="auto" w:fill="B6B6B6"/>
          </w:tcPr>
          <w:p>
            <w:pPr>
              <w:spacing w:after="0"/>
              <w:rPr>
                <w:sz w:val="22"/>
                <w:szCs w:val="22"/>
                <w:color w:val="auto"/>
              </w:rPr>
            </w:pPr>
          </w:p>
        </w:tc>
        <w:tc>
          <w:tcPr>
            <w:tcW w:w="22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89,590</w:t>
            </w:r>
          </w:p>
        </w:tc>
        <w:tc>
          <w:tcPr>
            <w:tcW w:w="100" w:type="dxa"/>
            <w:vAlign w:val="bottom"/>
            <w:shd w:val="clear" w:color="auto" w:fill="B6B6B6"/>
          </w:tcPr>
          <w:p>
            <w:pPr>
              <w:spacing w:after="0"/>
              <w:rPr>
                <w:sz w:val="22"/>
                <w:szCs w:val="22"/>
                <w:color w:val="auto"/>
              </w:rPr>
            </w:pPr>
          </w:p>
        </w:tc>
        <w:tc>
          <w:tcPr>
            <w:tcW w:w="500" w:type="dxa"/>
            <w:vAlign w:val="bottom"/>
            <w:shd w:val="clear" w:color="auto" w:fill="B6B6B6"/>
          </w:tcPr>
          <w:p>
            <w:pPr>
              <w:spacing w:after="0"/>
              <w:rPr>
                <w:sz w:val="22"/>
                <w:szCs w:val="22"/>
                <w:color w:val="auto"/>
              </w:rPr>
            </w:pPr>
          </w:p>
        </w:tc>
        <w:tc>
          <w:tcPr>
            <w:tcW w:w="8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79,004</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B6B6B6"/>
            </w:tcBorders>
          </w:tcPr>
          <w:p>
            <w:pPr>
              <w:ind w:left="380"/>
              <w:spacing w:after="0"/>
              <w:rPr>
                <w:sz w:val="20"/>
                <w:szCs w:val="20"/>
                <w:color w:val="auto"/>
              </w:rPr>
            </w:pPr>
            <w:r>
              <w:rPr>
                <w:rFonts w:ascii="Times New Roman" w:cs="Times New Roman" w:eastAsia="Times New Roman" w:hAnsi="Times New Roman"/>
                <w:sz w:val="18"/>
                <w:szCs w:val="18"/>
                <w:color w:val="auto"/>
              </w:rPr>
              <w:t>Bank service fees</w:t>
            </w: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bottom w:val="single" w:sz="8" w:color="B6B6B6"/>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bottom w:val="single" w:sz="8" w:color="B6B6B6"/>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tcBorders>
              <w:bottom w:val="single" w:sz="8" w:color="B6B6B6"/>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r>
        <w:trPr>
          <w:trHeight w:val="257"/>
        </w:trPr>
        <w:tc>
          <w:tcPr>
            <w:tcW w:w="552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Fee revenue (in-scope of FASB ASC 606)</w:t>
            </w:r>
          </w:p>
        </w:tc>
        <w:tc>
          <w:tcPr>
            <w:tcW w:w="20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30,505</w:t>
            </w: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27,408</w:t>
            </w:r>
          </w:p>
        </w:tc>
        <w:tc>
          <w:tcPr>
            <w:tcW w:w="100" w:type="dxa"/>
            <w:vAlign w:val="bottom"/>
            <w:shd w:val="clear" w:color="auto" w:fill="B6B6B6"/>
          </w:tcPr>
          <w:p>
            <w:pPr>
              <w:spacing w:after="0"/>
              <w:rPr>
                <w:sz w:val="22"/>
                <w:szCs w:val="22"/>
                <w:color w:val="auto"/>
              </w:rPr>
            </w:pPr>
          </w:p>
        </w:tc>
        <w:tc>
          <w:tcPr>
            <w:tcW w:w="22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90,732</w:t>
            </w:r>
          </w:p>
        </w:tc>
        <w:tc>
          <w:tcPr>
            <w:tcW w:w="100" w:type="dxa"/>
            <w:vAlign w:val="bottom"/>
            <w:shd w:val="clear" w:color="auto" w:fill="B6B6B6"/>
          </w:tcPr>
          <w:p>
            <w:pPr>
              <w:spacing w:after="0"/>
              <w:rPr>
                <w:sz w:val="22"/>
                <w:szCs w:val="22"/>
                <w:color w:val="auto"/>
              </w:rPr>
            </w:pPr>
          </w:p>
        </w:tc>
        <w:tc>
          <w:tcPr>
            <w:tcW w:w="500" w:type="dxa"/>
            <w:vAlign w:val="bottom"/>
            <w:shd w:val="clear" w:color="auto" w:fill="B6B6B6"/>
          </w:tcPr>
          <w:p>
            <w:pPr>
              <w:spacing w:after="0"/>
              <w:rPr>
                <w:sz w:val="22"/>
                <w:szCs w:val="22"/>
                <w:color w:val="auto"/>
              </w:rPr>
            </w:pPr>
          </w:p>
        </w:tc>
        <w:tc>
          <w:tcPr>
            <w:tcW w:w="8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79,995</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B6B6B6"/>
            </w:tcBorders>
          </w:tcPr>
          <w:p>
            <w:pPr>
              <w:ind w:left="200"/>
              <w:spacing w:after="0"/>
              <w:rPr>
                <w:sz w:val="20"/>
                <w:szCs w:val="20"/>
                <w:color w:val="auto"/>
              </w:rPr>
            </w:pPr>
            <w:r>
              <w:rPr>
                <w:rFonts w:ascii="Times New Roman" w:cs="Times New Roman" w:eastAsia="Times New Roman" w:hAnsi="Times New Roman"/>
                <w:sz w:val="18"/>
                <w:szCs w:val="18"/>
                <w:color w:val="auto"/>
              </w:rPr>
              <w:t>Other income (out-of-scope of FASB ASC 606)</w:t>
            </w: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00" w:type="dxa"/>
            <w:vAlign w:val="bottom"/>
            <w:tcBorders>
              <w:bottom w:val="single" w:sz="8" w:color="B6B6B6"/>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B6B6B6"/>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00" w:type="dxa"/>
            <w:vAlign w:val="bottom"/>
            <w:tcBorders>
              <w:bottom w:val="single" w:sz="8" w:color="B6B6B6"/>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auto"/>
            </w:tcBorders>
            <w:shd w:val="clear" w:color="auto" w:fill="B6B6B6"/>
          </w:tcPr>
          <w:p>
            <w:pPr>
              <w:ind w:left="560"/>
              <w:spacing w:after="0"/>
              <w:rPr>
                <w:sz w:val="20"/>
                <w:szCs w:val="20"/>
                <w:color w:val="auto"/>
              </w:rPr>
            </w:pPr>
            <w:r>
              <w:rPr>
                <w:rFonts w:ascii="Times New Roman" w:cs="Times New Roman" w:eastAsia="Times New Roman" w:hAnsi="Times New Roman"/>
                <w:sz w:val="18"/>
                <w:szCs w:val="18"/>
                <w:color w:val="auto"/>
              </w:rPr>
              <w:t>Total fee revenue and other income</w:t>
            </w:r>
          </w:p>
        </w:tc>
        <w:tc>
          <w:tcPr>
            <w:tcW w:w="20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31,784</w:t>
            </w:r>
          </w:p>
        </w:tc>
        <w:tc>
          <w:tcPr>
            <w:tcW w:w="100" w:type="dxa"/>
            <w:vAlign w:val="bottom"/>
            <w:tcBorders>
              <w:bottom w:val="single" w:sz="8" w:color="auto"/>
            </w:tcBorders>
            <w:shd w:val="clear" w:color="auto" w:fill="B6B6B6"/>
          </w:tcPr>
          <w:p>
            <w:pPr>
              <w:spacing w:after="0"/>
              <w:rPr>
                <w:sz w:val="21"/>
                <w:szCs w:val="21"/>
                <w:color w:val="auto"/>
              </w:rPr>
            </w:pPr>
          </w:p>
        </w:tc>
        <w:tc>
          <w:tcPr>
            <w:tcW w:w="300" w:type="dxa"/>
            <w:vAlign w:val="bottom"/>
            <w:tcBorders>
              <w:bottom w:val="single" w:sz="8" w:color="auto"/>
            </w:tcBorders>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27,577</w:t>
            </w:r>
          </w:p>
        </w:tc>
        <w:tc>
          <w:tcPr>
            <w:tcW w:w="100" w:type="dxa"/>
            <w:vAlign w:val="bottom"/>
            <w:tcBorders>
              <w:bottom w:val="single" w:sz="8" w:color="auto"/>
            </w:tcBorders>
            <w:shd w:val="clear" w:color="auto" w:fill="B6B6B6"/>
          </w:tcPr>
          <w:p>
            <w:pPr>
              <w:spacing w:after="0"/>
              <w:rPr>
                <w:sz w:val="21"/>
                <w:szCs w:val="21"/>
                <w:color w:val="auto"/>
              </w:rPr>
            </w:pPr>
          </w:p>
        </w:tc>
        <w:tc>
          <w:tcPr>
            <w:tcW w:w="22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92,865</w:t>
            </w:r>
          </w:p>
        </w:tc>
        <w:tc>
          <w:tcPr>
            <w:tcW w:w="100" w:type="dxa"/>
            <w:vAlign w:val="bottom"/>
            <w:tcBorders>
              <w:bottom w:val="single" w:sz="8" w:color="auto"/>
            </w:tcBorders>
            <w:shd w:val="clear" w:color="auto" w:fill="B6B6B6"/>
          </w:tcPr>
          <w:p>
            <w:pPr>
              <w:spacing w:after="0"/>
              <w:rPr>
                <w:sz w:val="21"/>
                <w:szCs w:val="21"/>
                <w:color w:val="auto"/>
              </w:rPr>
            </w:pPr>
          </w:p>
        </w:tc>
        <w:tc>
          <w:tcPr>
            <w:tcW w:w="500" w:type="dxa"/>
            <w:vAlign w:val="bottom"/>
            <w:tcBorders>
              <w:bottom w:val="single" w:sz="8" w:color="auto"/>
            </w:tcBorders>
            <w:shd w:val="clear" w:color="auto" w:fill="B6B6B6"/>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80,739</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14 – Leases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leases certain premises under operating leases. As of September 30, 2022, the Company had lease liabilities of $9,759,000 and right-of-use assets of $9,435,000. Lease liabilities and right-of-use assets are reflected in other liabilities and other assets, respectively. Presented within occupancy expense on the Consolidated Statements of Income for the three and nine months ended September 30, 2022, operating lease cost was $386,000 and $1,184,000, respectively, short-term lease cost was $51,000 and $156,000, respectively, and there was no variable lease cost. At September 30, 2022, the weighted-average remaining lease term for the operating leases was 8.4 years and the weighted-average discount rate used in the measurement of operating lease liabilities was 3.59%. Certain of the Company’s leases contain options to renew the lease; however, these renewal options are not included in the calculation of the lease liabilities as they are not reasonably certain to be exercised. See the Company’s 2021 Annual Report on Form 10-K for information regarding these commitments.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A maturity analysis of operating lease liabilities and undiscounted cash flows as of September 30, 2022 is as follows:</w:t>
            </w:r>
          </w:p>
        </w:tc>
        <w:tc>
          <w:tcPr>
            <w:tcW w:w="5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580" w:type="dxa"/>
            <w:vAlign w:val="bottom"/>
          </w:tcPr>
          <w:p>
            <w:pPr>
              <w:spacing w:after="0"/>
              <w:rPr>
                <w:sz w:val="24"/>
                <w:szCs w:val="24"/>
                <w:color w:val="auto"/>
              </w:rPr>
            </w:pPr>
          </w:p>
        </w:tc>
        <w:tc>
          <w:tcPr>
            <w:tcW w:w="15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41"/>
        </w:trPr>
        <w:tc>
          <w:tcPr>
            <w:tcW w:w="8840" w:type="dxa"/>
            <w:vAlign w:val="bottom"/>
            <w:tcBorders>
              <w:bottom w:val="single" w:sz="8" w:color="auto"/>
            </w:tcBorders>
            <w:vMerge w:val="continue"/>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52"/>
        </w:trPr>
        <w:tc>
          <w:tcPr>
            <w:tcW w:w="88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Lease payments due</w:t>
            </w:r>
          </w:p>
        </w:tc>
        <w:tc>
          <w:tcPr>
            <w:tcW w:w="580" w:type="dxa"/>
            <w:vAlign w:val="bottom"/>
            <w:shd w:val="clear" w:color="auto" w:fill="B6B6B6"/>
          </w:tcPr>
          <w:p>
            <w:pPr>
              <w:spacing w:after="0"/>
              <w:rPr>
                <w:sz w:val="21"/>
                <w:szCs w:val="21"/>
                <w:color w:val="auto"/>
              </w:rPr>
            </w:pPr>
          </w:p>
        </w:tc>
        <w:tc>
          <w:tcPr>
            <w:tcW w:w="1580" w:type="dxa"/>
            <w:vAlign w:val="bottom"/>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than 1 year</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0" w:type="dxa"/>
            <w:vAlign w:val="bottom"/>
          </w:tcPr>
          <w:p>
            <w:pPr>
              <w:spacing w:after="0"/>
              <w:rPr>
                <w:sz w:val="1"/>
                <w:szCs w:val="1"/>
                <w:color w:val="auto"/>
              </w:rPr>
            </w:pPr>
          </w:p>
        </w:tc>
      </w:tr>
      <w:tr>
        <w:trPr>
          <w:trHeight w:val="263"/>
        </w:trPr>
        <w:tc>
          <w:tcPr>
            <w:tcW w:w="884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1-2 years</w:t>
            </w:r>
          </w:p>
        </w:tc>
        <w:tc>
          <w:tcPr>
            <w:tcW w:w="580" w:type="dxa"/>
            <w:vAlign w:val="bottom"/>
            <w:shd w:val="clear" w:color="auto" w:fill="B6B6B6"/>
          </w:tcPr>
          <w:p>
            <w:pPr>
              <w:spacing w:after="0"/>
              <w:rPr>
                <w:sz w:val="22"/>
                <w:szCs w:val="22"/>
                <w:color w:val="auto"/>
              </w:rPr>
            </w:pPr>
          </w:p>
        </w:tc>
        <w:tc>
          <w:tcPr>
            <w:tcW w:w="15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0" w:type="dxa"/>
            <w:vAlign w:val="bottom"/>
          </w:tcPr>
          <w:p>
            <w:pPr>
              <w:spacing w:after="0"/>
              <w:rPr>
                <w:sz w:val="1"/>
                <w:szCs w:val="1"/>
                <w:color w:val="auto"/>
              </w:rPr>
            </w:pPr>
          </w:p>
        </w:tc>
      </w:tr>
      <w:tr>
        <w:trPr>
          <w:trHeight w:val="250"/>
        </w:trPr>
        <w:tc>
          <w:tcPr>
            <w:tcW w:w="8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2-3 years</w:t>
            </w:r>
          </w:p>
        </w:tc>
        <w:tc>
          <w:tcPr>
            <w:tcW w:w="5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0" w:type="dxa"/>
            <w:vAlign w:val="bottom"/>
          </w:tcPr>
          <w:p>
            <w:pPr>
              <w:spacing w:after="0"/>
              <w:rPr>
                <w:sz w:val="1"/>
                <w:szCs w:val="1"/>
                <w:color w:val="auto"/>
              </w:rPr>
            </w:pPr>
          </w:p>
        </w:tc>
      </w:tr>
      <w:tr>
        <w:trPr>
          <w:trHeight w:val="263"/>
        </w:trPr>
        <w:tc>
          <w:tcPr>
            <w:tcW w:w="884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3-4 years</w:t>
            </w:r>
          </w:p>
        </w:tc>
        <w:tc>
          <w:tcPr>
            <w:tcW w:w="580" w:type="dxa"/>
            <w:vAlign w:val="bottom"/>
            <w:shd w:val="clear" w:color="auto" w:fill="B6B6B6"/>
          </w:tcPr>
          <w:p>
            <w:pPr>
              <w:spacing w:after="0"/>
              <w:rPr>
                <w:sz w:val="22"/>
                <w:szCs w:val="22"/>
                <w:color w:val="auto"/>
              </w:rPr>
            </w:pPr>
          </w:p>
        </w:tc>
        <w:tc>
          <w:tcPr>
            <w:tcW w:w="15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0" w:type="dxa"/>
            <w:vAlign w:val="bottom"/>
          </w:tcPr>
          <w:p>
            <w:pPr>
              <w:spacing w:after="0"/>
              <w:rPr>
                <w:sz w:val="1"/>
                <w:szCs w:val="1"/>
                <w:color w:val="auto"/>
              </w:rPr>
            </w:pPr>
          </w:p>
        </w:tc>
      </w:tr>
      <w:tr>
        <w:trPr>
          <w:trHeight w:val="250"/>
        </w:trPr>
        <w:tc>
          <w:tcPr>
            <w:tcW w:w="8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4-5 years</w:t>
            </w:r>
          </w:p>
        </w:tc>
        <w:tc>
          <w:tcPr>
            <w:tcW w:w="5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0" w:type="dxa"/>
            <w:vAlign w:val="bottom"/>
          </w:tcPr>
          <w:p>
            <w:pPr>
              <w:spacing w:after="0"/>
              <w:rPr>
                <w:sz w:val="1"/>
                <w:szCs w:val="1"/>
                <w:color w:val="auto"/>
              </w:rPr>
            </w:pPr>
          </w:p>
        </w:tc>
      </w:tr>
      <w:tr>
        <w:trPr>
          <w:trHeight w:val="257"/>
        </w:trPr>
        <w:tc>
          <w:tcPr>
            <w:tcW w:w="8840" w:type="dxa"/>
            <w:vAlign w:val="bottom"/>
            <w:tcBorders>
              <w:bottom w:val="single" w:sz="8" w:color="auto"/>
            </w:tcBorders>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Over 5 years</w:t>
            </w:r>
          </w:p>
        </w:tc>
        <w:tc>
          <w:tcPr>
            <w:tcW w:w="580" w:type="dxa"/>
            <w:vAlign w:val="bottom"/>
            <w:tcBorders>
              <w:bottom w:val="single" w:sz="8" w:color="auto"/>
            </w:tcBorders>
            <w:shd w:val="clear" w:color="auto" w:fill="B6B6B6"/>
          </w:tcPr>
          <w:p>
            <w:pPr>
              <w:spacing w:after="0"/>
              <w:rPr>
                <w:sz w:val="22"/>
                <w:szCs w:val="22"/>
                <w:color w:val="auto"/>
              </w:rPr>
            </w:pPr>
          </w:p>
        </w:tc>
        <w:tc>
          <w:tcPr>
            <w:tcW w:w="15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0" w:type="dxa"/>
            <w:vAlign w:val="bottom"/>
          </w:tcPr>
          <w:p>
            <w:pPr>
              <w:spacing w:after="0"/>
              <w:rPr>
                <w:sz w:val="1"/>
                <w:szCs w:val="1"/>
                <w:color w:val="auto"/>
              </w:rPr>
            </w:pPr>
          </w:p>
        </w:tc>
      </w:tr>
      <w:tr>
        <w:trPr>
          <w:trHeight w:val="250"/>
        </w:trPr>
        <w:tc>
          <w:tcPr>
            <w:tcW w:w="8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5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11,295</w:t>
            </w:r>
          </w:p>
        </w:tc>
        <w:tc>
          <w:tcPr>
            <w:tcW w:w="0" w:type="dxa"/>
            <w:vAlign w:val="bottom"/>
          </w:tcPr>
          <w:p>
            <w:pPr>
              <w:spacing w:after="0"/>
              <w:rPr>
                <w:sz w:val="1"/>
                <w:szCs w:val="1"/>
                <w:color w:val="auto"/>
              </w:rPr>
            </w:pPr>
          </w:p>
        </w:tc>
      </w:tr>
      <w:tr>
        <w:trPr>
          <w:trHeight w:val="257"/>
        </w:trPr>
        <w:tc>
          <w:tcPr>
            <w:tcW w:w="884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Discount on cash flows</w:t>
            </w:r>
          </w:p>
        </w:tc>
        <w:tc>
          <w:tcPr>
            <w:tcW w:w="580" w:type="dxa"/>
            <w:vAlign w:val="bottom"/>
            <w:tcBorders>
              <w:bottom w:val="single" w:sz="8" w:color="auto"/>
            </w:tcBorders>
            <w:shd w:val="clear" w:color="auto" w:fill="B6B6B6"/>
          </w:tcPr>
          <w:p>
            <w:pPr>
              <w:spacing w:after="0"/>
              <w:rPr>
                <w:sz w:val="22"/>
                <w:szCs w:val="22"/>
                <w:color w:val="auto"/>
              </w:rPr>
            </w:pPr>
          </w:p>
        </w:tc>
        <w:tc>
          <w:tcPr>
            <w:tcW w:w="15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0" w:type="dxa"/>
            <w:vAlign w:val="bottom"/>
          </w:tcPr>
          <w:p>
            <w:pPr>
              <w:spacing w:after="0"/>
              <w:rPr>
                <w:sz w:val="1"/>
                <w:szCs w:val="1"/>
                <w:color w:val="auto"/>
              </w:rPr>
            </w:pPr>
          </w:p>
        </w:tc>
      </w:tr>
      <w:tr>
        <w:trPr>
          <w:trHeight w:val="250"/>
        </w:trPr>
        <w:tc>
          <w:tcPr>
            <w:tcW w:w="88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lease liability</w:t>
            </w: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9,759</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sale and leaseback transactions, leveraged leases, or lease transactions with related parties during the nine months ended September 30, 2022.</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15 – Subsequent Events</w:t>
      </w:r>
    </w:p>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FASB ASC 855,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the Company has evaluated subsequent events after the consolidated balance sheet date of September 30, 2022. There were no events identified that would require additional disclosures to prevent the Company’s unaudited consolidated financial statements from being misleading.</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40"/>
        <w:spacing w:after="0" w:line="464"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Overview</w:t>
      </w:r>
    </w:p>
    <w:p>
      <w:pPr>
        <w:jc w:val="both"/>
        <w:spacing w:after="0" w:line="254" w:lineRule="auto"/>
        <w:rPr>
          <w:sz w:val="20"/>
          <w:szCs w:val="20"/>
          <w:color w:val="auto"/>
        </w:rPr>
      </w:pPr>
      <w:r>
        <w:rPr>
          <w:rFonts w:ascii="Times New Roman" w:cs="Times New Roman" w:eastAsia="Times New Roman" w:hAnsi="Times New Roman"/>
          <w:sz w:val="18"/>
          <w:szCs w:val="18"/>
          <w:color w:val="auto"/>
        </w:rPr>
        <w:t>Cass provides payment and information processing services to large manufacturing, distribution and retail enterprises from its offices/locations in St. Louis, Missouri, Columbus, Ohio, Greenville, South Carolina, Wellington, Kansas, Jacksonville, Florida, Breda, Netherlands, Basingstoke, United Kingdom, and Singapore. The Company’s services include freight invoice rating, payment processing, auditing, and the generation of accounting and transportation information. Cass also processes and pays energy invoices, which include electricity and gas as well as waste and telecommunications expenses, and is a provider of telecom expense management solutions. Cass solutions include a B2B payment platform for clients that require an agile fintech partner. Additionally, the Company offers an on-line platform to provide generosity services for faith-based and non-profit organizations. The Company’s bank subsidiary, the “Bank,” supports the Company’s payment operations. The Bank also provides banking services to its target markets, which include privately-owned businesses and faith-based ministries in the St. Louis metropolitan area as well as other selected cities in the United States.</w:t>
      </w:r>
    </w:p>
    <w:p>
      <w:pPr>
        <w:spacing w:after="0" w:line="1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specific payment and information processing services provided to each customer are developed individually to meet each customer’s requirements, which can vary greatly. In addition, the degree of automation such as electronic data interchange, imaging, work flow, and web-based solutions varies greatly among customers and industries. These factors combine so that pricing varies greatly among the customer base. In general, however, Cass is compensated for its processing services through service fees and investment of account balances generated during the payment process. The amount, type, and calculation of service fees vary greatly by service offering, but generally follow the volume of transactions processed. The Company also earns financial fees on a transaction level basis for invoice payment services when making customer payments. Financial fees include interchange revenue, foreign exchange fees and fees received through early payment of invoices. Fees are recognized at the point in time when the payment transactions are made, which is when the performance obligation is satisfied. Interest income from the balances generated during the payment processing cycle is affected by the amount of time Cass holds the funds prior to payment and the dollar volume processed. Both the number of transactions processed and the dollar volume processed are therefore key metrics followed by management. Other factors will also influence revenue and profitability, such as changes in the general level of interest rates, which have a significant effect on net interest income. The funds generated by these processing activities are invested in overnight investments, investment grade securities, advances to payees, and loans generated by the Bank. The Bank earns most of its revenue from net interest income, or the difference between the interest earned on its loans and investments and the interest paid on its deposits and other borrowings. The Bank also assesses fees on other services such as cash management services.</w:t>
      </w:r>
    </w:p>
    <w:p>
      <w:pPr>
        <w:spacing w:after="0" w:line="1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Industry-wide factors that impact the Company include the willingness of large corporations to outsource key business functions such as freight, energy, telecommunication and environmental payment and audit. The benefits that can be achieved by outsourcing transaction processing, and the management information generated by Cass’ systems can be influenced by factors such as the competitive pressures within industries to improve profitability, the general level of transportation costs, deregulation of energy costs, and consolidation of telecommunication providers. Economic factors that impact the Company include the general level of economic activity that can affect the volume and size of invoices processed, the ability to hire and retain qualified staff, and the growth and quality of the loan portfolio. The general level of interest rates also has a significant effect on the revenue of the Company. As discussed in greater detail in Item 7A, “Quantitative and Qualitative Disclosures about Market Risk” in the Company’s 2021 Annual Report on Form 10-K, a decline in the general level of interest rates can have a negative impact on net interest income and conversely, a rise in the general level of interest rates can have a positive impact on net interest income. The cost of fuel is another factor that has a significant impact on the transportation sector. As the price of fuel goes up or down, the Company’s earnings increase or decrease with the dollar amount of transportation invoices.</w:t>
      </w:r>
    </w:p>
    <w:p>
      <w:pPr>
        <w:spacing w:after="0" w:line="1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Currently, management views Cass’ major opportunity as the continued expansion of its payment and information processing service offerings and customer base. Management intends to accomplish this by maintaining the Company’s leadership position in applied technology, which when combined with the security and processing controls of the Bank, makes Cass unique in the industry.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prepared the consolidated financial statements in this report in accordance with the Financial Accounting Standards Board Accounting Standards Codification. In preparing the consolidated financial statements, management makes estimates and assumptions that affect the reported amount of assets and liabilities, disclosure of contingent assets and liabilities at the date of the financial statements, and the reported amounts of revenue and expenses during the reporting</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period. These estimates have been generally accurate in the past, have been consistent and have not required any material changes. There can be no assurances that actual results will not differ from those estimates. The accounting policy that requires significant management estimates and is deemed critical to the Company’s results of operations or financial position has been discussed with the Audit Committee of the Board of Directors and is described below.</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Allowance for Credit Losses. </w:t>
      </w:r>
      <w:r>
        <w:rPr>
          <w:rFonts w:ascii="Times New Roman" w:cs="Times New Roman" w:eastAsia="Times New Roman" w:hAnsi="Times New Roman"/>
          <w:sz w:val="18"/>
          <w:szCs w:val="18"/>
          <w:color w:val="auto"/>
        </w:rPr>
        <w:t>The Company performs periodic and systematic detailed reviews of its loan portfolio to determine management’s estimate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lifetime expected credit losses. Although these estimates are based on established methodologies for determining allowance requirements, actual results can differ significantly from estimated results. These policies affect both segments of the Company. The impact and associated risks related to these policies on the Company’s business operations are discussed in the “Provision and Allowance for Credit Losses and Allowance for Unfunded Commitments” section of this report.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paragraphs more fully discuss the results of operations and changes in financial condition for the three-month period ended September 30, 2022 (“Third Quarter of 2022”) compared to the three-month period ended September 30, 2021 (“Third Quarter of 2021”) and the nine-month period ended September 30, 2022 (“Nine Months Ended 2022”) compared to the nine-month period ended September 30, 2021 (“Nine Months Ended 2021”).The following discussion and analysis should be read in conjunction with the unaudited consolidated financial statements and related notes and with the statistical information and financial data appearing in this report, as well as in the Company’s 2021 Annual Report on Form 10-K. Results of operations for the Third Quarter of 2022 are not necessarily indicative of the results to be attained for any other period.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operating results: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Third Quarter of</w:t>
            </w:r>
          </w:p>
        </w:tc>
        <w:tc>
          <w:tcPr>
            <w:tcW w:w="154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data)</w:t>
            </w:r>
          </w:p>
        </w:tc>
        <w:tc>
          <w:tcPr>
            <w:tcW w:w="280" w:type="dxa"/>
            <w:vAlign w:val="bottom"/>
          </w:tcPr>
          <w:p>
            <w:pPr>
              <w:spacing w:after="0"/>
              <w:rPr>
                <w:sz w:val="15"/>
                <w:szCs w:val="15"/>
                <w:color w:val="auto"/>
              </w:rPr>
            </w:pPr>
          </w:p>
        </w:tc>
        <w:tc>
          <w:tcPr>
            <w:tcW w:w="102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Pr>
          <w:p>
            <w:pPr>
              <w:spacing w:after="0"/>
              <w:rPr>
                <w:sz w:val="15"/>
                <w:szCs w:val="15"/>
                <w:color w:val="auto"/>
              </w:rPr>
            </w:pPr>
          </w:p>
        </w:tc>
        <w:tc>
          <w:tcPr>
            <w:tcW w:w="124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540" w:type="dxa"/>
            <w:vAlign w:val="bottom"/>
          </w:tcPr>
          <w:p>
            <w:pPr>
              <w:jc w:val="right"/>
              <w:ind w:right="850"/>
              <w:spacing w:after="0" w:line="180" w:lineRule="exact"/>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Pr>
          <w:p>
            <w:pPr>
              <w:spacing w:after="0"/>
              <w:rPr>
                <w:sz w:val="15"/>
                <w:szCs w:val="15"/>
                <w:color w:val="auto"/>
              </w:rPr>
            </w:pPr>
          </w:p>
        </w:tc>
        <w:tc>
          <w:tcPr>
            <w:tcW w:w="1300" w:type="dxa"/>
            <w:vAlign w:val="bottom"/>
            <w:vMerge w:val="restart"/>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120" w:type="dxa"/>
            <w:vAlign w:val="bottom"/>
          </w:tcPr>
          <w:p>
            <w:pPr>
              <w:jc w:val="right"/>
              <w:ind w:right="470"/>
              <w:spacing w:after="0" w:line="180"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8"/>
        </w:trPr>
        <w:tc>
          <w:tcPr>
            <w:tcW w:w="300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5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6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50"/>
        </w:trPr>
        <w:tc>
          <w:tcPr>
            <w:tcW w:w="30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rPr>
              <w:t>8,799</w:t>
            </w:r>
          </w:p>
        </w:tc>
        <w:tc>
          <w:tcPr>
            <w:tcW w:w="360" w:type="dxa"/>
            <w:vAlign w:val="bottom"/>
            <w:shd w:val="clear" w:color="auto" w:fill="B6B6B6"/>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B6B6B6"/>
          </w:tcPr>
          <w:p>
            <w:pPr>
              <w:jc w:val="right"/>
              <w:ind w:right="370"/>
              <w:spacing w:after="0"/>
              <w:rPr>
                <w:sz w:val="20"/>
                <w:szCs w:val="20"/>
                <w:color w:val="auto"/>
              </w:rPr>
            </w:pPr>
            <w:r>
              <w:rPr>
                <w:rFonts w:ascii="Times New Roman" w:cs="Times New Roman" w:eastAsia="Times New Roman" w:hAnsi="Times New Roman"/>
                <w:sz w:val="18"/>
                <w:szCs w:val="18"/>
                <w:color w:val="auto"/>
              </w:rPr>
              <w:t>6,805</w:t>
            </w:r>
          </w:p>
        </w:tc>
        <w:tc>
          <w:tcPr>
            <w:tcW w:w="154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29.3 %  $</w:t>
            </w:r>
          </w:p>
        </w:tc>
        <w:tc>
          <w:tcPr>
            <w:tcW w:w="106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25,619</w:t>
            </w:r>
          </w:p>
        </w:tc>
        <w:tc>
          <w:tcPr>
            <w:tcW w:w="32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B6B6B6"/>
          </w:tcPr>
          <w:p>
            <w:pPr>
              <w:jc w:val="right"/>
              <w:ind w:right="410"/>
              <w:spacing w:after="0"/>
              <w:rPr>
                <w:sz w:val="20"/>
                <w:szCs w:val="20"/>
                <w:color w:val="auto"/>
              </w:rPr>
            </w:pPr>
            <w:r>
              <w:rPr>
                <w:rFonts w:ascii="Times New Roman" w:cs="Times New Roman" w:eastAsia="Times New Roman" w:hAnsi="Times New Roman"/>
                <w:sz w:val="18"/>
                <w:szCs w:val="18"/>
                <w:color w:val="auto"/>
              </w:rPr>
              <w:t>20,902</w:t>
            </w: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0" w:type="dxa"/>
            <w:vAlign w:val="bottom"/>
          </w:tcPr>
          <w:p>
            <w:pPr>
              <w:spacing w:after="0"/>
              <w:rPr>
                <w:sz w:val="1"/>
                <w:szCs w:val="1"/>
                <w:color w:val="auto"/>
              </w:rPr>
            </w:pPr>
          </w:p>
        </w:tc>
      </w:tr>
      <w:tr>
        <w:trPr>
          <w:trHeight w:val="25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.64</w:t>
            </w: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.48</w:t>
            </w:r>
          </w:p>
        </w:tc>
        <w:tc>
          <w:tcPr>
            <w:tcW w:w="15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33.3 %</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1.86</w:t>
            </w:r>
          </w:p>
        </w:tc>
        <w:tc>
          <w:tcPr>
            <w:tcW w:w="320" w:type="dxa"/>
            <w:vAlign w:val="bottom"/>
          </w:tcPr>
          <w:p>
            <w:pPr>
              <w:spacing w:after="0"/>
              <w:rPr>
                <w:sz w:val="21"/>
                <w:szCs w:val="21"/>
                <w:color w:val="auto"/>
              </w:rPr>
            </w:pPr>
          </w:p>
        </w:tc>
        <w:tc>
          <w:tcPr>
            <w:tcW w:w="13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1.45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28.3 %</w:t>
            </w:r>
          </w:p>
        </w:tc>
        <w:tc>
          <w:tcPr>
            <w:tcW w:w="0" w:type="dxa"/>
            <w:vAlign w:val="bottom"/>
          </w:tcPr>
          <w:p>
            <w:pPr>
              <w:spacing w:after="0"/>
              <w:rPr>
                <w:sz w:val="1"/>
                <w:szCs w:val="1"/>
                <w:color w:val="auto"/>
              </w:rPr>
            </w:pPr>
          </w:p>
        </w:tc>
      </w:tr>
      <w:tr>
        <w:trPr>
          <w:trHeight w:val="263"/>
        </w:trPr>
        <w:tc>
          <w:tcPr>
            <w:tcW w:w="30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Return on average assets</w:t>
            </w:r>
          </w:p>
        </w:tc>
        <w:tc>
          <w:tcPr>
            <w:tcW w:w="280" w:type="dxa"/>
            <w:vAlign w:val="bottom"/>
            <w:shd w:val="clear" w:color="auto" w:fill="B6B6B6"/>
          </w:tcPr>
          <w:p>
            <w:pPr>
              <w:spacing w:after="0"/>
              <w:rPr>
                <w:sz w:val="22"/>
                <w:szCs w:val="22"/>
                <w:color w:val="auto"/>
              </w:rPr>
            </w:pPr>
          </w:p>
        </w:tc>
        <w:tc>
          <w:tcPr>
            <w:tcW w:w="10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36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1.14 %</w:t>
            </w:r>
          </w:p>
        </w:tc>
        <w:tc>
          <w:tcPr>
            <w:tcW w:w="1540" w:type="dxa"/>
            <w:vAlign w:val="bottom"/>
            <w:shd w:val="clear" w:color="auto" w:fill="B6B6B6"/>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320" w:type="dxa"/>
            <w:vAlign w:val="bottom"/>
            <w:shd w:val="clear" w:color="auto" w:fill="B6B6B6"/>
          </w:tcPr>
          <w:p>
            <w:pPr>
              <w:spacing w:after="0"/>
              <w:rPr>
                <w:sz w:val="22"/>
                <w:szCs w:val="22"/>
                <w:color w:val="auto"/>
              </w:rPr>
            </w:pPr>
          </w:p>
        </w:tc>
        <w:tc>
          <w:tcPr>
            <w:tcW w:w="1300" w:type="dxa"/>
            <w:vAlign w:val="bottom"/>
            <w:shd w:val="clear" w:color="auto" w:fill="B6B6B6"/>
          </w:tcPr>
          <w:p>
            <w:pPr>
              <w:jc w:val="right"/>
              <w:ind w:right="210"/>
              <w:spacing w:after="0"/>
              <w:rPr>
                <w:sz w:val="20"/>
                <w:szCs w:val="20"/>
                <w:color w:val="auto"/>
              </w:rPr>
            </w:pPr>
            <w:r>
              <w:rPr>
                <w:rFonts w:ascii="Times New Roman" w:cs="Times New Roman" w:eastAsia="Times New Roman" w:hAnsi="Times New Roman"/>
                <w:sz w:val="18"/>
                <w:szCs w:val="18"/>
                <w:color w:val="auto"/>
              </w:rPr>
              <w:t>1.23 %</w:t>
            </w: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0"/>
        </w:trPr>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Return on average equity</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16.84 %</w:t>
            </w: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10.61 %</w:t>
            </w:r>
          </w:p>
        </w:tc>
        <w:tc>
          <w:tcPr>
            <w:tcW w:w="15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15.80 %</w:t>
            </w:r>
          </w:p>
        </w:tc>
        <w:tc>
          <w:tcPr>
            <w:tcW w:w="3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10.84 %</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Key profitability metrics were up during the three and nine months ended September 30, 2022 driven by significant revenue growth in financial fees and net interest income. Partially offsetting the revenue growth was an increase in operating expenses as more fully described below.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 Revenue and Other Income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fee revenue is derived mainly from transportation and facility processing and financial fees. As the Company provides its processing and payment services, it is compensated by service fees which are typically calculated on a per-item basis and by the accounts and drafts payable balances generated in the payment process which can be used to</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generate interest income. In addition, the Company's fee revenue consists of financial fees which are generated through the payment process. Processing volumes, average payments in advance of funding, and fee revenue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8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Third Quarter of</w:t>
            </w:r>
          </w:p>
        </w:tc>
        <w:tc>
          <w:tcPr>
            <w:tcW w:w="12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80" w:type="dxa"/>
            <w:vAlign w:val="bottom"/>
          </w:tcPr>
          <w:p>
            <w:pPr>
              <w:spacing w:after="0"/>
              <w:rPr>
                <w:sz w:val="15"/>
                <w:szCs w:val="15"/>
                <w:color w:val="auto"/>
              </w:rPr>
            </w:pPr>
          </w:p>
        </w:tc>
        <w:tc>
          <w:tcPr>
            <w:tcW w:w="104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Pr>
          <w:p>
            <w:pPr>
              <w:spacing w:after="0"/>
              <w:rPr>
                <w:sz w:val="15"/>
                <w:szCs w:val="15"/>
                <w:color w:val="auto"/>
              </w:rPr>
            </w:pPr>
          </w:p>
        </w:tc>
        <w:tc>
          <w:tcPr>
            <w:tcW w:w="124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0" w:type="dxa"/>
            <w:vAlign w:val="bottom"/>
          </w:tcPr>
          <w:p>
            <w:pPr>
              <w:jc w:val="right"/>
              <w:ind w:right="51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Pr>
          <w:p>
            <w:pPr>
              <w:spacing w:after="0"/>
              <w:rPr>
                <w:sz w:val="15"/>
                <w:szCs w:val="15"/>
                <w:color w:val="auto"/>
              </w:rPr>
            </w:pPr>
          </w:p>
        </w:tc>
        <w:tc>
          <w:tcPr>
            <w:tcW w:w="1380" w:type="dxa"/>
            <w:vAlign w:val="bottom"/>
            <w:vMerge w:val="restart"/>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140" w:type="dxa"/>
            <w:vAlign w:val="bottom"/>
          </w:tcPr>
          <w:p>
            <w:pPr>
              <w:jc w:val="right"/>
              <w:ind w:right="51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1"/>
        </w:trPr>
        <w:tc>
          <w:tcPr>
            <w:tcW w:w="280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52"/>
        </w:trPr>
        <w:tc>
          <w:tcPr>
            <w:tcW w:w="28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Transportation invoice volume</w:t>
            </w:r>
          </w:p>
        </w:tc>
        <w:tc>
          <w:tcPr>
            <w:tcW w:w="280" w:type="dxa"/>
            <w:vAlign w:val="bottom"/>
            <w:shd w:val="clear" w:color="auto" w:fill="B6B6B6"/>
          </w:tcPr>
          <w:p>
            <w:pPr>
              <w:spacing w:after="0"/>
              <w:rPr>
                <w:sz w:val="21"/>
                <w:szCs w:val="21"/>
                <w:color w:val="auto"/>
              </w:rPr>
            </w:pPr>
          </w:p>
        </w:tc>
        <w:tc>
          <w:tcPr>
            <w:tcW w:w="10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9,385</w:t>
            </w:r>
          </w:p>
        </w:tc>
        <w:tc>
          <w:tcPr>
            <w:tcW w:w="360" w:type="dxa"/>
            <w:vAlign w:val="bottom"/>
            <w:shd w:val="clear" w:color="auto" w:fill="B6B6B6"/>
          </w:tcPr>
          <w:p>
            <w:pPr>
              <w:spacing w:after="0"/>
              <w:rPr>
                <w:sz w:val="21"/>
                <w:szCs w:val="21"/>
                <w:color w:val="auto"/>
              </w:rPr>
            </w:pPr>
          </w:p>
        </w:tc>
        <w:tc>
          <w:tcPr>
            <w:tcW w:w="1240" w:type="dxa"/>
            <w:vAlign w:val="bottom"/>
            <w:shd w:val="clear" w:color="auto" w:fill="B6B6B6"/>
          </w:tcPr>
          <w:p>
            <w:pPr>
              <w:jc w:val="right"/>
              <w:ind w:right="250"/>
              <w:spacing w:after="0"/>
              <w:rPr>
                <w:sz w:val="20"/>
                <w:szCs w:val="20"/>
                <w:color w:val="auto"/>
              </w:rPr>
            </w:pPr>
            <w:r>
              <w:rPr>
                <w:rFonts w:ascii="Times New Roman" w:cs="Times New Roman" w:eastAsia="Times New Roman" w:hAnsi="Times New Roman"/>
                <w:sz w:val="18"/>
                <w:szCs w:val="18"/>
                <w:color w:val="auto"/>
              </w:rPr>
              <w:t>9,333</w:t>
            </w:r>
          </w:p>
        </w:tc>
        <w:tc>
          <w:tcPr>
            <w:tcW w:w="12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shd w:val="clear" w:color="auto" w:fill="B6B6B6"/>
          </w:tcPr>
          <w:p>
            <w:pPr>
              <w:spacing w:after="0"/>
              <w:rPr>
                <w:sz w:val="21"/>
                <w:szCs w:val="21"/>
                <w:color w:val="auto"/>
              </w:rPr>
            </w:pPr>
          </w:p>
        </w:tc>
        <w:tc>
          <w:tcPr>
            <w:tcW w:w="260" w:type="dxa"/>
            <w:vAlign w:val="bottom"/>
            <w:shd w:val="clear" w:color="auto" w:fill="B6B6B6"/>
          </w:tcPr>
          <w:p>
            <w:pPr>
              <w:spacing w:after="0"/>
              <w:rPr>
                <w:sz w:val="21"/>
                <w:szCs w:val="21"/>
                <w:color w:val="auto"/>
              </w:rPr>
            </w:pP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27,633</w:t>
            </w:r>
          </w:p>
        </w:tc>
        <w:tc>
          <w:tcPr>
            <w:tcW w:w="380" w:type="dxa"/>
            <w:vAlign w:val="bottom"/>
            <w:shd w:val="clear" w:color="auto" w:fill="B6B6B6"/>
          </w:tcPr>
          <w:p>
            <w:pPr>
              <w:spacing w:after="0"/>
              <w:rPr>
                <w:sz w:val="21"/>
                <w:szCs w:val="21"/>
                <w:color w:val="auto"/>
              </w:rPr>
            </w:pPr>
          </w:p>
        </w:tc>
        <w:tc>
          <w:tcPr>
            <w:tcW w:w="1380" w:type="dxa"/>
            <w:vAlign w:val="bottom"/>
            <w:shd w:val="clear" w:color="auto" w:fill="B6B6B6"/>
          </w:tcPr>
          <w:p>
            <w:pPr>
              <w:jc w:val="right"/>
              <w:ind w:right="310"/>
              <w:spacing w:after="0"/>
              <w:rPr>
                <w:sz w:val="20"/>
                <w:szCs w:val="20"/>
                <w:color w:val="auto"/>
              </w:rPr>
            </w:pPr>
            <w:r>
              <w:rPr>
                <w:rFonts w:ascii="Times New Roman" w:cs="Times New Roman" w:eastAsia="Times New Roman" w:hAnsi="Times New Roman"/>
                <w:sz w:val="18"/>
                <w:szCs w:val="18"/>
                <w:color w:val="auto"/>
              </w:rPr>
              <w:t>27,581</w:t>
            </w: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57"/>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Transportation invoice dollar volume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11,549,980</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9,540,408</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33,818,573</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26,385,936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28.2 %</w:t>
            </w:r>
          </w:p>
        </w:tc>
        <w:tc>
          <w:tcPr>
            <w:tcW w:w="0" w:type="dxa"/>
            <w:vAlign w:val="bottom"/>
          </w:tcPr>
          <w:p>
            <w:pPr>
              <w:spacing w:after="0"/>
              <w:rPr>
                <w:sz w:val="1"/>
                <w:szCs w:val="1"/>
                <w:color w:val="auto"/>
              </w:rPr>
            </w:pPr>
          </w:p>
        </w:tc>
      </w:tr>
      <w:tr>
        <w:trPr>
          <w:trHeight w:val="257"/>
        </w:trPr>
        <w:tc>
          <w:tcPr>
            <w:tcW w:w="2800" w:type="dxa"/>
            <w:vAlign w:val="bottom"/>
            <w:shd w:val="clear" w:color="auto" w:fill="B6B6B6"/>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Facility-related transaction volume </w:t>
            </w:r>
            <w:r>
              <w:rPr>
                <w:rFonts w:ascii="Times New Roman" w:cs="Times New Roman" w:eastAsia="Times New Roman" w:hAnsi="Times New Roman"/>
                <w:sz w:val="23"/>
                <w:szCs w:val="23"/>
                <w:color w:val="auto"/>
                <w:vertAlign w:val="superscript"/>
              </w:rPr>
              <w:t>1</w:t>
            </w:r>
          </w:p>
        </w:tc>
        <w:tc>
          <w:tcPr>
            <w:tcW w:w="280" w:type="dxa"/>
            <w:vAlign w:val="bottom"/>
            <w:shd w:val="clear" w:color="auto" w:fill="B6B6B6"/>
          </w:tcPr>
          <w:p>
            <w:pPr>
              <w:spacing w:after="0"/>
              <w:rPr>
                <w:sz w:val="22"/>
                <w:szCs w:val="22"/>
                <w:color w:val="auto"/>
              </w:rPr>
            </w:pPr>
          </w:p>
        </w:tc>
        <w:tc>
          <w:tcPr>
            <w:tcW w:w="10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36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250"/>
              <w:spacing w:after="0"/>
              <w:rPr>
                <w:sz w:val="20"/>
                <w:szCs w:val="20"/>
                <w:color w:val="auto"/>
              </w:rPr>
            </w:pPr>
            <w:r>
              <w:rPr>
                <w:rFonts w:ascii="Times New Roman" w:cs="Times New Roman" w:eastAsia="Times New Roman" w:hAnsi="Times New Roman"/>
                <w:sz w:val="18"/>
                <w:szCs w:val="18"/>
                <w:color w:val="auto"/>
              </w:rPr>
              <w:t>3,104</w:t>
            </w:r>
          </w:p>
        </w:tc>
        <w:tc>
          <w:tcPr>
            <w:tcW w:w="12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9,794</w:t>
            </w:r>
          </w:p>
        </w:tc>
        <w:tc>
          <w:tcPr>
            <w:tcW w:w="380" w:type="dxa"/>
            <w:vAlign w:val="bottom"/>
            <w:shd w:val="clear" w:color="auto" w:fill="B6B6B6"/>
          </w:tcPr>
          <w:p>
            <w:pPr>
              <w:spacing w:after="0"/>
              <w:rPr>
                <w:sz w:val="22"/>
                <w:szCs w:val="22"/>
                <w:color w:val="auto"/>
              </w:rPr>
            </w:pPr>
          </w:p>
        </w:tc>
        <w:tc>
          <w:tcPr>
            <w:tcW w:w="1380" w:type="dxa"/>
            <w:vAlign w:val="bottom"/>
            <w:shd w:val="clear" w:color="auto" w:fill="B6B6B6"/>
          </w:tcPr>
          <w:p>
            <w:pPr>
              <w:jc w:val="right"/>
              <w:ind w:right="310"/>
              <w:spacing w:after="0"/>
              <w:rPr>
                <w:sz w:val="20"/>
                <w:szCs w:val="20"/>
                <w:color w:val="auto"/>
              </w:rPr>
            </w:pPr>
            <w:r>
              <w:rPr>
                <w:rFonts w:ascii="Times New Roman" w:cs="Times New Roman" w:eastAsia="Times New Roman" w:hAnsi="Times New Roman"/>
                <w:sz w:val="18"/>
                <w:szCs w:val="18"/>
                <w:color w:val="auto"/>
              </w:rPr>
              <w:t>9,351</w:t>
            </w: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57"/>
        </w:trPr>
        <w:tc>
          <w:tcPr>
            <w:tcW w:w="280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Facility-related dollar volume </w:t>
            </w:r>
            <w:r>
              <w:rPr>
                <w:rFonts w:ascii="Times New Roman" w:cs="Times New Roman" w:eastAsia="Times New Roman" w:hAnsi="Times New Roman"/>
                <w:sz w:val="23"/>
                <w:szCs w:val="23"/>
                <w:color w:val="auto"/>
                <w:vertAlign w:val="superscript"/>
              </w:rPr>
              <w:t>2</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5,485,783</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4,215,044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30.1 %</w:t>
            </w: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14,699,903</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11,590,437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26.8 %</w:t>
            </w:r>
          </w:p>
        </w:tc>
        <w:tc>
          <w:tcPr>
            <w:tcW w:w="0" w:type="dxa"/>
            <w:vAlign w:val="bottom"/>
          </w:tcPr>
          <w:p>
            <w:pPr>
              <w:spacing w:after="0"/>
              <w:rPr>
                <w:sz w:val="1"/>
                <w:szCs w:val="1"/>
                <w:color w:val="auto"/>
              </w:rPr>
            </w:pPr>
          </w:p>
        </w:tc>
      </w:tr>
      <w:tr>
        <w:trPr>
          <w:trHeight w:val="211"/>
        </w:trPr>
        <w:tc>
          <w:tcPr>
            <w:tcW w:w="28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Average payments in advance of</w:t>
            </w:r>
          </w:p>
        </w:tc>
        <w:tc>
          <w:tcPr>
            <w:tcW w:w="280" w:type="dxa"/>
            <w:vAlign w:val="bottom"/>
            <w:shd w:val="clear" w:color="auto" w:fill="B6B6B6"/>
          </w:tcPr>
          <w:p>
            <w:pPr>
              <w:spacing w:after="0"/>
              <w:rPr>
                <w:sz w:val="18"/>
                <w:szCs w:val="18"/>
                <w:color w:val="auto"/>
              </w:rPr>
            </w:pPr>
          </w:p>
        </w:tc>
        <w:tc>
          <w:tcPr>
            <w:tcW w:w="1040" w:type="dxa"/>
            <w:vAlign w:val="bottom"/>
            <w:shd w:val="clear" w:color="auto" w:fill="B6B6B6"/>
          </w:tcPr>
          <w:p>
            <w:pPr>
              <w:spacing w:after="0"/>
              <w:rPr>
                <w:sz w:val="18"/>
                <w:szCs w:val="18"/>
                <w:color w:val="auto"/>
              </w:rPr>
            </w:pPr>
          </w:p>
        </w:tc>
        <w:tc>
          <w:tcPr>
            <w:tcW w:w="360" w:type="dxa"/>
            <w:vAlign w:val="bottom"/>
            <w:shd w:val="clear" w:color="auto" w:fill="B6B6B6"/>
          </w:tcPr>
          <w:p>
            <w:pPr>
              <w:spacing w:after="0"/>
              <w:rPr>
                <w:sz w:val="18"/>
                <w:szCs w:val="18"/>
                <w:color w:val="auto"/>
              </w:rPr>
            </w:pPr>
          </w:p>
        </w:tc>
        <w:tc>
          <w:tcPr>
            <w:tcW w:w="1240" w:type="dxa"/>
            <w:vAlign w:val="bottom"/>
            <w:shd w:val="clear" w:color="auto" w:fill="B6B6B6"/>
          </w:tcPr>
          <w:p>
            <w:pPr>
              <w:spacing w:after="0"/>
              <w:rPr>
                <w:sz w:val="18"/>
                <w:szCs w:val="18"/>
                <w:color w:val="auto"/>
              </w:rPr>
            </w:pPr>
          </w:p>
        </w:tc>
        <w:tc>
          <w:tcPr>
            <w:tcW w:w="120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260" w:type="dxa"/>
            <w:vAlign w:val="bottom"/>
            <w:shd w:val="clear" w:color="auto" w:fill="B6B6B6"/>
          </w:tcPr>
          <w:p>
            <w:pPr>
              <w:spacing w:after="0"/>
              <w:rPr>
                <w:sz w:val="18"/>
                <w:szCs w:val="18"/>
                <w:color w:val="auto"/>
              </w:rPr>
            </w:pPr>
          </w:p>
        </w:tc>
        <w:tc>
          <w:tcPr>
            <w:tcW w:w="1060" w:type="dxa"/>
            <w:vAlign w:val="bottom"/>
            <w:shd w:val="clear" w:color="auto" w:fill="B6B6B6"/>
          </w:tcPr>
          <w:p>
            <w:pPr>
              <w:spacing w:after="0"/>
              <w:rPr>
                <w:sz w:val="18"/>
                <w:szCs w:val="18"/>
                <w:color w:val="auto"/>
              </w:rPr>
            </w:pPr>
          </w:p>
        </w:tc>
        <w:tc>
          <w:tcPr>
            <w:tcW w:w="380" w:type="dxa"/>
            <w:vAlign w:val="bottom"/>
            <w:shd w:val="clear" w:color="auto" w:fill="B6B6B6"/>
          </w:tcPr>
          <w:p>
            <w:pPr>
              <w:spacing w:after="0"/>
              <w:rPr>
                <w:sz w:val="18"/>
                <w:szCs w:val="18"/>
                <w:color w:val="auto"/>
              </w:rPr>
            </w:pPr>
          </w:p>
        </w:tc>
        <w:tc>
          <w:tcPr>
            <w:tcW w:w="1380" w:type="dxa"/>
            <w:vAlign w:val="bottom"/>
            <w:shd w:val="clear" w:color="auto" w:fill="B6B6B6"/>
          </w:tcPr>
          <w:p>
            <w:pPr>
              <w:spacing w:after="0"/>
              <w:rPr>
                <w:sz w:val="18"/>
                <w:szCs w:val="18"/>
                <w:color w:val="auto"/>
              </w:rPr>
            </w:pPr>
          </w:p>
        </w:tc>
        <w:tc>
          <w:tcPr>
            <w:tcW w:w="114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80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funding</w:t>
            </w:r>
          </w:p>
        </w:tc>
        <w:tc>
          <w:tcPr>
            <w:tcW w:w="28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277,683</w:t>
            </w:r>
          </w:p>
        </w:tc>
        <w:tc>
          <w:tcPr>
            <w:tcW w:w="36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B6B6B6"/>
          </w:tcPr>
          <w:p>
            <w:pPr>
              <w:jc w:val="right"/>
              <w:ind w:right="250"/>
              <w:spacing w:after="0"/>
              <w:rPr>
                <w:sz w:val="20"/>
                <w:szCs w:val="20"/>
                <w:color w:val="auto"/>
              </w:rPr>
            </w:pPr>
            <w:r>
              <w:rPr>
                <w:rFonts w:ascii="Times New Roman" w:cs="Times New Roman" w:eastAsia="Times New Roman" w:hAnsi="Times New Roman"/>
                <w:sz w:val="18"/>
                <w:szCs w:val="18"/>
                <w:color w:val="auto"/>
              </w:rPr>
              <w:t>213,922</w:t>
            </w:r>
          </w:p>
        </w:tc>
        <w:tc>
          <w:tcPr>
            <w:tcW w:w="12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29.8 %</w:t>
            </w:r>
          </w:p>
        </w:tc>
        <w:tc>
          <w:tcPr>
            <w:tcW w:w="100" w:type="dxa"/>
            <w:vAlign w:val="bottom"/>
            <w:shd w:val="clear" w:color="auto" w:fill="B6B6B6"/>
          </w:tcPr>
          <w:p>
            <w:pPr>
              <w:spacing w:after="0"/>
              <w:rPr>
                <w:sz w:val="21"/>
                <w:szCs w:val="21"/>
                <w:color w:val="auto"/>
              </w:rPr>
            </w:pPr>
          </w:p>
        </w:tc>
        <w:tc>
          <w:tcPr>
            <w:tcW w:w="26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283,431</w:t>
            </w:r>
          </w:p>
        </w:tc>
        <w:tc>
          <w:tcPr>
            <w:tcW w:w="38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B6B6B6"/>
          </w:tcPr>
          <w:p>
            <w:pPr>
              <w:jc w:val="right"/>
              <w:ind w:right="310"/>
              <w:spacing w:after="0"/>
              <w:rPr>
                <w:sz w:val="20"/>
                <w:szCs w:val="20"/>
                <w:color w:val="auto"/>
              </w:rPr>
            </w:pPr>
            <w:r>
              <w:rPr>
                <w:rFonts w:ascii="Times New Roman" w:cs="Times New Roman" w:eastAsia="Times New Roman" w:hAnsi="Times New Roman"/>
                <w:sz w:val="18"/>
                <w:szCs w:val="18"/>
                <w:color w:val="auto"/>
              </w:rPr>
              <w:t>196,492</w:t>
            </w: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44.2 %</w:t>
            </w:r>
          </w:p>
        </w:tc>
        <w:tc>
          <w:tcPr>
            <w:tcW w:w="0" w:type="dxa"/>
            <w:vAlign w:val="bottom"/>
          </w:tcPr>
          <w:p>
            <w:pPr>
              <w:spacing w:after="0"/>
              <w:rPr>
                <w:sz w:val="1"/>
                <w:szCs w:val="1"/>
                <w:color w:val="auto"/>
              </w:rPr>
            </w:pPr>
          </w:p>
        </w:tc>
      </w:tr>
      <w:tr>
        <w:trPr>
          <w:trHeight w:val="257"/>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Processing fees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18,964</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18,461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57,184</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55,882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57"/>
        </w:trPr>
        <w:tc>
          <w:tcPr>
            <w:tcW w:w="28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Financial fees</w:t>
            </w:r>
          </w:p>
        </w:tc>
        <w:tc>
          <w:tcPr>
            <w:tcW w:w="28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11,252</w:t>
            </w:r>
          </w:p>
        </w:tc>
        <w:tc>
          <w:tcPr>
            <w:tcW w:w="36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B6B6B6"/>
          </w:tcPr>
          <w:p>
            <w:pPr>
              <w:jc w:val="right"/>
              <w:ind w:right="250"/>
              <w:spacing w:after="0"/>
              <w:rPr>
                <w:sz w:val="20"/>
                <w:szCs w:val="20"/>
                <w:color w:val="auto"/>
              </w:rPr>
            </w:pPr>
            <w:r>
              <w:rPr>
                <w:rFonts w:ascii="Times New Roman" w:cs="Times New Roman" w:eastAsia="Times New Roman" w:hAnsi="Times New Roman"/>
                <w:sz w:val="18"/>
                <w:szCs w:val="18"/>
                <w:color w:val="auto"/>
              </w:rPr>
              <w:t>8,624</w:t>
            </w:r>
          </w:p>
        </w:tc>
        <w:tc>
          <w:tcPr>
            <w:tcW w:w="12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30.5 %</w:t>
            </w:r>
          </w:p>
        </w:tc>
        <w:tc>
          <w:tcPr>
            <w:tcW w:w="100" w:type="dxa"/>
            <w:vAlign w:val="bottom"/>
            <w:shd w:val="clear" w:color="auto" w:fill="B6B6B6"/>
          </w:tcPr>
          <w:p>
            <w:pPr>
              <w:spacing w:after="0"/>
              <w:rPr>
                <w:sz w:val="22"/>
                <w:szCs w:val="22"/>
                <w:color w:val="auto"/>
              </w:rPr>
            </w:pPr>
          </w:p>
        </w:tc>
        <w:tc>
          <w:tcPr>
            <w:tcW w:w="26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32,406</w:t>
            </w:r>
          </w:p>
        </w:tc>
        <w:tc>
          <w:tcPr>
            <w:tcW w:w="38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B6B6B6"/>
          </w:tcPr>
          <w:p>
            <w:pPr>
              <w:jc w:val="right"/>
              <w:ind w:right="310"/>
              <w:spacing w:after="0"/>
              <w:rPr>
                <w:sz w:val="20"/>
                <w:szCs w:val="20"/>
                <w:color w:val="auto"/>
              </w:rPr>
            </w:pPr>
            <w:r>
              <w:rPr>
                <w:rFonts w:ascii="Times New Roman" w:cs="Times New Roman" w:eastAsia="Times New Roman" w:hAnsi="Times New Roman"/>
                <w:sz w:val="18"/>
                <w:szCs w:val="18"/>
                <w:color w:val="auto"/>
              </w:rPr>
              <w:t>23,122</w:t>
            </w: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40.2 %</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right="20" w:hanging="332"/>
        <w:spacing w:after="0" w:line="271" w:lineRule="auto"/>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Facility expense transaction volumes have been restated for the current and prior periods to reflect total invoices processed. In prior periods, billing account numbers were utilized for the telecom division as a proxy for transactions.</w:t>
      </w:r>
    </w:p>
    <w:p>
      <w:pPr>
        <w:ind w:left="340" w:hanging="332"/>
        <w:spacing w:after="0"/>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energy, telecom and environmental.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Quarter of 2022 compared to Third Quarter of 2021:</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Processing fee revenue increased $503,000, or 2.7%, primarily attributable to the increase in transportation and facility-related transaction volumes of 0.6% and 6.8%, respectively.</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fee revenue increased $2,628,000, or 30.5%, primarily attributable to the 21.1% and 30.1% increases in transportation and facility-related dollar volumes, respectively. The increase in dollar volumes contributed to a 29.8% increase in average payments in advance of funding, which is a significant driver of financial fee revenue. The significant increase in transportation invoice dollar volume was driven by inflationary pressures, supply chain disruptions and fuel surcharges, among other factors. Facility-related invoices increased 6.8%, while dollar volume increased 30.1%. The increase in facility-related dollar volume was largely due to an increase in energy prices.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Nine Months Ended September 30, 2022 compared to Nine Months Ended September 30, 2021:</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Processing fee revenue increased $1,302,000, or 2.3%, primarily attributable to the increase in transportation and facility-related transaction volumes of 0.2% and 4.7%, respectively.</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fee revenue increased $9,284,000, or 40.2%, primarily attributable to the 28.2% and 26.8% increases in transportation and facility-related dollar volumes, respectively. The increase in dollar volumes contributed to a 44.2% increase in average payments in advance of funding.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interest income is the difference between interest earned on loans, investments, and other earning assets and interest expense on deposits and other interest-bearing liabilities. Net interest income is a significant source of the Company’s revenues. The following table summarizes the changes in tax-equivalent net interest income and related factors: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2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Third Quarter of</w:t>
            </w:r>
          </w:p>
        </w:tc>
        <w:tc>
          <w:tcPr>
            <w:tcW w:w="12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1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40" w:type="dxa"/>
            <w:vAlign w:val="bottom"/>
          </w:tcPr>
          <w:p>
            <w:pPr>
              <w:spacing w:after="0"/>
              <w:rPr>
                <w:sz w:val="15"/>
                <w:szCs w:val="15"/>
                <w:color w:val="auto"/>
              </w:rPr>
            </w:pPr>
          </w:p>
        </w:tc>
        <w:tc>
          <w:tcPr>
            <w:tcW w:w="10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Pr>
          <w:p>
            <w:pPr>
              <w:spacing w:after="0"/>
              <w:rPr>
                <w:sz w:val="15"/>
                <w:szCs w:val="15"/>
                <w:color w:val="auto"/>
              </w:rPr>
            </w:pPr>
          </w:p>
        </w:tc>
        <w:tc>
          <w:tcPr>
            <w:tcW w:w="128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0" w:type="dxa"/>
            <w:vAlign w:val="bottom"/>
          </w:tcPr>
          <w:p>
            <w:pPr>
              <w:jc w:val="right"/>
              <w:ind w:right="43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Pr>
          <w:p>
            <w:pPr>
              <w:spacing w:after="0"/>
              <w:rPr>
                <w:sz w:val="15"/>
                <w:szCs w:val="15"/>
                <w:color w:val="auto"/>
              </w:rPr>
            </w:pPr>
          </w:p>
        </w:tc>
        <w:tc>
          <w:tcPr>
            <w:tcW w:w="1300" w:type="dxa"/>
            <w:vAlign w:val="bottom"/>
            <w:vMerge w:val="restart"/>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160" w:type="dxa"/>
            <w:vAlign w:val="bottom"/>
          </w:tcPr>
          <w:p>
            <w:pPr>
              <w:jc w:val="right"/>
              <w:ind w:right="41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1"/>
        </w:trPr>
        <w:tc>
          <w:tcPr>
            <w:tcW w:w="222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1640" w:type="dxa"/>
            <w:vAlign w:val="bottom"/>
            <w:tcBorders>
              <w:bottom w:val="single" w:sz="8" w:color="auto"/>
            </w:tcBorders>
            <w:gridSpan w:val="3"/>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Borders>
              <w:bottom w:val="single" w:sz="8" w:color="auto"/>
            </w:tcBorders>
            <w:vMerge w:val="continue"/>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52"/>
        </w:trPr>
        <w:tc>
          <w:tcPr>
            <w:tcW w:w="22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Average earnings assets</w:t>
            </w:r>
          </w:p>
        </w:tc>
        <w:tc>
          <w:tcPr>
            <w:tcW w:w="34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2,243,219</w:t>
            </w:r>
          </w:p>
        </w:tc>
        <w:tc>
          <w:tcPr>
            <w:tcW w:w="52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B6B6B6"/>
          </w:tcPr>
          <w:p>
            <w:pPr>
              <w:jc w:val="right"/>
              <w:ind w:right="230"/>
              <w:spacing w:after="0"/>
              <w:rPr>
                <w:sz w:val="20"/>
                <w:szCs w:val="20"/>
                <w:color w:val="auto"/>
              </w:rPr>
            </w:pPr>
            <w:r>
              <w:rPr>
                <w:rFonts w:ascii="Times New Roman" w:cs="Times New Roman" w:eastAsia="Times New Roman" w:hAnsi="Times New Roman"/>
                <w:sz w:val="18"/>
                <w:szCs w:val="18"/>
                <w:color w:val="auto"/>
              </w:rPr>
              <w:t>2,036,296</w:t>
            </w:r>
          </w:p>
        </w:tc>
        <w:tc>
          <w:tcPr>
            <w:tcW w:w="1640" w:type="dxa"/>
            <w:vAlign w:val="bottom"/>
            <w:gridSpan w:val="3"/>
            <w:shd w:val="clear" w:color="auto" w:fill="B6B6B6"/>
          </w:tcPr>
          <w:p>
            <w:pPr>
              <w:jc w:val="right"/>
              <w:ind w:right="240"/>
              <w:spacing w:after="0"/>
              <w:rPr>
                <w:sz w:val="20"/>
                <w:szCs w:val="20"/>
                <w:color w:val="auto"/>
              </w:rPr>
            </w:pPr>
            <w:r>
              <w:rPr>
                <w:rFonts w:ascii="Times New Roman" w:cs="Times New Roman" w:eastAsia="Times New Roman" w:hAnsi="Times New Roman"/>
                <w:sz w:val="18"/>
                <w:szCs w:val="18"/>
                <w:color w:val="auto"/>
              </w:rPr>
              <w:t>10.2 %  $</w:t>
            </w:r>
          </w:p>
        </w:tc>
        <w:tc>
          <w:tcPr>
            <w:tcW w:w="10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2,196,704</w:t>
            </w:r>
          </w:p>
        </w:tc>
        <w:tc>
          <w:tcPr>
            <w:tcW w:w="580" w:type="dxa"/>
            <w:vAlign w:val="bottom"/>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B6B6B6"/>
          </w:tcPr>
          <w:p>
            <w:pPr>
              <w:jc w:val="right"/>
              <w:ind w:right="270"/>
              <w:spacing w:after="0"/>
              <w:rPr>
                <w:sz w:val="20"/>
                <w:szCs w:val="20"/>
                <w:color w:val="auto"/>
              </w:rPr>
            </w:pPr>
            <w:r>
              <w:rPr>
                <w:rFonts w:ascii="Times New Roman" w:cs="Times New Roman" w:eastAsia="Times New Roman" w:hAnsi="Times New Roman"/>
                <w:sz w:val="18"/>
                <w:szCs w:val="18"/>
                <w:color w:val="auto"/>
              </w:rPr>
              <w:t>1,965,976</w:t>
            </w: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0" w:type="dxa"/>
            <w:vAlign w:val="bottom"/>
          </w:tcPr>
          <w:p>
            <w:pPr>
              <w:spacing w:after="0"/>
              <w:rPr>
                <w:sz w:val="1"/>
                <w:szCs w:val="1"/>
                <w:color w:val="auto"/>
              </w:rPr>
            </w:pPr>
          </w:p>
        </w:tc>
      </w:tr>
      <w:tr>
        <w:trPr>
          <w:trHeight w:val="211"/>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interest-bearing</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3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597,469</w:t>
            </w:r>
          </w:p>
        </w:tc>
        <w:tc>
          <w:tcPr>
            <w:tcW w:w="520" w:type="dxa"/>
            <w:vAlign w:val="bottom"/>
          </w:tcPr>
          <w:p>
            <w:pPr>
              <w:spacing w:after="0"/>
              <w:rPr>
                <w:sz w:val="20"/>
                <w:szCs w:val="20"/>
                <w:color w:val="auto"/>
              </w:rPr>
            </w:pPr>
          </w:p>
        </w:tc>
        <w:tc>
          <w:tcPr>
            <w:tcW w:w="12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600,263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598,812</w:t>
            </w:r>
          </w:p>
        </w:tc>
        <w:tc>
          <w:tcPr>
            <w:tcW w:w="580" w:type="dxa"/>
            <w:vAlign w:val="bottom"/>
          </w:tcPr>
          <w:p>
            <w:pPr>
              <w:spacing w:after="0"/>
              <w:rPr>
                <w:sz w:val="20"/>
                <w:szCs w:val="20"/>
                <w:color w:val="auto"/>
              </w:rPr>
            </w:pPr>
          </w:p>
        </w:tc>
        <w:tc>
          <w:tcPr>
            <w:tcW w:w="13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583,478</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63"/>
        </w:trPr>
        <w:tc>
          <w:tcPr>
            <w:tcW w:w="22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340" w:type="dxa"/>
            <w:vAlign w:val="bottom"/>
            <w:shd w:val="clear" w:color="auto" w:fill="B6B6B6"/>
          </w:tcPr>
          <w:p>
            <w:pPr>
              <w:spacing w:after="0"/>
              <w:rPr>
                <w:sz w:val="22"/>
                <w:szCs w:val="22"/>
                <w:color w:val="auto"/>
              </w:rPr>
            </w:pPr>
          </w:p>
        </w:tc>
        <w:tc>
          <w:tcPr>
            <w:tcW w:w="108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16,383</w:t>
            </w:r>
          </w:p>
        </w:tc>
        <w:tc>
          <w:tcPr>
            <w:tcW w:w="520" w:type="dxa"/>
            <w:vAlign w:val="bottom"/>
            <w:shd w:val="clear" w:color="auto" w:fill="B6B6B6"/>
          </w:tcPr>
          <w:p>
            <w:pPr>
              <w:spacing w:after="0"/>
              <w:rPr>
                <w:sz w:val="22"/>
                <w:szCs w:val="22"/>
                <w:color w:val="auto"/>
              </w:rPr>
            </w:pPr>
          </w:p>
        </w:tc>
        <w:tc>
          <w:tcPr>
            <w:tcW w:w="1280" w:type="dxa"/>
            <w:vAlign w:val="bottom"/>
            <w:shd w:val="clear" w:color="auto" w:fill="B6B6B6"/>
          </w:tcPr>
          <w:p>
            <w:pPr>
              <w:jc w:val="right"/>
              <w:ind w:right="230"/>
              <w:spacing w:after="0"/>
              <w:rPr>
                <w:sz w:val="20"/>
                <w:szCs w:val="20"/>
                <w:color w:val="auto"/>
              </w:rPr>
            </w:pPr>
            <w:r>
              <w:rPr>
                <w:rFonts w:ascii="Times New Roman" w:cs="Times New Roman" w:eastAsia="Times New Roman" w:hAnsi="Times New Roman"/>
                <w:sz w:val="18"/>
                <w:szCs w:val="18"/>
                <w:color w:val="auto"/>
              </w:rPr>
              <w:t>11,900</w:t>
            </w:r>
          </w:p>
        </w:tc>
        <w:tc>
          <w:tcPr>
            <w:tcW w:w="12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37.7 %</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0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42,809</w:t>
            </w:r>
          </w:p>
        </w:tc>
        <w:tc>
          <w:tcPr>
            <w:tcW w:w="580" w:type="dxa"/>
            <w:vAlign w:val="bottom"/>
            <w:shd w:val="clear" w:color="auto" w:fill="B6B6B6"/>
          </w:tcPr>
          <w:p>
            <w:pPr>
              <w:spacing w:after="0"/>
              <w:rPr>
                <w:sz w:val="22"/>
                <w:szCs w:val="22"/>
                <w:color w:val="auto"/>
              </w:rPr>
            </w:pPr>
          </w:p>
        </w:tc>
        <w:tc>
          <w:tcPr>
            <w:tcW w:w="1300" w:type="dxa"/>
            <w:vAlign w:val="bottom"/>
            <w:shd w:val="clear" w:color="auto" w:fill="B6B6B6"/>
          </w:tcPr>
          <w:p>
            <w:pPr>
              <w:jc w:val="right"/>
              <w:ind w:right="270"/>
              <w:spacing w:after="0"/>
              <w:rPr>
                <w:sz w:val="20"/>
                <w:szCs w:val="20"/>
                <w:color w:val="auto"/>
              </w:rPr>
            </w:pPr>
            <w:r>
              <w:rPr>
                <w:rFonts w:ascii="Times New Roman" w:cs="Times New Roman" w:eastAsia="Times New Roman" w:hAnsi="Times New Roman"/>
                <w:sz w:val="18"/>
                <w:szCs w:val="18"/>
                <w:color w:val="auto"/>
              </w:rPr>
              <w:t>34,005</w:t>
            </w: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margin*</w:t>
            </w:r>
          </w:p>
        </w:tc>
        <w:tc>
          <w:tcPr>
            <w:tcW w:w="17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2.90 %</w:t>
            </w:r>
          </w:p>
        </w:tc>
        <w:tc>
          <w:tcPr>
            <w:tcW w:w="226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2.32 %</w:t>
            </w:r>
          </w:p>
        </w:tc>
        <w:tc>
          <w:tcPr>
            <w:tcW w:w="22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2.61 %</w:t>
            </w:r>
          </w:p>
        </w:tc>
        <w:tc>
          <w:tcPr>
            <w:tcW w:w="238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2.31 %</w:t>
            </w:r>
          </w:p>
        </w:tc>
      </w:tr>
      <w:tr>
        <w:trPr>
          <w:trHeight w:val="263"/>
        </w:trPr>
        <w:tc>
          <w:tcPr>
            <w:tcW w:w="24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Yield on earning assets*</w:t>
            </w:r>
          </w:p>
        </w:tc>
        <w:tc>
          <w:tcPr>
            <w:tcW w:w="1780" w:type="dxa"/>
            <w:vAlign w:val="bottom"/>
            <w:shd w:val="clear" w:color="auto" w:fill="B6B6B6"/>
          </w:tcPr>
          <w:p>
            <w:pPr>
              <w:jc w:val="right"/>
              <w:ind w:right="450"/>
              <w:spacing w:after="0"/>
              <w:rPr>
                <w:sz w:val="20"/>
                <w:szCs w:val="20"/>
                <w:color w:val="auto"/>
              </w:rPr>
            </w:pPr>
            <w:r>
              <w:rPr>
                <w:rFonts w:ascii="Times New Roman" w:cs="Times New Roman" w:eastAsia="Times New Roman" w:hAnsi="Times New Roman"/>
                <w:sz w:val="18"/>
                <w:szCs w:val="18"/>
                <w:color w:val="auto"/>
              </w:rPr>
              <w:t>3.04 %</w:t>
            </w:r>
          </w:p>
        </w:tc>
        <w:tc>
          <w:tcPr>
            <w:tcW w:w="2260" w:type="dxa"/>
            <w:vAlign w:val="bottom"/>
            <w:shd w:val="clear" w:color="auto" w:fill="B6B6B6"/>
          </w:tcPr>
          <w:p>
            <w:pPr>
              <w:jc w:val="right"/>
              <w:ind w:right="1110"/>
              <w:spacing w:after="0"/>
              <w:rPr>
                <w:sz w:val="20"/>
                <w:szCs w:val="20"/>
                <w:color w:val="auto"/>
              </w:rPr>
            </w:pPr>
            <w:r>
              <w:rPr>
                <w:rFonts w:ascii="Times New Roman" w:cs="Times New Roman" w:eastAsia="Times New Roman" w:hAnsi="Times New Roman"/>
                <w:sz w:val="18"/>
                <w:szCs w:val="18"/>
                <w:color w:val="auto"/>
              </w:rPr>
              <w:t>2.37 %</w:t>
            </w:r>
          </w:p>
        </w:tc>
        <w:tc>
          <w:tcPr>
            <w:tcW w:w="2240" w:type="dxa"/>
            <w:vAlign w:val="bottom"/>
            <w:shd w:val="clear" w:color="auto" w:fill="B6B6B6"/>
          </w:tcPr>
          <w:p>
            <w:pPr>
              <w:jc w:val="right"/>
              <w:ind w:right="450"/>
              <w:spacing w:after="0"/>
              <w:rPr>
                <w:sz w:val="20"/>
                <w:szCs w:val="20"/>
                <w:color w:val="auto"/>
              </w:rPr>
            </w:pPr>
            <w:r>
              <w:rPr>
                <w:rFonts w:ascii="Times New Roman" w:cs="Times New Roman" w:eastAsia="Times New Roman" w:hAnsi="Times New Roman"/>
                <w:sz w:val="18"/>
                <w:szCs w:val="18"/>
                <w:color w:val="auto"/>
              </w:rPr>
              <w:t>2.69 %</w:t>
            </w:r>
          </w:p>
        </w:tc>
        <w:tc>
          <w:tcPr>
            <w:tcW w:w="2380" w:type="dxa"/>
            <w:vAlign w:val="bottom"/>
            <w:shd w:val="clear" w:color="auto" w:fill="B6B6B6"/>
          </w:tcPr>
          <w:p>
            <w:pPr>
              <w:jc w:val="right"/>
              <w:ind w:right="1210"/>
              <w:spacing w:after="0"/>
              <w:rPr>
                <w:sz w:val="20"/>
                <w:szCs w:val="20"/>
                <w:color w:val="auto"/>
              </w:rPr>
            </w:pPr>
            <w:r>
              <w:rPr>
                <w:rFonts w:ascii="Times New Roman" w:cs="Times New Roman" w:eastAsia="Times New Roman" w:hAnsi="Times New Roman"/>
                <w:sz w:val="18"/>
                <w:szCs w:val="18"/>
                <w:color w:val="auto"/>
              </w:rPr>
              <w:t>2.37 %</w:t>
            </w:r>
          </w:p>
        </w:tc>
      </w:tr>
      <w:tr>
        <w:trPr>
          <w:trHeight w:val="211"/>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on interest-bearing</w:t>
            </w:r>
          </w:p>
        </w:tc>
        <w:tc>
          <w:tcPr>
            <w:tcW w:w="17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41"/>
        </w:trPr>
        <w:tc>
          <w:tcPr>
            <w:tcW w:w="24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17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0.52 %</w:t>
            </w:r>
          </w:p>
        </w:tc>
        <w:tc>
          <w:tcPr>
            <w:tcW w:w="2260" w:type="dxa"/>
            <w:vAlign w:val="bottom"/>
            <w:tcBorders>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rPr>
              <w:t>0.19 %</w:t>
            </w:r>
          </w:p>
        </w:tc>
        <w:tc>
          <w:tcPr>
            <w:tcW w:w="2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0.30 %</w:t>
            </w:r>
          </w:p>
        </w:tc>
        <w:tc>
          <w:tcPr>
            <w:tcW w:w="238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0.21 %</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on a tax-equivalent basis assuming a tax rate of 21% for both 2022 and 2021.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of 2022 compared to Third Quarter of 2021:</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Average earning assets increased $206,923,000, or 10.2%. The overall increase in average interest-earning asset balances was primarily due to increases in average investments and loans, partially offset by a decrease in average short-term investments.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Average investment securities increased $309,866,000, or 59.9%, as cash provided by increases in funding sources was utilized to purchase investment securities. The average yield on taxable investment securities increased 73 basis points to 2.11% as a result of the increase in short and long-term interest rates. The average yield on tax-exempt investment securities declined two basis points to 2.85%. These securities are longer term fixed rate and do not reprice as quickly in a rising interest rate environment. The Company has not purchased tax-exempt investment securities during the first nine months of 2022.</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Average loans increased $111,034,000 as organic growth in franchise, faith-based and other commercial and industrial loans more than offset a $36,254,000 reduction in average PPP loans. The average yield on loans declined 5 basis points to 4.03% primarily due to a $812,000 decrease in PPP loan fees, partially offset by the increase in short-term interest rates that began in March 2022 and continued through September 2022. Excluding the impact of the PPP loan fees, the average yield on loans increased 32 basis points.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average balance of short-term investments decreased $213,977,000, or 33.1%, as available funds were deployed into investment securities and loans. The average yield on short-term investments increased 192 basis points to 2.07% primarily due to the increase in short-term interest rates that began in March 2022.</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average balance of interest-bearing deposits decreased $2,795,000, or 0.5% due to a decrease in average time deposits. The average rate paid on interest-bearing deposits increased 33 basis points to 0.52% due to the increase in short-term interest rates.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Average demand deposits increased $133,756,000, or 29.5%. The increase was driven by significant liquidity in the economy resulting in higher deposit balances.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Average accounts and drafts payable increased $171,732,000, or 17.0%. The increase in average accounts and drafts payable was primarily driven by inflationary pressures, fuel surcharges, and increased energy prices, which continue to drive prices higher.</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Tax-equivalent net interest income increased $4,483,000, or 37.7%, compared to the same period in the prior year driven by the 10.2% increase in average interest-earning assets and 58 basis point increase in the net interest margin from 2.32% to 2.90%. The increase in the net interest margin was driven by the increase in short-term interest rates which positively impacts the Company's net interest margin over time as average interest-earning assets of $2,243,219,000 greatly exceed average interest-bearing liabilities of $597,469,000.</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2022 compared to Nine Months Ended September 30, 2021:</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Average earning assets increased $230,728,000, or 11.7%. The overall increase in average interest-earning asset balances was primarily due to increases in average investments and loans, partially offset by a decrease in average short-term investments.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Average investment securities increased $318,143,000, or 70.0%. The average yield on taxable investment securities increased 59 basis points to 1.83% as a result of the increase in short and long-term interest rates. The average yield on tax-exempt investment securities declined six basis points to 2.90%.</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Average loans increased $87,424,000, or 9.9%. The average yield on loans declined 14 basis points to 3.83% primarily due to a $2,155,000 decrease in PPP loan fees, partially offset by the increase in short-term interest rates that began in March 2022. Excluding the impact of the PPP loan fees, the average yield on loans increased 19 basis points.</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Average short-term investments decreased $174,839,000, or 27.9%, as available funds were deployed into investment securities and loans. The average yield on short-term investments increased 90 basis points to 1.01% primarily due to the increase in short-term interest rates that began in March 2022.</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average balance of interest-bearing deposits increased $15,334,000, or 2.6% due to an increase in interest-bearing demand deposits. The average rate paid on interest-bearing deposits increased 9 basis points to 0.30% due to the increase in short-term interest rates.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Average demand deposits increased $164,488,000, or 38.2%. The increase was driven by significant liquidity in the economy resulting in higher deposit balances.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Average accounts and drafts payable increased $182,926,000, or 19.2%. The increase in average accounts and drafts payable was primarily driven by inflationary pressures, fuel surcharges, and increased energy prices, which continue to drive prices higher.</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Tax-equivalent net interest income increased $8,804,000, or 25.9%, compared to the same period in the prior year driven by the 11.7% increase in average interest-earning assets and 30 basis point increase in the net interest margin from 2.31% to 2.61%. The increase in the net interest margin was driven by the increase in short-term interest rates which positively impacts the Company's net interest margin over time as average interest-earning assets of $2,196,704,000 greatly exceed average interest-bearing liabilities of $598,812,000.</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on the changes in net interest income, please refer to the tables that follow.</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of Assets, Liabilities and Shareholders' Equity; Interest Rate and Interest Differential</w:t>
      </w:r>
    </w:p>
    <w:p>
      <w:pPr>
        <w:spacing w:after="0" w:line="189" w:lineRule="exact"/>
        <w:rPr>
          <w:sz w:val="20"/>
          <w:szCs w:val="20"/>
          <w:color w:val="auto"/>
        </w:rPr>
      </w:pPr>
    </w:p>
    <w:p>
      <w:pPr>
        <w:jc w:val="both"/>
        <w:ind w:firstLine="9"/>
        <w:spacing w:after="0" w:line="266" w:lineRule="auto"/>
        <w:rPr>
          <w:sz w:val="20"/>
          <w:szCs w:val="20"/>
          <w:color w:val="auto"/>
        </w:rPr>
      </w:pPr>
      <w:r>
        <w:rPr>
          <w:rFonts w:ascii="Times New Roman" w:cs="Times New Roman" w:eastAsia="Times New Roman" w:hAnsi="Times New Roman"/>
          <w:sz w:val="18"/>
          <w:szCs w:val="18"/>
          <w:color w:val="auto"/>
        </w:rPr>
        <w:t>The following tables show the condensed average balance sheets for each of the periods reported, the tax-equivalent interest income and expense for each category of interest-earning assets and interest-bearing liabilities, and the average yield on such categories of interest-earning assets and the average rates paid on such categories of interest-bearing liabilities for each of the periods reported.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Third Quarter of 2022</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Third Quarter of 2021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6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3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80" w:type="dxa"/>
            <w:vAlign w:val="bottom"/>
          </w:tcPr>
          <w:p>
            <w:pPr>
              <w:spacing w:after="0"/>
              <w:rPr>
                <w:sz w:val="13"/>
                <w:szCs w:val="13"/>
                <w:color w:val="auto"/>
              </w:rPr>
            </w:pPr>
          </w:p>
        </w:tc>
        <w:tc>
          <w:tcPr>
            <w:tcW w:w="1240" w:type="dxa"/>
            <w:vAlign w:val="bottom"/>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220" w:type="dxa"/>
            <w:vAlign w:val="bottom"/>
          </w:tcPr>
          <w:p>
            <w:pPr>
              <w:spacing w:after="0"/>
              <w:rPr>
                <w:sz w:val="13"/>
                <w:szCs w:val="13"/>
                <w:color w:val="auto"/>
              </w:rPr>
            </w:pPr>
          </w:p>
        </w:tc>
        <w:tc>
          <w:tcPr>
            <w:tcW w:w="9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80" w:type="dxa"/>
            <w:vAlign w:val="bottom"/>
          </w:tcPr>
          <w:p>
            <w:pPr>
              <w:spacing w:after="0"/>
              <w:rPr>
                <w:sz w:val="13"/>
                <w:szCs w:val="13"/>
                <w:color w:val="auto"/>
              </w:rPr>
            </w:pPr>
          </w:p>
        </w:tc>
        <w:tc>
          <w:tcPr>
            <w:tcW w:w="1240" w:type="dxa"/>
            <w:vAlign w:val="bottom"/>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96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148"/>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6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Rate</w:t>
            </w: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9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216"/>
        </w:trPr>
        <w:tc>
          <w:tcPr>
            <w:tcW w:w="36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r>
              <w:rPr>
                <w:rFonts w:ascii="Times New Roman" w:cs="Times New Roman" w:eastAsia="Times New Roman" w:hAnsi="Times New Roman"/>
                <w:sz w:val="18"/>
                <w:szCs w:val="18"/>
                <w:color w:val="auto"/>
                <w:vertAlign w:val="superscript"/>
              </w:rPr>
              <w:t>1</w:t>
            </w:r>
          </w:p>
        </w:tc>
        <w:tc>
          <w:tcPr>
            <w:tcW w:w="220" w:type="dxa"/>
            <w:vAlign w:val="bottom"/>
            <w:shd w:val="clear" w:color="auto" w:fill="B6B6B6"/>
          </w:tcPr>
          <w:p>
            <w:pPr>
              <w:spacing w:after="0"/>
              <w:rPr>
                <w:sz w:val="18"/>
                <w:szCs w:val="18"/>
                <w:color w:val="auto"/>
              </w:rPr>
            </w:pPr>
          </w:p>
        </w:tc>
        <w:tc>
          <w:tcPr>
            <w:tcW w:w="940" w:type="dxa"/>
            <w:vAlign w:val="bottom"/>
            <w:shd w:val="clear" w:color="auto" w:fill="B6B6B6"/>
          </w:tcPr>
          <w:p>
            <w:pPr>
              <w:spacing w:after="0"/>
              <w:rPr>
                <w:sz w:val="18"/>
                <w:szCs w:val="18"/>
                <w:color w:val="auto"/>
              </w:rPr>
            </w:pPr>
          </w:p>
        </w:tc>
        <w:tc>
          <w:tcPr>
            <w:tcW w:w="380" w:type="dxa"/>
            <w:vAlign w:val="bottom"/>
            <w:shd w:val="clear" w:color="auto" w:fill="B6B6B6"/>
          </w:tcPr>
          <w:p>
            <w:pPr>
              <w:spacing w:after="0"/>
              <w:rPr>
                <w:sz w:val="18"/>
                <w:szCs w:val="18"/>
                <w:color w:val="auto"/>
              </w:rPr>
            </w:pPr>
          </w:p>
        </w:tc>
        <w:tc>
          <w:tcPr>
            <w:tcW w:w="1240" w:type="dxa"/>
            <w:vAlign w:val="bottom"/>
            <w:shd w:val="clear" w:color="auto" w:fill="B6B6B6"/>
          </w:tcPr>
          <w:p>
            <w:pPr>
              <w:spacing w:after="0"/>
              <w:rPr>
                <w:sz w:val="18"/>
                <w:szCs w:val="18"/>
                <w:color w:val="auto"/>
              </w:rPr>
            </w:pPr>
          </w:p>
        </w:tc>
        <w:tc>
          <w:tcPr>
            <w:tcW w:w="94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220" w:type="dxa"/>
            <w:vAlign w:val="bottom"/>
            <w:shd w:val="clear" w:color="auto" w:fill="B6B6B6"/>
          </w:tcPr>
          <w:p>
            <w:pPr>
              <w:spacing w:after="0"/>
              <w:rPr>
                <w:sz w:val="18"/>
                <w:szCs w:val="18"/>
                <w:color w:val="auto"/>
              </w:rPr>
            </w:pPr>
          </w:p>
        </w:tc>
        <w:tc>
          <w:tcPr>
            <w:tcW w:w="940" w:type="dxa"/>
            <w:vAlign w:val="bottom"/>
            <w:shd w:val="clear" w:color="auto" w:fill="B6B6B6"/>
          </w:tcPr>
          <w:p>
            <w:pPr>
              <w:spacing w:after="0"/>
              <w:rPr>
                <w:sz w:val="18"/>
                <w:szCs w:val="18"/>
                <w:color w:val="auto"/>
              </w:rPr>
            </w:pPr>
          </w:p>
        </w:tc>
        <w:tc>
          <w:tcPr>
            <w:tcW w:w="380" w:type="dxa"/>
            <w:vAlign w:val="bottom"/>
            <w:shd w:val="clear" w:color="auto" w:fill="B6B6B6"/>
          </w:tcPr>
          <w:p>
            <w:pPr>
              <w:spacing w:after="0"/>
              <w:rPr>
                <w:sz w:val="18"/>
                <w:szCs w:val="18"/>
                <w:color w:val="auto"/>
              </w:rPr>
            </w:pPr>
          </w:p>
        </w:tc>
        <w:tc>
          <w:tcPr>
            <w:tcW w:w="1240" w:type="dxa"/>
            <w:vAlign w:val="bottom"/>
            <w:shd w:val="clear" w:color="auto" w:fill="B6B6B6"/>
          </w:tcPr>
          <w:p>
            <w:pPr>
              <w:spacing w:after="0"/>
              <w:rPr>
                <w:sz w:val="18"/>
                <w:szCs w:val="18"/>
                <w:color w:val="auto"/>
              </w:rPr>
            </w:pPr>
          </w:p>
        </w:tc>
        <w:tc>
          <w:tcPr>
            <w:tcW w:w="96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Interest-earning assets</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Loans</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w:t>
            </w:r>
          </w:p>
        </w:tc>
        <w:tc>
          <w:tcPr>
            <w:tcW w:w="220" w:type="dxa"/>
            <w:vAlign w:val="bottom"/>
            <w:shd w:val="clear" w:color="auto" w:fill="B6B6B6"/>
          </w:tcPr>
          <w:p>
            <w:pPr>
              <w:spacing w:after="0"/>
              <w:rPr>
                <w:sz w:val="18"/>
                <w:szCs w:val="18"/>
                <w:color w:val="auto"/>
              </w:rPr>
            </w:pPr>
          </w:p>
        </w:tc>
        <w:tc>
          <w:tcPr>
            <w:tcW w:w="940" w:type="dxa"/>
            <w:vAlign w:val="bottom"/>
            <w:shd w:val="clear" w:color="auto" w:fill="B6B6B6"/>
          </w:tcPr>
          <w:p>
            <w:pPr>
              <w:spacing w:after="0"/>
              <w:rPr>
                <w:sz w:val="18"/>
                <w:szCs w:val="18"/>
                <w:color w:val="auto"/>
              </w:rPr>
            </w:pPr>
          </w:p>
        </w:tc>
        <w:tc>
          <w:tcPr>
            <w:tcW w:w="380" w:type="dxa"/>
            <w:vAlign w:val="bottom"/>
            <w:shd w:val="clear" w:color="auto" w:fill="B6B6B6"/>
          </w:tcPr>
          <w:p>
            <w:pPr>
              <w:spacing w:after="0"/>
              <w:rPr>
                <w:sz w:val="18"/>
                <w:szCs w:val="18"/>
                <w:color w:val="auto"/>
              </w:rPr>
            </w:pPr>
          </w:p>
        </w:tc>
        <w:tc>
          <w:tcPr>
            <w:tcW w:w="1240" w:type="dxa"/>
            <w:vAlign w:val="bottom"/>
            <w:shd w:val="clear" w:color="auto" w:fill="B6B6B6"/>
          </w:tcPr>
          <w:p>
            <w:pPr>
              <w:spacing w:after="0"/>
              <w:rPr>
                <w:sz w:val="18"/>
                <w:szCs w:val="18"/>
                <w:color w:val="auto"/>
              </w:rPr>
            </w:pPr>
          </w:p>
        </w:tc>
        <w:tc>
          <w:tcPr>
            <w:tcW w:w="94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220" w:type="dxa"/>
            <w:vAlign w:val="bottom"/>
            <w:shd w:val="clear" w:color="auto" w:fill="B6B6B6"/>
          </w:tcPr>
          <w:p>
            <w:pPr>
              <w:spacing w:after="0"/>
              <w:rPr>
                <w:sz w:val="18"/>
                <w:szCs w:val="18"/>
                <w:color w:val="auto"/>
              </w:rPr>
            </w:pPr>
          </w:p>
        </w:tc>
        <w:tc>
          <w:tcPr>
            <w:tcW w:w="940" w:type="dxa"/>
            <w:vAlign w:val="bottom"/>
            <w:shd w:val="clear" w:color="auto" w:fill="B6B6B6"/>
          </w:tcPr>
          <w:p>
            <w:pPr>
              <w:spacing w:after="0"/>
              <w:rPr>
                <w:sz w:val="18"/>
                <w:szCs w:val="18"/>
                <w:color w:val="auto"/>
              </w:rPr>
            </w:pPr>
          </w:p>
        </w:tc>
        <w:tc>
          <w:tcPr>
            <w:tcW w:w="380" w:type="dxa"/>
            <w:vAlign w:val="bottom"/>
            <w:shd w:val="clear" w:color="auto" w:fill="B6B6B6"/>
          </w:tcPr>
          <w:p>
            <w:pPr>
              <w:spacing w:after="0"/>
              <w:rPr>
                <w:sz w:val="18"/>
                <w:szCs w:val="18"/>
                <w:color w:val="auto"/>
              </w:rPr>
            </w:pPr>
          </w:p>
        </w:tc>
        <w:tc>
          <w:tcPr>
            <w:tcW w:w="1240" w:type="dxa"/>
            <w:vAlign w:val="bottom"/>
            <w:shd w:val="clear" w:color="auto" w:fill="B6B6B6"/>
          </w:tcPr>
          <w:p>
            <w:pPr>
              <w:spacing w:after="0"/>
              <w:rPr>
                <w:sz w:val="18"/>
                <w:szCs w:val="18"/>
                <w:color w:val="auto"/>
              </w:rPr>
            </w:pPr>
          </w:p>
        </w:tc>
        <w:tc>
          <w:tcPr>
            <w:tcW w:w="96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Taxable</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984,104</w:t>
            </w:r>
          </w:p>
        </w:tc>
        <w:tc>
          <w:tcPr>
            <w:tcW w:w="3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10,005</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4.03 %</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873,070</w:t>
            </w:r>
          </w:p>
        </w:tc>
        <w:tc>
          <w:tcPr>
            <w:tcW w:w="3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8,987</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Investment securities</w:t>
            </w: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4"/>
                <w:szCs w:val="14"/>
                <w:color w:val="auto"/>
              </w:rPr>
              <w:t>:</w:t>
            </w:r>
          </w:p>
        </w:tc>
        <w:tc>
          <w:tcPr>
            <w:tcW w:w="220" w:type="dxa"/>
            <w:vAlign w:val="bottom"/>
            <w:shd w:val="clear" w:color="auto" w:fill="B6B6B6"/>
          </w:tcPr>
          <w:p>
            <w:pPr>
              <w:spacing w:after="0"/>
              <w:rPr>
                <w:sz w:val="18"/>
                <w:szCs w:val="18"/>
                <w:color w:val="auto"/>
              </w:rPr>
            </w:pPr>
          </w:p>
        </w:tc>
        <w:tc>
          <w:tcPr>
            <w:tcW w:w="940" w:type="dxa"/>
            <w:vAlign w:val="bottom"/>
            <w:shd w:val="clear" w:color="auto" w:fill="B6B6B6"/>
          </w:tcPr>
          <w:p>
            <w:pPr>
              <w:spacing w:after="0"/>
              <w:rPr>
                <w:sz w:val="18"/>
                <w:szCs w:val="18"/>
                <w:color w:val="auto"/>
              </w:rPr>
            </w:pPr>
          </w:p>
        </w:tc>
        <w:tc>
          <w:tcPr>
            <w:tcW w:w="380" w:type="dxa"/>
            <w:vAlign w:val="bottom"/>
            <w:shd w:val="clear" w:color="auto" w:fill="B6B6B6"/>
          </w:tcPr>
          <w:p>
            <w:pPr>
              <w:spacing w:after="0"/>
              <w:rPr>
                <w:sz w:val="18"/>
                <w:szCs w:val="18"/>
                <w:color w:val="auto"/>
              </w:rPr>
            </w:pPr>
          </w:p>
        </w:tc>
        <w:tc>
          <w:tcPr>
            <w:tcW w:w="1240" w:type="dxa"/>
            <w:vAlign w:val="bottom"/>
            <w:shd w:val="clear" w:color="auto" w:fill="B6B6B6"/>
          </w:tcPr>
          <w:p>
            <w:pPr>
              <w:spacing w:after="0"/>
              <w:rPr>
                <w:sz w:val="18"/>
                <w:szCs w:val="18"/>
                <w:color w:val="auto"/>
              </w:rPr>
            </w:pPr>
          </w:p>
        </w:tc>
        <w:tc>
          <w:tcPr>
            <w:tcW w:w="94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220" w:type="dxa"/>
            <w:vAlign w:val="bottom"/>
            <w:shd w:val="clear" w:color="auto" w:fill="B6B6B6"/>
          </w:tcPr>
          <w:p>
            <w:pPr>
              <w:spacing w:after="0"/>
              <w:rPr>
                <w:sz w:val="18"/>
                <w:szCs w:val="18"/>
                <w:color w:val="auto"/>
              </w:rPr>
            </w:pPr>
          </w:p>
        </w:tc>
        <w:tc>
          <w:tcPr>
            <w:tcW w:w="940" w:type="dxa"/>
            <w:vAlign w:val="bottom"/>
            <w:shd w:val="clear" w:color="auto" w:fill="B6B6B6"/>
          </w:tcPr>
          <w:p>
            <w:pPr>
              <w:spacing w:after="0"/>
              <w:rPr>
                <w:sz w:val="18"/>
                <w:szCs w:val="18"/>
                <w:color w:val="auto"/>
              </w:rPr>
            </w:pPr>
          </w:p>
        </w:tc>
        <w:tc>
          <w:tcPr>
            <w:tcW w:w="380" w:type="dxa"/>
            <w:vAlign w:val="bottom"/>
            <w:shd w:val="clear" w:color="auto" w:fill="B6B6B6"/>
          </w:tcPr>
          <w:p>
            <w:pPr>
              <w:spacing w:after="0"/>
              <w:rPr>
                <w:sz w:val="18"/>
                <w:szCs w:val="18"/>
                <w:color w:val="auto"/>
              </w:rPr>
            </w:pPr>
          </w:p>
        </w:tc>
        <w:tc>
          <w:tcPr>
            <w:tcW w:w="1240" w:type="dxa"/>
            <w:vAlign w:val="bottom"/>
            <w:shd w:val="clear" w:color="auto" w:fill="B6B6B6"/>
          </w:tcPr>
          <w:p>
            <w:pPr>
              <w:spacing w:after="0"/>
              <w:rPr>
                <w:sz w:val="18"/>
                <w:szCs w:val="18"/>
                <w:color w:val="auto"/>
              </w:rPr>
            </w:pPr>
          </w:p>
        </w:tc>
        <w:tc>
          <w:tcPr>
            <w:tcW w:w="96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Taxable</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554,315</w:t>
            </w:r>
          </w:p>
        </w:tc>
        <w:tc>
          <w:tcPr>
            <w:tcW w:w="380" w:type="dxa"/>
            <w:vAlign w:val="bottom"/>
          </w:tcPr>
          <w:p>
            <w:pPr>
              <w:spacing w:after="0"/>
              <w:rPr>
                <w:sz w:val="16"/>
                <w:szCs w:val="16"/>
                <w:color w:val="auto"/>
              </w:rPr>
            </w:pPr>
          </w:p>
        </w:tc>
        <w:tc>
          <w:tcPr>
            <w:tcW w:w="124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2,948</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209,662</w:t>
            </w:r>
          </w:p>
        </w:tc>
        <w:tc>
          <w:tcPr>
            <w:tcW w:w="380" w:type="dxa"/>
            <w:vAlign w:val="bottom"/>
          </w:tcPr>
          <w:p>
            <w:pPr>
              <w:spacing w:after="0"/>
              <w:rPr>
                <w:sz w:val="16"/>
                <w:szCs w:val="16"/>
                <w:color w:val="auto"/>
              </w:rPr>
            </w:pPr>
          </w:p>
        </w:tc>
        <w:tc>
          <w:tcPr>
            <w:tcW w:w="124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731</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Tax-exempt</w:t>
            </w:r>
            <w:r>
              <w:rPr>
                <w:rFonts w:ascii="Times New Roman" w:cs="Times New Roman" w:eastAsia="Times New Roman" w:hAnsi="Times New Roman"/>
                <w:sz w:val="18"/>
                <w:szCs w:val="18"/>
                <w:color w:val="auto"/>
                <w:vertAlign w:val="superscript"/>
              </w:rPr>
              <w:t>4</w:t>
            </w:r>
          </w:p>
        </w:tc>
        <w:tc>
          <w:tcPr>
            <w:tcW w:w="220" w:type="dxa"/>
            <w:vAlign w:val="bottom"/>
            <w:shd w:val="clear" w:color="auto" w:fill="B6B6B6"/>
          </w:tcPr>
          <w:p>
            <w:pPr>
              <w:spacing w:after="0"/>
              <w:rPr>
                <w:sz w:val="18"/>
                <w:szCs w:val="18"/>
                <w:color w:val="auto"/>
              </w:rPr>
            </w:pPr>
          </w:p>
        </w:tc>
        <w:tc>
          <w:tcPr>
            <w:tcW w:w="9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273,284</w:t>
            </w:r>
          </w:p>
        </w:tc>
        <w:tc>
          <w:tcPr>
            <w:tcW w:w="380" w:type="dxa"/>
            <w:vAlign w:val="bottom"/>
            <w:shd w:val="clear" w:color="auto" w:fill="B6B6B6"/>
          </w:tcPr>
          <w:p>
            <w:pPr>
              <w:spacing w:after="0"/>
              <w:rPr>
                <w:sz w:val="18"/>
                <w:szCs w:val="18"/>
                <w:color w:val="auto"/>
              </w:rPr>
            </w:pPr>
          </w:p>
        </w:tc>
        <w:tc>
          <w:tcPr>
            <w:tcW w:w="1240" w:type="dxa"/>
            <w:vAlign w:val="bottom"/>
            <w:shd w:val="clear" w:color="auto" w:fill="B6B6B6"/>
          </w:tcPr>
          <w:p>
            <w:pPr>
              <w:jc w:val="right"/>
              <w:ind w:right="248"/>
              <w:spacing w:after="0"/>
              <w:rPr>
                <w:sz w:val="20"/>
                <w:szCs w:val="20"/>
                <w:color w:val="auto"/>
              </w:rPr>
            </w:pPr>
            <w:r>
              <w:rPr>
                <w:rFonts w:ascii="Times New Roman" w:cs="Times New Roman" w:eastAsia="Times New Roman" w:hAnsi="Times New Roman"/>
                <w:sz w:val="14"/>
                <w:szCs w:val="14"/>
                <w:color w:val="auto"/>
              </w:rPr>
              <w:t>1,963</w:t>
            </w:r>
          </w:p>
        </w:tc>
        <w:tc>
          <w:tcPr>
            <w:tcW w:w="9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2.85 %</w:t>
            </w:r>
          </w:p>
        </w:tc>
        <w:tc>
          <w:tcPr>
            <w:tcW w:w="100" w:type="dxa"/>
            <w:vAlign w:val="bottom"/>
            <w:shd w:val="clear" w:color="auto" w:fill="B6B6B6"/>
          </w:tcPr>
          <w:p>
            <w:pPr>
              <w:spacing w:after="0"/>
              <w:rPr>
                <w:sz w:val="18"/>
                <w:szCs w:val="18"/>
                <w:color w:val="auto"/>
              </w:rPr>
            </w:pPr>
          </w:p>
        </w:tc>
        <w:tc>
          <w:tcPr>
            <w:tcW w:w="220" w:type="dxa"/>
            <w:vAlign w:val="bottom"/>
            <w:shd w:val="clear" w:color="auto" w:fill="B6B6B6"/>
          </w:tcPr>
          <w:p>
            <w:pPr>
              <w:spacing w:after="0"/>
              <w:rPr>
                <w:sz w:val="18"/>
                <w:szCs w:val="18"/>
                <w:color w:val="auto"/>
              </w:rPr>
            </w:pPr>
          </w:p>
        </w:tc>
        <w:tc>
          <w:tcPr>
            <w:tcW w:w="9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308,071</w:t>
            </w:r>
          </w:p>
        </w:tc>
        <w:tc>
          <w:tcPr>
            <w:tcW w:w="380" w:type="dxa"/>
            <w:vAlign w:val="bottom"/>
            <w:shd w:val="clear" w:color="auto" w:fill="B6B6B6"/>
          </w:tcPr>
          <w:p>
            <w:pPr>
              <w:spacing w:after="0"/>
              <w:rPr>
                <w:sz w:val="18"/>
                <w:szCs w:val="18"/>
                <w:color w:val="auto"/>
              </w:rPr>
            </w:pPr>
          </w:p>
        </w:tc>
        <w:tc>
          <w:tcPr>
            <w:tcW w:w="1240" w:type="dxa"/>
            <w:vAlign w:val="bottom"/>
            <w:shd w:val="clear" w:color="auto" w:fill="B6B6B6"/>
          </w:tcPr>
          <w:p>
            <w:pPr>
              <w:jc w:val="right"/>
              <w:ind w:right="248"/>
              <w:spacing w:after="0"/>
              <w:rPr>
                <w:sz w:val="20"/>
                <w:szCs w:val="20"/>
                <w:color w:val="auto"/>
              </w:rPr>
            </w:pPr>
            <w:r>
              <w:rPr>
                <w:rFonts w:ascii="Times New Roman" w:cs="Times New Roman" w:eastAsia="Times New Roman" w:hAnsi="Times New Roman"/>
                <w:sz w:val="14"/>
                <w:szCs w:val="14"/>
                <w:color w:val="auto"/>
              </w:rPr>
              <w:t>2,228</w:t>
            </w: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2.87 %</w:t>
            </w:r>
          </w:p>
        </w:tc>
        <w:tc>
          <w:tcPr>
            <w:tcW w:w="0" w:type="dxa"/>
            <w:vAlign w:val="bottom"/>
          </w:tcPr>
          <w:p>
            <w:pPr>
              <w:spacing w:after="0"/>
              <w:rPr>
                <w:sz w:val="1"/>
                <w:szCs w:val="1"/>
                <w:color w:val="auto"/>
              </w:rPr>
            </w:pPr>
          </w:p>
        </w:tc>
      </w:tr>
      <w:tr>
        <w:trPr>
          <w:trHeight w:val="19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investments</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431,516</w:t>
            </w:r>
          </w:p>
        </w:tc>
        <w:tc>
          <w:tcPr>
            <w:tcW w:w="380" w:type="dxa"/>
            <w:vAlign w:val="bottom"/>
          </w:tcPr>
          <w:p>
            <w:pPr>
              <w:spacing w:after="0"/>
              <w:rPr>
                <w:sz w:val="16"/>
                <w:szCs w:val="16"/>
                <w:color w:val="auto"/>
              </w:rPr>
            </w:pPr>
          </w:p>
        </w:tc>
        <w:tc>
          <w:tcPr>
            <w:tcW w:w="124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2,249</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645,493</w:t>
            </w:r>
          </w:p>
        </w:tc>
        <w:tc>
          <w:tcPr>
            <w:tcW w:w="380" w:type="dxa"/>
            <w:vAlign w:val="bottom"/>
          </w:tcPr>
          <w:p>
            <w:pPr>
              <w:spacing w:after="0"/>
              <w:rPr>
                <w:sz w:val="16"/>
                <w:szCs w:val="16"/>
                <w:color w:val="auto"/>
              </w:rPr>
            </w:pPr>
          </w:p>
        </w:tc>
        <w:tc>
          <w:tcPr>
            <w:tcW w:w="124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241</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0.15 %</w:t>
            </w:r>
          </w:p>
        </w:tc>
        <w:tc>
          <w:tcPr>
            <w:tcW w:w="0" w:type="dxa"/>
            <w:vAlign w:val="bottom"/>
          </w:tcPr>
          <w:p>
            <w:pPr>
              <w:spacing w:after="0"/>
              <w:rPr>
                <w:sz w:val="1"/>
                <w:szCs w:val="1"/>
                <w:color w:val="auto"/>
              </w:rPr>
            </w:pPr>
          </w:p>
        </w:tc>
      </w:tr>
      <w:tr>
        <w:trPr>
          <w:trHeight w:val="23"/>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Total interest-earning assets</w:t>
            </w:r>
          </w:p>
        </w:tc>
        <w:tc>
          <w:tcPr>
            <w:tcW w:w="220" w:type="dxa"/>
            <w:vAlign w:val="bottom"/>
            <w:tcBorders>
              <w:bottom w:val="single" w:sz="8" w:color="B6B6B6"/>
            </w:tcBorders>
            <w:shd w:val="clear" w:color="auto" w:fill="B6B6B6"/>
          </w:tcPr>
          <w:p>
            <w:pPr>
              <w:spacing w:after="0"/>
              <w:rPr>
                <w:sz w:val="16"/>
                <w:szCs w:val="16"/>
                <w:color w:val="auto"/>
              </w:rPr>
            </w:pPr>
          </w:p>
        </w:tc>
        <w:tc>
          <w:tcPr>
            <w:tcW w:w="9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2,243,219</w:t>
            </w:r>
          </w:p>
        </w:tc>
        <w:tc>
          <w:tcPr>
            <w:tcW w:w="380" w:type="dxa"/>
            <w:vAlign w:val="bottom"/>
            <w:tcBorders>
              <w:bottom w:val="single" w:sz="8" w:color="B6B6B6"/>
            </w:tcBorders>
            <w:shd w:val="clear" w:color="auto" w:fill="B6B6B6"/>
          </w:tcPr>
          <w:p>
            <w:pPr>
              <w:spacing w:after="0"/>
              <w:rPr>
                <w:sz w:val="16"/>
                <w:szCs w:val="16"/>
                <w:color w:val="auto"/>
              </w:rPr>
            </w:pPr>
          </w:p>
        </w:tc>
        <w:tc>
          <w:tcPr>
            <w:tcW w:w="1240" w:type="dxa"/>
            <w:vAlign w:val="bottom"/>
            <w:tcBorders>
              <w:bottom w:val="single" w:sz="8" w:color="B6B6B6"/>
            </w:tcBorders>
            <w:shd w:val="clear" w:color="auto" w:fill="B6B6B6"/>
          </w:tcPr>
          <w:p>
            <w:pPr>
              <w:jc w:val="right"/>
              <w:ind w:right="248"/>
              <w:spacing w:after="0"/>
              <w:rPr>
                <w:sz w:val="20"/>
                <w:szCs w:val="20"/>
                <w:color w:val="auto"/>
              </w:rPr>
            </w:pPr>
            <w:r>
              <w:rPr>
                <w:rFonts w:ascii="Times New Roman" w:cs="Times New Roman" w:eastAsia="Times New Roman" w:hAnsi="Times New Roman"/>
                <w:sz w:val="14"/>
                <w:szCs w:val="14"/>
                <w:color w:val="auto"/>
              </w:rPr>
              <w:t>17,165</w:t>
            </w:r>
          </w:p>
        </w:tc>
        <w:tc>
          <w:tcPr>
            <w:tcW w:w="9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3.04 %</w:t>
            </w:r>
          </w:p>
        </w:tc>
        <w:tc>
          <w:tcPr>
            <w:tcW w:w="100" w:type="dxa"/>
            <w:vAlign w:val="bottom"/>
            <w:tcBorders>
              <w:bottom w:val="single" w:sz="8" w:color="B6B6B6"/>
            </w:tcBorders>
            <w:shd w:val="clear" w:color="auto" w:fill="B6B6B6"/>
          </w:tcPr>
          <w:p>
            <w:pPr>
              <w:spacing w:after="0"/>
              <w:rPr>
                <w:sz w:val="16"/>
                <w:szCs w:val="16"/>
                <w:color w:val="auto"/>
              </w:rPr>
            </w:pPr>
          </w:p>
        </w:tc>
        <w:tc>
          <w:tcPr>
            <w:tcW w:w="220" w:type="dxa"/>
            <w:vAlign w:val="bottom"/>
            <w:tcBorders>
              <w:bottom w:val="single" w:sz="8" w:color="B6B6B6"/>
            </w:tcBorders>
            <w:shd w:val="clear" w:color="auto" w:fill="B6B6B6"/>
          </w:tcPr>
          <w:p>
            <w:pPr>
              <w:spacing w:after="0"/>
              <w:rPr>
                <w:sz w:val="16"/>
                <w:szCs w:val="16"/>
                <w:color w:val="auto"/>
              </w:rPr>
            </w:pPr>
          </w:p>
        </w:tc>
        <w:tc>
          <w:tcPr>
            <w:tcW w:w="9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2,036,296</w:t>
            </w:r>
          </w:p>
        </w:tc>
        <w:tc>
          <w:tcPr>
            <w:tcW w:w="380" w:type="dxa"/>
            <w:vAlign w:val="bottom"/>
            <w:tcBorders>
              <w:bottom w:val="single" w:sz="8" w:color="B6B6B6"/>
            </w:tcBorders>
            <w:shd w:val="clear" w:color="auto" w:fill="B6B6B6"/>
          </w:tcPr>
          <w:p>
            <w:pPr>
              <w:spacing w:after="0"/>
              <w:rPr>
                <w:sz w:val="16"/>
                <w:szCs w:val="16"/>
                <w:color w:val="auto"/>
              </w:rPr>
            </w:pPr>
          </w:p>
        </w:tc>
        <w:tc>
          <w:tcPr>
            <w:tcW w:w="1240" w:type="dxa"/>
            <w:vAlign w:val="bottom"/>
            <w:tcBorders>
              <w:bottom w:val="single" w:sz="8" w:color="B6B6B6"/>
            </w:tcBorders>
            <w:shd w:val="clear" w:color="auto" w:fill="B6B6B6"/>
          </w:tcPr>
          <w:p>
            <w:pPr>
              <w:jc w:val="right"/>
              <w:ind w:right="248"/>
              <w:spacing w:after="0"/>
              <w:rPr>
                <w:sz w:val="20"/>
                <w:szCs w:val="20"/>
                <w:color w:val="auto"/>
              </w:rPr>
            </w:pPr>
            <w:r>
              <w:rPr>
                <w:rFonts w:ascii="Times New Roman" w:cs="Times New Roman" w:eastAsia="Times New Roman" w:hAnsi="Times New Roman"/>
                <w:sz w:val="14"/>
                <w:szCs w:val="14"/>
                <w:color w:val="auto"/>
              </w:rPr>
              <w:t>12,187</w:t>
            </w:r>
          </w:p>
        </w:tc>
        <w:tc>
          <w:tcPr>
            <w:tcW w:w="96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2.37 %</w:t>
            </w:r>
          </w:p>
        </w:tc>
        <w:tc>
          <w:tcPr>
            <w:tcW w:w="0" w:type="dxa"/>
            <w:vAlign w:val="bottom"/>
          </w:tcPr>
          <w:p>
            <w:pPr>
              <w:spacing w:after="0"/>
              <w:rPr>
                <w:sz w:val="1"/>
                <w:szCs w:val="1"/>
                <w:color w:val="auto"/>
              </w:rPr>
            </w:pPr>
          </w:p>
        </w:tc>
      </w:tr>
      <w:tr>
        <w:trPr>
          <w:trHeight w:val="19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Non-interest-earning assets</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Cash and due from banks</w:t>
            </w:r>
          </w:p>
        </w:tc>
        <w:tc>
          <w:tcPr>
            <w:tcW w:w="22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19,084</w:t>
            </w:r>
          </w:p>
        </w:tc>
        <w:tc>
          <w:tcPr>
            <w:tcW w:w="3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18,778</w:t>
            </w:r>
          </w:p>
        </w:tc>
        <w:tc>
          <w:tcPr>
            <w:tcW w:w="3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spacing w:after="0"/>
              <w:rPr>
                <w:sz w:val="17"/>
                <w:szCs w:val="17"/>
                <w:color w:val="auto"/>
              </w:rPr>
            </w:pPr>
          </w:p>
        </w:tc>
        <w:tc>
          <w:tcPr>
            <w:tcW w:w="96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Premises and equipment, net</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19,515</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17,718</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Bank-owned life insurance</w:t>
            </w:r>
          </w:p>
        </w:tc>
        <w:tc>
          <w:tcPr>
            <w:tcW w:w="22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47,546</w:t>
            </w:r>
          </w:p>
        </w:tc>
        <w:tc>
          <w:tcPr>
            <w:tcW w:w="3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28,134</w:t>
            </w:r>
          </w:p>
        </w:tc>
        <w:tc>
          <w:tcPr>
            <w:tcW w:w="3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spacing w:after="0"/>
              <w:rPr>
                <w:sz w:val="17"/>
                <w:szCs w:val="17"/>
                <w:color w:val="auto"/>
              </w:rPr>
            </w:pPr>
          </w:p>
        </w:tc>
        <w:tc>
          <w:tcPr>
            <w:tcW w:w="96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Goodwill and other intangibles</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21,745</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17,167</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Payments in advance of funding</w:t>
            </w:r>
          </w:p>
        </w:tc>
        <w:tc>
          <w:tcPr>
            <w:tcW w:w="22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277,682</w:t>
            </w:r>
          </w:p>
        </w:tc>
        <w:tc>
          <w:tcPr>
            <w:tcW w:w="3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213,922</w:t>
            </w:r>
          </w:p>
        </w:tc>
        <w:tc>
          <w:tcPr>
            <w:tcW w:w="3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spacing w:after="0"/>
              <w:rPr>
                <w:sz w:val="17"/>
                <w:szCs w:val="17"/>
                <w:color w:val="auto"/>
              </w:rPr>
            </w:pPr>
          </w:p>
        </w:tc>
        <w:tc>
          <w:tcPr>
            <w:tcW w:w="96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assets</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1,602</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52,412</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220" w:type="dxa"/>
            <w:vAlign w:val="bottom"/>
            <w:tcBorders>
              <w:bottom w:val="single" w:sz="8" w:color="B6B6B6"/>
            </w:tcBorders>
            <w:shd w:val="clear" w:color="auto" w:fill="B6B6B6"/>
          </w:tcPr>
          <w:p>
            <w:pPr>
              <w:spacing w:after="0"/>
              <w:rPr>
                <w:sz w:val="18"/>
                <w:szCs w:val="18"/>
                <w:color w:val="auto"/>
              </w:rPr>
            </w:pPr>
          </w:p>
        </w:tc>
        <w:tc>
          <w:tcPr>
            <w:tcW w:w="1320" w:type="dxa"/>
            <w:vAlign w:val="bottom"/>
            <w:tcBorders>
              <w:bottom w:val="single" w:sz="8" w:color="B6B6B6"/>
            </w:tcBorders>
            <w:gridSpan w:val="2"/>
            <w:shd w:val="clear" w:color="auto" w:fill="B6B6B6"/>
          </w:tcPr>
          <w:p>
            <w:pPr>
              <w:jc w:val="right"/>
              <w:ind w:right="288"/>
              <w:spacing w:after="0"/>
              <w:rPr>
                <w:sz w:val="20"/>
                <w:szCs w:val="20"/>
                <w:color w:val="auto"/>
              </w:rPr>
            </w:pPr>
            <w:r>
              <w:rPr>
                <w:rFonts w:ascii="Times New Roman" w:cs="Times New Roman" w:eastAsia="Times New Roman" w:hAnsi="Times New Roman"/>
                <w:sz w:val="14"/>
                <w:szCs w:val="14"/>
                <w:color w:val="auto"/>
              </w:rPr>
              <w:t>(12,579)</w:t>
            </w:r>
          </w:p>
        </w:tc>
        <w:tc>
          <w:tcPr>
            <w:tcW w:w="1240" w:type="dxa"/>
            <w:vAlign w:val="bottom"/>
            <w:tcBorders>
              <w:bottom w:val="single" w:sz="8" w:color="B6B6B6"/>
            </w:tcBorders>
            <w:shd w:val="clear" w:color="auto" w:fill="B6B6B6"/>
          </w:tcPr>
          <w:p>
            <w:pPr>
              <w:spacing w:after="0"/>
              <w:rPr>
                <w:sz w:val="18"/>
                <w:szCs w:val="18"/>
                <w:color w:val="auto"/>
              </w:rPr>
            </w:pPr>
          </w:p>
        </w:tc>
        <w:tc>
          <w:tcPr>
            <w:tcW w:w="94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1320" w:type="dxa"/>
            <w:vAlign w:val="bottom"/>
            <w:tcBorders>
              <w:bottom w:val="single" w:sz="8" w:color="B6B6B6"/>
            </w:tcBorders>
            <w:gridSpan w:val="2"/>
            <w:shd w:val="clear" w:color="auto" w:fill="B6B6B6"/>
          </w:tcPr>
          <w:p>
            <w:pPr>
              <w:jc w:val="right"/>
              <w:ind w:right="288"/>
              <w:spacing w:after="0"/>
              <w:rPr>
                <w:sz w:val="20"/>
                <w:szCs w:val="20"/>
                <w:color w:val="auto"/>
              </w:rPr>
            </w:pPr>
            <w:r>
              <w:rPr>
                <w:rFonts w:ascii="Times New Roman" w:cs="Times New Roman" w:eastAsia="Times New Roman" w:hAnsi="Times New Roman"/>
                <w:sz w:val="14"/>
                <w:szCs w:val="14"/>
                <w:color w:val="auto"/>
              </w:rPr>
              <w:t>(11,183)</w:t>
            </w:r>
          </w:p>
        </w:tc>
        <w:tc>
          <w:tcPr>
            <w:tcW w:w="1240" w:type="dxa"/>
            <w:vAlign w:val="bottom"/>
            <w:tcBorders>
              <w:bottom w:val="single" w:sz="8" w:color="B6B6B6"/>
            </w:tcBorders>
            <w:shd w:val="clear" w:color="auto" w:fill="B6B6B6"/>
          </w:tcPr>
          <w:p>
            <w:pPr>
              <w:spacing w:after="0"/>
              <w:rPr>
                <w:sz w:val="18"/>
                <w:szCs w:val="18"/>
                <w:color w:val="auto"/>
              </w:rPr>
            </w:pPr>
          </w:p>
        </w:tc>
        <w:tc>
          <w:tcPr>
            <w:tcW w:w="96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2,617,814</w:t>
            </w:r>
          </w:p>
        </w:tc>
        <w:tc>
          <w:tcPr>
            <w:tcW w:w="3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2,373,244</w:t>
            </w:r>
          </w:p>
        </w:tc>
        <w:tc>
          <w:tcPr>
            <w:tcW w:w="3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r>
              <w:rPr>
                <w:rFonts w:ascii="Times New Roman" w:cs="Times New Roman" w:eastAsia="Times New Roman" w:hAnsi="Times New Roman"/>
                <w:sz w:val="18"/>
                <w:szCs w:val="18"/>
                <w:b w:val="1"/>
                <w:bCs w:val="1"/>
                <w:color w:val="auto"/>
                <w:vertAlign w:val="superscript"/>
              </w:rPr>
              <w:t>1</w:t>
            </w:r>
          </w:p>
        </w:tc>
        <w:tc>
          <w:tcPr>
            <w:tcW w:w="220" w:type="dxa"/>
            <w:vAlign w:val="bottom"/>
            <w:shd w:val="clear" w:color="auto" w:fill="B6B6B6"/>
          </w:tcPr>
          <w:p>
            <w:pPr>
              <w:spacing w:after="0"/>
              <w:rPr>
                <w:sz w:val="18"/>
                <w:szCs w:val="18"/>
                <w:color w:val="auto"/>
              </w:rPr>
            </w:pPr>
          </w:p>
        </w:tc>
        <w:tc>
          <w:tcPr>
            <w:tcW w:w="940" w:type="dxa"/>
            <w:vAlign w:val="bottom"/>
            <w:shd w:val="clear" w:color="auto" w:fill="B6B6B6"/>
          </w:tcPr>
          <w:p>
            <w:pPr>
              <w:spacing w:after="0"/>
              <w:rPr>
                <w:sz w:val="18"/>
                <w:szCs w:val="18"/>
                <w:color w:val="auto"/>
              </w:rPr>
            </w:pPr>
          </w:p>
        </w:tc>
        <w:tc>
          <w:tcPr>
            <w:tcW w:w="380" w:type="dxa"/>
            <w:vAlign w:val="bottom"/>
            <w:shd w:val="clear" w:color="auto" w:fill="B6B6B6"/>
          </w:tcPr>
          <w:p>
            <w:pPr>
              <w:spacing w:after="0"/>
              <w:rPr>
                <w:sz w:val="18"/>
                <w:szCs w:val="18"/>
                <w:color w:val="auto"/>
              </w:rPr>
            </w:pPr>
          </w:p>
        </w:tc>
        <w:tc>
          <w:tcPr>
            <w:tcW w:w="1240" w:type="dxa"/>
            <w:vAlign w:val="bottom"/>
            <w:shd w:val="clear" w:color="auto" w:fill="B6B6B6"/>
          </w:tcPr>
          <w:p>
            <w:pPr>
              <w:spacing w:after="0"/>
              <w:rPr>
                <w:sz w:val="18"/>
                <w:szCs w:val="18"/>
                <w:color w:val="auto"/>
              </w:rPr>
            </w:pPr>
          </w:p>
        </w:tc>
        <w:tc>
          <w:tcPr>
            <w:tcW w:w="94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220" w:type="dxa"/>
            <w:vAlign w:val="bottom"/>
            <w:shd w:val="clear" w:color="auto" w:fill="B6B6B6"/>
          </w:tcPr>
          <w:p>
            <w:pPr>
              <w:spacing w:after="0"/>
              <w:rPr>
                <w:sz w:val="18"/>
                <w:szCs w:val="18"/>
                <w:color w:val="auto"/>
              </w:rPr>
            </w:pPr>
          </w:p>
        </w:tc>
        <w:tc>
          <w:tcPr>
            <w:tcW w:w="940" w:type="dxa"/>
            <w:vAlign w:val="bottom"/>
            <w:shd w:val="clear" w:color="auto" w:fill="B6B6B6"/>
          </w:tcPr>
          <w:p>
            <w:pPr>
              <w:spacing w:after="0"/>
              <w:rPr>
                <w:sz w:val="18"/>
                <w:szCs w:val="18"/>
                <w:color w:val="auto"/>
              </w:rPr>
            </w:pPr>
          </w:p>
        </w:tc>
        <w:tc>
          <w:tcPr>
            <w:tcW w:w="380" w:type="dxa"/>
            <w:vAlign w:val="bottom"/>
            <w:shd w:val="clear" w:color="auto" w:fill="B6B6B6"/>
          </w:tcPr>
          <w:p>
            <w:pPr>
              <w:spacing w:after="0"/>
              <w:rPr>
                <w:sz w:val="18"/>
                <w:szCs w:val="18"/>
                <w:color w:val="auto"/>
              </w:rPr>
            </w:pPr>
          </w:p>
        </w:tc>
        <w:tc>
          <w:tcPr>
            <w:tcW w:w="1240" w:type="dxa"/>
            <w:vAlign w:val="bottom"/>
            <w:shd w:val="clear" w:color="auto" w:fill="B6B6B6"/>
          </w:tcPr>
          <w:p>
            <w:pPr>
              <w:spacing w:after="0"/>
              <w:rPr>
                <w:sz w:val="18"/>
                <w:szCs w:val="18"/>
                <w:color w:val="auto"/>
              </w:rPr>
            </w:pPr>
          </w:p>
        </w:tc>
        <w:tc>
          <w:tcPr>
            <w:tcW w:w="96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Interest-bearing liabilities</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Interest-bearing demand deposits</w:t>
            </w:r>
          </w:p>
        </w:tc>
        <w:tc>
          <w:tcPr>
            <w:tcW w:w="220" w:type="dxa"/>
            <w:vAlign w:val="bottom"/>
            <w:tcBorders>
              <w:bottom w:val="single" w:sz="8" w:color="B6B6B6"/>
            </w:tcBorders>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545,539</w:t>
            </w:r>
          </w:p>
        </w:tc>
        <w:tc>
          <w:tcPr>
            <w:tcW w:w="380" w:type="dxa"/>
            <w:vAlign w:val="bottom"/>
            <w:tcBorders>
              <w:bottom w:val="single" w:sz="8" w:color="B6B6B6"/>
            </w:tcBorders>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B6B6B6"/>
            </w:tcBorders>
            <w:shd w:val="clear" w:color="auto" w:fill="B6B6B6"/>
          </w:tcPr>
          <w:p>
            <w:pPr>
              <w:jc w:val="right"/>
              <w:ind w:right="248"/>
              <w:spacing w:after="0"/>
              <w:rPr>
                <w:sz w:val="20"/>
                <w:szCs w:val="20"/>
                <w:color w:val="auto"/>
              </w:rPr>
            </w:pPr>
            <w:r>
              <w:rPr>
                <w:rFonts w:ascii="Times New Roman" w:cs="Times New Roman" w:eastAsia="Times New Roman" w:hAnsi="Times New Roman"/>
                <w:sz w:val="14"/>
                <w:szCs w:val="14"/>
                <w:color w:val="auto"/>
              </w:rPr>
              <w:t>701</w:t>
            </w:r>
          </w:p>
        </w:tc>
        <w:tc>
          <w:tcPr>
            <w:tcW w:w="9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0.51 %</w:t>
            </w: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531,541</w:t>
            </w:r>
          </w:p>
        </w:tc>
        <w:tc>
          <w:tcPr>
            <w:tcW w:w="380" w:type="dxa"/>
            <w:vAlign w:val="bottom"/>
            <w:tcBorders>
              <w:bottom w:val="single" w:sz="8" w:color="B6B6B6"/>
            </w:tcBorders>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B6B6B6"/>
            </w:tcBorders>
            <w:shd w:val="clear" w:color="auto" w:fill="B6B6B6"/>
          </w:tcPr>
          <w:p>
            <w:pPr>
              <w:jc w:val="right"/>
              <w:ind w:right="248"/>
              <w:spacing w:after="0"/>
              <w:rPr>
                <w:sz w:val="20"/>
                <w:szCs w:val="20"/>
                <w:color w:val="auto"/>
              </w:rPr>
            </w:pPr>
            <w:r>
              <w:rPr>
                <w:rFonts w:ascii="Times New Roman" w:cs="Times New Roman" w:eastAsia="Times New Roman" w:hAnsi="Times New Roman"/>
                <w:sz w:val="14"/>
                <w:szCs w:val="14"/>
                <w:color w:val="auto"/>
              </w:rPr>
              <w:t>145</w:t>
            </w:r>
          </w:p>
        </w:tc>
        <w:tc>
          <w:tcPr>
            <w:tcW w:w="96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0.11 %</w:t>
            </w: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Savings deposits</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13,547</w:t>
            </w:r>
          </w:p>
        </w:tc>
        <w:tc>
          <w:tcPr>
            <w:tcW w:w="380" w:type="dxa"/>
            <w:vAlign w:val="bottom"/>
          </w:tcPr>
          <w:p>
            <w:pPr>
              <w:spacing w:after="0"/>
              <w:rPr>
                <w:sz w:val="16"/>
                <w:szCs w:val="16"/>
                <w:color w:val="auto"/>
              </w:rPr>
            </w:pPr>
          </w:p>
        </w:tc>
        <w:tc>
          <w:tcPr>
            <w:tcW w:w="124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12</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0.35 %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17,767</w:t>
            </w:r>
          </w:p>
        </w:tc>
        <w:tc>
          <w:tcPr>
            <w:tcW w:w="380" w:type="dxa"/>
            <w:vAlign w:val="bottom"/>
          </w:tcPr>
          <w:p>
            <w:pPr>
              <w:spacing w:after="0"/>
              <w:rPr>
                <w:sz w:val="16"/>
                <w:szCs w:val="16"/>
                <w:color w:val="auto"/>
              </w:rPr>
            </w:pPr>
          </w:p>
        </w:tc>
        <w:tc>
          <w:tcPr>
            <w:tcW w:w="124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2</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Time deposits &gt;= $100</w:t>
            </w:r>
          </w:p>
        </w:tc>
        <w:tc>
          <w:tcPr>
            <w:tcW w:w="22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16,325</w:t>
            </w:r>
          </w:p>
        </w:tc>
        <w:tc>
          <w:tcPr>
            <w:tcW w:w="3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jc w:val="right"/>
              <w:ind w:right="248"/>
              <w:spacing w:after="0"/>
              <w:rPr>
                <w:sz w:val="20"/>
                <w:szCs w:val="20"/>
                <w:color w:val="auto"/>
              </w:rPr>
            </w:pPr>
            <w:r>
              <w:rPr>
                <w:rFonts w:ascii="Times New Roman" w:cs="Times New Roman" w:eastAsia="Times New Roman" w:hAnsi="Times New Roman"/>
                <w:sz w:val="14"/>
                <w:szCs w:val="14"/>
                <w:color w:val="auto"/>
              </w:rPr>
              <w:t>37</w:t>
            </w:r>
          </w:p>
        </w:tc>
        <w:tc>
          <w:tcPr>
            <w:tcW w:w="9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0.90 %</w:t>
            </w: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19,403</w:t>
            </w:r>
          </w:p>
        </w:tc>
        <w:tc>
          <w:tcPr>
            <w:tcW w:w="3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jc w:val="right"/>
              <w:ind w:right="248"/>
              <w:spacing w:after="0"/>
              <w:rPr>
                <w:sz w:val="20"/>
                <w:szCs w:val="20"/>
                <w:color w:val="auto"/>
              </w:rPr>
            </w:pPr>
            <w:r>
              <w:rPr>
                <w:rFonts w:ascii="Times New Roman" w:cs="Times New Roman" w:eastAsia="Times New Roman" w:hAnsi="Times New Roman"/>
                <w:sz w:val="14"/>
                <w:szCs w:val="14"/>
                <w:color w:val="auto"/>
              </w:rPr>
              <w:t>49</w:t>
            </w:r>
          </w:p>
        </w:tc>
        <w:tc>
          <w:tcPr>
            <w:tcW w:w="96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time deposits</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22,047</w:t>
            </w:r>
          </w:p>
        </w:tc>
        <w:tc>
          <w:tcPr>
            <w:tcW w:w="380" w:type="dxa"/>
            <w:vAlign w:val="bottom"/>
          </w:tcPr>
          <w:p>
            <w:pPr>
              <w:spacing w:after="0"/>
              <w:rPr>
                <w:sz w:val="16"/>
                <w:szCs w:val="16"/>
                <w:color w:val="auto"/>
              </w:rPr>
            </w:pPr>
          </w:p>
        </w:tc>
        <w:tc>
          <w:tcPr>
            <w:tcW w:w="124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32</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0.58 %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31,542</w:t>
            </w:r>
          </w:p>
        </w:tc>
        <w:tc>
          <w:tcPr>
            <w:tcW w:w="380" w:type="dxa"/>
            <w:vAlign w:val="bottom"/>
          </w:tcPr>
          <w:p>
            <w:pPr>
              <w:spacing w:after="0"/>
              <w:rPr>
                <w:sz w:val="16"/>
                <w:szCs w:val="16"/>
                <w:color w:val="auto"/>
              </w:rPr>
            </w:pPr>
          </w:p>
        </w:tc>
        <w:tc>
          <w:tcPr>
            <w:tcW w:w="124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91</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1.14 %</w:t>
            </w:r>
          </w:p>
        </w:tc>
        <w:tc>
          <w:tcPr>
            <w:tcW w:w="0" w:type="dxa"/>
            <w:vAlign w:val="bottom"/>
          </w:tcPr>
          <w:p>
            <w:pPr>
              <w:spacing w:after="0"/>
              <w:rPr>
                <w:sz w:val="1"/>
                <w:szCs w:val="1"/>
                <w:color w:val="auto"/>
              </w:rPr>
            </w:pPr>
          </w:p>
        </w:tc>
      </w:tr>
      <w:tr>
        <w:trPr>
          <w:trHeight w:val="23"/>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Total interest-bearing deposits</w:t>
            </w:r>
          </w:p>
        </w:tc>
        <w:tc>
          <w:tcPr>
            <w:tcW w:w="220" w:type="dxa"/>
            <w:vAlign w:val="bottom"/>
            <w:tcBorders>
              <w:bottom w:val="single" w:sz="8" w:color="B6B6B6"/>
            </w:tcBorders>
            <w:shd w:val="clear" w:color="auto" w:fill="B6B6B6"/>
          </w:tcPr>
          <w:p>
            <w:pPr>
              <w:spacing w:after="0"/>
              <w:rPr>
                <w:sz w:val="16"/>
                <w:szCs w:val="16"/>
                <w:color w:val="auto"/>
              </w:rPr>
            </w:pPr>
          </w:p>
        </w:tc>
        <w:tc>
          <w:tcPr>
            <w:tcW w:w="9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597,458</w:t>
            </w:r>
          </w:p>
        </w:tc>
        <w:tc>
          <w:tcPr>
            <w:tcW w:w="380" w:type="dxa"/>
            <w:vAlign w:val="bottom"/>
            <w:tcBorders>
              <w:bottom w:val="single" w:sz="8" w:color="B6B6B6"/>
            </w:tcBorders>
            <w:shd w:val="clear" w:color="auto" w:fill="B6B6B6"/>
          </w:tcPr>
          <w:p>
            <w:pPr>
              <w:spacing w:after="0"/>
              <w:rPr>
                <w:sz w:val="16"/>
                <w:szCs w:val="16"/>
                <w:color w:val="auto"/>
              </w:rPr>
            </w:pPr>
          </w:p>
        </w:tc>
        <w:tc>
          <w:tcPr>
            <w:tcW w:w="1240" w:type="dxa"/>
            <w:vAlign w:val="bottom"/>
            <w:tcBorders>
              <w:bottom w:val="single" w:sz="8" w:color="B6B6B6"/>
            </w:tcBorders>
            <w:shd w:val="clear" w:color="auto" w:fill="B6B6B6"/>
          </w:tcPr>
          <w:p>
            <w:pPr>
              <w:jc w:val="right"/>
              <w:ind w:right="248"/>
              <w:spacing w:after="0"/>
              <w:rPr>
                <w:sz w:val="20"/>
                <w:szCs w:val="20"/>
                <w:color w:val="auto"/>
              </w:rPr>
            </w:pPr>
            <w:r>
              <w:rPr>
                <w:rFonts w:ascii="Times New Roman" w:cs="Times New Roman" w:eastAsia="Times New Roman" w:hAnsi="Times New Roman"/>
                <w:sz w:val="14"/>
                <w:szCs w:val="14"/>
                <w:color w:val="auto"/>
              </w:rPr>
              <w:t>782</w:t>
            </w:r>
          </w:p>
        </w:tc>
        <w:tc>
          <w:tcPr>
            <w:tcW w:w="9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0.52 %</w:t>
            </w:r>
          </w:p>
        </w:tc>
        <w:tc>
          <w:tcPr>
            <w:tcW w:w="100" w:type="dxa"/>
            <w:vAlign w:val="bottom"/>
            <w:tcBorders>
              <w:bottom w:val="single" w:sz="8" w:color="B6B6B6"/>
            </w:tcBorders>
            <w:shd w:val="clear" w:color="auto" w:fill="B6B6B6"/>
          </w:tcPr>
          <w:p>
            <w:pPr>
              <w:spacing w:after="0"/>
              <w:rPr>
                <w:sz w:val="16"/>
                <w:szCs w:val="16"/>
                <w:color w:val="auto"/>
              </w:rPr>
            </w:pPr>
          </w:p>
        </w:tc>
        <w:tc>
          <w:tcPr>
            <w:tcW w:w="220" w:type="dxa"/>
            <w:vAlign w:val="bottom"/>
            <w:tcBorders>
              <w:bottom w:val="single" w:sz="8" w:color="B6B6B6"/>
            </w:tcBorders>
            <w:shd w:val="clear" w:color="auto" w:fill="B6B6B6"/>
          </w:tcPr>
          <w:p>
            <w:pPr>
              <w:spacing w:after="0"/>
              <w:rPr>
                <w:sz w:val="16"/>
                <w:szCs w:val="16"/>
                <w:color w:val="auto"/>
              </w:rPr>
            </w:pPr>
          </w:p>
        </w:tc>
        <w:tc>
          <w:tcPr>
            <w:tcW w:w="9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600,253</w:t>
            </w:r>
          </w:p>
        </w:tc>
        <w:tc>
          <w:tcPr>
            <w:tcW w:w="380" w:type="dxa"/>
            <w:vAlign w:val="bottom"/>
            <w:tcBorders>
              <w:bottom w:val="single" w:sz="8" w:color="B6B6B6"/>
            </w:tcBorders>
            <w:shd w:val="clear" w:color="auto" w:fill="B6B6B6"/>
          </w:tcPr>
          <w:p>
            <w:pPr>
              <w:spacing w:after="0"/>
              <w:rPr>
                <w:sz w:val="16"/>
                <w:szCs w:val="16"/>
                <w:color w:val="auto"/>
              </w:rPr>
            </w:pPr>
          </w:p>
        </w:tc>
        <w:tc>
          <w:tcPr>
            <w:tcW w:w="1240" w:type="dxa"/>
            <w:vAlign w:val="bottom"/>
            <w:tcBorders>
              <w:bottom w:val="single" w:sz="8" w:color="B6B6B6"/>
            </w:tcBorders>
            <w:shd w:val="clear" w:color="auto" w:fill="B6B6B6"/>
          </w:tcPr>
          <w:p>
            <w:pPr>
              <w:jc w:val="right"/>
              <w:ind w:right="248"/>
              <w:spacing w:after="0"/>
              <w:rPr>
                <w:sz w:val="20"/>
                <w:szCs w:val="20"/>
                <w:color w:val="auto"/>
              </w:rPr>
            </w:pPr>
            <w:r>
              <w:rPr>
                <w:rFonts w:ascii="Times New Roman" w:cs="Times New Roman" w:eastAsia="Times New Roman" w:hAnsi="Times New Roman"/>
                <w:sz w:val="14"/>
                <w:szCs w:val="14"/>
                <w:color w:val="auto"/>
              </w:rPr>
              <w:t>287</w:t>
            </w:r>
          </w:p>
        </w:tc>
        <w:tc>
          <w:tcPr>
            <w:tcW w:w="96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0.19 %</w:t>
            </w:r>
          </w:p>
        </w:tc>
        <w:tc>
          <w:tcPr>
            <w:tcW w:w="0" w:type="dxa"/>
            <w:vAlign w:val="bottom"/>
          </w:tcPr>
          <w:p>
            <w:pPr>
              <w:spacing w:after="0"/>
              <w:rPr>
                <w:sz w:val="1"/>
                <w:szCs w:val="1"/>
                <w:color w:val="auto"/>
              </w:rPr>
            </w:pPr>
          </w:p>
        </w:tc>
      </w:tr>
      <w:tr>
        <w:trPr>
          <w:trHeight w:val="206"/>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borrowings</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380" w:type="dxa"/>
            <w:vAlign w:val="bottom"/>
          </w:tcPr>
          <w:p>
            <w:pPr>
              <w:spacing w:after="0"/>
              <w:rPr>
                <w:sz w:val="17"/>
                <w:szCs w:val="17"/>
                <w:color w:val="auto"/>
              </w:rPr>
            </w:pPr>
          </w:p>
        </w:tc>
        <w:tc>
          <w:tcPr>
            <w:tcW w:w="124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380" w:type="dxa"/>
            <w:vAlign w:val="bottom"/>
          </w:tcPr>
          <w:p>
            <w:pPr>
              <w:spacing w:after="0"/>
              <w:rPr>
                <w:sz w:val="17"/>
                <w:szCs w:val="17"/>
                <w:color w:val="auto"/>
              </w:rPr>
            </w:pPr>
          </w:p>
        </w:tc>
        <w:tc>
          <w:tcPr>
            <w:tcW w:w="124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3"/>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Total interest-bearing liabilities</w:t>
            </w:r>
          </w:p>
        </w:tc>
        <w:tc>
          <w:tcPr>
            <w:tcW w:w="220" w:type="dxa"/>
            <w:vAlign w:val="bottom"/>
            <w:tcBorders>
              <w:bottom w:val="single" w:sz="8" w:color="B6B6B6"/>
            </w:tcBorders>
            <w:shd w:val="clear" w:color="auto" w:fill="B6B6B6"/>
          </w:tcPr>
          <w:p>
            <w:pPr>
              <w:spacing w:after="0"/>
              <w:rPr>
                <w:sz w:val="16"/>
                <w:szCs w:val="16"/>
                <w:color w:val="auto"/>
              </w:rPr>
            </w:pPr>
          </w:p>
        </w:tc>
        <w:tc>
          <w:tcPr>
            <w:tcW w:w="9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597,469</w:t>
            </w:r>
          </w:p>
        </w:tc>
        <w:tc>
          <w:tcPr>
            <w:tcW w:w="380" w:type="dxa"/>
            <w:vAlign w:val="bottom"/>
            <w:tcBorders>
              <w:bottom w:val="single" w:sz="8" w:color="B6B6B6"/>
            </w:tcBorders>
            <w:shd w:val="clear" w:color="auto" w:fill="B6B6B6"/>
          </w:tcPr>
          <w:p>
            <w:pPr>
              <w:spacing w:after="0"/>
              <w:rPr>
                <w:sz w:val="16"/>
                <w:szCs w:val="16"/>
                <w:color w:val="auto"/>
              </w:rPr>
            </w:pPr>
          </w:p>
        </w:tc>
        <w:tc>
          <w:tcPr>
            <w:tcW w:w="1240" w:type="dxa"/>
            <w:vAlign w:val="bottom"/>
            <w:tcBorders>
              <w:bottom w:val="single" w:sz="8" w:color="B6B6B6"/>
            </w:tcBorders>
            <w:shd w:val="clear" w:color="auto" w:fill="B6B6B6"/>
          </w:tcPr>
          <w:p>
            <w:pPr>
              <w:jc w:val="right"/>
              <w:ind w:right="248"/>
              <w:spacing w:after="0"/>
              <w:rPr>
                <w:sz w:val="20"/>
                <w:szCs w:val="20"/>
                <w:color w:val="auto"/>
              </w:rPr>
            </w:pPr>
            <w:r>
              <w:rPr>
                <w:rFonts w:ascii="Times New Roman" w:cs="Times New Roman" w:eastAsia="Times New Roman" w:hAnsi="Times New Roman"/>
                <w:sz w:val="14"/>
                <w:szCs w:val="14"/>
                <w:color w:val="auto"/>
              </w:rPr>
              <w:t>782</w:t>
            </w:r>
          </w:p>
        </w:tc>
        <w:tc>
          <w:tcPr>
            <w:tcW w:w="9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0.52 %</w:t>
            </w:r>
          </w:p>
        </w:tc>
        <w:tc>
          <w:tcPr>
            <w:tcW w:w="100" w:type="dxa"/>
            <w:vAlign w:val="bottom"/>
            <w:tcBorders>
              <w:bottom w:val="single" w:sz="8" w:color="B6B6B6"/>
            </w:tcBorders>
            <w:shd w:val="clear" w:color="auto" w:fill="B6B6B6"/>
          </w:tcPr>
          <w:p>
            <w:pPr>
              <w:spacing w:after="0"/>
              <w:rPr>
                <w:sz w:val="16"/>
                <w:szCs w:val="16"/>
                <w:color w:val="auto"/>
              </w:rPr>
            </w:pPr>
          </w:p>
        </w:tc>
        <w:tc>
          <w:tcPr>
            <w:tcW w:w="220" w:type="dxa"/>
            <w:vAlign w:val="bottom"/>
            <w:tcBorders>
              <w:bottom w:val="single" w:sz="8" w:color="B6B6B6"/>
            </w:tcBorders>
            <w:shd w:val="clear" w:color="auto" w:fill="B6B6B6"/>
          </w:tcPr>
          <w:p>
            <w:pPr>
              <w:spacing w:after="0"/>
              <w:rPr>
                <w:sz w:val="16"/>
                <w:szCs w:val="16"/>
                <w:color w:val="auto"/>
              </w:rPr>
            </w:pPr>
          </w:p>
        </w:tc>
        <w:tc>
          <w:tcPr>
            <w:tcW w:w="9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600,263</w:t>
            </w:r>
          </w:p>
        </w:tc>
        <w:tc>
          <w:tcPr>
            <w:tcW w:w="380" w:type="dxa"/>
            <w:vAlign w:val="bottom"/>
            <w:tcBorders>
              <w:bottom w:val="single" w:sz="8" w:color="B6B6B6"/>
            </w:tcBorders>
            <w:shd w:val="clear" w:color="auto" w:fill="B6B6B6"/>
          </w:tcPr>
          <w:p>
            <w:pPr>
              <w:spacing w:after="0"/>
              <w:rPr>
                <w:sz w:val="16"/>
                <w:szCs w:val="16"/>
                <w:color w:val="auto"/>
              </w:rPr>
            </w:pPr>
          </w:p>
        </w:tc>
        <w:tc>
          <w:tcPr>
            <w:tcW w:w="1240" w:type="dxa"/>
            <w:vAlign w:val="bottom"/>
            <w:tcBorders>
              <w:bottom w:val="single" w:sz="8" w:color="B6B6B6"/>
            </w:tcBorders>
            <w:shd w:val="clear" w:color="auto" w:fill="B6B6B6"/>
          </w:tcPr>
          <w:p>
            <w:pPr>
              <w:jc w:val="right"/>
              <w:ind w:right="248"/>
              <w:spacing w:after="0"/>
              <w:rPr>
                <w:sz w:val="20"/>
                <w:szCs w:val="20"/>
                <w:color w:val="auto"/>
              </w:rPr>
            </w:pPr>
            <w:r>
              <w:rPr>
                <w:rFonts w:ascii="Times New Roman" w:cs="Times New Roman" w:eastAsia="Times New Roman" w:hAnsi="Times New Roman"/>
                <w:sz w:val="14"/>
                <w:szCs w:val="14"/>
                <w:color w:val="auto"/>
              </w:rPr>
              <w:t>287</w:t>
            </w:r>
          </w:p>
        </w:tc>
        <w:tc>
          <w:tcPr>
            <w:tcW w:w="96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0.19 %</w:t>
            </w:r>
          </w:p>
        </w:tc>
        <w:tc>
          <w:tcPr>
            <w:tcW w:w="0" w:type="dxa"/>
            <w:vAlign w:val="bottom"/>
          </w:tcPr>
          <w:p>
            <w:pPr>
              <w:spacing w:after="0"/>
              <w:rPr>
                <w:sz w:val="1"/>
                <w:szCs w:val="1"/>
                <w:color w:val="auto"/>
              </w:rPr>
            </w:pPr>
          </w:p>
        </w:tc>
      </w:tr>
      <w:tr>
        <w:trPr>
          <w:trHeight w:val="19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 bearing liabilities</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Demand deposits</w:t>
            </w:r>
          </w:p>
        </w:tc>
        <w:tc>
          <w:tcPr>
            <w:tcW w:w="22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586,872</w:t>
            </w:r>
          </w:p>
        </w:tc>
        <w:tc>
          <w:tcPr>
            <w:tcW w:w="3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453,116</w:t>
            </w:r>
          </w:p>
        </w:tc>
        <w:tc>
          <w:tcPr>
            <w:tcW w:w="3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spacing w:after="0"/>
              <w:rPr>
                <w:sz w:val="17"/>
                <w:szCs w:val="17"/>
                <w:color w:val="auto"/>
              </w:rPr>
            </w:pPr>
          </w:p>
        </w:tc>
        <w:tc>
          <w:tcPr>
            <w:tcW w:w="96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and drafts payable</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1,182,373</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1,010,641</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1"/>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Other liabilities</w:t>
            </w:r>
          </w:p>
        </w:tc>
        <w:tc>
          <w:tcPr>
            <w:tcW w:w="220" w:type="dxa"/>
            <w:vAlign w:val="bottom"/>
            <w:tcBorders>
              <w:bottom w:val="single" w:sz="8" w:color="B6B6B6"/>
            </w:tcBorders>
            <w:shd w:val="clear" w:color="auto" w:fill="B6B6B6"/>
          </w:tcPr>
          <w:p>
            <w:pPr>
              <w:spacing w:after="0"/>
              <w:rPr>
                <w:sz w:val="18"/>
                <w:szCs w:val="18"/>
                <w:color w:val="auto"/>
              </w:rPr>
            </w:pPr>
          </w:p>
        </w:tc>
        <w:tc>
          <w:tcPr>
            <w:tcW w:w="9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43,852</w:t>
            </w:r>
          </w:p>
        </w:tc>
        <w:tc>
          <w:tcPr>
            <w:tcW w:w="380" w:type="dxa"/>
            <w:vAlign w:val="bottom"/>
            <w:tcBorders>
              <w:bottom w:val="single" w:sz="8" w:color="B6B6B6"/>
            </w:tcBorders>
            <w:shd w:val="clear" w:color="auto" w:fill="B6B6B6"/>
          </w:tcPr>
          <w:p>
            <w:pPr>
              <w:spacing w:after="0"/>
              <w:rPr>
                <w:sz w:val="18"/>
                <w:szCs w:val="18"/>
                <w:color w:val="auto"/>
              </w:rPr>
            </w:pPr>
          </w:p>
        </w:tc>
        <w:tc>
          <w:tcPr>
            <w:tcW w:w="1240" w:type="dxa"/>
            <w:vAlign w:val="bottom"/>
            <w:tcBorders>
              <w:bottom w:val="single" w:sz="8" w:color="B6B6B6"/>
            </w:tcBorders>
            <w:shd w:val="clear" w:color="auto" w:fill="B6B6B6"/>
          </w:tcPr>
          <w:p>
            <w:pPr>
              <w:spacing w:after="0"/>
              <w:rPr>
                <w:sz w:val="18"/>
                <w:szCs w:val="18"/>
                <w:color w:val="auto"/>
              </w:rPr>
            </w:pPr>
          </w:p>
        </w:tc>
        <w:tc>
          <w:tcPr>
            <w:tcW w:w="94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9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54,703</w:t>
            </w:r>
          </w:p>
        </w:tc>
        <w:tc>
          <w:tcPr>
            <w:tcW w:w="380" w:type="dxa"/>
            <w:vAlign w:val="bottom"/>
            <w:tcBorders>
              <w:bottom w:val="single" w:sz="8" w:color="B6B6B6"/>
            </w:tcBorders>
            <w:shd w:val="clear" w:color="auto" w:fill="B6B6B6"/>
          </w:tcPr>
          <w:p>
            <w:pPr>
              <w:spacing w:after="0"/>
              <w:rPr>
                <w:sz w:val="18"/>
                <w:szCs w:val="18"/>
                <w:color w:val="auto"/>
              </w:rPr>
            </w:pPr>
          </w:p>
        </w:tc>
        <w:tc>
          <w:tcPr>
            <w:tcW w:w="1240" w:type="dxa"/>
            <w:vAlign w:val="bottom"/>
            <w:tcBorders>
              <w:bottom w:val="single" w:sz="8" w:color="B6B6B6"/>
            </w:tcBorders>
            <w:shd w:val="clear" w:color="auto" w:fill="B6B6B6"/>
          </w:tcPr>
          <w:p>
            <w:pPr>
              <w:spacing w:after="0"/>
              <w:rPr>
                <w:sz w:val="18"/>
                <w:szCs w:val="18"/>
                <w:color w:val="auto"/>
              </w:rPr>
            </w:pPr>
          </w:p>
        </w:tc>
        <w:tc>
          <w:tcPr>
            <w:tcW w:w="96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2,410,566</w:t>
            </w:r>
          </w:p>
        </w:tc>
        <w:tc>
          <w:tcPr>
            <w:tcW w:w="3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2,118,723</w:t>
            </w:r>
          </w:p>
        </w:tc>
        <w:tc>
          <w:tcPr>
            <w:tcW w:w="3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220" w:type="dxa"/>
            <w:vAlign w:val="bottom"/>
            <w:tcBorders>
              <w:bottom w:val="single" w:sz="8" w:color="B6B6B6"/>
            </w:tcBorders>
            <w:shd w:val="clear" w:color="auto" w:fill="B6B6B6"/>
          </w:tcPr>
          <w:p>
            <w:pPr>
              <w:spacing w:after="0"/>
              <w:rPr>
                <w:sz w:val="18"/>
                <w:szCs w:val="18"/>
                <w:color w:val="auto"/>
              </w:rPr>
            </w:pPr>
          </w:p>
        </w:tc>
        <w:tc>
          <w:tcPr>
            <w:tcW w:w="9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207,248</w:t>
            </w:r>
          </w:p>
        </w:tc>
        <w:tc>
          <w:tcPr>
            <w:tcW w:w="380" w:type="dxa"/>
            <w:vAlign w:val="bottom"/>
            <w:tcBorders>
              <w:bottom w:val="single" w:sz="8" w:color="B6B6B6"/>
            </w:tcBorders>
            <w:shd w:val="clear" w:color="auto" w:fill="B6B6B6"/>
          </w:tcPr>
          <w:p>
            <w:pPr>
              <w:spacing w:after="0"/>
              <w:rPr>
                <w:sz w:val="18"/>
                <w:szCs w:val="18"/>
                <w:color w:val="auto"/>
              </w:rPr>
            </w:pPr>
          </w:p>
        </w:tc>
        <w:tc>
          <w:tcPr>
            <w:tcW w:w="1240" w:type="dxa"/>
            <w:vAlign w:val="bottom"/>
            <w:tcBorders>
              <w:bottom w:val="single" w:sz="8" w:color="B6B6B6"/>
            </w:tcBorders>
            <w:shd w:val="clear" w:color="auto" w:fill="B6B6B6"/>
          </w:tcPr>
          <w:p>
            <w:pPr>
              <w:spacing w:after="0"/>
              <w:rPr>
                <w:sz w:val="18"/>
                <w:szCs w:val="18"/>
                <w:color w:val="auto"/>
              </w:rPr>
            </w:pPr>
          </w:p>
        </w:tc>
        <w:tc>
          <w:tcPr>
            <w:tcW w:w="94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9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254,521</w:t>
            </w:r>
          </w:p>
        </w:tc>
        <w:tc>
          <w:tcPr>
            <w:tcW w:w="380" w:type="dxa"/>
            <w:vAlign w:val="bottom"/>
            <w:tcBorders>
              <w:bottom w:val="single" w:sz="8" w:color="B6B6B6"/>
            </w:tcBorders>
            <w:shd w:val="clear" w:color="auto" w:fill="B6B6B6"/>
          </w:tcPr>
          <w:p>
            <w:pPr>
              <w:spacing w:after="0"/>
              <w:rPr>
                <w:sz w:val="18"/>
                <w:szCs w:val="18"/>
                <w:color w:val="auto"/>
              </w:rPr>
            </w:pPr>
          </w:p>
        </w:tc>
        <w:tc>
          <w:tcPr>
            <w:tcW w:w="1240" w:type="dxa"/>
            <w:vAlign w:val="bottom"/>
            <w:tcBorders>
              <w:bottom w:val="single" w:sz="8" w:color="B6B6B6"/>
            </w:tcBorders>
            <w:shd w:val="clear" w:color="auto" w:fill="B6B6B6"/>
          </w:tcPr>
          <w:p>
            <w:pPr>
              <w:spacing w:after="0"/>
              <w:rPr>
                <w:sz w:val="18"/>
                <w:szCs w:val="18"/>
                <w:color w:val="auto"/>
              </w:rPr>
            </w:pPr>
          </w:p>
        </w:tc>
        <w:tc>
          <w:tcPr>
            <w:tcW w:w="96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2,617,814</w:t>
            </w:r>
          </w:p>
        </w:tc>
        <w:tc>
          <w:tcPr>
            <w:tcW w:w="3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2,373,244</w:t>
            </w:r>
          </w:p>
        </w:tc>
        <w:tc>
          <w:tcPr>
            <w:tcW w:w="3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220" w:type="dxa"/>
            <w:vAlign w:val="bottom"/>
            <w:tcBorders>
              <w:bottom w:val="single" w:sz="8" w:color="B6B6B6"/>
            </w:tcBorders>
            <w:shd w:val="clear" w:color="auto" w:fill="B6B6B6"/>
          </w:tcPr>
          <w:p>
            <w:pPr>
              <w:spacing w:after="0"/>
              <w:rPr>
                <w:sz w:val="16"/>
                <w:szCs w:val="16"/>
                <w:color w:val="auto"/>
              </w:rPr>
            </w:pPr>
          </w:p>
        </w:tc>
        <w:tc>
          <w:tcPr>
            <w:tcW w:w="940" w:type="dxa"/>
            <w:vAlign w:val="bottom"/>
            <w:tcBorders>
              <w:bottom w:val="single" w:sz="8" w:color="B6B6B6"/>
            </w:tcBorders>
            <w:shd w:val="clear" w:color="auto" w:fill="B6B6B6"/>
          </w:tcPr>
          <w:p>
            <w:pPr>
              <w:spacing w:after="0"/>
              <w:rPr>
                <w:sz w:val="16"/>
                <w:szCs w:val="16"/>
                <w:color w:val="auto"/>
              </w:rPr>
            </w:pPr>
          </w:p>
        </w:tc>
        <w:tc>
          <w:tcPr>
            <w:tcW w:w="380" w:type="dxa"/>
            <w:vAlign w:val="bottom"/>
            <w:tcBorders>
              <w:bottom w:val="single" w:sz="8" w:color="B6B6B6"/>
            </w:tcBorders>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B6B6B6"/>
            </w:tcBorders>
            <w:shd w:val="clear" w:color="auto" w:fill="B6B6B6"/>
          </w:tcPr>
          <w:p>
            <w:pPr>
              <w:jc w:val="right"/>
              <w:ind w:right="248"/>
              <w:spacing w:after="0"/>
              <w:rPr>
                <w:sz w:val="20"/>
                <w:szCs w:val="20"/>
                <w:color w:val="auto"/>
              </w:rPr>
            </w:pPr>
            <w:r>
              <w:rPr>
                <w:rFonts w:ascii="Times New Roman" w:cs="Times New Roman" w:eastAsia="Times New Roman" w:hAnsi="Times New Roman"/>
                <w:sz w:val="14"/>
                <w:szCs w:val="14"/>
                <w:color w:val="auto"/>
              </w:rPr>
              <w:t>16,383</w:t>
            </w:r>
          </w:p>
        </w:tc>
        <w:tc>
          <w:tcPr>
            <w:tcW w:w="940" w:type="dxa"/>
            <w:vAlign w:val="bottom"/>
            <w:tcBorders>
              <w:bottom w:val="single" w:sz="8" w:color="B6B6B6"/>
            </w:tcBorders>
            <w:shd w:val="clear" w:color="auto" w:fill="B6B6B6"/>
          </w:tcPr>
          <w:p>
            <w:pPr>
              <w:spacing w:after="0"/>
              <w:rPr>
                <w:sz w:val="16"/>
                <w:szCs w:val="16"/>
                <w:color w:val="auto"/>
              </w:rPr>
            </w:pPr>
          </w:p>
        </w:tc>
        <w:tc>
          <w:tcPr>
            <w:tcW w:w="100" w:type="dxa"/>
            <w:vAlign w:val="bottom"/>
            <w:tcBorders>
              <w:bottom w:val="single" w:sz="8" w:color="B6B6B6"/>
            </w:tcBorders>
            <w:shd w:val="clear" w:color="auto" w:fill="B6B6B6"/>
          </w:tcPr>
          <w:p>
            <w:pPr>
              <w:spacing w:after="0"/>
              <w:rPr>
                <w:sz w:val="16"/>
                <w:szCs w:val="16"/>
                <w:color w:val="auto"/>
              </w:rPr>
            </w:pPr>
          </w:p>
        </w:tc>
        <w:tc>
          <w:tcPr>
            <w:tcW w:w="220" w:type="dxa"/>
            <w:vAlign w:val="bottom"/>
            <w:tcBorders>
              <w:bottom w:val="single" w:sz="8" w:color="B6B6B6"/>
            </w:tcBorders>
            <w:shd w:val="clear" w:color="auto" w:fill="B6B6B6"/>
          </w:tcPr>
          <w:p>
            <w:pPr>
              <w:spacing w:after="0"/>
              <w:rPr>
                <w:sz w:val="16"/>
                <w:szCs w:val="16"/>
                <w:color w:val="auto"/>
              </w:rPr>
            </w:pPr>
          </w:p>
        </w:tc>
        <w:tc>
          <w:tcPr>
            <w:tcW w:w="940" w:type="dxa"/>
            <w:vAlign w:val="bottom"/>
            <w:tcBorders>
              <w:bottom w:val="single" w:sz="8" w:color="B6B6B6"/>
            </w:tcBorders>
            <w:shd w:val="clear" w:color="auto" w:fill="B6B6B6"/>
          </w:tcPr>
          <w:p>
            <w:pPr>
              <w:spacing w:after="0"/>
              <w:rPr>
                <w:sz w:val="16"/>
                <w:szCs w:val="16"/>
                <w:color w:val="auto"/>
              </w:rPr>
            </w:pPr>
          </w:p>
        </w:tc>
        <w:tc>
          <w:tcPr>
            <w:tcW w:w="380" w:type="dxa"/>
            <w:vAlign w:val="bottom"/>
            <w:tcBorders>
              <w:bottom w:val="single" w:sz="8" w:color="B6B6B6"/>
            </w:tcBorders>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B6B6B6"/>
            </w:tcBorders>
            <w:shd w:val="clear" w:color="auto" w:fill="B6B6B6"/>
          </w:tcPr>
          <w:p>
            <w:pPr>
              <w:jc w:val="right"/>
              <w:ind w:right="248"/>
              <w:spacing w:after="0"/>
              <w:rPr>
                <w:sz w:val="20"/>
                <w:szCs w:val="20"/>
                <w:color w:val="auto"/>
              </w:rPr>
            </w:pPr>
            <w:r>
              <w:rPr>
                <w:rFonts w:ascii="Times New Roman" w:cs="Times New Roman" w:eastAsia="Times New Roman" w:hAnsi="Times New Roman"/>
                <w:sz w:val="14"/>
                <w:szCs w:val="14"/>
                <w:color w:val="auto"/>
              </w:rPr>
              <w:t>11,900</w:t>
            </w:r>
          </w:p>
        </w:tc>
        <w:tc>
          <w:tcPr>
            <w:tcW w:w="960" w:type="dxa"/>
            <w:vAlign w:val="bottom"/>
            <w:tcBorders>
              <w:bottom w:val="single" w:sz="8" w:color="B6B6B6"/>
            </w:tcBorders>
            <w:shd w:val="clear" w:color="auto" w:fill="B6B6B6"/>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interest margin</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Interest spread</w:t>
            </w:r>
          </w:p>
        </w:tc>
        <w:tc>
          <w:tcPr>
            <w:tcW w:w="22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spacing w:after="0"/>
              <w:rPr>
                <w:sz w:val="17"/>
                <w:szCs w:val="17"/>
                <w:color w:val="auto"/>
              </w:rPr>
            </w:pPr>
          </w:p>
        </w:tc>
        <w:tc>
          <w:tcPr>
            <w:tcW w:w="3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2.52 %</w:t>
            </w: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spacing w:after="0"/>
              <w:rPr>
                <w:sz w:val="17"/>
                <w:szCs w:val="17"/>
                <w:color w:val="auto"/>
              </w:rPr>
            </w:pPr>
          </w:p>
        </w:tc>
        <w:tc>
          <w:tcPr>
            <w:tcW w:w="3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spacing w:after="0"/>
              <w:rPr>
                <w:sz w:val="17"/>
                <w:szCs w:val="17"/>
                <w:color w:val="auto"/>
              </w:rPr>
            </w:pPr>
          </w:p>
        </w:tc>
        <w:tc>
          <w:tcPr>
            <w:tcW w:w="96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2.18 %</w:t>
            </w:r>
          </w:p>
        </w:tc>
        <w:tc>
          <w:tcPr>
            <w:tcW w:w="0" w:type="dxa"/>
            <w:vAlign w:val="bottom"/>
          </w:tcPr>
          <w:p>
            <w:pPr>
              <w:spacing w:after="0"/>
              <w:rPr>
                <w:sz w:val="1"/>
                <w:szCs w:val="1"/>
                <w:color w:val="auto"/>
              </w:rPr>
            </w:pPr>
          </w:p>
        </w:tc>
      </w:tr>
      <w:tr>
        <w:trPr>
          <w:trHeight w:val="20"/>
        </w:trPr>
        <w:tc>
          <w:tcPr>
            <w:tcW w:w="3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Balances shown are daily averages.</w:t>
      </w:r>
    </w:p>
    <w:p>
      <w:pPr>
        <w:spacing w:after="0" w:line="36"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Interest income on loans includes net loan fees of $99,000 and $969,000 for the third quarter of 2022 and 2021, respectively. The decrease in net loan fees is due to higher PPP fees in 2021.</w:t>
      </w:r>
    </w:p>
    <w:p>
      <w:pPr>
        <w:spacing w:after="0" w:line="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these computations, yields on investment securities are computed as interest income divided by the average amortized cost of the investments.</w:t>
      </w:r>
    </w:p>
    <w:p>
      <w:pPr>
        <w:spacing w:after="0" w:line="39" w:lineRule="exact"/>
        <w:rPr>
          <w:rFonts w:ascii="Times New Roman" w:cs="Times New Roman" w:eastAsia="Times New Roman" w:hAnsi="Times New Roman"/>
          <w:sz w:val="14"/>
          <w:szCs w:val="14"/>
          <w:color w:val="auto"/>
        </w:rPr>
      </w:pPr>
    </w:p>
    <w:p>
      <w:pPr>
        <w:ind w:left="340" w:right="100" w:hanging="332"/>
        <w:spacing w:after="0" w:line="237"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Interest income is presented on a tax-equivalent basis assuming a tax rate of 21% for both 2022 and 2021. The tax-equivalent adjustment was approximately $412,000 and $468,000 for the third quarter of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Nine Months Ended 2022</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Nine Months Ended 2021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3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3"/>
                <w:szCs w:val="13"/>
                <w:color w:val="auto"/>
              </w:rPr>
            </w:pPr>
          </w:p>
        </w:tc>
        <w:tc>
          <w:tcPr>
            <w:tcW w:w="1280" w:type="dxa"/>
            <w:vAlign w:val="bottom"/>
          </w:tcPr>
          <w:p>
            <w:pPr>
              <w:ind w:left="140"/>
              <w:spacing w:after="0" w:line="158"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0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220" w:type="dxa"/>
            <w:vAlign w:val="bottom"/>
          </w:tcPr>
          <w:p>
            <w:pPr>
              <w:spacing w:after="0"/>
              <w:rPr>
                <w:sz w:val="13"/>
                <w:szCs w:val="13"/>
                <w:color w:val="auto"/>
              </w:rPr>
            </w:pPr>
          </w:p>
        </w:tc>
        <w:tc>
          <w:tcPr>
            <w:tcW w:w="104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3"/>
                <w:szCs w:val="13"/>
                <w:color w:val="auto"/>
              </w:rPr>
            </w:pPr>
          </w:p>
        </w:tc>
        <w:tc>
          <w:tcPr>
            <w:tcW w:w="1280" w:type="dxa"/>
            <w:vAlign w:val="bottom"/>
          </w:tcPr>
          <w:p>
            <w:pPr>
              <w:ind w:left="140"/>
              <w:spacing w:after="0" w:line="158"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92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148"/>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0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6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Rate</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9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194"/>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r>
              <w:rPr>
                <w:rFonts w:ascii="Times New Roman" w:cs="Times New Roman" w:eastAsia="Times New Roman" w:hAnsi="Times New Roman"/>
                <w:sz w:val="9"/>
                <w:szCs w:val="9"/>
                <w:color w:val="auto"/>
              </w:rPr>
              <w:t>1</w:t>
            </w:r>
          </w:p>
        </w:tc>
        <w:tc>
          <w:tcPr>
            <w:tcW w:w="220" w:type="dxa"/>
            <w:vAlign w:val="bottom"/>
            <w:tcBorders>
              <w:bottom w:val="single" w:sz="8" w:color="B6B6B6"/>
            </w:tcBorders>
            <w:shd w:val="clear" w:color="auto" w:fill="B6B6B6"/>
          </w:tcPr>
          <w:p>
            <w:pPr>
              <w:spacing w:after="0"/>
              <w:rPr>
                <w:sz w:val="16"/>
                <w:szCs w:val="16"/>
                <w:color w:val="auto"/>
              </w:rPr>
            </w:pPr>
          </w:p>
        </w:tc>
        <w:tc>
          <w:tcPr>
            <w:tcW w:w="1040" w:type="dxa"/>
            <w:vAlign w:val="bottom"/>
            <w:tcBorders>
              <w:bottom w:val="single" w:sz="8" w:color="B6B6B6"/>
            </w:tcBorders>
            <w:shd w:val="clear" w:color="auto" w:fill="B6B6B6"/>
          </w:tcPr>
          <w:p>
            <w:pPr>
              <w:spacing w:after="0"/>
              <w:rPr>
                <w:sz w:val="16"/>
                <w:szCs w:val="16"/>
                <w:color w:val="auto"/>
              </w:rPr>
            </w:pPr>
          </w:p>
        </w:tc>
        <w:tc>
          <w:tcPr>
            <w:tcW w:w="280" w:type="dxa"/>
            <w:vAlign w:val="bottom"/>
            <w:tcBorders>
              <w:bottom w:val="single" w:sz="8" w:color="B6B6B6"/>
            </w:tcBorders>
            <w:shd w:val="clear" w:color="auto" w:fill="B6B6B6"/>
          </w:tcPr>
          <w:p>
            <w:pPr>
              <w:spacing w:after="0"/>
              <w:rPr>
                <w:sz w:val="16"/>
                <w:szCs w:val="16"/>
                <w:color w:val="auto"/>
              </w:rPr>
            </w:pPr>
          </w:p>
        </w:tc>
        <w:tc>
          <w:tcPr>
            <w:tcW w:w="1280" w:type="dxa"/>
            <w:vAlign w:val="bottom"/>
            <w:tcBorders>
              <w:bottom w:val="single" w:sz="8" w:color="B6B6B6"/>
            </w:tcBorders>
            <w:shd w:val="clear" w:color="auto" w:fill="B6B6B6"/>
          </w:tcPr>
          <w:p>
            <w:pPr>
              <w:spacing w:after="0"/>
              <w:rPr>
                <w:sz w:val="16"/>
                <w:szCs w:val="16"/>
                <w:color w:val="auto"/>
              </w:rPr>
            </w:pPr>
          </w:p>
        </w:tc>
        <w:tc>
          <w:tcPr>
            <w:tcW w:w="900" w:type="dxa"/>
            <w:vAlign w:val="bottom"/>
            <w:tcBorders>
              <w:bottom w:val="single" w:sz="8" w:color="B6B6B6"/>
            </w:tcBorders>
            <w:shd w:val="clear" w:color="auto" w:fill="B6B6B6"/>
          </w:tcPr>
          <w:p>
            <w:pPr>
              <w:spacing w:after="0"/>
              <w:rPr>
                <w:sz w:val="16"/>
                <w:szCs w:val="16"/>
                <w:color w:val="auto"/>
              </w:rPr>
            </w:pPr>
          </w:p>
        </w:tc>
        <w:tc>
          <w:tcPr>
            <w:tcW w:w="100" w:type="dxa"/>
            <w:vAlign w:val="bottom"/>
            <w:tcBorders>
              <w:bottom w:val="single" w:sz="8" w:color="B6B6B6"/>
            </w:tcBorders>
            <w:shd w:val="clear" w:color="auto" w:fill="B6B6B6"/>
          </w:tcPr>
          <w:p>
            <w:pPr>
              <w:spacing w:after="0"/>
              <w:rPr>
                <w:sz w:val="16"/>
                <w:szCs w:val="16"/>
                <w:color w:val="auto"/>
              </w:rPr>
            </w:pPr>
          </w:p>
        </w:tc>
        <w:tc>
          <w:tcPr>
            <w:tcW w:w="220" w:type="dxa"/>
            <w:vAlign w:val="bottom"/>
            <w:tcBorders>
              <w:bottom w:val="single" w:sz="8" w:color="B6B6B6"/>
            </w:tcBorders>
            <w:shd w:val="clear" w:color="auto" w:fill="B6B6B6"/>
          </w:tcPr>
          <w:p>
            <w:pPr>
              <w:spacing w:after="0"/>
              <w:rPr>
                <w:sz w:val="16"/>
                <w:szCs w:val="16"/>
                <w:color w:val="auto"/>
              </w:rPr>
            </w:pPr>
          </w:p>
        </w:tc>
        <w:tc>
          <w:tcPr>
            <w:tcW w:w="1040" w:type="dxa"/>
            <w:vAlign w:val="bottom"/>
            <w:tcBorders>
              <w:bottom w:val="single" w:sz="8" w:color="B6B6B6"/>
            </w:tcBorders>
            <w:shd w:val="clear" w:color="auto" w:fill="B6B6B6"/>
          </w:tcPr>
          <w:p>
            <w:pPr>
              <w:spacing w:after="0"/>
              <w:rPr>
                <w:sz w:val="16"/>
                <w:szCs w:val="16"/>
                <w:color w:val="auto"/>
              </w:rPr>
            </w:pPr>
          </w:p>
        </w:tc>
        <w:tc>
          <w:tcPr>
            <w:tcW w:w="280" w:type="dxa"/>
            <w:vAlign w:val="bottom"/>
            <w:tcBorders>
              <w:bottom w:val="single" w:sz="8" w:color="B6B6B6"/>
            </w:tcBorders>
            <w:shd w:val="clear" w:color="auto" w:fill="B6B6B6"/>
          </w:tcPr>
          <w:p>
            <w:pPr>
              <w:spacing w:after="0"/>
              <w:rPr>
                <w:sz w:val="16"/>
                <w:szCs w:val="16"/>
                <w:color w:val="auto"/>
              </w:rPr>
            </w:pPr>
          </w:p>
        </w:tc>
        <w:tc>
          <w:tcPr>
            <w:tcW w:w="1280" w:type="dxa"/>
            <w:vAlign w:val="bottom"/>
            <w:tcBorders>
              <w:bottom w:val="single" w:sz="8" w:color="B6B6B6"/>
            </w:tcBorders>
            <w:shd w:val="clear" w:color="auto" w:fill="B6B6B6"/>
          </w:tcPr>
          <w:p>
            <w:pPr>
              <w:spacing w:after="0"/>
              <w:rPr>
                <w:sz w:val="16"/>
                <w:szCs w:val="16"/>
                <w:color w:val="auto"/>
              </w:rPr>
            </w:pPr>
          </w:p>
        </w:tc>
        <w:tc>
          <w:tcPr>
            <w:tcW w:w="920" w:type="dxa"/>
            <w:vAlign w:val="bottom"/>
            <w:tcBorders>
              <w:bottom w:val="single" w:sz="8" w:color="B6B6B6"/>
            </w:tcBorders>
            <w:shd w:val="clear" w:color="auto" w:fill="B6B6B6"/>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Interest-earning assets</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Loans</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spacing w:after="0"/>
              <w:rPr>
                <w:sz w:val="17"/>
                <w:szCs w:val="17"/>
                <w:color w:val="auto"/>
              </w:rPr>
            </w:pPr>
          </w:p>
        </w:tc>
        <w:tc>
          <w:tcPr>
            <w:tcW w:w="90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spacing w:after="0"/>
              <w:rPr>
                <w:sz w:val="17"/>
                <w:szCs w:val="17"/>
                <w:color w:val="auto"/>
              </w:rPr>
            </w:pPr>
          </w:p>
        </w:tc>
        <w:tc>
          <w:tcPr>
            <w:tcW w:w="92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Taxable</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972,698</w:t>
            </w:r>
          </w:p>
        </w:tc>
        <w:tc>
          <w:tcPr>
            <w:tcW w:w="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27,890</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3.83 %</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885,274</w:t>
            </w:r>
          </w:p>
        </w:tc>
        <w:tc>
          <w:tcPr>
            <w:tcW w:w="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26,270</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Investment securities</w:t>
            </w:r>
            <w:r>
              <w:rPr>
                <w:rFonts w:ascii="Times New Roman" w:cs="Times New Roman" w:eastAsia="Times New Roman" w:hAnsi="Times New Roman"/>
                <w:sz w:val="9"/>
                <w:szCs w:val="9"/>
                <w:color w:val="auto"/>
              </w:rPr>
              <w:t>3</w:t>
            </w:r>
            <w:r>
              <w:rPr>
                <w:rFonts w:ascii="Times New Roman" w:cs="Times New Roman" w:eastAsia="Times New Roman" w:hAnsi="Times New Roman"/>
                <w:sz w:val="14"/>
                <w:szCs w:val="14"/>
                <w:color w:val="auto"/>
              </w:rPr>
              <w:t>:</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spacing w:after="0"/>
              <w:rPr>
                <w:sz w:val="17"/>
                <w:szCs w:val="17"/>
                <w:color w:val="auto"/>
              </w:rPr>
            </w:pPr>
          </w:p>
        </w:tc>
        <w:tc>
          <w:tcPr>
            <w:tcW w:w="90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spacing w:after="0"/>
              <w:rPr>
                <w:sz w:val="17"/>
                <w:szCs w:val="17"/>
                <w:color w:val="auto"/>
              </w:rPr>
            </w:pPr>
          </w:p>
        </w:tc>
        <w:tc>
          <w:tcPr>
            <w:tcW w:w="92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Taxable</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488,257</w:t>
            </w:r>
          </w:p>
        </w:tc>
        <w:tc>
          <w:tcPr>
            <w:tcW w:w="280" w:type="dxa"/>
            <w:vAlign w:val="bottom"/>
          </w:tcPr>
          <w:p>
            <w:pPr>
              <w:spacing w:after="0"/>
              <w:rPr>
                <w:sz w:val="16"/>
                <w:szCs w:val="16"/>
                <w:color w:val="auto"/>
              </w:rPr>
            </w:pPr>
          </w:p>
        </w:tc>
        <w:tc>
          <w:tcPr>
            <w:tcW w:w="128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6,679</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149,953</w:t>
            </w:r>
          </w:p>
        </w:tc>
        <w:tc>
          <w:tcPr>
            <w:tcW w:w="280" w:type="dxa"/>
            <w:vAlign w:val="bottom"/>
          </w:tcPr>
          <w:p>
            <w:pPr>
              <w:spacing w:after="0"/>
              <w:rPr>
                <w:sz w:val="16"/>
                <w:szCs w:val="16"/>
                <w:color w:val="auto"/>
              </w:rPr>
            </w:pPr>
          </w:p>
        </w:tc>
        <w:tc>
          <w:tcPr>
            <w:tcW w:w="128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1,387</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Tax-exempt</w:t>
            </w:r>
            <w:r>
              <w:rPr>
                <w:rFonts w:ascii="Times New Roman" w:cs="Times New Roman" w:eastAsia="Times New Roman" w:hAnsi="Times New Roman"/>
                <w:sz w:val="9"/>
                <w:szCs w:val="9"/>
                <w:color w:val="auto"/>
              </w:rPr>
              <w:t>4</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284,187</w:t>
            </w: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jc w:val="right"/>
              <w:ind w:right="288"/>
              <w:spacing w:after="0"/>
              <w:rPr>
                <w:sz w:val="20"/>
                <w:szCs w:val="20"/>
                <w:color w:val="auto"/>
              </w:rPr>
            </w:pPr>
            <w:r>
              <w:rPr>
                <w:rFonts w:ascii="Times New Roman" w:cs="Times New Roman" w:eastAsia="Times New Roman" w:hAnsi="Times New Roman"/>
                <w:sz w:val="14"/>
                <w:szCs w:val="14"/>
                <w:color w:val="auto"/>
              </w:rPr>
              <w:t>6,161</w:t>
            </w: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2.90 %</w:t>
            </w: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304,348</w:t>
            </w: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jc w:val="right"/>
              <w:ind w:right="288"/>
              <w:spacing w:after="0"/>
              <w:rPr>
                <w:sz w:val="20"/>
                <w:szCs w:val="20"/>
                <w:color w:val="auto"/>
              </w:rPr>
            </w:pPr>
            <w:r>
              <w:rPr>
                <w:rFonts w:ascii="Times New Roman" w:cs="Times New Roman" w:eastAsia="Times New Roman" w:hAnsi="Times New Roman"/>
                <w:sz w:val="14"/>
                <w:szCs w:val="14"/>
                <w:color w:val="auto"/>
              </w:rPr>
              <w:t>6,748</w:t>
            </w:r>
          </w:p>
        </w:tc>
        <w:tc>
          <w:tcPr>
            <w:tcW w:w="92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2.96 %</w:t>
            </w:r>
          </w:p>
        </w:tc>
        <w:tc>
          <w:tcPr>
            <w:tcW w:w="0" w:type="dxa"/>
            <w:vAlign w:val="bottom"/>
          </w:tcPr>
          <w:p>
            <w:pPr>
              <w:spacing w:after="0"/>
              <w:rPr>
                <w:sz w:val="1"/>
                <w:szCs w:val="1"/>
                <w:color w:val="auto"/>
              </w:rPr>
            </w:pPr>
          </w:p>
        </w:tc>
      </w:tr>
      <w:tr>
        <w:trPr>
          <w:trHeight w:val="19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investments</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451,562</w:t>
            </w:r>
          </w:p>
        </w:tc>
        <w:tc>
          <w:tcPr>
            <w:tcW w:w="280" w:type="dxa"/>
            <w:vAlign w:val="bottom"/>
          </w:tcPr>
          <w:p>
            <w:pPr>
              <w:spacing w:after="0"/>
              <w:rPr>
                <w:sz w:val="16"/>
                <w:szCs w:val="16"/>
                <w:color w:val="auto"/>
              </w:rPr>
            </w:pPr>
          </w:p>
        </w:tc>
        <w:tc>
          <w:tcPr>
            <w:tcW w:w="128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3,423</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626,401</w:t>
            </w:r>
          </w:p>
        </w:tc>
        <w:tc>
          <w:tcPr>
            <w:tcW w:w="280" w:type="dxa"/>
            <w:vAlign w:val="bottom"/>
          </w:tcPr>
          <w:p>
            <w:pPr>
              <w:spacing w:after="0"/>
              <w:rPr>
                <w:sz w:val="16"/>
                <w:szCs w:val="16"/>
                <w:color w:val="auto"/>
              </w:rPr>
            </w:pPr>
          </w:p>
        </w:tc>
        <w:tc>
          <w:tcPr>
            <w:tcW w:w="128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515</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0.11 %</w:t>
            </w:r>
          </w:p>
        </w:tc>
        <w:tc>
          <w:tcPr>
            <w:tcW w:w="0" w:type="dxa"/>
            <w:vAlign w:val="bottom"/>
          </w:tcPr>
          <w:p>
            <w:pPr>
              <w:spacing w:after="0"/>
              <w:rPr>
                <w:sz w:val="1"/>
                <w:szCs w:val="1"/>
                <w:color w:val="auto"/>
              </w:rPr>
            </w:pPr>
          </w:p>
        </w:tc>
      </w:tr>
      <w:tr>
        <w:trPr>
          <w:trHeight w:val="23"/>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Total interest-earning assets</w:t>
            </w:r>
          </w:p>
        </w:tc>
        <w:tc>
          <w:tcPr>
            <w:tcW w:w="220" w:type="dxa"/>
            <w:vAlign w:val="bottom"/>
            <w:tcBorders>
              <w:bottom w:val="single" w:sz="8" w:color="B6B6B6"/>
            </w:tcBorders>
            <w:shd w:val="clear" w:color="auto" w:fill="B6B6B6"/>
          </w:tcPr>
          <w:p>
            <w:pPr>
              <w:spacing w:after="0"/>
              <w:rPr>
                <w:sz w:val="16"/>
                <w:szCs w:val="16"/>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2,196,704</w:t>
            </w:r>
          </w:p>
        </w:tc>
        <w:tc>
          <w:tcPr>
            <w:tcW w:w="280" w:type="dxa"/>
            <w:vAlign w:val="bottom"/>
            <w:tcBorders>
              <w:bottom w:val="single" w:sz="8" w:color="B6B6B6"/>
            </w:tcBorders>
            <w:shd w:val="clear" w:color="auto" w:fill="B6B6B6"/>
          </w:tcPr>
          <w:p>
            <w:pPr>
              <w:spacing w:after="0"/>
              <w:rPr>
                <w:sz w:val="16"/>
                <w:szCs w:val="16"/>
                <w:color w:val="auto"/>
              </w:rPr>
            </w:pPr>
          </w:p>
        </w:tc>
        <w:tc>
          <w:tcPr>
            <w:tcW w:w="1280" w:type="dxa"/>
            <w:vAlign w:val="bottom"/>
            <w:tcBorders>
              <w:bottom w:val="single" w:sz="8" w:color="B6B6B6"/>
            </w:tcBorders>
            <w:shd w:val="clear" w:color="auto" w:fill="B6B6B6"/>
          </w:tcPr>
          <w:p>
            <w:pPr>
              <w:jc w:val="right"/>
              <w:ind w:right="288"/>
              <w:spacing w:after="0"/>
              <w:rPr>
                <w:sz w:val="20"/>
                <w:szCs w:val="20"/>
                <w:color w:val="auto"/>
              </w:rPr>
            </w:pPr>
            <w:r>
              <w:rPr>
                <w:rFonts w:ascii="Times New Roman" w:cs="Times New Roman" w:eastAsia="Times New Roman" w:hAnsi="Times New Roman"/>
                <w:sz w:val="14"/>
                <w:szCs w:val="14"/>
                <w:color w:val="auto"/>
              </w:rPr>
              <w:t>44,153</w:t>
            </w: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2.69 %</w:t>
            </w:r>
          </w:p>
        </w:tc>
        <w:tc>
          <w:tcPr>
            <w:tcW w:w="100" w:type="dxa"/>
            <w:vAlign w:val="bottom"/>
            <w:tcBorders>
              <w:bottom w:val="single" w:sz="8" w:color="B6B6B6"/>
            </w:tcBorders>
            <w:shd w:val="clear" w:color="auto" w:fill="B6B6B6"/>
          </w:tcPr>
          <w:p>
            <w:pPr>
              <w:spacing w:after="0"/>
              <w:rPr>
                <w:sz w:val="16"/>
                <w:szCs w:val="16"/>
                <w:color w:val="auto"/>
              </w:rPr>
            </w:pPr>
          </w:p>
        </w:tc>
        <w:tc>
          <w:tcPr>
            <w:tcW w:w="220" w:type="dxa"/>
            <w:vAlign w:val="bottom"/>
            <w:tcBorders>
              <w:bottom w:val="single" w:sz="8" w:color="B6B6B6"/>
            </w:tcBorders>
            <w:shd w:val="clear" w:color="auto" w:fill="B6B6B6"/>
          </w:tcPr>
          <w:p>
            <w:pPr>
              <w:spacing w:after="0"/>
              <w:rPr>
                <w:sz w:val="16"/>
                <w:szCs w:val="16"/>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1,965,976</w:t>
            </w:r>
          </w:p>
        </w:tc>
        <w:tc>
          <w:tcPr>
            <w:tcW w:w="280" w:type="dxa"/>
            <w:vAlign w:val="bottom"/>
            <w:tcBorders>
              <w:bottom w:val="single" w:sz="8" w:color="B6B6B6"/>
            </w:tcBorders>
            <w:shd w:val="clear" w:color="auto" w:fill="B6B6B6"/>
          </w:tcPr>
          <w:p>
            <w:pPr>
              <w:spacing w:after="0"/>
              <w:rPr>
                <w:sz w:val="16"/>
                <w:szCs w:val="16"/>
                <w:color w:val="auto"/>
              </w:rPr>
            </w:pPr>
          </w:p>
        </w:tc>
        <w:tc>
          <w:tcPr>
            <w:tcW w:w="1280" w:type="dxa"/>
            <w:vAlign w:val="bottom"/>
            <w:tcBorders>
              <w:bottom w:val="single" w:sz="8" w:color="B6B6B6"/>
            </w:tcBorders>
            <w:shd w:val="clear" w:color="auto" w:fill="B6B6B6"/>
          </w:tcPr>
          <w:p>
            <w:pPr>
              <w:jc w:val="right"/>
              <w:ind w:right="288"/>
              <w:spacing w:after="0"/>
              <w:rPr>
                <w:sz w:val="20"/>
                <w:szCs w:val="20"/>
                <w:color w:val="auto"/>
              </w:rPr>
            </w:pPr>
            <w:r>
              <w:rPr>
                <w:rFonts w:ascii="Times New Roman" w:cs="Times New Roman" w:eastAsia="Times New Roman" w:hAnsi="Times New Roman"/>
                <w:sz w:val="14"/>
                <w:szCs w:val="14"/>
                <w:color w:val="auto"/>
              </w:rPr>
              <w:t>34,920</w:t>
            </w:r>
          </w:p>
        </w:tc>
        <w:tc>
          <w:tcPr>
            <w:tcW w:w="92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2.37 %</w:t>
            </w:r>
          </w:p>
        </w:tc>
        <w:tc>
          <w:tcPr>
            <w:tcW w:w="0" w:type="dxa"/>
            <w:vAlign w:val="bottom"/>
          </w:tcPr>
          <w:p>
            <w:pPr>
              <w:spacing w:after="0"/>
              <w:rPr>
                <w:sz w:val="1"/>
                <w:szCs w:val="1"/>
                <w:color w:val="auto"/>
              </w:rPr>
            </w:pPr>
          </w:p>
        </w:tc>
      </w:tr>
      <w:tr>
        <w:trPr>
          <w:trHeight w:val="19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Non-interest-earning assets:</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Cash and due from banks</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20,304</w:t>
            </w: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spacing w:after="0"/>
              <w:rPr>
                <w:sz w:val="17"/>
                <w:szCs w:val="17"/>
                <w:color w:val="auto"/>
              </w:rPr>
            </w:pPr>
          </w:p>
        </w:tc>
        <w:tc>
          <w:tcPr>
            <w:tcW w:w="90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19,890</w:t>
            </w: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spacing w:after="0"/>
              <w:rPr>
                <w:sz w:val="17"/>
                <w:szCs w:val="17"/>
                <w:color w:val="auto"/>
              </w:rPr>
            </w:pPr>
          </w:p>
        </w:tc>
        <w:tc>
          <w:tcPr>
            <w:tcW w:w="92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Premises and equipment, net</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19,192</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17,877</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Bank-owned life insurance</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46,009</w:t>
            </w: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spacing w:after="0"/>
              <w:rPr>
                <w:sz w:val="17"/>
                <w:szCs w:val="17"/>
                <w:color w:val="auto"/>
              </w:rPr>
            </w:pPr>
          </w:p>
        </w:tc>
        <w:tc>
          <w:tcPr>
            <w:tcW w:w="90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21,286</w:t>
            </w: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spacing w:after="0"/>
              <w:rPr>
                <w:sz w:val="17"/>
                <w:szCs w:val="17"/>
                <w:color w:val="auto"/>
              </w:rPr>
            </w:pPr>
          </w:p>
        </w:tc>
        <w:tc>
          <w:tcPr>
            <w:tcW w:w="92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Goodwill and other intangibles</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18,887</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17,381</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Payments in advance of funding</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283,430</w:t>
            </w: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spacing w:after="0"/>
              <w:rPr>
                <w:sz w:val="17"/>
                <w:szCs w:val="17"/>
                <w:color w:val="auto"/>
              </w:rPr>
            </w:pPr>
          </w:p>
        </w:tc>
        <w:tc>
          <w:tcPr>
            <w:tcW w:w="90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196,492</w:t>
            </w: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spacing w:after="0"/>
              <w:rPr>
                <w:sz w:val="17"/>
                <w:szCs w:val="17"/>
                <w:color w:val="auto"/>
              </w:rPr>
            </w:pPr>
          </w:p>
        </w:tc>
        <w:tc>
          <w:tcPr>
            <w:tcW w:w="92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assets</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15,583</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52,142</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8"/>
              <w:spacing w:after="0"/>
              <w:rPr>
                <w:sz w:val="20"/>
                <w:szCs w:val="20"/>
                <w:color w:val="auto"/>
              </w:rPr>
            </w:pPr>
            <w:r>
              <w:rPr>
                <w:rFonts w:ascii="Times New Roman" w:cs="Times New Roman" w:eastAsia="Times New Roman" w:hAnsi="Times New Roman"/>
                <w:sz w:val="14"/>
                <w:szCs w:val="14"/>
                <w:color w:val="auto"/>
              </w:rPr>
              <w:t>(12,349)</w:t>
            </w:r>
          </w:p>
        </w:tc>
        <w:tc>
          <w:tcPr>
            <w:tcW w:w="280" w:type="dxa"/>
            <w:vAlign w:val="bottom"/>
            <w:tcBorders>
              <w:bottom w:val="single" w:sz="8" w:color="B6B6B6"/>
            </w:tcBorders>
            <w:shd w:val="clear" w:color="auto" w:fill="B6B6B6"/>
          </w:tcPr>
          <w:p>
            <w:pPr>
              <w:spacing w:after="0"/>
              <w:rPr>
                <w:sz w:val="18"/>
                <w:szCs w:val="18"/>
                <w:color w:val="auto"/>
              </w:rPr>
            </w:pPr>
          </w:p>
        </w:tc>
        <w:tc>
          <w:tcPr>
            <w:tcW w:w="1280" w:type="dxa"/>
            <w:vAlign w:val="bottom"/>
            <w:tcBorders>
              <w:bottom w:val="single" w:sz="8" w:color="B6B6B6"/>
            </w:tcBorders>
            <w:shd w:val="clear" w:color="auto" w:fill="B6B6B6"/>
          </w:tcPr>
          <w:p>
            <w:pPr>
              <w:spacing w:after="0"/>
              <w:rPr>
                <w:sz w:val="18"/>
                <w:szCs w:val="18"/>
                <w:color w:val="auto"/>
              </w:rPr>
            </w:pPr>
          </w:p>
        </w:tc>
        <w:tc>
          <w:tcPr>
            <w:tcW w:w="90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8"/>
              <w:spacing w:after="0"/>
              <w:rPr>
                <w:sz w:val="20"/>
                <w:szCs w:val="20"/>
                <w:color w:val="auto"/>
              </w:rPr>
            </w:pPr>
            <w:r>
              <w:rPr>
                <w:rFonts w:ascii="Times New Roman" w:cs="Times New Roman" w:eastAsia="Times New Roman" w:hAnsi="Times New Roman"/>
                <w:sz w:val="14"/>
                <w:szCs w:val="14"/>
                <w:color w:val="auto"/>
              </w:rPr>
              <w:t>(11,615)</w:t>
            </w:r>
          </w:p>
        </w:tc>
        <w:tc>
          <w:tcPr>
            <w:tcW w:w="280" w:type="dxa"/>
            <w:vAlign w:val="bottom"/>
            <w:tcBorders>
              <w:bottom w:val="single" w:sz="8" w:color="B6B6B6"/>
            </w:tcBorders>
            <w:shd w:val="clear" w:color="auto" w:fill="B6B6B6"/>
          </w:tcPr>
          <w:p>
            <w:pPr>
              <w:spacing w:after="0"/>
              <w:rPr>
                <w:sz w:val="18"/>
                <w:szCs w:val="18"/>
                <w:color w:val="auto"/>
              </w:rPr>
            </w:pPr>
          </w:p>
        </w:tc>
        <w:tc>
          <w:tcPr>
            <w:tcW w:w="1280" w:type="dxa"/>
            <w:vAlign w:val="bottom"/>
            <w:tcBorders>
              <w:bottom w:val="single" w:sz="8" w:color="B6B6B6"/>
            </w:tcBorders>
            <w:shd w:val="clear" w:color="auto" w:fill="B6B6B6"/>
          </w:tcPr>
          <w:p>
            <w:pPr>
              <w:spacing w:after="0"/>
              <w:rPr>
                <w:sz w:val="18"/>
                <w:szCs w:val="18"/>
                <w:color w:val="auto"/>
              </w:rPr>
            </w:pPr>
          </w:p>
        </w:tc>
        <w:tc>
          <w:tcPr>
            <w:tcW w:w="92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2,587,760</w:t>
            </w: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2,279,429</w:t>
            </w: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r>
              <w:rPr>
                <w:rFonts w:ascii="Times New Roman" w:cs="Times New Roman" w:eastAsia="Times New Roman" w:hAnsi="Times New Roman"/>
                <w:sz w:val="9"/>
                <w:szCs w:val="9"/>
                <w:b w:val="1"/>
                <w:bCs w:val="1"/>
                <w:color w:val="auto"/>
              </w:rPr>
              <w:t>1</w:t>
            </w:r>
          </w:p>
        </w:tc>
        <w:tc>
          <w:tcPr>
            <w:tcW w:w="220" w:type="dxa"/>
            <w:vAlign w:val="bottom"/>
            <w:tcBorders>
              <w:bottom w:val="single" w:sz="8" w:color="B6B6B6"/>
            </w:tcBorders>
            <w:shd w:val="clear" w:color="auto" w:fill="B6B6B6"/>
          </w:tcPr>
          <w:p>
            <w:pPr>
              <w:spacing w:after="0"/>
              <w:rPr>
                <w:sz w:val="16"/>
                <w:szCs w:val="16"/>
                <w:color w:val="auto"/>
              </w:rPr>
            </w:pPr>
          </w:p>
        </w:tc>
        <w:tc>
          <w:tcPr>
            <w:tcW w:w="1040" w:type="dxa"/>
            <w:vAlign w:val="bottom"/>
            <w:tcBorders>
              <w:bottom w:val="single" w:sz="8" w:color="B6B6B6"/>
            </w:tcBorders>
            <w:shd w:val="clear" w:color="auto" w:fill="B6B6B6"/>
          </w:tcPr>
          <w:p>
            <w:pPr>
              <w:spacing w:after="0"/>
              <w:rPr>
                <w:sz w:val="16"/>
                <w:szCs w:val="16"/>
                <w:color w:val="auto"/>
              </w:rPr>
            </w:pPr>
          </w:p>
        </w:tc>
        <w:tc>
          <w:tcPr>
            <w:tcW w:w="280" w:type="dxa"/>
            <w:vAlign w:val="bottom"/>
            <w:tcBorders>
              <w:bottom w:val="single" w:sz="8" w:color="B6B6B6"/>
            </w:tcBorders>
            <w:shd w:val="clear" w:color="auto" w:fill="B6B6B6"/>
          </w:tcPr>
          <w:p>
            <w:pPr>
              <w:spacing w:after="0"/>
              <w:rPr>
                <w:sz w:val="16"/>
                <w:szCs w:val="16"/>
                <w:color w:val="auto"/>
              </w:rPr>
            </w:pPr>
          </w:p>
        </w:tc>
        <w:tc>
          <w:tcPr>
            <w:tcW w:w="1280" w:type="dxa"/>
            <w:vAlign w:val="bottom"/>
            <w:tcBorders>
              <w:bottom w:val="single" w:sz="8" w:color="B6B6B6"/>
            </w:tcBorders>
            <w:shd w:val="clear" w:color="auto" w:fill="B6B6B6"/>
          </w:tcPr>
          <w:p>
            <w:pPr>
              <w:spacing w:after="0"/>
              <w:rPr>
                <w:sz w:val="16"/>
                <w:szCs w:val="16"/>
                <w:color w:val="auto"/>
              </w:rPr>
            </w:pPr>
          </w:p>
        </w:tc>
        <w:tc>
          <w:tcPr>
            <w:tcW w:w="900" w:type="dxa"/>
            <w:vAlign w:val="bottom"/>
            <w:tcBorders>
              <w:bottom w:val="single" w:sz="8" w:color="B6B6B6"/>
            </w:tcBorders>
            <w:shd w:val="clear" w:color="auto" w:fill="B6B6B6"/>
          </w:tcPr>
          <w:p>
            <w:pPr>
              <w:spacing w:after="0"/>
              <w:rPr>
                <w:sz w:val="16"/>
                <w:szCs w:val="16"/>
                <w:color w:val="auto"/>
              </w:rPr>
            </w:pPr>
          </w:p>
        </w:tc>
        <w:tc>
          <w:tcPr>
            <w:tcW w:w="100" w:type="dxa"/>
            <w:vAlign w:val="bottom"/>
            <w:tcBorders>
              <w:bottom w:val="single" w:sz="8" w:color="B6B6B6"/>
            </w:tcBorders>
            <w:shd w:val="clear" w:color="auto" w:fill="B6B6B6"/>
          </w:tcPr>
          <w:p>
            <w:pPr>
              <w:spacing w:after="0"/>
              <w:rPr>
                <w:sz w:val="16"/>
                <w:szCs w:val="16"/>
                <w:color w:val="auto"/>
              </w:rPr>
            </w:pPr>
          </w:p>
        </w:tc>
        <w:tc>
          <w:tcPr>
            <w:tcW w:w="220" w:type="dxa"/>
            <w:vAlign w:val="bottom"/>
            <w:tcBorders>
              <w:bottom w:val="single" w:sz="8" w:color="B6B6B6"/>
            </w:tcBorders>
            <w:shd w:val="clear" w:color="auto" w:fill="B6B6B6"/>
          </w:tcPr>
          <w:p>
            <w:pPr>
              <w:spacing w:after="0"/>
              <w:rPr>
                <w:sz w:val="16"/>
                <w:szCs w:val="16"/>
                <w:color w:val="auto"/>
              </w:rPr>
            </w:pPr>
          </w:p>
        </w:tc>
        <w:tc>
          <w:tcPr>
            <w:tcW w:w="1040" w:type="dxa"/>
            <w:vAlign w:val="bottom"/>
            <w:tcBorders>
              <w:bottom w:val="single" w:sz="8" w:color="B6B6B6"/>
            </w:tcBorders>
            <w:shd w:val="clear" w:color="auto" w:fill="B6B6B6"/>
          </w:tcPr>
          <w:p>
            <w:pPr>
              <w:spacing w:after="0"/>
              <w:rPr>
                <w:sz w:val="16"/>
                <w:szCs w:val="16"/>
                <w:color w:val="auto"/>
              </w:rPr>
            </w:pPr>
          </w:p>
        </w:tc>
        <w:tc>
          <w:tcPr>
            <w:tcW w:w="280" w:type="dxa"/>
            <w:vAlign w:val="bottom"/>
            <w:tcBorders>
              <w:bottom w:val="single" w:sz="8" w:color="B6B6B6"/>
            </w:tcBorders>
            <w:shd w:val="clear" w:color="auto" w:fill="B6B6B6"/>
          </w:tcPr>
          <w:p>
            <w:pPr>
              <w:spacing w:after="0"/>
              <w:rPr>
                <w:sz w:val="16"/>
                <w:szCs w:val="16"/>
                <w:color w:val="auto"/>
              </w:rPr>
            </w:pPr>
          </w:p>
        </w:tc>
        <w:tc>
          <w:tcPr>
            <w:tcW w:w="1280" w:type="dxa"/>
            <w:vAlign w:val="bottom"/>
            <w:tcBorders>
              <w:bottom w:val="single" w:sz="8" w:color="B6B6B6"/>
            </w:tcBorders>
            <w:shd w:val="clear" w:color="auto" w:fill="B6B6B6"/>
          </w:tcPr>
          <w:p>
            <w:pPr>
              <w:spacing w:after="0"/>
              <w:rPr>
                <w:sz w:val="16"/>
                <w:szCs w:val="16"/>
                <w:color w:val="auto"/>
              </w:rPr>
            </w:pPr>
          </w:p>
        </w:tc>
        <w:tc>
          <w:tcPr>
            <w:tcW w:w="920" w:type="dxa"/>
            <w:vAlign w:val="bottom"/>
            <w:tcBorders>
              <w:bottom w:val="single" w:sz="8" w:color="B6B6B6"/>
            </w:tcBorders>
            <w:shd w:val="clear" w:color="auto" w:fill="B6B6B6"/>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Interest-bearing liabilities:</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Interest-bearing demand deposits</w:t>
            </w:r>
          </w:p>
        </w:tc>
        <w:tc>
          <w:tcPr>
            <w:tcW w:w="220" w:type="dxa"/>
            <w:vAlign w:val="bottom"/>
            <w:tcBorders>
              <w:bottom w:val="single" w:sz="8" w:color="B6B6B6"/>
            </w:tcBorders>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542,378</w:t>
            </w:r>
          </w:p>
        </w:tc>
        <w:tc>
          <w:tcPr>
            <w:tcW w:w="280" w:type="dxa"/>
            <w:vAlign w:val="bottom"/>
            <w:tcBorders>
              <w:bottom w:val="single" w:sz="8" w:color="B6B6B6"/>
            </w:tcBorders>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B6B6B6"/>
            </w:tcBorders>
            <w:shd w:val="clear" w:color="auto" w:fill="B6B6B6"/>
          </w:tcPr>
          <w:p>
            <w:pPr>
              <w:jc w:val="right"/>
              <w:ind w:right="288"/>
              <w:spacing w:after="0"/>
              <w:rPr>
                <w:sz w:val="20"/>
                <w:szCs w:val="20"/>
                <w:color w:val="auto"/>
              </w:rPr>
            </w:pPr>
            <w:r>
              <w:rPr>
                <w:rFonts w:ascii="Times New Roman" w:cs="Times New Roman" w:eastAsia="Times New Roman" w:hAnsi="Times New Roman"/>
                <w:sz w:val="14"/>
                <w:szCs w:val="14"/>
                <w:color w:val="auto"/>
              </w:rPr>
              <w:t>1,102</w:t>
            </w: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0.27 %</w:t>
            </w: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510,886</w:t>
            </w:r>
          </w:p>
        </w:tc>
        <w:tc>
          <w:tcPr>
            <w:tcW w:w="280" w:type="dxa"/>
            <w:vAlign w:val="bottom"/>
            <w:tcBorders>
              <w:bottom w:val="single" w:sz="8" w:color="B6B6B6"/>
            </w:tcBorders>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B6B6B6"/>
            </w:tcBorders>
            <w:shd w:val="clear" w:color="auto" w:fill="B6B6B6"/>
          </w:tcPr>
          <w:p>
            <w:pPr>
              <w:jc w:val="right"/>
              <w:ind w:right="288"/>
              <w:spacing w:after="0"/>
              <w:rPr>
                <w:sz w:val="20"/>
                <w:szCs w:val="20"/>
                <w:color w:val="auto"/>
              </w:rPr>
            </w:pPr>
            <w:r>
              <w:rPr>
                <w:rFonts w:ascii="Times New Roman" w:cs="Times New Roman" w:eastAsia="Times New Roman" w:hAnsi="Times New Roman"/>
                <w:sz w:val="14"/>
                <w:szCs w:val="14"/>
                <w:color w:val="auto"/>
              </w:rPr>
              <w:t>431</w:t>
            </w:r>
          </w:p>
        </w:tc>
        <w:tc>
          <w:tcPr>
            <w:tcW w:w="92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0.11 %</w:t>
            </w: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Savings deposits</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14,628</w:t>
            </w:r>
          </w:p>
        </w:tc>
        <w:tc>
          <w:tcPr>
            <w:tcW w:w="280" w:type="dxa"/>
            <w:vAlign w:val="bottom"/>
          </w:tcPr>
          <w:p>
            <w:pPr>
              <w:spacing w:after="0"/>
              <w:rPr>
                <w:sz w:val="16"/>
                <w:szCs w:val="16"/>
                <w:color w:val="auto"/>
              </w:rPr>
            </w:pPr>
          </w:p>
        </w:tc>
        <w:tc>
          <w:tcPr>
            <w:tcW w:w="128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17</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0.16 %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19,098</w:t>
            </w:r>
          </w:p>
        </w:tc>
        <w:tc>
          <w:tcPr>
            <w:tcW w:w="280" w:type="dxa"/>
            <w:vAlign w:val="bottom"/>
          </w:tcPr>
          <w:p>
            <w:pPr>
              <w:spacing w:after="0"/>
              <w:rPr>
                <w:sz w:val="16"/>
                <w:szCs w:val="16"/>
                <w:color w:val="auto"/>
              </w:rPr>
            </w:pPr>
          </w:p>
        </w:tc>
        <w:tc>
          <w:tcPr>
            <w:tcW w:w="128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7</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Time deposits &gt;= $100</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17,054</w:t>
            </w: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jc w:val="right"/>
              <w:ind w:right="288"/>
              <w:spacing w:after="0"/>
              <w:rPr>
                <w:sz w:val="20"/>
                <w:szCs w:val="20"/>
                <w:color w:val="auto"/>
              </w:rPr>
            </w:pPr>
            <w:r>
              <w:rPr>
                <w:rFonts w:ascii="Times New Roman" w:cs="Times New Roman" w:eastAsia="Times New Roman" w:hAnsi="Times New Roman"/>
                <w:sz w:val="14"/>
                <w:szCs w:val="14"/>
                <w:color w:val="auto"/>
              </w:rPr>
              <w:t>115</w:t>
            </w: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0.90 %</w:t>
            </w: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22,231</w:t>
            </w: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jc w:val="right"/>
              <w:ind w:right="288"/>
              <w:spacing w:after="0"/>
              <w:rPr>
                <w:sz w:val="20"/>
                <w:szCs w:val="20"/>
                <w:color w:val="auto"/>
              </w:rPr>
            </w:pPr>
            <w:r>
              <w:rPr>
                <w:rFonts w:ascii="Times New Roman" w:cs="Times New Roman" w:eastAsia="Times New Roman" w:hAnsi="Times New Roman"/>
                <w:sz w:val="14"/>
                <w:szCs w:val="14"/>
                <w:color w:val="auto"/>
              </w:rPr>
              <w:t>200</w:t>
            </w:r>
          </w:p>
        </w:tc>
        <w:tc>
          <w:tcPr>
            <w:tcW w:w="92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1.20 %</w:t>
            </w: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time deposits</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24,741</w:t>
            </w:r>
          </w:p>
        </w:tc>
        <w:tc>
          <w:tcPr>
            <w:tcW w:w="280" w:type="dxa"/>
            <w:vAlign w:val="bottom"/>
          </w:tcPr>
          <w:p>
            <w:pPr>
              <w:spacing w:after="0"/>
              <w:rPr>
                <w:sz w:val="16"/>
                <w:szCs w:val="16"/>
                <w:color w:val="auto"/>
              </w:rPr>
            </w:pPr>
          </w:p>
        </w:tc>
        <w:tc>
          <w:tcPr>
            <w:tcW w:w="128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110</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0.59 %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31,253</w:t>
            </w:r>
          </w:p>
        </w:tc>
        <w:tc>
          <w:tcPr>
            <w:tcW w:w="280" w:type="dxa"/>
            <w:vAlign w:val="bottom"/>
          </w:tcPr>
          <w:p>
            <w:pPr>
              <w:spacing w:after="0"/>
              <w:rPr>
                <w:sz w:val="16"/>
                <w:szCs w:val="16"/>
                <w:color w:val="auto"/>
              </w:rPr>
            </w:pPr>
          </w:p>
        </w:tc>
        <w:tc>
          <w:tcPr>
            <w:tcW w:w="128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277</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1.18 %</w:t>
            </w:r>
          </w:p>
        </w:tc>
        <w:tc>
          <w:tcPr>
            <w:tcW w:w="0" w:type="dxa"/>
            <w:vAlign w:val="bottom"/>
          </w:tcPr>
          <w:p>
            <w:pPr>
              <w:spacing w:after="0"/>
              <w:rPr>
                <w:sz w:val="1"/>
                <w:szCs w:val="1"/>
                <w:color w:val="auto"/>
              </w:rPr>
            </w:pPr>
          </w:p>
        </w:tc>
      </w:tr>
      <w:tr>
        <w:trPr>
          <w:trHeight w:val="23"/>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Total interest-bearing deposits</w:t>
            </w:r>
          </w:p>
        </w:tc>
        <w:tc>
          <w:tcPr>
            <w:tcW w:w="220" w:type="dxa"/>
            <w:vAlign w:val="bottom"/>
            <w:tcBorders>
              <w:bottom w:val="single" w:sz="8" w:color="B6B6B6"/>
            </w:tcBorders>
            <w:shd w:val="clear" w:color="auto" w:fill="B6B6B6"/>
          </w:tcPr>
          <w:p>
            <w:pPr>
              <w:spacing w:after="0"/>
              <w:rPr>
                <w:sz w:val="16"/>
                <w:szCs w:val="16"/>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598,801</w:t>
            </w:r>
          </w:p>
        </w:tc>
        <w:tc>
          <w:tcPr>
            <w:tcW w:w="280" w:type="dxa"/>
            <w:vAlign w:val="bottom"/>
            <w:tcBorders>
              <w:bottom w:val="single" w:sz="8" w:color="B6B6B6"/>
            </w:tcBorders>
            <w:shd w:val="clear" w:color="auto" w:fill="B6B6B6"/>
          </w:tcPr>
          <w:p>
            <w:pPr>
              <w:spacing w:after="0"/>
              <w:rPr>
                <w:sz w:val="16"/>
                <w:szCs w:val="16"/>
                <w:color w:val="auto"/>
              </w:rPr>
            </w:pPr>
          </w:p>
        </w:tc>
        <w:tc>
          <w:tcPr>
            <w:tcW w:w="1280" w:type="dxa"/>
            <w:vAlign w:val="bottom"/>
            <w:tcBorders>
              <w:bottom w:val="single" w:sz="8" w:color="B6B6B6"/>
            </w:tcBorders>
            <w:shd w:val="clear" w:color="auto" w:fill="B6B6B6"/>
          </w:tcPr>
          <w:p>
            <w:pPr>
              <w:jc w:val="right"/>
              <w:ind w:right="288"/>
              <w:spacing w:after="0"/>
              <w:rPr>
                <w:sz w:val="20"/>
                <w:szCs w:val="20"/>
                <w:color w:val="auto"/>
              </w:rPr>
            </w:pPr>
            <w:r>
              <w:rPr>
                <w:rFonts w:ascii="Times New Roman" w:cs="Times New Roman" w:eastAsia="Times New Roman" w:hAnsi="Times New Roman"/>
                <w:sz w:val="14"/>
                <w:szCs w:val="14"/>
                <w:color w:val="auto"/>
              </w:rPr>
              <w:t>1,344</w:t>
            </w: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0.30 %</w:t>
            </w:r>
          </w:p>
        </w:tc>
        <w:tc>
          <w:tcPr>
            <w:tcW w:w="100" w:type="dxa"/>
            <w:vAlign w:val="bottom"/>
            <w:tcBorders>
              <w:bottom w:val="single" w:sz="8" w:color="B6B6B6"/>
            </w:tcBorders>
            <w:shd w:val="clear" w:color="auto" w:fill="B6B6B6"/>
          </w:tcPr>
          <w:p>
            <w:pPr>
              <w:spacing w:after="0"/>
              <w:rPr>
                <w:sz w:val="16"/>
                <w:szCs w:val="16"/>
                <w:color w:val="auto"/>
              </w:rPr>
            </w:pPr>
          </w:p>
        </w:tc>
        <w:tc>
          <w:tcPr>
            <w:tcW w:w="220" w:type="dxa"/>
            <w:vAlign w:val="bottom"/>
            <w:tcBorders>
              <w:bottom w:val="single" w:sz="8" w:color="B6B6B6"/>
            </w:tcBorders>
            <w:shd w:val="clear" w:color="auto" w:fill="B6B6B6"/>
          </w:tcPr>
          <w:p>
            <w:pPr>
              <w:spacing w:after="0"/>
              <w:rPr>
                <w:sz w:val="16"/>
                <w:szCs w:val="16"/>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583,468</w:t>
            </w:r>
          </w:p>
        </w:tc>
        <w:tc>
          <w:tcPr>
            <w:tcW w:w="280" w:type="dxa"/>
            <w:vAlign w:val="bottom"/>
            <w:tcBorders>
              <w:bottom w:val="single" w:sz="8" w:color="B6B6B6"/>
            </w:tcBorders>
            <w:shd w:val="clear" w:color="auto" w:fill="B6B6B6"/>
          </w:tcPr>
          <w:p>
            <w:pPr>
              <w:spacing w:after="0"/>
              <w:rPr>
                <w:sz w:val="16"/>
                <w:szCs w:val="16"/>
                <w:color w:val="auto"/>
              </w:rPr>
            </w:pPr>
          </w:p>
        </w:tc>
        <w:tc>
          <w:tcPr>
            <w:tcW w:w="1280" w:type="dxa"/>
            <w:vAlign w:val="bottom"/>
            <w:tcBorders>
              <w:bottom w:val="single" w:sz="8" w:color="B6B6B6"/>
            </w:tcBorders>
            <w:shd w:val="clear" w:color="auto" w:fill="B6B6B6"/>
          </w:tcPr>
          <w:p>
            <w:pPr>
              <w:jc w:val="right"/>
              <w:ind w:right="288"/>
              <w:spacing w:after="0"/>
              <w:rPr>
                <w:sz w:val="20"/>
                <w:szCs w:val="20"/>
                <w:color w:val="auto"/>
              </w:rPr>
            </w:pPr>
            <w:r>
              <w:rPr>
                <w:rFonts w:ascii="Times New Roman" w:cs="Times New Roman" w:eastAsia="Times New Roman" w:hAnsi="Times New Roman"/>
                <w:sz w:val="14"/>
                <w:szCs w:val="14"/>
                <w:color w:val="auto"/>
              </w:rPr>
              <w:t>915</w:t>
            </w:r>
          </w:p>
        </w:tc>
        <w:tc>
          <w:tcPr>
            <w:tcW w:w="92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0.21 %</w:t>
            </w:r>
          </w:p>
        </w:tc>
        <w:tc>
          <w:tcPr>
            <w:tcW w:w="0" w:type="dxa"/>
            <w:vAlign w:val="bottom"/>
          </w:tcPr>
          <w:p>
            <w:pPr>
              <w:spacing w:after="0"/>
              <w:rPr>
                <w:sz w:val="1"/>
                <w:szCs w:val="1"/>
                <w:color w:val="auto"/>
              </w:rPr>
            </w:pPr>
          </w:p>
        </w:tc>
      </w:tr>
      <w:tr>
        <w:trPr>
          <w:trHeight w:val="19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borrowings</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w:t>
            </w:r>
          </w:p>
        </w:tc>
        <w:tc>
          <w:tcPr>
            <w:tcW w:w="280" w:type="dxa"/>
            <w:vAlign w:val="bottom"/>
          </w:tcPr>
          <w:p>
            <w:pPr>
              <w:spacing w:after="0"/>
              <w:rPr>
                <w:sz w:val="16"/>
                <w:szCs w:val="16"/>
                <w:color w:val="auto"/>
              </w:rPr>
            </w:pPr>
          </w:p>
        </w:tc>
        <w:tc>
          <w:tcPr>
            <w:tcW w:w="128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w:t>
            </w:r>
          </w:p>
        </w:tc>
        <w:tc>
          <w:tcPr>
            <w:tcW w:w="280" w:type="dxa"/>
            <w:vAlign w:val="bottom"/>
          </w:tcPr>
          <w:p>
            <w:pPr>
              <w:spacing w:after="0"/>
              <w:rPr>
                <w:sz w:val="16"/>
                <w:szCs w:val="16"/>
                <w:color w:val="auto"/>
              </w:rPr>
            </w:pPr>
          </w:p>
        </w:tc>
        <w:tc>
          <w:tcPr>
            <w:tcW w:w="128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3"/>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Total interest-bearing liabilities</w:t>
            </w:r>
          </w:p>
        </w:tc>
        <w:tc>
          <w:tcPr>
            <w:tcW w:w="220" w:type="dxa"/>
            <w:vAlign w:val="bottom"/>
            <w:tcBorders>
              <w:bottom w:val="single" w:sz="8" w:color="B6B6B6"/>
            </w:tcBorders>
            <w:shd w:val="clear" w:color="auto" w:fill="B6B6B6"/>
          </w:tcPr>
          <w:p>
            <w:pPr>
              <w:spacing w:after="0"/>
              <w:rPr>
                <w:sz w:val="16"/>
                <w:szCs w:val="16"/>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598,812</w:t>
            </w:r>
          </w:p>
        </w:tc>
        <w:tc>
          <w:tcPr>
            <w:tcW w:w="280" w:type="dxa"/>
            <w:vAlign w:val="bottom"/>
            <w:tcBorders>
              <w:bottom w:val="single" w:sz="8" w:color="B6B6B6"/>
            </w:tcBorders>
            <w:shd w:val="clear" w:color="auto" w:fill="B6B6B6"/>
          </w:tcPr>
          <w:p>
            <w:pPr>
              <w:spacing w:after="0"/>
              <w:rPr>
                <w:sz w:val="16"/>
                <w:szCs w:val="16"/>
                <w:color w:val="auto"/>
              </w:rPr>
            </w:pPr>
          </w:p>
        </w:tc>
        <w:tc>
          <w:tcPr>
            <w:tcW w:w="1280" w:type="dxa"/>
            <w:vAlign w:val="bottom"/>
            <w:tcBorders>
              <w:bottom w:val="single" w:sz="8" w:color="B6B6B6"/>
            </w:tcBorders>
            <w:shd w:val="clear" w:color="auto" w:fill="B6B6B6"/>
          </w:tcPr>
          <w:p>
            <w:pPr>
              <w:jc w:val="right"/>
              <w:ind w:right="288"/>
              <w:spacing w:after="0"/>
              <w:rPr>
                <w:sz w:val="20"/>
                <w:szCs w:val="20"/>
                <w:color w:val="auto"/>
              </w:rPr>
            </w:pPr>
            <w:r>
              <w:rPr>
                <w:rFonts w:ascii="Times New Roman" w:cs="Times New Roman" w:eastAsia="Times New Roman" w:hAnsi="Times New Roman"/>
                <w:sz w:val="14"/>
                <w:szCs w:val="14"/>
                <w:color w:val="auto"/>
              </w:rPr>
              <w:t>1,344</w:t>
            </w: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0.30 %</w:t>
            </w:r>
          </w:p>
        </w:tc>
        <w:tc>
          <w:tcPr>
            <w:tcW w:w="100" w:type="dxa"/>
            <w:vAlign w:val="bottom"/>
            <w:tcBorders>
              <w:bottom w:val="single" w:sz="8" w:color="B6B6B6"/>
            </w:tcBorders>
            <w:shd w:val="clear" w:color="auto" w:fill="B6B6B6"/>
          </w:tcPr>
          <w:p>
            <w:pPr>
              <w:spacing w:after="0"/>
              <w:rPr>
                <w:sz w:val="16"/>
                <w:szCs w:val="16"/>
                <w:color w:val="auto"/>
              </w:rPr>
            </w:pPr>
          </w:p>
        </w:tc>
        <w:tc>
          <w:tcPr>
            <w:tcW w:w="220" w:type="dxa"/>
            <w:vAlign w:val="bottom"/>
            <w:tcBorders>
              <w:bottom w:val="single" w:sz="8" w:color="B6B6B6"/>
            </w:tcBorders>
            <w:shd w:val="clear" w:color="auto" w:fill="B6B6B6"/>
          </w:tcPr>
          <w:p>
            <w:pPr>
              <w:spacing w:after="0"/>
              <w:rPr>
                <w:sz w:val="16"/>
                <w:szCs w:val="16"/>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583,478</w:t>
            </w:r>
          </w:p>
        </w:tc>
        <w:tc>
          <w:tcPr>
            <w:tcW w:w="280" w:type="dxa"/>
            <w:vAlign w:val="bottom"/>
            <w:tcBorders>
              <w:bottom w:val="single" w:sz="8" w:color="B6B6B6"/>
            </w:tcBorders>
            <w:shd w:val="clear" w:color="auto" w:fill="B6B6B6"/>
          </w:tcPr>
          <w:p>
            <w:pPr>
              <w:spacing w:after="0"/>
              <w:rPr>
                <w:sz w:val="16"/>
                <w:szCs w:val="16"/>
                <w:color w:val="auto"/>
              </w:rPr>
            </w:pPr>
          </w:p>
        </w:tc>
        <w:tc>
          <w:tcPr>
            <w:tcW w:w="1280" w:type="dxa"/>
            <w:vAlign w:val="bottom"/>
            <w:tcBorders>
              <w:bottom w:val="single" w:sz="8" w:color="B6B6B6"/>
            </w:tcBorders>
            <w:shd w:val="clear" w:color="auto" w:fill="B6B6B6"/>
          </w:tcPr>
          <w:p>
            <w:pPr>
              <w:jc w:val="right"/>
              <w:ind w:right="288"/>
              <w:spacing w:after="0"/>
              <w:rPr>
                <w:sz w:val="20"/>
                <w:szCs w:val="20"/>
                <w:color w:val="auto"/>
              </w:rPr>
            </w:pPr>
            <w:r>
              <w:rPr>
                <w:rFonts w:ascii="Times New Roman" w:cs="Times New Roman" w:eastAsia="Times New Roman" w:hAnsi="Times New Roman"/>
                <w:sz w:val="14"/>
                <w:szCs w:val="14"/>
                <w:color w:val="auto"/>
              </w:rPr>
              <w:t>915</w:t>
            </w:r>
          </w:p>
        </w:tc>
        <w:tc>
          <w:tcPr>
            <w:tcW w:w="92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0.21 %</w:t>
            </w:r>
          </w:p>
        </w:tc>
        <w:tc>
          <w:tcPr>
            <w:tcW w:w="0" w:type="dxa"/>
            <w:vAlign w:val="bottom"/>
          </w:tcPr>
          <w:p>
            <w:pPr>
              <w:spacing w:after="0"/>
              <w:rPr>
                <w:sz w:val="1"/>
                <w:szCs w:val="1"/>
                <w:color w:val="auto"/>
              </w:rPr>
            </w:pPr>
          </w:p>
        </w:tc>
      </w:tr>
      <w:tr>
        <w:trPr>
          <w:trHeight w:val="19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 bearing liabilities:</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Demand deposits</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594,994</w:t>
            </w: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spacing w:after="0"/>
              <w:rPr>
                <w:sz w:val="17"/>
                <w:szCs w:val="17"/>
                <w:color w:val="auto"/>
              </w:rPr>
            </w:pPr>
          </w:p>
        </w:tc>
        <w:tc>
          <w:tcPr>
            <w:tcW w:w="90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430,506</w:t>
            </w: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spacing w:after="0"/>
              <w:rPr>
                <w:sz w:val="17"/>
                <w:szCs w:val="17"/>
                <w:color w:val="auto"/>
              </w:rPr>
            </w:pPr>
          </w:p>
        </w:tc>
        <w:tc>
          <w:tcPr>
            <w:tcW w:w="92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and drafts payable</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1,135,673</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952,747</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Other liabilities</w:t>
            </w: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41,454</w:t>
            </w:r>
          </w:p>
        </w:tc>
        <w:tc>
          <w:tcPr>
            <w:tcW w:w="280" w:type="dxa"/>
            <w:vAlign w:val="bottom"/>
            <w:tcBorders>
              <w:bottom w:val="single" w:sz="8" w:color="B6B6B6"/>
            </w:tcBorders>
            <w:shd w:val="clear" w:color="auto" w:fill="B6B6B6"/>
          </w:tcPr>
          <w:p>
            <w:pPr>
              <w:spacing w:after="0"/>
              <w:rPr>
                <w:sz w:val="18"/>
                <w:szCs w:val="18"/>
                <w:color w:val="auto"/>
              </w:rPr>
            </w:pPr>
          </w:p>
        </w:tc>
        <w:tc>
          <w:tcPr>
            <w:tcW w:w="1280" w:type="dxa"/>
            <w:vAlign w:val="bottom"/>
            <w:tcBorders>
              <w:bottom w:val="single" w:sz="8" w:color="B6B6B6"/>
            </w:tcBorders>
            <w:shd w:val="clear" w:color="auto" w:fill="B6B6B6"/>
          </w:tcPr>
          <w:p>
            <w:pPr>
              <w:spacing w:after="0"/>
              <w:rPr>
                <w:sz w:val="18"/>
                <w:szCs w:val="18"/>
                <w:color w:val="auto"/>
              </w:rPr>
            </w:pPr>
          </w:p>
        </w:tc>
        <w:tc>
          <w:tcPr>
            <w:tcW w:w="90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54,935</w:t>
            </w:r>
          </w:p>
        </w:tc>
        <w:tc>
          <w:tcPr>
            <w:tcW w:w="280" w:type="dxa"/>
            <w:vAlign w:val="bottom"/>
            <w:tcBorders>
              <w:bottom w:val="single" w:sz="8" w:color="B6B6B6"/>
            </w:tcBorders>
            <w:shd w:val="clear" w:color="auto" w:fill="B6B6B6"/>
          </w:tcPr>
          <w:p>
            <w:pPr>
              <w:spacing w:after="0"/>
              <w:rPr>
                <w:sz w:val="18"/>
                <w:szCs w:val="18"/>
                <w:color w:val="auto"/>
              </w:rPr>
            </w:pPr>
          </w:p>
        </w:tc>
        <w:tc>
          <w:tcPr>
            <w:tcW w:w="1280" w:type="dxa"/>
            <w:vAlign w:val="bottom"/>
            <w:tcBorders>
              <w:bottom w:val="single" w:sz="8" w:color="B6B6B6"/>
            </w:tcBorders>
            <w:shd w:val="clear" w:color="auto" w:fill="B6B6B6"/>
          </w:tcPr>
          <w:p>
            <w:pPr>
              <w:spacing w:after="0"/>
              <w:rPr>
                <w:sz w:val="18"/>
                <w:szCs w:val="18"/>
                <w:color w:val="auto"/>
              </w:rPr>
            </w:pPr>
          </w:p>
        </w:tc>
        <w:tc>
          <w:tcPr>
            <w:tcW w:w="92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2,370,933</w:t>
            </w: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2,021,666</w:t>
            </w: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216,827</w:t>
            </w:r>
          </w:p>
        </w:tc>
        <w:tc>
          <w:tcPr>
            <w:tcW w:w="280" w:type="dxa"/>
            <w:vAlign w:val="bottom"/>
            <w:tcBorders>
              <w:bottom w:val="single" w:sz="8" w:color="B6B6B6"/>
            </w:tcBorders>
            <w:shd w:val="clear" w:color="auto" w:fill="B6B6B6"/>
          </w:tcPr>
          <w:p>
            <w:pPr>
              <w:spacing w:after="0"/>
              <w:rPr>
                <w:sz w:val="18"/>
                <w:szCs w:val="18"/>
                <w:color w:val="auto"/>
              </w:rPr>
            </w:pPr>
          </w:p>
        </w:tc>
        <w:tc>
          <w:tcPr>
            <w:tcW w:w="1280" w:type="dxa"/>
            <w:vAlign w:val="bottom"/>
            <w:tcBorders>
              <w:bottom w:val="single" w:sz="8" w:color="B6B6B6"/>
            </w:tcBorders>
            <w:shd w:val="clear" w:color="auto" w:fill="B6B6B6"/>
          </w:tcPr>
          <w:p>
            <w:pPr>
              <w:spacing w:after="0"/>
              <w:rPr>
                <w:sz w:val="18"/>
                <w:szCs w:val="18"/>
                <w:color w:val="auto"/>
              </w:rPr>
            </w:pPr>
          </w:p>
        </w:tc>
        <w:tc>
          <w:tcPr>
            <w:tcW w:w="90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257,763</w:t>
            </w:r>
          </w:p>
        </w:tc>
        <w:tc>
          <w:tcPr>
            <w:tcW w:w="280" w:type="dxa"/>
            <w:vAlign w:val="bottom"/>
            <w:tcBorders>
              <w:bottom w:val="single" w:sz="8" w:color="B6B6B6"/>
            </w:tcBorders>
            <w:shd w:val="clear" w:color="auto" w:fill="B6B6B6"/>
          </w:tcPr>
          <w:p>
            <w:pPr>
              <w:spacing w:after="0"/>
              <w:rPr>
                <w:sz w:val="18"/>
                <w:szCs w:val="18"/>
                <w:color w:val="auto"/>
              </w:rPr>
            </w:pPr>
          </w:p>
        </w:tc>
        <w:tc>
          <w:tcPr>
            <w:tcW w:w="1280" w:type="dxa"/>
            <w:vAlign w:val="bottom"/>
            <w:tcBorders>
              <w:bottom w:val="single" w:sz="8" w:color="B6B6B6"/>
            </w:tcBorders>
            <w:shd w:val="clear" w:color="auto" w:fill="B6B6B6"/>
          </w:tcPr>
          <w:p>
            <w:pPr>
              <w:spacing w:after="0"/>
              <w:rPr>
                <w:sz w:val="18"/>
                <w:szCs w:val="18"/>
                <w:color w:val="auto"/>
              </w:rPr>
            </w:pPr>
          </w:p>
        </w:tc>
        <w:tc>
          <w:tcPr>
            <w:tcW w:w="92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2,587,760</w:t>
            </w: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2,279,429</w:t>
            </w: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220" w:type="dxa"/>
            <w:vAlign w:val="bottom"/>
            <w:tcBorders>
              <w:bottom w:val="single" w:sz="8" w:color="B6B6B6"/>
            </w:tcBorders>
            <w:shd w:val="clear" w:color="auto" w:fill="B6B6B6"/>
          </w:tcPr>
          <w:p>
            <w:pPr>
              <w:spacing w:after="0"/>
              <w:rPr>
                <w:sz w:val="16"/>
                <w:szCs w:val="16"/>
                <w:color w:val="auto"/>
              </w:rPr>
            </w:pPr>
          </w:p>
        </w:tc>
        <w:tc>
          <w:tcPr>
            <w:tcW w:w="1040" w:type="dxa"/>
            <w:vAlign w:val="bottom"/>
            <w:tcBorders>
              <w:bottom w:val="single" w:sz="8" w:color="B6B6B6"/>
            </w:tcBorders>
            <w:shd w:val="clear" w:color="auto" w:fill="B6B6B6"/>
          </w:tcPr>
          <w:p>
            <w:pPr>
              <w:spacing w:after="0"/>
              <w:rPr>
                <w:sz w:val="16"/>
                <w:szCs w:val="16"/>
                <w:color w:val="auto"/>
              </w:rPr>
            </w:pPr>
          </w:p>
        </w:tc>
        <w:tc>
          <w:tcPr>
            <w:tcW w:w="280" w:type="dxa"/>
            <w:vAlign w:val="bottom"/>
            <w:tcBorders>
              <w:bottom w:val="single" w:sz="8" w:color="B6B6B6"/>
            </w:tcBorders>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B6B6B6"/>
            </w:tcBorders>
            <w:shd w:val="clear" w:color="auto" w:fill="B6B6B6"/>
          </w:tcPr>
          <w:p>
            <w:pPr>
              <w:jc w:val="right"/>
              <w:ind w:right="288"/>
              <w:spacing w:after="0"/>
              <w:rPr>
                <w:sz w:val="20"/>
                <w:szCs w:val="20"/>
                <w:color w:val="auto"/>
              </w:rPr>
            </w:pPr>
            <w:r>
              <w:rPr>
                <w:rFonts w:ascii="Times New Roman" w:cs="Times New Roman" w:eastAsia="Times New Roman" w:hAnsi="Times New Roman"/>
                <w:sz w:val="14"/>
                <w:szCs w:val="14"/>
                <w:color w:val="auto"/>
              </w:rPr>
              <w:t>42,809</w:t>
            </w:r>
          </w:p>
        </w:tc>
        <w:tc>
          <w:tcPr>
            <w:tcW w:w="900" w:type="dxa"/>
            <w:vAlign w:val="bottom"/>
            <w:tcBorders>
              <w:bottom w:val="single" w:sz="8" w:color="B6B6B6"/>
            </w:tcBorders>
            <w:shd w:val="clear" w:color="auto" w:fill="B6B6B6"/>
          </w:tcPr>
          <w:p>
            <w:pPr>
              <w:spacing w:after="0"/>
              <w:rPr>
                <w:sz w:val="16"/>
                <w:szCs w:val="16"/>
                <w:color w:val="auto"/>
              </w:rPr>
            </w:pPr>
          </w:p>
        </w:tc>
        <w:tc>
          <w:tcPr>
            <w:tcW w:w="100" w:type="dxa"/>
            <w:vAlign w:val="bottom"/>
            <w:tcBorders>
              <w:bottom w:val="single" w:sz="8" w:color="B6B6B6"/>
            </w:tcBorders>
            <w:shd w:val="clear" w:color="auto" w:fill="B6B6B6"/>
          </w:tcPr>
          <w:p>
            <w:pPr>
              <w:spacing w:after="0"/>
              <w:rPr>
                <w:sz w:val="16"/>
                <w:szCs w:val="16"/>
                <w:color w:val="auto"/>
              </w:rPr>
            </w:pPr>
          </w:p>
        </w:tc>
        <w:tc>
          <w:tcPr>
            <w:tcW w:w="220" w:type="dxa"/>
            <w:vAlign w:val="bottom"/>
            <w:tcBorders>
              <w:bottom w:val="single" w:sz="8" w:color="B6B6B6"/>
            </w:tcBorders>
            <w:shd w:val="clear" w:color="auto" w:fill="B6B6B6"/>
          </w:tcPr>
          <w:p>
            <w:pPr>
              <w:spacing w:after="0"/>
              <w:rPr>
                <w:sz w:val="16"/>
                <w:szCs w:val="16"/>
                <w:color w:val="auto"/>
              </w:rPr>
            </w:pPr>
          </w:p>
        </w:tc>
        <w:tc>
          <w:tcPr>
            <w:tcW w:w="1040" w:type="dxa"/>
            <w:vAlign w:val="bottom"/>
            <w:tcBorders>
              <w:bottom w:val="single" w:sz="8" w:color="B6B6B6"/>
            </w:tcBorders>
            <w:shd w:val="clear" w:color="auto" w:fill="B6B6B6"/>
          </w:tcPr>
          <w:p>
            <w:pPr>
              <w:spacing w:after="0"/>
              <w:rPr>
                <w:sz w:val="16"/>
                <w:szCs w:val="16"/>
                <w:color w:val="auto"/>
              </w:rPr>
            </w:pPr>
          </w:p>
        </w:tc>
        <w:tc>
          <w:tcPr>
            <w:tcW w:w="280" w:type="dxa"/>
            <w:vAlign w:val="bottom"/>
            <w:tcBorders>
              <w:bottom w:val="single" w:sz="8" w:color="B6B6B6"/>
            </w:tcBorders>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B6B6B6"/>
            </w:tcBorders>
            <w:shd w:val="clear" w:color="auto" w:fill="B6B6B6"/>
          </w:tcPr>
          <w:p>
            <w:pPr>
              <w:jc w:val="right"/>
              <w:ind w:right="288"/>
              <w:spacing w:after="0"/>
              <w:rPr>
                <w:sz w:val="20"/>
                <w:szCs w:val="20"/>
                <w:color w:val="auto"/>
              </w:rPr>
            </w:pPr>
            <w:r>
              <w:rPr>
                <w:rFonts w:ascii="Times New Roman" w:cs="Times New Roman" w:eastAsia="Times New Roman" w:hAnsi="Times New Roman"/>
                <w:sz w:val="14"/>
                <w:szCs w:val="14"/>
                <w:color w:val="auto"/>
              </w:rPr>
              <w:t>34,005</w:t>
            </w:r>
          </w:p>
        </w:tc>
        <w:tc>
          <w:tcPr>
            <w:tcW w:w="920" w:type="dxa"/>
            <w:vAlign w:val="bottom"/>
            <w:tcBorders>
              <w:bottom w:val="single" w:sz="8" w:color="B6B6B6"/>
            </w:tcBorders>
            <w:shd w:val="clear" w:color="auto" w:fill="B6B6B6"/>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interest margin</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Interest spread</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spacing w:after="0"/>
              <w:rPr>
                <w:sz w:val="17"/>
                <w:szCs w:val="17"/>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2.39 %</w:t>
            </w: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spacing w:after="0"/>
              <w:rPr>
                <w:sz w:val="17"/>
                <w:szCs w:val="17"/>
                <w:color w:val="auto"/>
              </w:rPr>
            </w:pPr>
          </w:p>
        </w:tc>
        <w:tc>
          <w:tcPr>
            <w:tcW w:w="92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2.17 %</w:t>
            </w:r>
          </w:p>
        </w:tc>
        <w:tc>
          <w:tcPr>
            <w:tcW w:w="0" w:type="dxa"/>
            <w:vAlign w:val="bottom"/>
          </w:tcPr>
          <w:p>
            <w:pPr>
              <w:spacing w:after="0"/>
              <w:rPr>
                <w:sz w:val="1"/>
                <w:szCs w:val="1"/>
                <w:color w:val="auto"/>
              </w:rPr>
            </w:pPr>
          </w:p>
        </w:tc>
      </w:tr>
      <w:tr>
        <w:trPr>
          <w:trHeight w:val="20"/>
        </w:trPr>
        <w:tc>
          <w:tcPr>
            <w:tcW w:w="3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Balances shown are daily averages.</w:t>
      </w:r>
    </w:p>
    <w:p>
      <w:pPr>
        <w:spacing w:after="0" w:line="27" w:lineRule="exact"/>
        <w:rPr>
          <w:rFonts w:ascii="Times New Roman" w:cs="Times New Roman" w:eastAsia="Times New Roman" w:hAnsi="Times New Roman"/>
          <w:sz w:val="14"/>
          <w:szCs w:val="14"/>
          <w:color w:val="auto"/>
        </w:rPr>
      </w:pPr>
    </w:p>
    <w:p>
      <w:pPr>
        <w:ind w:left="340" w:right="240" w:hanging="332"/>
        <w:spacing w:after="0" w:line="254" w:lineRule="auto"/>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on loans includes net loan fees of $500,000 and $2,738,000 for the nine months ended September 30, 2022 and 2021, respectively. The decrease in net loan fees is due to higher PPP fees in 2021.</w:t>
      </w:r>
    </w:p>
    <w:p>
      <w:pPr>
        <w:ind w:left="340" w:hanging="332"/>
        <w:spacing w:after="0"/>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these computations, yields on investment securities are computed as interest income divided by the average amortized cost of the investments.</w:t>
      </w:r>
    </w:p>
    <w:p>
      <w:pPr>
        <w:spacing w:after="0" w:line="39" w:lineRule="exact"/>
        <w:rPr>
          <w:rFonts w:ascii="Times New Roman" w:cs="Times New Roman" w:eastAsia="Times New Roman" w:hAnsi="Times New Roman"/>
          <w:sz w:val="14"/>
          <w:szCs w:val="14"/>
          <w:color w:val="auto"/>
        </w:rPr>
      </w:pPr>
    </w:p>
    <w:p>
      <w:pPr>
        <w:ind w:left="340" w:right="560" w:hanging="332"/>
        <w:spacing w:after="0" w:line="237"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Interest income is presented on a tax-equivalent basis assuming a tax rate of 21% for both the nine months ended September 30, 2022 and 2021. The tax-equivalent adjustment was approximately $1,294,000 and $1,417,000 for the nine months ended September 30, 2022 and 2021, respectively.</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Net Interest Income Changes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changes in interest income and expense between periods due to changes in volume and interest rates. That portion of the change in interest attributable to the combined rate/volume variance has been allocated to rate and volume changes in proportion to the absolute dollar amounts of the change in each.</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20" w:type="dxa"/>
            <w:vAlign w:val="bottom"/>
            <w:gridSpan w:val="5"/>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Third Quarter of 2022 Compared to Third Quarter of</w:t>
            </w:r>
          </w:p>
        </w:tc>
        <w:tc>
          <w:tcPr>
            <w:tcW w:w="0" w:type="dxa"/>
            <w:vAlign w:val="bottom"/>
          </w:tcPr>
          <w:p>
            <w:pPr>
              <w:spacing w:after="0"/>
              <w:rPr>
                <w:sz w:val="1"/>
                <w:szCs w:val="1"/>
                <w:color w:val="auto"/>
              </w:rPr>
            </w:pPr>
          </w:p>
        </w:tc>
      </w:tr>
      <w:tr>
        <w:trPr>
          <w:trHeight w:val="238"/>
        </w:trPr>
        <w:tc>
          <w:tcPr>
            <w:tcW w:w="6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44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Rate</w:t>
            </w:r>
          </w:p>
        </w:tc>
        <w:tc>
          <w:tcPr>
            <w:tcW w:w="4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57"/>
        </w:trPr>
        <w:tc>
          <w:tcPr>
            <w:tcW w:w="64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Increase (decrease) in interest income:</w:t>
            </w:r>
          </w:p>
        </w:tc>
        <w:tc>
          <w:tcPr>
            <w:tcW w:w="160" w:type="dxa"/>
            <w:vAlign w:val="bottom"/>
            <w:shd w:val="clear" w:color="auto" w:fill="B6B6B6"/>
          </w:tcPr>
          <w:p>
            <w:pPr>
              <w:spacing w:after="0"/>
              <w:rPr>
                <w:sz w:val="22"/>
                <w:szCs w:val="22"/>
                <w:color w:val="auto"/>
              </w:rPr>
            </w:pPr>
          </w:p>
        </w:tc>
        <w:tc>
          <w:tcPr>
            <w:tcW w:w="124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spacing w:after="0"/>
              <w:rPr>
                <w:sz w:val="22"/>
                <w:szCs w:val="22"/>
                <w:color w:val="auto"/>
              </w:rPr>
            </w:pPr>
          </w:p>
        </w:tc>
        <w:tc>
          <w:tcPr>
            <w:tcW w:w="440" w:type="dxa"/>
            <w:vAlign w:val="bottom"/>
            <w:shd w:val="clear" w:color="auto" w:fill="B6B6B6"/>
          </w:tcPr>
          <w:p>
            <w:pPr>
              <w:spacing w:after="0"/>
              <w:rPr>
                <w:sz w:val="22"/>
                <w:szCs w:val="22"/>
                <w:color w:val="auto"/>
              </w:rPr>
            </w:pPr>
          </w:p>
        </w:tc>
        <w:tc>
          <w:tcPr>
            <w:tcW w:w="130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44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Loans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44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Taxable</w:t>
            </w:r>
          </w:p>
        </w:tc>
        <w:tc>
          <w:tcPr>
            <w:tcW w:w="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1,130</w:t>
            </w:r>
          </w:p>
        </w:tc>
        <w:tc>
          <w:tcPr>
            <w:tcW w:w="36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44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0" w:type="dxa"/>
            <w:vAlign w:val="bottom"/>
          </w:tcPr>
          <w:p>
            <w:pPr>
              <w:spacing w:after="0"/>
              <w:rPr>
                <w:sz w:val="1"/>
                <w:szCs w:val="1"/>
                <w:color w:val="auto"/>
              </w:rPr>
            </w:pPr>
          </w:p>
        </w:tc>
      </w:tr>
      <w:tr>
        <w:trPr>
          <w:trHeight w:val="250"/>
        </w:trPr>
        <w:tc>
          <w:tcPr>
            <w:tcW w:w="6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securities:</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44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Taxable</w:t>
            </w:r>
          </w:p>
        </w:tc>
        <w:tc>
          <w:tcPr>
            <w:tcW w:w="16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1,680</w:t>
            </w: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537</w:t>
            </w:r>
          </w:p>
        </w:tc>
        <w:tc>
          <w:tcPr>
            <w:tcW w:w="44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0" w:type="dxa"/>
            <w:vAlign w:val="bottom"/>
          </w:tcPr>
          <w:p>
            <w:pPr>
              <w:spacing w:after="0"/>
              <w:rPr>
                <w:sz w:val="1"/>
                <w:szCs w:val="1"/>
                <w:color w:val="auto"/>
              </w:rPr>
            </w:pPr>
          </w:p>
        </w:tc>
      </w:tr>
      <w:tr>
        <w:trPr>
          <w:trHeight w:val="257"/>
        </w:trPr>
        <w:tc>
          <w:tcPr>
            <w:tcW w:w="6440" w:type="dxa"/>
            <w:vAlign w:val="bottom"/>
          </w:tcPr>
          <w:p>
            <w:pPr>
              <w:ind w:left="360"/>
              <w:spacing w:after="0" w:line="256" w:lineRule="exact"/>
              <w:rPr>
                <w:sz w:val="20"/>
                <w:szCs w:val="20"/>
                <w:color w:val="auto"/>
              </w:rPr>
            </w:pPr>
            <w:r>
              <w:rPr>
                <w:rFonts w:ascii="Times New Roman" w:cs="Times New Roman" w:eastAsia="Times New Roman" w:hAnsi="Times New Roman"/>
                <w:sz w:val="18"/>
                <w:szCs w:val="18"/>
                <w:color w:val="auto"/>
              </w:rPr>
              <w:t>Tax-exempt</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50"/>
        </w:trPr>
        <w:tc>
          <w:tcPr>
            <w:tcW w:w="6440" w:type="dxa"/>
            <w:vAlign w:val="bottom"/>
            <w:tcBorders>
              <w:bottom w:val="single" w:sz="8" w:color="auto"/>
            </w:tcBorders>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Borders>
              <w:bottom w:val="single" w:sz="8" w:color="auto"/>
            </w:tcBorders>
            <w:shd w:val="clear" w:color="auto" w:fill="B6B6B6"/>
          </w:tcPr>
          <w:p>
            <w:pPr>
              <w:spacing w:after="0"/>
              <w:rPr>
                <w:sz w:val="21"/>
                <w:szCs w:val="21"/>
                <w:color w:val="auto"/>
              </w:rPr>
            </w:pPr>
          </w:p>
        </w:tc>
        <w:tc>
          <w:tcPr>
            <w:tcW w:w="1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360" w:type="dxa"/>
            <w:vAlign w:val="bottom"/>
            <w:tcBorders>
              <w:bottom w:val="single" w:sz="8" w:color="auto"/>
            </w:tcBorders>
            <w:shd w:val="clear" w:color="auto" w:fill="B6B6B6"/>
          </w:tcPr>
          <w:p>
            <w:pPr>
              <w:spacing w:after="0"/>
              <w:rPr>
                <w:sz w:val="21"/>
                <w:szCs w:val="21"/>
                <w:color w:val="auto"/>
              </w:rPr>
            </w:pPr>
          </w:p>
        </w:tc>
        <w:tc>
          <w:tcPr>
            <w:tcW w:w="108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2,114</w:t>
            </w:r>
          </w:p>
        </w:tc>
        <w:tc>
          <w:tcPr>
            <w:tcW w:w="440" w:type="dxa"/>
            <w:vAlign w:val="bottom"/>
            <w:tcBorders>
              <w:bottom w:val="single" w:sz="8" w:color="auto"/>
            </w:tcBorders>
            <w:shd w:val="clear" w:color="auto" w:fill="B6B6B6"/>
          </w:tcPr>
          <w:p>
            <w:pPr>
              <w:spacing w:after="0"/>
              <w:rPr>
                <w:sz w:val="21"/>
                <w:szCs w:val="21"/>
                <w:color w:val="auto"/>
              </w:rPr>
            </w:pPr>
          </w:p>
        </w:tc>
        <w:tc>
          <w:tcPr>
            <w:tcW w:w="13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0" w:type="dxa"/>
            <w:vAlign w:val="bottom"/>
          </w:tcPr>
          <w:p>
            <w:pPr>
              <w:spacing w:after="0"/>
              <w:rPr>
                <w:sz w:val="1"/>
                <w:szCs w:val="1"/>
                <w:color w:val="auto"/>
              </w:rPr>
            </w:pPr>
          </w:p>
        </w:tc>
      </w:tr>
      <w:tr>
        <w:trPr>
          <w:trHeight w:val="250"/>
        </w:trPr>
        <w:tc>
          <w:tcPr>
            <w:tcW w:w="6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interest income</w:t>
            </w: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2,454</w:t>
            </w: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2,524</w:t>
            </w:r>
          </w:p>
        </w:tc>
        <w:tc>
          <w:tcPr>
            <w:tcW w:w="4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0" w:type="dxa"/>
            <w:vAlign w:val="bottom"/>
          </w:tcPr>
          <w:p>
            <w:pPr>
              <w:spacing w:after="0"/>
              <w:rPr>
                <w:sz w:val="1"/>
                <w:szCs w:val="1"/>
                <w:color w:val="auto"/>
              </w:rPr>
            </w:pPr>
          </w:p>
        </w:tc>
      </w:tr>
      <w:tr>
        <w:trPr>
          <w:trHeight w:val="257"/>
        </w:trPr>
        <w:tc>
          <w:tcPr>
            <w:tcW w:w="64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Interest expense on:</w:t>
            </w:r>
          </w:p>
        </w:tc>
        <w:tc>
          <w:tcPr>
            <w:tcW w:w="160" w:type="dxa"/>
            <w:vAlign w:val="bottom"/>
            <w:shd w:val="clear" w:color="auto" w:fill="B6B6B6"/>
          </w:tcPr>
          <w:p>
            <w:pPr>
              <w:spacing w:after="0"/>
              <w:rPr>
                <w:sz w:val="22"/>
                <w:szCs w:val="22"/>
                <w:color w:val="auto"/>
              </w:rPr>
            </w:pPr>
          </w:p>
        </w:tc>
        <w:tc>
          <w:tcPr>
            <w:tcW w:w="124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spacing w:after="0"/>
              <w:rPr>
                <w:sz w:val="22"/>
                <w:szCs w:val="22"/>
                <w:color w:val="auto"/>
              </w:rPr>
            </w:pPr>
          </w:p>
        </w:tc>
        <w:tc>
          <w:tcPr>
            <w:tcW w:w="440" w:type="dxa"/>
            <w:vAlign w:val="bottom"/>
            <w:shd w:val="clear" w:color="auto" w:fill="B6B6B6"/>
          </w:tcPr>
          <w:p>
            <w:pPr>
              <w:spacing w:after="0"/>
              <w:rPr>
                <w:sz w:val="22"/>
                <w:szCs w:val="22"/>
                <w:color w:val="auto"/>
              </w:rPr>
            </w:pPr>
          </w:p>
        </w:tc>
        <w:tc>
          <w:tcPr>
            <w:tcW w:w="130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Interest-bearing demand deposits</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552</w:t>
            </w:r>
          </w:p>
        </w:tc>
        <w:tc>
          <w:tcPr>
            <w:tcW w:w="4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63"/>
        </w:trPr>
        <w:tc>
          <w:tcPr>
            <w:tcW w:w="644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Savings deposits</w:t>
            </w:r>
          </w:p>
        </w:tc>
        <w:tc>
          <w:tcPr>
            <w:tcW w:w="160" w:type="dxa"/>
            <w:vAlign w:val="bottom"/>
            <w:shd w:val="clear" w:color="auto" w:fill="B6B6B6"/>
          </w:tcPr>
          <w:p>
            <w:pPr>
              <w:spacing w:after="0"/>
              <w:rPr>
                <w:sz w:val="22"/>
                <w:szCs w:val="22"/>
                <w:color w:val="auto"/>
              </w:rPr>
            </w:pPr>
          </w:p>
        </w:tc>
        <w:tc>
          <w:tcPr>
            <w:tcW w:w="1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44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50"/>
        </w:trPr>
        <w:tc>
          <w:tcPr>
            <w:tcW w:w="6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Time deposits &gt;=$100</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57"/>
        </w:trPr>
        <w:tc>
          <w:tcPr>
            <w:tcW w:w="6440" w:type="dxa"/>
            <w:vAlign w:val="bottom"/>
            <w:tcBorders>
              <w:bottom w:val="single" w:sz="8" w:color="auto"/>
            </w:tcBorders>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Other time deposits</w:t>
            </w:r>
          </w:p>
        </w:tc>
        <w:tc>
          <w:tcPr>
            <w:tcW w:w="160" w:type="dxa"/>
            <w:vAlign w:val="bottom"/>
            <w:tcBorders>
              <w:bottom w:val="single" w:sz="8" w:color="auto"/>
            </w:tcBorders>
            <w:shd w:val="clear" w:color="auto" w:fill="B6B6B6"/>
          </w:tcPr>
          <w:p>
            <w:pPr>
              <w:spacing w:after="0"/>
              <w:rPr>
                <w:sz w:val="22"/>
                <w:szCs w:val="22"/>
                <w:color w:val="auto"/>
              </w:rPr>
            </w:pPr>
          </w:p>
        </w:tc>
        <w:tc>
          <w:tcPr>
            <w:tcW w:w="1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60" w:type="dxa"/>
            <w:vAlign w:val="bottom"/>
            <w:tcBorders>
              <w:bottom w:val="single" w:sz="8" w:color="auto"/>
            </w:tcBorders>
            <w:shd w:val="clear" w:color="auto" w:fill="B6B6B6"/>
          </w:tcPr>
          <w:p>
            <w:pPr>
              <w:spacing w:after="0"/>
              <w:rPr>
                <w:sz w:val="22"/>
                <w:szCs w:val="22"/>
                <w:color w:val="auto"/>
              </w:rPr>
            </w:pPr>
          </w:p>
        </w:tc>
        <w:tc>
          <w:tcPr>
            <w:tcW w:w="10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40" w:type="dxa"/>
            <w:vAlign w:val="bottom"/>
            <w:tcBorders>
              <w:bottom w:val="single" w:sz="8" w:color="auto"/>
            </w:tcBorders>
            <w:shd w:val="clear" w:color="auto" w:fill="B6B6B6"/>
          </w:tcPr>
          <w:p>
            <w:pPr>
              <w:spacing w:after="0"/>
              <w:rPr>
                <w:sz w:val="22"/>
                <w:szCs w:val="22"/>
                <w:color w:val="auto"/>
              </w:rPr>
            </w:pPr>
          </w:p>
        </w:tc>
        <w:tc>
          <w:tcPr>
            <w:tcW w:w="13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50"/>
        </w:trPr>
        <w:tc>
          <w:tcPr>
            <w:tcW w:w="6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521</w:t>
            </w:r>
          </w:p>
        </w:tc>
        <w:tc>
          <w:tcPr>
            <w:tcW w:w="4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50"/>
        </w:trPr>
        <w:tc>
          <w:tcPr>
            <w:tcW w:w="644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2,480</w:t>
            </w:r>
          </w:p>
        </w:tc>
        <w:tc>
          <w:tcPr>
            <w:tcW w:w="360" w:type="dxa"/>
            <w:vAlign w:val="bottom"/>
            <w:tcBorders>
              <w:bottom w:val="single" w:sz="8" w:color="auto"/>
            </w:tcBorders>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2,003</w:t>
            </w:r>
          </w:p>
        </w:tc>
        <w:tc>
          <w:tcPr>
            <w:tcW w:w="440" w:type="dxa"/>
            <w:vAlign w:val="bottom"/>
            <w:tcBorders>
              <w:bottom w:val="single" w:sz="8" w:color="auto"/>
            </w:tcBorders>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includes net loan fees.</w:t>
      </w:r>
    </w:p>
    <w:p>
      <w:pPr>
        <w:spacing w:after="0" w:line="27" w:lineRule="exact"/>
        <w:rPr>
          <w:rFonts w:ascii="Times New Roman" w:cs="Times New Roman" w:eastAsia="Times New Roman" w:hAnsi="Times New Roman"/>
          <w:sz w:val="14"/>
          <w:szCs w:val="14"/>
          <w:color w:val="auto"/>
        </w:rPr>
      </w:pPr>
    </w:p>
    <w:p>
      <w:pPr>
        <w:ind w:left="340" w:hanging="332"/>
        <w:spacing w:after="0" w:line="234"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Interest income is presented on a tax-equivalent basis assuming a tax rate of 21% for the three months ended September 30, 2022 and 2021.</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20" w:type="dxa"/>
            <w:vAlign w:val="bottom"/>
            <w:gridSpan w:val="5"/>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Nine Months Ended 2022 Compared to</w:t>
            </w:r>
          </w:p>
        </w:tc>
      </w:tr>
      <w:tr>
        <w:trPr>
          <w:trHeight w:val="238"/>
        </w:trPr>
        <w:tc>
          <w:tcPr>
            <w:tcW w:w="67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Nine Months Ended of 2021</w:t>
            </w:r>
          </w:p>
        </w:tc>
        <w:tc>
          <w:tcPr>
            <w:tcW w:w="1040" w:type="dxa"/>
            <w:vAlign w:val="bottom"/>
            <w:tcBorders>
              <w:bottom w:val="single" w:sz="8" w:color="auto"/>
            </w:tcBorders>
          </w:tcPr>
          <w:p>
            <w:pPr>
              <w:spacing w:after="0"/>
              <w:rPr>
                <w:sz w:val="20"/>
                <w:szCs w:val="20"/>
                <w:color w:val="auto"/>
              </w:rPr>
            </w:pPr>
          </w:p>
        </w:tc>
      </w:tr>
      <w:tr>
        <w:trPr>
          <w:trHeight w:val="248"/>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6"/>
        </w:trPr>
        <w:tc>
          <w:tcPr>
            <w:tcW w:w="6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Increase (decrease) in interest income:</w:t>
            </w:r>
          </w:p>
        </w:tc>
        <w:tc>
          <w:tcPr>
            <w:tcW w:w="260" w:type="dxa"/>
            <w:vAlign w:val="bottom"/>
            <w:shd w:val="clear" w:color="auto" w:fill="B6B6B6"/>
          </w:tcPr>
          <w:p>
            <w:pPr>
              <w:spacing w:after="0"/>
              <w:rPr>
                <w:sz w:val="22"/>
                <w:szCs w:val="22"/>
                <w:color w:val="auto"/>
              </w:rPr>
            </w:pPr>
          </w:p>
        </w:tc>
        <w:tc>
          <w:tcPr>
            <w:tcW w:w="122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160" w:type="dxa"/>
            <w:vAlign w:val="bottom"/>
            <w:shd w:val="clear" w:color="auto" w:fill="B6B6B6"/>
          </w:tcPr>
          <w:p>
            <w:pPr>
              <w:spacing w:after="0"/>
              <w:rPr>
                <w:sz w:val="22"/>
                <w:szCs w:val="22"/>
                <w:color w:val="auto"/>
              </w:rPr>
            </w:pPr>
          </w:p>
        </w:tc>
        <w:tc>
          <w:tcPr>
            <w:tcW w:w="440" w:type="dxa"/>
            <w:vAlign w:val="bottom"/>
            <w:shd w:val="clear" w:color="auto" w:fill="B6B6B6"/>
          </w:tcPr>
          <w:p>
            <w:pPr>
              <w:spacing w:after="0"/>
              <w:rPr>
                <w:sz w:val="22"/>
                <w:szCs w:val="22"/>
                <w:color w:val="auto"/>
              </w:rPr>
            </w:pPr>
          </w:p>
        </w:tc>
        <w:tc>
          <w:tcPr>
            <w:tcW w:w="1040" w:type="dxa"/>
            <w:vAlign w:val="bottom"/>
            <w:shd w:val="clear" w:color="auto" w:fill="B6B6B6"/>
          </w:tcPr>
          <w:p>
            <w:pPr>
              <w:spacing w:after="0"/>
              <w:rPr>
                <w:sz w:val="22"/>
                <w:szCs w:val="22"/>
                <w:color w:val="auto"/>
              </w:rPr>
            </w:pPr>
          </w:p>
        </w:tc>
      </w:tr>
      <w:tr>
        <w:trPr>
          <w:trHeight w:val="257"/>
        </w:trPr>
        <w:tc>
          <w:tcPr>
            <w:tcW w:w="676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Loans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6"/>
        </w:trPr>
        <w:tc>
          <w:tcPr>
            <w:tcW w:w="676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Taxable</w:t>
            </w:r>
          </w:p>
        </w:tc>
        <w:tc>
          <w:tcPr>
            <w:tcW w:w="26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2,529</w:t>
            </w:r>
          </w:p>
        </w:tc>
        <w:tc>
          <w:tcPr>
            <w:tcW w:w="36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44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1,620</w:t>
            </w:r>
          </w:p>
        </w:tc>
      </w:tr>
      <w:tr>
        <w:trPr>
          <w:trHeight w:val="250"/>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securities: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63"/>
        </w:trPr>
        <w:tc>
          <w:tcPr>
            <w:tcW w:w="676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Taxable</w:t>
            </w:r>
          </w:p>
        </w:tc>
        <w:tc>
          <w:tcPr>
            <w:tcW w:w="260" w:type="dxa"/>
            <w:vAlign w:val="bottom"/>
            <w:shd w:val="clear" w:color="auto" w:fill="B6B6B6"/>
          </w:tcPr>
          <w:p>
            <w:pPr>
              <w:spacing w:after="0"/>
              <w:rPr>
                <w:sz w:val="22"/>
                <w:szCs w:val="22"/>
                <w:color w:val="auto"/>
              </w:rPr>
            </w:pPr>
          </w:p>
        </w:tc>
        <w:tc>
          <w:tcPr>
            <w:tcW w:w="122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4,365</w:t>
            </w:r>
          </w:p>
        </w:tc>
        <w:tc>
          <w:tcPr>
            <w:tcW w:w="360" w:type="dxa"/>
            <w:vAlign w:val="bottom"/>
            <w:shd w:val="clear" w:color="auto" w:fill="B6B6B6"/>
          </w:tcPr>
          <w:p>
            <w:pPr>
              <w:spacing w:after="0"/>
              <w:rPr>
                <w:sz w:val="22"/>
                <w:szCs w:val="22"/>
                <w:color w:val="auto"/>
              </w:rPr>
            </w:pPr>
          </w:p>
        </w:tc>
        <w:tc>
          <w:tcPr>
            <w:tcW w:w="116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927</w:t>
            </w:r>
          </w:p>
        </w:tc>
        <w:tc>
          <w:tcPr>
            <w:tcW w:w="440" w:type="dxa"/>
            <w:vAlign w:val="bottom"/>
            <w:shd w:val="clear" w:color="auto" w:fill="B6B6B6"/>
          </w:tcPr>
          <w:p>
            <w:pPr>
              <w:spacing w:after="0"/>
              <w:rPr>
                <w:sz w:val="22"/>
                <w:szCs w:val="22"/>
                <w:color w:val="auto"/>
              </w:rPr>
            </w:pPr>
          </w:p>
        </w:tc>
        <w:tc>
          <w:tcPr>
            <w:tcW w:w="10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5,292</w:t>
            </w:r>
          </w:p>
        </w:tc>
      </w:tr>
      <w:tr>
        <w:trPr>
          <w:trHeight w:val="257"/>
        </w:trPr>
        <w:tc>
          <w:tcPr>
            <w:tcW w:w="6760" w:type="dxa"/>
            <w:vAlign w:val="bottom"/>
          </w:tcPr>
          <w:p>
            <w:pPr>
              <w:ind w:left="360"/>
              <w:spacing w:after="0" w:line="256" w:lineRule="exact"/>
              <w:rPr>
                <w:sz w:val="20"/>
                <w:szCs w:val="20"/>
                <w:color w:val="auto"/>
              </w:rPr>
            </w:pPr>
            <w:r>
              <w:rPr>
                <w:rFonts w:ascii="Times New Roman" w:cs="Times New Roman" w:eastAsia="Times New Roman" w:hAnsi="Times New Roman"/>
                <w:sz w:val="18"/>
                <w:szCs w:val="18"/>
                <w:color w:val="auto"/>
              </w:rPr>
              <w:t>Tax-exempt</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4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r>
      <w:tr>
        <w:trPr>
          <w:trHeight w:val="250"/>
        </w:trPr>
        <w:tc>
          <w:tcPr>
            <w:tcW w:w="6760" w:type="dxa"/>
            <w:vAlign w:val="bottom"/>
            <w:tcBorders>
              <w:bottom w:val="single" w:sz="8" w:color="auto"/>
            </w:tcBorders>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tcBorders>
              <w:bottom w:val="single" w:sz="8" w:color="auto"/>
            </w:tcBorders>
            <w:shd w:val="clear" w:color="auto" w:fill="B6B6B6"/>
          </w:tcPr>
          <w:p>
            <w:pPr>
              <w:spacing w:after="0"/>
              <w:rPr>
                <w:sz w:val="21"/>
                <w:szCs w:val="21"/>
                <w:color w:val="auto"/>
              </w:rPr>
            </w:pPr>
          </w:p>
        </w:tc>
        <w:tc>
          <w:tcPr>
            <w:tcW w:w="12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360" w:type="dxa"/>
            <w:vAlign w:val="bottom"/>
            <w:tcBorders>
              <w:bottom w:val="single" w:sz="8" w:color="auto"/>
            </w:tcBorders>
            <w:shd w:val="clear" w:color="auto" w:fill="B6B6B6"/>
          </w:tcPr>
          <w:p>
            <w:pPr>
              <w:spacing w:after="0"/>
              <w:rPr>
                <w:sz w:val="21"/>
                <w:szCs w:val="21"/>
                <w:color w:val="auto"/>
              </w:rPr>
            </w:pPr>
          </w:p>
        </w:tc>
        <w:tc>
          <w:tcPr>
            <w:tcW w:w="116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3,091</w:t>
            </w:r>
          </w:p>
        </w:tc>
        <w:tc>
          <w:tcPr>
            <w:tcW w:w="440" w:type="dxa"/>
            <w:vAlign w:val="bottom"/>
            <w:tcBorders>
              <w:bottom w:val="single" w:sz="8" w:color="auto"/>
            </w:tcBorders>
            <w:shd w:val="clear" w:color="auto" w:fill="B6B6B6"/>
          </w:tcPr>
          <w:p>
            <w:pPr>
              <w:spacing w:after="0"/>
              <w:rPr>
                <w:sz w:val="21"/>
                <w:szCs w:val="21"/>
                <w:color w:val="auto"/>
              </w:rPr>
            </w:pPr>
          </w:p>
        </w:tc>
        <w:tc>
          <w:tcPr>
            <w:tcW w:w="10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2,908</w:t>
            </w:r>
          </w:p>
        </w:tc>
      </w:tr>
      <w:tr>
        <w:trPr>
          <w:trHeight w:val="250"/>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interest income</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6,271</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2,962</w:t>
            </w: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9,233</w:t>
            </w:r>
          </w:p>
        </w:tc>
      </w:tr>
      <w:tr>
        <w:trPr>
          <w:trHeight w:val="256"/>
        </w:trPr>
        <w:tc>
          <w:tcPr>
            <w:tcW w:w="6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Interest expense on:</w:t>
            </w:r>
          </w:p>
        </w:tc>
        <w:tc>
          <w:tcPr>
            <w:tcW w:w="260" w:type="dxa"/>
            <w:vAlign w:val="bottom"/>
            <w:shd w:val="clear" w:color="auto" w:fill="B6B6B6"/>
          </w:tcPr>
          <w:p>
            <w:pPr>
              <w:spacing w:after="0"/>
              <w:rPr>
                <w:sz w:val="22"/>
                <w:szCs w:val="22"/>
                <w:color w:val="auto"/>
              </w:rPr>
            </w:pPr>
          </w:p>
        </w:tc>
        <w:tc>
          <w:tcPr>
            <w:tcW w:w="122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160" w:type="dxa"/>
            <w:vAlign w:val="bottom"/>
            <w:shd w:val="clear" w:color="auto" w:fill="B6B6B6"/>
          </w:tcPr>
          <w:p>
            <w:pPr>
              <w:spacing w:after="0"/>
              <w:rPr>
                <w:sz w:val="22"/>
                <w:szCs w:val="22"/>
                <w:color w:val="auto"/>
              </w:rPr>
            </w:pPr>
          </w:p>
        </w:tc>
        <w:tc>
          <w:tcPr>
            <w:tcW w:w="440" w:type="dxa"/>
            <w:vAlign w:val="bottom"/>
            <w:shd w:val="clear" w:color="auto" w:fill="B6B6B6"/>
          </w:tcPr>
          <w:p>
            <w:pPr>
              <w:spacing w:after="0"/>
              <w:rPr>
                <w:sz w:val="22"/>
                <w:szCs w:val="22"/>
                <w:color w:val="auto"/>
              </w:rPr>
            </w:pPr>
          </w:p>
        </w:tc>
        <w:tc>
          <w:tcPr>
            <w:tcW w:w="1040" w:type="dxa"/>
            <w:vAlign w:val="bottom"/>
            <w:shd w:val="clear" w:color="auto" w:fill="B6B6B6"/>
          </w:tcPr>
          <w:p>
            <w:pPr>
              <w:spacing w:after="0"/>
              <w:rPr>
                <w:sz w:val="22"/>
                <w:szCs w:val="22"/>
                <w:color w:val="auto"/>
              </w:rPr>
            </w:pPr>
          </w:p>
        </w:tc>
      </w:tr>
      <w:tr>
        <w:trPr>
          <w:trHeight w:val="250"/>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Interest-bearing demand deposits</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643</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r>
      <w:tr>
        <w:trPr>
          <w:trHeight w:val="263"/>
        </w:trPr>
        <w:tc>
          <w:tcPr>
            <w:tcW w:w="676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Savings deposits</w:t>
            </w:r>
          </w:p>
        </w:tc>
        <w:tc>
          <w:tcPr>
            <w:tcW w:w="26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shd w:val="clear" w:color="auto" w:fill="B6B6B6"/>
          </w:tcPr>
          <w:p>
            <w:pPr>
              <w:spacing w:after="0"/>
              <w:rPr>
                <w:sz w:val="22"/>
                <w:szCs w:val="22"/>
                <w:color w:val="auto"/>
              </w:rPr>
            </w:pPr>
          </w:p>
        </w:tc>
        <w:tc>
          <w:tcPr>
            <w:tcW w:w="116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440" w:type="dxa"/>
            <w:vAlign w:val="bottom"/>
            <w:shd w:val="clear" w:color="auto" w:fill="B6B6B6"/>
          </w:tcPr>
          <w:p>
            <w:pPr>
              <w:spacing w:after="0"/>
              <w:rPr>
                <w:sz w:val="22"/>
                <w:szCs w:val="22"/>
                <w:color w:val="auto"/>
              </w:rPr>
            </w:pPr>
          </w:p>
        </w:tc>
        <w:tc>
          <w:tcPr>
            <w:tcW w:w="10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50"/>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Time deposits &gt;=$100</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57"/>
        </w:trPr>
        <w:tc>
          <w:tcPr>
            <w:tcW w:w="6760" w:type="dxa"/>
            <w:vAlign w:val="bottom"/>
            <w:tcBorders>
              <w:bottom w:val="single" w:sz="8" w:color="auto"/>
            </w:tcBorders>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Other time deposits</w:t>
            </w:r>
          </w:p>
        </w:tc>
        <w:tc>
          <w:tcPr>
            <w:tcW w:w="260" w:type="dxa"/>
            <w:vAlign w:val="bottom"/>
            <w:tcBorders>
              <w:bottom w:val="single" w:sz="8" w:color="auto"/>
            </w:tcBorders>
            <w:shd w:val="clear" w:color="auto" w:fill="B6B6B6"/>
          </w:tcPr>
          <w:p>
            <w:pPr>
              <w:spacing w:after="0"/>
              <w:rPr>
                <w:sz w:val="22"/>
                <w:szCs w:val="22"/>
                <w:color w:val="auto"/>
              </w:rPr>
            </w:pPr>
          </w:p>
        </w:tc>
        <w:tc>
          <w:tcPr>
            <w:tcW w:w="12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60" w:type="dxa"/>
            <w:vAlign w:val="bottom"/>
            <w:tcBorders>
              <w:bottom w:val="single" w:sz="8" w:color="auto"/>
            </w:tcBorders>
            <w:shd w:val="clear" w:color="auto" w:fill="B6B6B6"/>
          </w:tcPr>
          <w:p>
            <w:pPr>
              <w:spacing w:after="0"/>
              <w:rPr>
                <w:sz w:val="22"/>
                <w:szCs w:val="22"/>
                <w:color w:val="auto"/>
              </w:rPr>
            </w:pPr>
          </w:p>
        </w:tc>
        <w:tc>
          <w:tcPr>
            <w:tcW w:w="1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440" w:type="dxa"/>
            <w:vAlign w:val="bottom"/>
            <w:tcBorders>
              <w:bottom w:val="single" w:sz="8" w:color="auto"/>
            </w:tcBorders>
            <w:shd w:val="clear" w:color="auto" w:fill="B6B6B6"/>
          </w:tcPr>
          <w:p>
            <w:pPr>
              <w:spacing w:after="0"/>
              <w:rPr>
                <w:sz w:val="22"/>
                <w:szCs w:val="22"/>
                <w:color w:val="auto"/>
              </w:rPr>
            </w:pPr>
          </w:p>
        </w:tc>
        <w:tc>
          <w:tcPr>
            <w:tcW w:w="10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50"/>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493</w:t>
            </w: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r>
      <w:tr>
        <w:trPr>
          <w:trHeight w:val="250"/>
        </w:trPr>
        <w:tc>
          <w:tcPr>
            <w:tcW w:w="676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260" w:type="dxa"/>
            <w:vAlign w:val="bottom"/>
            <w:tcBorders>
              <w:bottom w:val="single" w:sz="8" w:color="auto"/>
            </w:tcBorders>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6,335</w:t>
            </w:r>
          </w:p>
        </w:tc>
        <w:tc>
          <w:tcPr>
            <w:tcW w:w="360" w:type="dxa"/>
            <w:vAlign w:val="bottom"/>
            <w:tcBorders>
              <w:bottom w:val="single" w:sz="8" w:color="auto"/>
            </w:tcBorders>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2,469</w:t>
            </w:r>
          </w:p>
        </w:tc>
        <w:tc>
          <w:tcPr>
            <w:tcW w:w="440" w:type="dxa"/>
            <w:vAlign w:val="bottom"/>
            <w:tcBorders>
              <w:bottom w:val="single" w:sz="8" w:color="auto"/>
            </w:tcBorders>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8,804</w:t>
            </w:r>
          </w:p>
        </w:tc>
      </w:tr>
    </w:tbl>
    <w:p>
      <w:pPr>
        <w:spacing w:after="0" w:line="72"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includes net loan fees.</w:t>
      </w:r>
    </w:p>
    <w:p>
      <w:pPr>
        <w:spacing w:after="0" w:line="36"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Interest income is presented on a tax-equivalent basis assuming a tax rate of 21% for the three months ended September 30, 2022 and 2021.</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and Allowance for Credit Losses and Allowance for Unfunded Commitments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recorded a provision for credit losses and off-balance sheet credit exposures of $550,000, and $340,000 in the Third Quarter of 2022 and 2021, respectively. The Company recorded a provision for credit losses and off-balance sheet credit exposures of $850,000, and release of credit losses of $870,000 in the Nine Months Ended 2022 and 2021, respectively. The amount of the provision for (release of) credit losses is derived from the Company’s quarterly Current Expected Credit Loss (“CECL”) model. The amount of the provision for (release of) credit losses will fluctuate as determined by these quarterly analyses. The provision for credit losses in the Third Quarter of 2022 and the Nine Months Ended 2022 was driven by loan growth and external economic factors, including the reduction in the forecast of Gross Domestic Product.</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experienced no net loan recoveries in the Third Quarter of 2022 and $11,000 in the Third Quarter of 2021. There were $12,000 net loan recoveries in the Nine Months Ended 2022 and $28,000 in the Nine Months Ended 2021. The ACL was $13,049,000 at September 30, 2022 compared to $12,041,000 at December 31, 2021. The ACL represented 1.26% of outstanding loans at September 30, 2022 and 1.25% of outstanding loans at December 31, 2021. The allowance for unfunded commitments was $222,000 at September 30, 2022 and $367,000 at December 31, 2021. There were no nonperforming loans outstanding at September 30, 2022 or December 31, 2021.</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ACL has been established and is maintained to estimate the lifetime expected credit losses in the loan portfolio. An ongoing assessment is performed to determine if the balance is adequate. Charges or credits are made to expense based on changes in the economic forecast, qualitative risk factors, loan volume, and individual loans. For loans that are individually evaluated, the Company uses two impairment measurement methods: 1) the present value of expected future cash flows and 2) collateral value.</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utilizes ratio analyses to evaluate the overall reasonableness of the ACL compared to its peers and required levels of regulatory capital. Federal and state regulatory agencies review the Company’s methodology for maintaining the ACL. These agencies may require the Company to adjust the ACL based on their judgments and interpretations about information available to them at the time of their examinations.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Credit Loss Experience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on the Company's provision for (release of) credit losses and analysis of the ACL:</w:t>
      </w:r>
    </w:p>
    <w:p>
      <w:pPr>
        <w:spacing w:after="0" w:line="241" w:lineRule="exact"/>
        <w:rPr>
          <w:sz w:val="20"/>
          <w:szCs w:val="20"/>
          <w:color w:val="auto"/>
        </w:rPr>
      </w:pPr>
    </w:p>
    <w:p>
      <w:pPr>
        <w:ind w:left="8960"/>
        <w:spacing w:after="0"/>
        <w:rPr>
          <w:sz w:val="20"/>
          <w:szCs w:val="20"/>
          <w:color w:val="auto"/>
        </w:rPr>
      </w:pPr>
      <w:r>
        <w:rPr>
          <w:rFonts w:ascii="Times New Roman" w:cs="Times New Roman" w:eastAsia="Times New Roman" w:hAnsi="Times New Roman"/>
          <w:sz w:val="18"/>
          <w:szCs w:val="18"/>
          <w:b w:val="1"/>
          <w:bCs w:val="1"/>
          <w:color w:val="auto"/>
        </w:rPr>
        <w:t>Nine Months Ended</w:t>
      </w:r>
    </w:p>
    <w:tbl>
      <w:tblPr>
        <w:tblLayout w:type="fixed"/>
        <w:tblInd w:w="0" w:type="dxa"/>
        <w:tblCellMar>
          <w:top w:w="0" w:type="dxa"/>
          <w:left w:w="0" w:type="dxa"/>
          <w:bottom w:w="0" w:type="dxa"/>
          <w:right w:w="0" w:type="dxa"/>
        </w:tblCellMar>
      </w:tblPr>
      <w:tr>
        <w:trPr>
          <w:trHeight w:val="240"/>
        </w:trPr>
        <w:tc>
          <w:tcPr>
            <w:tcW w:w="5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3"/>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Third Quarter of</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434"/>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56"/>
        </w:trPr>
        <w:tc>
          <w:tcPr>
            <w:tcW w:w="51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at beginning of period</w:t>
            </w:r>
          </w:p>
        </w:tc>
        <w:tc>
          <w:tcPr>
            <w:tcW w:w="30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12,573</w:t>
            </w:r>
          </w:p>
        </w:tc>
        <w:tc>
          <w:tcPr>
            <w:tcW w:w="38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11,171</w:t>
            </w:r>
          </w:p>
        </w:tc>
        <w:tc>
          <w:tcPr>
            <w:tcW w:w="36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12,041</w:t>
            </w:r>
          </w:p>
        </w:tc>
        <w:tc>
          <w:tcPr>
            <w:tcW w:w="38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11,944</w:t>
            </w:r>
          </w:p>
        </w:tc>
      </w:tr>
      <w:tr>
        <w:trPr>
          <w:trHeight w:val="25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(release of) credit losses</w:t>
            </w:r>
          </w:p>
        </w:tc>
        <w:tc>
          <w:tcPr>
            <w:tcW w:w="300" w:type="dxa"/>
            <w:vAlign w:val="bottom"/>
          </w:tcPr>
          <w:p>
            <w:pPr>
              <w:spacing w:after="0"/>
              <w:rPr>
                <w:sz w:val="21"/>
                <w:szCs w:val="21"/>
                <w:color w:val="auto"/>
              </w:rPr>
            </w:pPr>
          </w:p>
        </w:tc>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476</w:t>
            </w:r>
          </w:p>
        </w:tc>
        <w:tc>
          <w:tcPr>
            <w:tcW w:w="380" w:type="dxa"/>
            <w:vAlign w:val="bottom"/>
          </w:tcPr>
          <w:p>
            <w:pPr>
              <w:spacing w:after="0"/>
              <w:rPr>
                <w:sz w:val="21"/>
                <w:szCs w:val="21"/>
                <w:color w:val="auto"/>
              </w:rPr>
            </w:pP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350</w:t>
            </w:r>
          </w:p>
        </w:tc>
        <w:tc>
          <w:tcPr>
            <w:tcW w:w="360" w:type="dxa"/>
            <w:vAlign w:val="bottom"/>
          </w:tcPr>
          <w:p>
            <w:pPr>
              <w:spacing w:after="0"/>
              <w:rPr>
                <w:sz w:val="21"/>
                <w:szCs w:val="21"/>
                <w:color w:val="auto"/>
              </w:rPr>
            </w:pPr>
          </w:p>
        </w:tc>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996</w:t>
            </w:r>
          </w:p>
        </w:tc>
        <w:tc>
          <w:tcPr>
            <w:tcW w:w="38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(440)</w:t>
            </w:r>
          </w:p>
        </w:tc>
      </w:tr>
      <w:tr>
        <w:trPr>
          <w:trHeight w:val="263"/>
        </w:trPr>
        <w:tc>
          <w:tcPr>
            <w:tcW w:w="51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Loans charged off</w:t>
            </w:r>
          </w:p>
        </w:tc>
        <w:tc>
          <w:tcPr>
            <w:tcW w:w="300" w:type="dxa"/>
            <w:vAlign w:val="bottom"/>
            <w:shd w:val="clear" w:color="auto" w:fill="B6B6B6"/>
          </w:tcPr>
          <w:p>
            <w:pPr>
              <w:spacing w:after="0"/>
              <w:rPr>
                <w:sz w:val="22"/>
                <w:szCs w:val="22"/>
                <w:color w:val="auto"/>
              </w:rPr>
            </w:pPr>
          </w:p>
        </w:tc>
        <w:tc>
          <w:tcPr>
            <w:tcW w:w="120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B6B6B6"/>
          </w:tcPr>
          <w:p>
            <w:pPr>
              <w:spacing w:after="0"/>
              <w:rPr>
                <w:sz w:val="22"/>
                <w:szCs w:val="22"/>
                <w:color w:val="auto"/>
              </w:rPr>
            </w:pPr>
          </w:p>
        </w:tc>
        <w:tc>
          <w:tcPr>
            <w:tcW w:w="1180" w:type="dxa"/>
            <w:vAlign w:val="bottom"/>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B6B6B6"/>
          </w:tcPr>
          <w:p>
            <w:pPr>
              <w:spacing w:after="0"/>
              <w:rPr>
                <w:sz w:val="22"/>
                <w:szCs w:val="22"/>
                <w:color w:val="auto"/>
              </w:rPr>
            </w:pPr>
          </w:p>
        </w:tc>
        <w:tc>
          <w:tcPr>
            <w:tcW w:w="120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B6B6B6"/>
          </w:tcPr>
          <w:p>
            <w:pPr>
              <w:spacing w:after="0"/>
              <w:rPr>
                <w:sz w:val="22"/>
                <w:szCs w:val="22"/>
                <w:color w:val="auto"/>
              </w:rPr>
            </w:pPr>
          </w:p>
        </w:tc>
        <w:tc>
          <w:tcPr>
            <w:tcW w:w="112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Recoveries on loans previously charged off</w:t>
            </w: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12</w:t>
            </w: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r>
      <w:tr>
        <w:trPr>
          <w:trHeight w:val="256"/>
        </w:trPr>
        <w:tc>
          <w:tcPr>
            <w:tcW w:w="51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recoveries</w:t>
            </w:r>
          </w:p>
        </w:tc>
        <w:tc>
          <w:tcPr>
            <w:tcW w:w="300" w:type="dxa"/>
            <w:vAlign w:val="bottom"/>
            <w:shd w:val="clear" w:color="auto" w:fill="B6B6B6"/>
          </w:tcPr>
          <w:p>
            <w:pPr>
              <w:spacing w:after="0"/>
              <w:rPr>
                <w:sz w:val="22"/>
                <w:szCs w:val="22"/>
                <w:color w:val="auto"/>
              </w:rPr>
            </w:pPr>
          </w:p>
        </w:tc>
        <w:tc>
          <w:tcPr>
            <w:tcW w:w="120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B6B6B6"/>
          </w:tcPr>
          <w:p>
            <w:pPr>
              <w:spacing w:after="0"/>
              <w:rPr>
                <w:sz w:val="22"/>
                <w:szCs w:val="22"/>
                <w:color w:val="auto"/>
              </w:rPr>
            </w:pPr>
          </w:p>
        </w:tc>
        <w:tc>
          <w:tcPr>
            <w:tcW w:w="1180" w:type="dxa"/>
            <w:vAlign w:val="bottom"/>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shd w:val="clear" w:color="auto" w:fill="B6B6B6"/>
          </w:tcPr>
          <w:p>
            <w:pPr>
              <w:spacing w:after="0"/>
              <w:rPr>
                <w:sz w:val="22"/>
                <w:szCs w:val="22"/>
                <w:color w:val="auto"/>
              </w:rPr>
            </w:pPr>
          </w:p>
        </w:tc>
        <w:tc>
          <w:tcPr>
            <w:tcW w:w="120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12</w:t>
            </w:r>
          </w:p>
        </w:tc>
        <w:tc>
          <w:tcPr>
            <w:tcW w:w="380" w:type="dxa"/>
            <w:vAlign w:val="bottom"/>
            <w:shd w:val="clear" w:color="auto" w:fill="B6B6B6"/>
          </w:tcPr>
          <w:p>
            <w:pPr>
              <w:spacing w:after="0"/>
              <w:rPr>
                <w:sz w:val="22"/>
                <w:szCs w:val="22"/>
                <w:color w:val="auto"/>
              </w:rPr>
            </w:pPr>
          </w:p>
        </w:tc>
        <w:tc>
          <w:tcPr>
            <w:tcW w:w="112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r>
      <w:tr>
        <w:trPr>
          <w:trHeight w:val="250"/>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at end of period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13,049</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11,532</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13,049</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11,532</w:t>
            </w:r>
          </w:p>
        </w:tc>
      </w:tr>
      <w:tr>
        <w:trPr>
          <w:trHeight w:val="257"/>
        </w:trPr>
        <w:tc>
          <w:tcPr>
            <w:tcW w:w="51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Allowance for unfunded commitments at beginning of Period</w:t>
            </w:r>
          </w:p>
        </w:tc>
        <w:tc>
          <w:tcPr>
            <w:tcW w:w="30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147</w:t>
            </w:r>
          </w:p>
        </w:tc>
        <w:tc>
          <w:tcPr>
            <w:tcW w:w="38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147</w:t>
            </w:r>
          </w:p>
        </w:tc>
        <w:tc>
          <w:tcPr>
            <w:tcW w:w="36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367</w:t>
            </w:r>
          </w:p>
        </w:tc>
        <w:tc>
          <w:tcPr>
            <w:tcW w:w="38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567</w:t>
            </w:r>
          </w:p>
        </w:tc>
      </w:tr>
      <w:tr>
        <w:trPr>
          <w:trHeight w:val="250"/>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Provision for (release of) credit losses</w:t>
            </w: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75</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(145)</w:t>
            </w: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(430)</w:t>
            </w:r>
          </w:p>
        </w:tc>
      </w:tr>
      <w:tr>
        <w:trPr>
          <w:trHeight w:val="250"/>
        </w:trPr>
        <w:tc>
          <w:tcPr>
            <w:tcW w:w="512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Allowance for unfunded commitments at end of period</w:t>
            </w:r>
          </w:p>
        </w:tc>
        <w:tc>
          <w:tcPr>
            <w:tcW w:w="300" w:type="dxa"/>
            <w:vAlign w:val="bottom"/>
            <w:tcBorders>
              <w:bottom w:val="single" w:sz="8" w:color="auto"/>
            </w:tcBorders>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222</w:t>
            </w:r>
          </w:p>
        </w:tc>
        <w:tc>
          <w:tcPr>
            <w:tcW w:w="380" w:type="dxa"/>
            <w:vAlign w:val="bottom"/>
            <w:tcBorders>
              <w:bottom w:val="single" w:sz="8" w:color="auto"/>
            </w:tcBorders>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137</w:t>
            </w:r>
          </w:p>
        </w:tc>
        <w:tc>
          <w:tcPr>
            <w:tcW w:w="360" w:type="dxa"/>
            <w:vAlign w:val="bottom"/>
            <w:tcBorders>
              <w:bottom w:val="single" w:sz="8" w:color="auto"/>
            </w:tcBorders>
            <w:shd w:val="clear" w:color="auto" w:fill="B6B6B6"/>
          </w:tcPr>
          <w:p>
            <w:pPr>
              <w:spacing w:after="0"/>
              <w:rPr>
                <w:sz w:val="21"/>
                <w:szCs w:val="21"/>
                <w:color w:val="auto"/>
              </w:rPr>
            </w:pPr>
          </w:p>
        </w:tc>
        <w:tc>
          <w:tcPr>
            <w:tcW w:w="1200" w:type="dxa"/>
            <w:vAlign w:val="bottom"/>
            <w:tcBorders>
              <w:bottom w:val="single" w:sz="8" w:color="auto"/>
            </w:tcBorders>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222</w:t>
            </w:r>
          </w:p>
        </w:tc>
        <w:tc>
          <w:tcPr>
            <w:tcW w:w="380" w:type="dxa"/>
            <w:vAlign w:val="bottom"/>
            <w:tcBorders>
              <w:bottom w:val="single" w:sz="8" w:color="auto"/>
            </w:tcBorders>
            <w:shd w:val="clear" w:color="auto" w:fill="B6B6B6"/>
          </w:tcPr>
          <w:p>
            <w:pPr>
              <w:spacing w:after="0"/>
              <w:rPr>
                <w:sz w:val="21"/>
                <w:szCs w:val="21"/>
                <w:color w:val="auto"/>
              </w:rPr>
            </w:pPr>
          </w:p>
        </w:tc>
        <w:tc>
          <w:tcPr>
            <w:tcW w:w="1120" w:type="dxa"/>
            <w:vAlign w:val="bottom"/>
            <w:tcBorders>
              <w:bottom w:val="single" w:sz="8" w:color="auto"/>
            </w:tcBorders>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137</w:t>
            </w:r>
          </w:p>
        </w:tc>
      </w:tr>
      <w:tr>
        <w:trPr>
          <w:trHeight w:val="257"/>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outstanding:</w:t>
            </w: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7"/>
        </w:trPr>
        <w:tc>
          <w:tcPr>
            <w:tcW w:w="5120" w:type="dxa"/>
            <w:vAlign w:val="bottom"/>
            <w:shd w:val="clear" w:color="auto" w:fill="B6B6B6"/>
          </w:tcPr>
          <w:p>
            <w:pPr>
              <w:ind w:left="140"/>
              <w:spacing w:after="0"/>
              <w:rPr>
                <w:sz w:val="20"/>
                <w:szCs w:val="20"/>
                <w:color w:val="auto"/>
              </w:rPr>
            </w:pPr>
            <w:r>
              <w:rPr>
                <w:rFonts w:ascii="Times New Roman" w:cs="Times New Roman" w:eastAsia="Times New Roman" w:hAnsi="Times New Roman"/>
                <w:sz w:val="18"/>
                <w:szCs w:val="18"/>
                <w:color w:val="auto"/>
              </w:rPr>
              <w:t>Average</w:t>
            </w:r>
          </w:p>
        </w:tc>
        <w:tc>
          <w:tcPr>
            <w:tcW w:w="30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984,104</w:t>
            </w:r>
          </w:p>
        </w:tc>
        <w:tc>
          <w:tcPr>
            <w:tcW w:w="38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873,070</w:t>
            </w:r>
          </w:p>
        </w:tc>
        <w:tc>
          <w:tcPr>
            <w:tcW w:w="36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972,697</w:t>
            </w:r>
          </w:p>
        </w:tc>
        <w:tc>
          <w:tcPr>
            <w:tcW w:w="38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885,274</w:t>
            </w:r>
          </w:p>
        </w:tc>
      </w:tr>
      <w:tr>
        <w:trPr>
          <w:trHeight w:val="250"/>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September 30</w:t>
            </w:r>
          </w:p>
        </w:tc>
        <w:tc>
          <w:tcPr>
            <w:tcW w:w="300" w:type="dxa"/>
            <w:vAlign w:val="bottom"/>
          </w:tcPr>
          <w:p>
            <w:pPr>
              <w:spacing w:after="0"/>
              <w:rPr>
                <w:sz w:val="21"/>
                <w:szCs w:val="21"/>
                <w:color w:val="auto"/>
              </w:rPr>
            </w:pPr>
          </w:p>
        </w:tc>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1,037,101</w:t>
            </w:r>
          </w:p>
        </w:tc>
        <w:tc>
          <w:tcPr>
            <w:tcW w:w="380" w:type="dxa"/>
            <w:vAlign w:val="bottom"/>
          </w:tcPr>
          <w:p>
            <w:pPr>
              <w:spacing w:after="0"/>
              <w:rPr>
                <w:sz w:val="21"/>
                <w:szCs w:val="21"/>
                <w:color w:val="auto"/>
              </w:rPr>
            </w:pP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872,905</w:t>
            </w:r>
          </w:p>
        </w:tc>
        <w:tc>
          <w:tcPr>
            <w:tcW w:w="360" w:type="dxa"/>
            <w:vAlign w:val="bottom"/>
          </w:tcPr>
          <w:p>
            <w:pPr>
              <w:spacing w:after="0"/>
              <w:rPr>
                <w:sz w:val="21"/>
                <w:szCs w:val="21"/>
                <w:color w:val="auto"/>
              </w:rPr>
            </w:pPr>
          </w:p>
        </w:tc>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1,037,101</w:t>
            </w:r>
          </w:p>
        </w:tc>
        <w:tc>
          <w:tcPr>
            <w:tcW w:w="38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872,905</w:t>
            </w:r>
          </w:p>
        </w:tc>
      </w:tr>
      <w:tr>
        <w:trPr>
          <w:trHeight w:val="263"/>
        </w:trPr>
        <w:tc>
          <w:tcPr>
            <w:tcW w:w="51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Ratio of ACL to loans outstanding:</w:t>
            </w:r>
          </w:p>
        </w:tc>
        <w:tc>
          <w:tcPr>
            <w:tcW w:w="300" w:type="dxa"/>
            <w:vAlign w:val="bottom"/>
            <w:shd w:val="clear" w:color="auto" w:fill="B6B6B6"/>
          </w:tcPr>
          <w:p>
            <w:pPr>
              <w:spacing w:after="0"/>
              <w:rPr>
                <w:sz w:val="22"/>
                <w:szCs w:val="22"/>
                <w:color w:val="auto"/>
              </w:rPr>
            </w:pPr>
          </w:p>
        </w:tc>
        <w:tc>
          <w:tcPr>
            <w:tcW w:w="1200" w:type="dxa"/>
            <w:vAlign w:val="bottom"/>
            <w:shd w:val="clear" w:color="auto" w:fill="B6B6B6"/>
          </w:tcPr>
          <w:p>
            <w:pPr>
              <w:spacing w:after="0"/>
              <w:rPr>
                <w:sz w:val="22"/>
                <w:szCs w:val="22"/>
                <w:color w:val="auto"/>
              </w:rPr>
            </w:pPr>
          </w:p>
        </w:tc>
        <w:tc>
          <w:tcPr>
            <w:tcW w:w="380" w:type="dxa"/>
            <w:vAlign w:val="bottom"/>
            <w:shd w:val="clear" w:color="auto" w:fill="B6B6B6"/>
          </w:tcPr>
          <w:p>
            <w:pPr>
              <w:spacing w:after="0"/>
              <w:rPr>
                <w:sz w:val="22"/>
                <w:szCs w:val="22"/>
                <w:color w:val="auto"/>
              </w:rPr>
            </w:pPr>
          </w:p>
        </w:tc>
        <w:tc>
          <w:tcPr>
            <w:tcW w:w="118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200" w:type="dxa"/>
            <w:vAlign w:val="bottom"/>
            <w:shd w:val="clear" w:color="auto" w:fill="B6B6B6"/>
          </w:tcPr>
          <w:p>
            <w:pPr>
              <w:spacing w:after="0"/>
              <w:rPr>
                <w:sz w:val="22"/>
                <w:szCs w:val="22"/>
                <w:color w:val="auto"/>
              </w:rPr>
            </w:pPr>
          </w:p>
        </w:tc>
        <w:tc>
          <w:tcPr>
            <w:tcW w:w="38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r>
      <w:tr>
        <w:trPr>
          <w:trHeight w:val="250"/>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Average</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1.30 %</w:t>
            </w:r>
          </w:p>
        </w:tc>
      </w:tr>
      <w:tr>
        <w:trPr>
          <w:trHeight w:val="257"/>
        </w:trPr>
        <w:tc>
          <w:tcPr>
            <w:tcW w:w="5120" w:type="dxa"/>
            <w:vAlign w:val="bottom"/>
            <w:tcBorders>
              <w:bottom w:val="single" w:sz="8" w:color="auto"/>
            </w:tcBorders>
            <w:shd w:val="clear" w:color="auto" w:fill="B6B6B6"/>
          </w:tcPr>
          <w:p>
            <w:pPr>
              <w:ind w:left="140"/>
              <w:spacing w:after="0"/>
              <w:rPr>
                <w:sz w:val="20"/>
                <w:szCs w:val="20"/>
                <w:color w:val="auto"/>
              </w:rPr>
            </w:pPr>
            <w:r>
              <w:rPr>
                <w:rFonts w:ascii="Times New Roman" w:cs="Times New Roman" w:eastAsia="Times New Roman" w:hAnsi="Times New Roman"/>
                <w:sz w:val="18"/>
                <w:szCs w:val="18"/>
                <w:color w:val="auto"/>
              </w:rPr>
              <w:t>September 30</w:t>
            </w:r>
          </w:p>
        </w:tc>
        <w:tc>
          <w:tcPr>
            <w:tcW w:w="300" w:type="dxa"/>
            <w:vAlign w:val="bottom"/>
            <w:tcBorders>
              <w:bottom w:val="single" w:sz="8" w:color="auto"/>
            </w:tcBorders>
            <w:shd w:val="clear" w:color="auto" w:fill="B6B6B6"/>
          </w:tcPr>
          <w:p>
            <w:pPr>
              <w:spacing w:after="0"/>
              <w:rPr>
                <w:sz w:val="22"/>
                <w:szCs w:val="22"/>
                <w:color w:val="auto"/>
              </w:rPr>
            </w:pPr>
          </w:p>
        </w:tc>
        <w:tc>
          <w:tcPr>
            <w:tcW w:w="12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380" w:type="dxa"/>
            <w:vAlign w:val="bottom"/>
            <w:tcBorders>
              <w:bottom w:val="single" w:sz="8" w:color="auto"/>
            </w:tcBorders>
            <w:shd w:val="clear" w:color="auto" w:fill="B6B6B6"/>
          </w:tcPr>
          <w:p>
            <w:pPr>
              <w:spacing w:after="0"/>
              <w:rPr>
                <w:sz w:val="22"/>
                <w:szCs w:val="22"/>
                <w:color w:val="auto"/>
              </w:rPr>
            </w:pPr>
          </w:p>
        </w:tc>
        <w:tc>
          <w:tcPr>
            <w:tcW w:w="11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360" w:type="dxa"/>
            <w:vAlign w:val="bottom"/>
            <w:tcBorders>
              <w:bottom w:val="single" w:sz="8" w:color="auto"/>
            </w:tcBorders>
            <w:shd w:val="clear" w:color="auto" w:fill="B6B6B6"/>
          </w:tcPr>
          <w:p>
            <w:pPr>
              <w:spacing w:after="0"/>
              <w:rPr>
                <w:sz w:val="22"/>
                <w:szCs w:val="22"/>
                <w:color w:val="auto"/>
              </w:rPr>
            </w:pPr>
          </w:p>
        </w:tc>
        <w:tc>
          <w:tcPr>
            <w:tcW w:w="12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380" w:type="dxa"/>
            <w:vAlign w:val="bottom"/>
            <w:tcBorders>
              <w:bottom w:val="single" w:sz="8" w:color="auto"/>
            </w:tcBorders>
            <w:shd w:val="clear" w:color="auto" w:fill="B6B6B6"/>
          </w:tcPr>
          <w:p>
            <w:pPr>
              <w:spacing w:after="0"/>
              <w:rPr>
                <w:sz w:val="22"/>
                <w:szCs w:val="22"/>
                <w:color w:val="auto"/>
              </w:rPr>
            </w:pPr>
          </w:p>
        </w:tc>
        <w:tc>
          <w:tcPr>
            <w:tcW w:w="11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1.32 %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operating expenses for the Third Quarter of 2022 increased $5,631,000, or 18.3%, compared to the Third Quarter of 2021. Total operating expenses for the Nine Months Ended 2022 increased $12,770,000, or 14.3%, compared to the Nine Months Ended 2021. The following table details the components of operating expenses: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3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Third Quarter of</w:t>
            </w:r>
          </w:p>
        </w:tc>
        <w:tc>
          <w:tcPr>
            <w:tcW w:w="10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7"/>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20" w:type="dxa"/>
            <w:vAlign w:val="bottom"/>
          </w:tcPr>
          <w:p>
            <w:pPr>
              <w:spacing w:after="0"/>
              <w:rPr>
                <w:sz w:val="20"/>
                <w:szCs w:val="20"/>
                <w:color w:val="auto"/>
              </w:rPr>
            </w:pPr>
          </w:p>
        </w:tc>
        <w:tc>
          <w:tcPr>
            <w:tcW w:w="10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9"/>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Personnel</w:t>
            </w:r>
          </w:p>
        </w:tc>
        <w:tc>
          <w:tcPr>
            <w:tcW w:w="40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26,999</w:t>
            </w:r>
          </w:p>
        </w:tc>
        <w:tc>
          <w:tcPr>
            <w:tcW w:w="720" w:type="dxa"/>
            <w:vAlign w:val="bottom"/>
            <w:shd w:val="clear" w:color="auto" w:fill="B6B6B6"/>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23,283</w:t>
            </w:r>
          </w:p>
        </w:tc>
        <w:tc>
          <w:tcPr>
            <w:tcW w:w="36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77,750</w:t>
            </w:r>
          </w:p>
        </w:tc>
        <w:tc>
          <w:tcPr>
            <w:tcW w:w="40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68,689</w:t>
            </w: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Occupancy</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7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w:t>
            </w:r>
          </w:p>
        </w:tc>
      </w:tr>
      <w:tr>
        <w:trPr>
          <w:trHeight w:val="230"/>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400" w:type="dxa"/>
            <w:vAlign w:val="bottom"/>
            <w:shd w:val="clear" w:color="auto" w:fill="B6B6B6"/>
          </w:tcPr>
          <w:p>
            <w:pPr>
              <w:spacing w:after="0"/>
              <w:rPr>
                <w:sz w:val="19"/>
                <w:szCs w:val="19"/>
                <w:color w:val="auto"/>
              </w:rPr>
            </w:pPr>
          </w:p>
        </w:tc>
        <w:tc>
          <w:tcPr>
            <w:tcW w:w="13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720" w:type="dxa"/>
            <w:vAlign w:val="bottom"/>
            <w:shd w:val="clear" w:color="auto" w:fill="B6B6B6"/>
          </w:tcPr>
          <w:p>
            <w:pPr>
              <w:spacing w:after="0"/>
              <w:rPr>
                <w:sz w:val="19"/>
                <w:szCs w:val="19"/>
                <w:color w:val="auto"/>
              </w:rPr>
            </w:pP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360" w:type="dxa"/>
            <w:vAlign w:val="bottom"/>
            <w:shd w:val="clear" w:color="auto" w:fill="B6B6B6"/>
          </w:tcPr>
          <w:p>
            <w:pPr>
              <w:spacing w:after="0"/>
              <w:rPr>
                <w:sz w:val="19"/>
                <w:szCs w:val="19"/>
                <w:color w:val="auto"/>
              </w:rPr>
            </w:pPr>
          </w:p>
        </w:tc>
        <w:tc>
          <w:tcPr>
            <w:tcW w:w="11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400" w:type="dxa"/>
            <w:vAlign w:val="bottom"/>
            <w:shd w:val="clear" w:color="auto" w:fill="B6B6B6"/>
          </w:tcPr>
          <w:p>
            <w:pPr>
              <w:spacing w:after="0"/>
              <w:rPr>
                <w:sz w:val="19"/>
                <w:szCs w:val="19"/>
                <w:color w:val="auto"/>
              </w:rPr>
            </w:pP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5,028</w:t>
            </w: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7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r>
      <w:tr>
        <w:trPr>
          <w:trHeight w:val="230"/>
        </w:trPr>
        <w:tc>
          <w:tcPr>
            <w:tcW w:w="332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 operating</w:t>
            </w:r>
          </w:p>
        </w:tc>
        <w:tc>
          <w:tcPr>
            <w:tcW w:w="400" w:type="dxa"/>
            <w:vAlign w:val="bottom"/>
            <w:tcBorders>
              <w:bottom w:val="single" w:sz="8" w:color="auto"/>
            </w:tcBorders>
            <w:shd w:val="clear" w:color="auto" w:fill="B6B6B6"/>
          </w:tcPr>
          <w:p>
            <w:pPr>
              <w:spacing w:after="0"/>
              <w:rPr>
                <w:sz w:val="19"/>
                <w:szCs w:val="19"/>
                <w:color w:val="auto"/>
              </w:rPr>
            </w:pPr>
          </w:p>
        </w:tc>
        <w:tc>
          <w:tcPr>
            <w:tcW w:w="13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6,524</w:t>
            </w:r>
          </w:p>
        </w:tc>
        <w:tc>
          <w:tcPr>
            <w:tcW w:w="720" w:type="dxa"/>
            <w:vAlign w:val="bottom"/>
            <w:tcBorders>
              <w:bottom w:val="single" w:sz="8" w:color="auto"/>
            </w:tcBorders>
            <w:shd w:val="clear" w:color="auto" w:fill="B6B6B6"/>
          </w:tcPr>
          <w:p>
            <w:pPr>
              <w:spacing w:after="0"/>
              <w:rPr>
                <w:sz w:val="19"/>
                <w:szCs w:val="19"/>
                <w:color w:val="auto"/>
              </w:rPr>
            </w:pPr>
          </w:p>
        </w:tc>
        <w:tc>
          <w:tcPr>
            <w:tcW w:w="10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4,539</w:t>
            </w:r>
          </w:p>
        </w:tc>
        <w:tc>
          <w:tcPr>
            <w:tcW w:w="360" w:type="dxa"/>
            <w:vAlign w:val="bottom"/>
            <w:tcBorders>
              <w:bottom w:val="single" w:sz="8" w:color="auto"/>
            </w:tcBorders>
            <w:shd w:val="clear" w:color="auto" w:fill="B6B6B6"/>
          </w:tcPr>
          <w:p>
            <w:pPr>
              <w:spacing w:after="0"/>
              <w:rPr>
                <w:sz w:val="19"/>
                <w:szCs w:val="19"/>
                <w:color w:val="auto"/>
              </w:rPr>
            </w:pPr>
          </w:p>
        </w:tc>
        <w:tc>
          <w:tcPr>
            <w:tcW w:w="11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15,748</w:t>
            </w:r>
          </w:p>
        </w:tc>
        <w:tc>
          <w:tcPr>
            <w:tcW w:w="400" w:type="dxa"/>
            <w:vAlign w:val="bottom"/>
            <w:tcBorders>
              <w:bottom w:val="single" w:sz="8" w:color="auto"/>
            </w:tcBorders>
            <w:shd w:val="clear" w:color="auto" w:fill="B6B6B6"/>
          </w:tcPr>
          <w:p>
            <w:pPr>
              <w:spacing w:after="0"/>
              <w:rPr>
                <w:sz w:val="19"/>
                <w:szCs w:val="19"/>
                <w:color w:val="auto"/>
              </w:rPr>
            </w:pPr>
          </w:p>
        </w:tc>
        <w:tc>
          <w:tcPr>
            <w:tcW w:w="11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11,798</w:t>
            </w:r>
          </w:p>
        </w:tc>
      </w:tr>
      <w:tr>
        <w:trPr>
          <w:trHeight w:val="223"/>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36,321</w:t>
            </w:r>
          </w:p>
        </w:tc>
        <w:tc>
          <w:tcPr>
            <w:tcW w:w="7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30,690</w:t>
            </w:r>
          </w:p>
        </w:tc>
        <w:tc>
          <w:tcPr>
            <w:tcW w:w="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101,788</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89,018</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of 2022 compared to Third Quarter of 2021:</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Personnel costs increased $3,716,000, or 16.0%. Base salaries increased as a result of merit increases, wage pressures, an increase in average full-time equivalent employees of 7.5% due to the Touchpoint acquisition and strategic investments in various technology initiatives, including improved rating engine capabilities and investment in optical character recognition, artificial intelligence, machine learning and other processes to read images and produce data. Also driving the increase in personnel expense were increases in stock compensation and profit sharing of $241,000 and $448,000, respectively, due to improved Company earnings.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operating expenses increased $1,985,000, or 43.7%. These expenses increased due to higher levels of travel, employee procurement, data processing and other professional fees. Partially causing the increase in data processing and other professional fees is investments in technology initiatives, resulting in elevated expense levels as multiple technology platforms are being maintained prior to switching over to what the Company believes will be more efficient technology platforms for facility and freight data entry processing by the end of 2023.</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2022 compared to Nine Months Ended September 30, 2021:</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Personnel costs increased $9,061,000, or 13.2%. Base salaries increased as a result of merit increases, wage pressures, an increase in average full-time equivalent employees of 3.8% due to the Touchpoint acquisition and strategic investments in various technology initiatives as described above. Also driving the increase in personnel expense were increases in stock compensation and profit sharing of $1,894,000 and $1,061,000, respectively, due to improved Company earnings.</w:t>
      </w:r>
    </w:p>
    <w:p>
      <w:pPr>
        <w:spacing w:after="0" w:line="1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operating expenses increased $3,950,000, or 33.5%. These expenses increased due to higher levels of travel, employee procurement, data processing and other professional fees as described above.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 at September 30, 2022 were $2,610,815,000, an increase of $55,914,000, or 2.2%, from December 31, 2021.</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experienced a decrease in cash and cash equivalents of $167,934,000, or 32.6%. The change in cash and cash equivalents reflects the Company’s daily liquidity position and is primarily affected by changes in funding sources, mainly accounts and drafts payable and deposits, cash flows in and out of loans, investments securities and payments in advance of funding. The decrease in cash and cash equivalents was primarily due to growth in loans and investment securities, which utilized cash to fund such growth.</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investment securities portfolio increased $90,336,000, or 13.4%, during the first nine months of 2022. Cash and cash equivalents were utilized to purchase U.S. treasury bonds, which increased from $0 at December 31, 2021 to $155,119,000 at September 30, 2022. The Company purchased U.S. treasury bonds with maturities between one and two years.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Loans increased $76,534,000, or 8.0%. The Company experienced $88,936,000 of growth in commercial and industrial loans due to growth in restaurant franchise loans and investment grade leases.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Payments in advance of funding decreased $22,206,000, or 7.6%. The decrease in the balance is primarily due to timing as average balances are higher for the three and nine months ended September 30, 2022 as compared to the same periods in 2021.</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assets increased $69,588,000 due to an increase in the deferred tax asset of $20,747,000 as a result of unrealized losses on investment securities and an increase in accounts receivable from customers of $45,699,000.</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liabilities at September 30, 2022 were $2,419,080,000, an increase of $109,977,000, or 4.8%, from December 31, 2021.</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deposits at September 30, 2022 were $1,229,721,000, an increase of $8,218,000, or 0.7%, from December 31, 2021. Increases in demand deposits have offset declines in time deposits.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Accounts and drafts payable at September 30, 2022 were $1,146,334,000, an increase of $95,938,000, or 9.1%, from December 31, 2021. Accounts and drafts payable will fluctuate from period-end to period-end due to the payment processing cycle, which results in lower balances on days when payments clear and higher balances on days when payments are issued. For this reason, average balances are a more meaningful measure of accounts and drafts payable (for average balances refer to the tables under the “Distribution of Assets, Liabilities and Shareholders’ Equity; Interest Rate and Interest Differential” section of this report).</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shareholders’ equity at September 30, 2022 was $191,735,000, a $54,063,000, or 22.0%, decrease from December 31, 2021. Total shareholders’ equity decreased due to a change in accumulated other comprehensive loss of $66,832,000 as a result of interest rates continuing to rise and the negative impact on the fair value of existing investment securities, share repurchases of $5,299,000, and dividends paid of $11,478,000. These decreases were partially offset by net income of $25,619,000 and stock-based compensation expense of $4,479,000.</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discipline of liquidity management as practiced by the Company seeks to ensure that funds are available to fulfill all payment obligations relating to invoices processed as they become due and meet depositor withdrawal requests and borrower credit demands while at the same time maximizing profitability. This is accomplished by balancing changes in demand for funds with changes in supply of funds. Primary liquidity to meet demand is provided by short-term liquid assets that can be converted to cash, maturing securities and the ability to obtain funds from external sources.</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balance of liquid assets consists of cash and cash equivalents, which include cash and due from banks, interest-bearing deposits in other financial institutions, federal funds sold and money market funds. Cash and cash equivalents totaled $346,994,000 at September 30, 2022, a decrease of $167,934,000, or 32.6%, from December 31, 2021. At September 30, 2022, these assets represented 13.3% of total assets. These funds are the Company’s and its subsidiaries’ primary source of liquidity to meet future expected and unexpected loan demand, depositor withdrawals or reductions in accounts and drafts payable.</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Secondary sources of liquidity include the investment portfolio and borrowing lines. Total investment securities were $763,789,000 at September 30, 2022, an increase of $90,336,000 from December 31, 2021. These assets represented 29.3% of total assets at September 30, 2022. Of the total portfolio, 8.5% mature in one year, 34.1% mature in one to five years, and 57.4% mature in five or more years</w:t>
      </w:r>
      <w:r>
        <w:rPr>
          <w:rFonts w:ascii="Times New Roman" w:cs="Times New Roman" w:eastAsia="Times New Roman" w:hAnsi="Times New Roman"/>
          <w:sz w:val="18"/>
          <w:szCs w:val="18"/>
          <w:i w:val="1"/>
          <w:iCs w:val="1"/>
          <w:color w:val="auto"/>
        </w:rPr>
        <w:t>.</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Bank has unsecured lines of credit at six correspondent banks to purchase federal funds up to a maximum of $83,000,000 in aggregate. As of September 30, 2022, the Bank also has secured lines of credit with the Federal Home Loan Bank of $228,858,000 collateralized by mortgage loans. The Company also has secured lines of credit from two banks up to a maximum of $150,000,000 collateralized by state and political subdivision securities. There were no amounts outstanding under any line of credit as of September 30, 2022 or December 31, 2021.</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deposits of the Company's banking subsidiary have historically been stable, consisting of a sizable volume of core deposits related to customers that utilize other commercial products of the Bank. The accounts and drafts payable generated by the Company has also historically been a stable source of funds. The Company is part of the Certificate of Deposit Account Registry Service (“CDARS”) and Insured Cash Sweep (“ICS”) deposit placement programs. Time deposits include $18,220,000 of CDARS deposits and interest-bearing demand deposits include $117,993,000 of ICS deposits. These programs offer the Bank’s customers the ability to maximize Federal Deposit Insurance Corporation (“FDIC”) insurance coverage. The Company uses these programs to retain or attract deposits from existing customers.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flows provided by operating activities were $40,799,000 for the nine months ended September 30, 2022, compared to $30,680,000 for the nine months ended September 30, 2021, an increase of $10,119,000. Net cash flows from investing and financing activities fluctuate greatly as the Company actively manages its investment and loan portfolios and customer activity influences changes in deposit and accounts and drafts payable balances. Other causes for the changes in these account balances are discussed earlier in this report. Due to the daily fluctuations in these account balances, the analysis of changes in average balances, also discussed earlier in this report, can be more indicative of underlying activity than the period-end balances used in the statements of cash flows. Management anticipates that cash and cash equivalents, maturing investments and cash from operations will continue to be sufficient to fund the Company’s operations and capital expenditures in 2022, which are estimated to range from $4 million to $6 million.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faces market risk to the extent that its net interest income and fair market value of equity are affected by changes in market interest rates. For information regarding the market risk of the Company’s financial instruments, see Item 3, “Quantitative and Qualitative Disclosures about Market Risk.”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several trends and uncertainties that may impact the Company’s ability to generate revenues and income at the levels that it has in the past. In addition, these trends and uncertainties may impact available liquidity. Those that could significantly impact the Company include the general levels of interest rates, business activity, and energy costs as well as new business opportunities available to the Company.</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financial institution, a significant source of the Company’s earnings is generated from net interest income. Therefore, the prevailing interest rate environment is important to the Company’s performance. A major portion of the Company’s funding sources are the non-interest bearing accounts and drafts payable generated from its payment and information processing services. Accordingly, higher levels of interest rates will generally allow the Company to earn more net interest income. Conversely, a lower interest rate environment will generally tend to depress net interest income. The Company actively manages its balance sheet in an effort to maximize net interest income as the interest rate environment changes. This balance sheet management impacts the mix of earning assets maintained by the Company at any point in time. For example, in a low interest rate environment, short-term relatively lower rate liquid investments may be reduced in favor of longer term relatively higher yielding investments and loans. If the primary source of liquidity is reduced in a low interest rate environment, a greater reliance would be placed on secondary sources of liquidity including borrowing lines, the ability of the Bank to generate deposits, and the investment portfolio to ensure overall liquidity remains at acceptable levels.</w:t>
      </w:r>
    </w:p>
    <w:p>
      <w:pPr>
        <w:spacing w:after="0" w:line="1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overall level of economic activity can have a significant impact on the Company’s ability to generate revenues and income, as the volume and size of customer invoices processed may increase or decrease. Higher levels of economic activity increase both fee income (as more invoices are processed) and balances of accounts and drafts payable. Lower levels of economic activity, such as those previously experienced by the Company as a result of COVID-19 and governmental actions related thereto, decrease both fee income and balances of accounts and drafts payable.</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relative level of energy costs can impact the Company’s earnings and available liquidity. Lower levels of energy costs will tend to decrease transportation and energy invoice amounts resulting in a corresponding decrease in accounts and drafts payable. Decreases in accounts and drafts payable generate lower interest income.</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New business opportunities are an important component of the Company’s strategy to grow earnings and improve performance. Generating new customers allows the Company to leverage existing systems and facilities and grow revenues faster than expenses.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bank holding company, the Company and the Bank are subject to capital requirements pursuant to the FRB’s capital guidelines which include (i) risk-based capital guidelines, which are designed to make capital requirements more sensitive to various risk profiles and account for off-balance sheet exposure; (ii) guidelines that consider market risk, which is the risk of loss due to change in value of assets and liabilities due to changes in interest rates; and (iii) guidelines that use a leverage ratio which places a constraint on the maximum degree of risk to which a financial holding company may leverage its equity capital base.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Basel III Capital Rules require banking organizations, like Cass, to maintain:</w:t>
      </w:r>
    </w:p>
    <w:p>
      <w:pPr>
        <w:spacing w:after="0" w:line="18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ratio of common equity Tier 1 capital to risk-weighted assets of at least 4.5%, plus a 2.5% capital conservation buffer;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ratio of Tier 1 capital to risk-weighted assets of at least 6.0%, plus a 2.5% capital conservation buffer;</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ratio of total capital (that is, Tier 1 plus Tier 2 capital) to risk-weighted assets of at least 8.0%, plus the 2.5% capital conservation buffer; and</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leverage ratio of 4.0%, calculated as the ratio of Tier 1 capital to adjusted average consolidated assets.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capital conservation buffer is designed to absorb losses during periods of economic stress. Banking institutions with a ratio of common equity Tier 1 capital to risk-weighted assets above the minimum but below the conservation buffer will face limitations on the payment of dividends, common stock repurchases and discretionary cash payments to executive officers based on the amount of the shortfall.</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Common equity Tier 1 capital is generally defined as common stockholders’ equity and retained earnings. Tier 1 capital is generally defined as common equity Tier 1 and Additional Tier 1 capital. Additional Tier 1 capital generally includes certain noncumulative perpetual preferred stock and related surplus and minority interests in equity accounts of consolidated subsidiaries. Total capital includes Tier 1 capital (common equity Tier 1 capital plus Additional Tier 1 capital) and Tier 2 capital. Tier 2 capital is comprised of capital instruments and related surplus meeting specified requirements. Also included in Tier 2 capital is the allowance for credit losses limited to a maximum of 1.25% of risk-weighted assets and, for non-advanced approaches institutions like Cass that have exercised a one-time opt-out election regarding the treatment of Accumulated Other Comprehensive Income (“AOCI”), up to 45% of net unrealized gains on available-for-sale equity securities with readily determinable fair market values. The calculation of all types of regulatory capital is subject to deductions and adjustments specified in applicable regulations.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calculation of all types of regulatory capital is subject to deductions and adjustments specified in the regulations. For instance, the Basel III Capital Rules and the Capital Simplification Rules provide for a number of deductions from and adjustments to common equity Tier 1 capital. These include, for example, the requirement that certain deferred tax assets and significant investments in non-consolidated financial entities be deducted from Tier 1 capital to the extent that any one such category exceeds 25% of common equity Tier 1 capital.</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determining the amount of risk-weighted assets for purposes of calculating risk-based capital ratios, all assets, including certain off-balance sheet assets, are multiplied by a risk weight factor assigned by the regulations based on the risks believed inherent in the type of asset. Higher levels of capital are required for asset categories believed to present greater risk. For example, a risk weight of 0% is assigned to cash and U.S. government securities, a risk weight of 50% is generally assigned to prudently underwritten first lien one to four-family residential mortgages, a risk weight of 100% is assigned to commercial and consumer loans, a risk weight of 150% is assigned to certain past due loans, and a risk weight of between 0% to 600% is assigned to permissible equity interests, depending on certain specified factors.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the Bank continue to exceed all regulatory capital requirements, as evidenced by the following capital amounts and ratios: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3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2"/>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5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240" w:type="dxa"/>
            <w:vAlign w:val="bottom"/>
          </w:tcPr>
          <w:p>
            <w:pPr>
              <w:spacing w:after="0"/>
              <w:rPr>
                <w:sz w:val="21"/>
                <w:szCs w:val="21"/>
                <w:color w:val="auto"/>
              </w:rPr>
            </w:pPr>
          </w:p>
        </w:tc>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20" w:type="dxa"/>
            <w:vAlign w:val="bottom"/>
          </w:tcPr>
          <w:p>
            <w:pPr>
              <w:spacing w:after="0"/>
              <w:rPr>
                <w:sz w:val="21"/>
                <w:szCs w:val="21"/>
                <w:color w:val="auto"/>
              </w:rPr>
            </w:pPr>
          </w:p>
        </w:tc>
        <w:tc>
          <w:tcPr>
            <w:tcW w:w="13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Ratio</w:t>
            </w:r>
          </w:p>
        </w:tc>
      </w:tr>
      <w:tr>
        <w:trPr>
          <w:trHeight w:val="263"/>
        </w:trPr>
        <w:tc>
          <w:tcPr>
            <w:tcW w:w="53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240" w:type="dxa"/>
            <w:vAlign w:val="bottom"/>
            <w:shd w:val="clear" w:color="auto" w:fill="B6B6B6"/>
          </w:tcPr>
          <w:p>
            <w:pPr>
              <w:spacing w:after="0"/>
              <w:rPr>
                <w:sz w:val="22"/>
                <w:szCs w:val="22"/>
                <w:color w:val="auto"/>
              </w:rPr>
            </w:pPr>
          </w:p>
        </w:tc>
        <w:tc>
          <w:tcPr>
            <w:tcW w:w="138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20" w:type="dxa"/>
            <w:vAlign w:val="bottom"/>
            <w:shd w:val="clear" w:color="auto" w:fill="B6B6B6"/>
          </w:tcPr>
          <w:p>
            <w:pPr>
              <w:spacing w:after="0"/>
              <w:rPr>
                <w:sz w:val="22"/>
                <w:szCs w:val="22"/>
                <w:color w:val="auto"/>
              </w:rPr>
            </w:pPr>
          </w:p>
        </w:tc>
        <w:tc>
          <w:tcPr>
            <w:tcW w:w="1380" w:type="dxa"/>
            <w:vAlign w:val="bottom"/>
            <w:shd w:val="clear" w:color="auto" w:fill="B6B6B6"/>
          </w:tcPr>
          <w:p>
            <w:pPr>
              <w:spacing w:after="0"/>
              <w:rPr>
                <w:sz w:val="22"/>
                <w:szCs w:val="22"/>
                <w:color w:val="auto"/>
              </w:rPr>
            </w:pPr>
          </w:p>
        </w:tc>
        <w:tc>
          <w:tcPr>
            <w:tcW w:w="1300" w:type="dxa"/>
            <w:vAlign w:val="bottom"/>
            <w:shd w:val="clear" w:color="auto" w:fill="B6B6B6"/>
          </w:tcPr>
          <w:p>
            <w:pPr>
              <w:spacing w:after="0"/>
              <w:rPr>
                <w:sz w:val="22"/>
                <w:szCs w:val="22"/>
                <w:color w:val="auto"/>
              </w:rPr>
            </w:pPr>
          </w:p>
        </w:tc>
      </w:tr>
      <w:tr>
        <w:trPr>
          <w:trHeight w:val="250"/>
        </w:trPr>
        <w:tc>
          <w:tcPr>
            <w:tcW w:w="5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248,833</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14.07 %</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240,265</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14.86 %</w:t>
            </w:r>
          </w:p>
        </w:tc>
      </w:tr>
      <w:tr>
        <w:trPr>
          <w:trHeight w:val="263"/>
        </w:trPr>
        <w:tc>
          <w:tcPr>
            <w:tcW w:w="5340" w:type="dxa"/>
            <w:vAlign w:val="bottom"/>
            <w:shd w:val="clear" w:color="auto" w:fill="B6B6B6"/>
          </w:tcPr>
          <w:p>
            <w:pPr>
              <w:ind w:left="260"/>
              <w:spacing w:after="0"/>
              <w:rPr>
                <w:sz w:val="20"/>
                <w:szCs w:val="20"/>
                <w:color w:val="auto"/>
              </w:rPr>
            </w:pPr>
            <w:r>
              <w:rPr>
                <w:rFonts w:ascii="Times New Roman" w:cs="Times New Roman" w:eastAsia="Times New Roman" w:hAnsi="Times New Roman"/>
                <w:sz w:val="18"/>
                <w:szCs w:val="18"/>
                <w:color w:val="auto"/>
              </w:rPr>
              <w:t>Cass Commercial Bank</w:t>
            </w:r>
          </w:p>
        </w:tc>
        <w:tc>
          <w:tcPr>
            <w:tcW w:w="240" w:type="dxa"/>
            <w:vAlign w:val="bottom"/>
            <w:shd w:val="clear" w:color="auto" w:fill="B6B6B6"/>
          </w:tcPr>
          <w:p>
            <w:pPr>
              <w:spacing w:after="0"/>
              <w:rPr>
                <w:sz w:val="22"/>
                <w:szCs w:val="22"/>
                <w:color w:val="auto"/>
              </w:rPr>
            </w:pPr>
          </w:p>
        </w:tc>
        <w:tc>
          <w:tcPr>
            <w:tcW w:w="1380" w:type="dxa"/>
            <w:vAlign w:val="bottom"/>
            <w:shd w:val="clear" w:color="auto" w:fill="B6B6B6"/>
          </w:tcPr>
          <w:p>
            <w:pPr>
              <w:ind w:left="440"/>
              <w:spacing w:after="0"/>
              <w:rPr>
                <w:sz w:val="20"/>
                <w:szCs w:val="20"/>
                <w:color w:val="auto"/>
              </w:rPr>
            </w:pPr>
            <w:r>
              <w:rPr>
                <w:rFonts w:ascii="Times New Roman" w:cs="Times New Roman" w:eastAsia="Times New Roman" w:hAnsi="Times New Roman"/>
                <w:sz w:val="18"/>
                <w:szCs w:val="18"/>
                <w:color w:val="auto"/>
              </w:rPr>
              <w:t>183,264</w:t>
            </w: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16.08 %</w:t>
            </w:r>
          </w:p>
        </w:tc>
        <w:tc>
          <w:tcPr>
            <w:tcW w:w="100" w:type="dxa"/>
            <w:vAlign w:val="bottom"/>
            <w:shd w:val="clear" w:color="auto" w:fill="B6B6B6"/>
          </w:tcPr>
          <w:p>
            <w:pPr>
              <w:spacing w:after="0"/>
              <w:rPr>
                <w:sz w:val="22"/>
                <w:szCs w:val="22"/>
                <w:color w:val="auto"/>
              </w:rPr>
            </w:pPr>
          </w:p>
        </w:tc>
        <w:tc>
          <w:tcPr>
            <w:tcW w:w="220" w:type="dxa"/>
            <w:vAlign w:val="bottom"/>
            <w:shd w:val="clear" w:color="auto" w:fill="B6B6B6"/>
          </w:tcPr>
          <w:p>
            <w:pPr>
              <w:spacing w:after="0"/>
              <w:rPr>
                <w:sz w:val="22"/>
                <w:szCs w:val="22"/>
                <w:color w:val="auto"/>
              </w:rPr>
            </w:pPr>
          </w:p>
        </w:tc>
        <w:tc>
          <w:tcPr>
            <w:tcW w:w="1380" w:type="dxa"/>
            <w:vAlign w:val="bottom"/>
            <w:shd w:val="clear" w:color="auto" w:fill="B6B6B6"/>
          </w:tcPr>
          <w:p>
            <w:pPr>
              <w:jc w:val="right"/>
              <w:ind w:right="250"/>
              <w:spacing w:after="0"/>
              <w:rPr>
                <w:sz w:val="20"/>
                <w:szCs w:val="20"/>
                <w:color w:val="auto"/>
              </w:rPr>
            </w:pPr>
            <w:r>
              <w:rPr>
                <w:rFonts w:ascii="Times New Roman" w:cs="Times New Roman" w:eastAsia="Times New Roman" w:hAnsi="Times New Roman"/>
                <w:sz w:val="18"/>
                <w:szCs w:val="18"/>
                <w:color w:val="auto"/>
              </w:rPr>
              <w:t>174,614</w:t>
            </w: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17.21 %</w:t>
            </w:r>
          </w:p>
        </w:tc>
      </w:tr>
      <w:tr>
        <w:trPr>
          <w:trHeight w:val="25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equity tier I capital (to risk-weighted assets)</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3"/>
        </w:trPr>
        <w:tc>
          <w:tcPr>
            <w:tcW w:w="5340" w:type="dxa"/>
            <w:vAlign w:val="bottom"/>
            <w:shd w:val="clear" w:color="auto" w:fill="B6B6B6"/>
          </w:tcPr>
          <w:p>
            <w:pPr>
              <w:ind w:left="2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240" w:type="dxa"/>
            <w:vAlign w:val="bottom"/>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B6B6B6"/>
          </w:tcPr>
          <w:p>
            <w:pPr>
              <w:ind w:left="440"/>
              <w:spacing w:after="0"/>
              <w:rPr>
                <w:sz w:val="20"/>
                <w:szCs w:val="20"/>
                <w:color w:val="auto"/>
              </w:rPr>
            </w:pPr>
            <w:r>
              <w:rPr>
                <w:rFonts w:ascii="Times New Roman" w:cs="Times New Roman" w:eastAsia="Times New Roman" w:hAnsi="Times New Roman"/>
                <w:sz w:val="18"/>
                <w:szCs w:val="18"/>
                <w:color w:val="auto"/>
              </w:rPr>
              <w:t>235,784</w:t>
            </w: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13.33 %</w:t>
            </w:r>
          </w:p>
        </w:tc>
        <w:tc>
          <w:tcPr>
            <w:tcW w:w="100" w:type="dxa"/>
            <w:vAlign w:val="bottom"/>
            <w:shd w:val="clear" w:color="auto" w:fill="B6B6B6"/>
          </w:tcPr>
          <w:p>
            <w:pPr>
              <w:spacing w:after="0"/>
              <w:rPr>
                <w:sz w:val="22"/>
                <w:szCs w:val="22"/>
                <w:color w:val="auto"/>
              </w:rPr>
            </w:pPr>
          </w:p>
        </w:tc>
        <w:tc>
          <w:tcPr>
            <w:tcW w:w="22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B6B6B6"/>
          </w:tcPr>
          <w:p>
            <w:pPr>
              <w:jc w:val="right"/>
              <w:ind w:right="250"/>
              <w:spacing w:after="0"/>
              <w:rPr>
                <w:sz w:val="20"/>
                <w:szCs w:val="20"/>
                <w:color w:val="auto"/>
              </w:rPr>
            </w:pPr>
            <w:r>
              <w:rPr>
                <w:rFonts w:ascii="Times New Roman" w:cs="Times New Roman" w:eastAsia="Times New Roman" w:hAnsi="Times New Roman"/>
                <w:sz w:val="18"/>
                <w:szCs w:val="18"/>
                <w:color w:val="auto"/>
              </w:rPr>
              <w:t>228,224</w:t>
            </w: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14.11 %</w:t>
            </w:r>
          </w:p>
        </w:tc>
      </w:tr>
      <w:tr>
        <w:trPr>
          <w:trHeight w:val="250"/>
        </w:trPr>
        <w:tc>
          <w:tcPr>
            <w:tcW w:w="5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Cass Commercial Bank</w:t>
            </w:r>
          </w:p>
        </w:tc>
        <w:tc>
          <w:tcPr>
            <w:tcW w:w="240" w:type="dxa"/>
            <w:vAlign w:val="bottom"/>
          </w:tcPr>
          <w:p>
            <w:pPr>
              <w:spacing w:after="0"/>
              <w:rPr>
                <w:sz w:val="21"/>
                <w:szCs w:val="21"/>
                <w:color w:val="auto"/>
              </w:rPr>
            </w:pPr>
          </w:p>
        </w:tc>
        <w:tc>
          <w:tcPr>
            <w:tcW w:w="1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170,532</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163,030</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16.07 %</w:t>
            </w:r>
          </w:p>
        </w:tc>
      </w:tr>
      <w:tr>
        <w:trPr>
          <w:trHeight w:val="263"/>
        </w:trPr>
        <w:tc>
          <w:tcPr>
            <w:tcW w:w="53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Tier I capital (to risk-weighted assets)</w:t>
            </w:r>
          </w:p>
        </w:tc>
        <w:tc>
          <w:tcPr>
            <w:tcW w:w="240" w:type="dxa"/>
            <w:vAlign w:val="bottom"/>
            <w:shd w:val="clear" w:color="auto" w:fill="B6B6B6"/>
          </w:tcPr>
          <w:p>
            <w:pPr>
              <w:spacing w:after="0"/>
              <w:rPr>
                <w:sz w:val="22"/>
                <w:szCs w:val="22"/>
                <w:color w:val="auto"/>
              </w:rPr>
            </w:pPr>
          </w:p>
        </w:tc>
        <w:tc>
          <w:tcPr>
            <w:tcW w:w="138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20" w:type="dxa"/>
            <w:vAlign w:val="bottom"/>
            <w:shd w:val="clear" w:color="auto" w:fill="B6B6B6"/>
          </w:tcPr>
          <w:p>
            <w:pPr>
              <w:spacing w:after="0"/>
              <w:rPr>
                <w:sz w:val="22"/>
                <w:szCs w:val="22"/>
                <w:color w:val="auto"/>
              </w:rPr>
            </w:pPr>
          </w:p>
        </w:tc>
        <w:tc>
          <w:tcPr>
            <w:tcW w:w="1380" w:type="dxa"/>
            <w:vAlign w:val="bottom"/>
            <w:shd w:val="clear" w:color="auto" w:fill="B6B6B6"/>
          </w:tcPr>
          <w:p>
            <w:pPr>
              <w:spacing w:after="0"/>
              <w:rPr>
                <w:sz w:val="22"/>
                <w:szCs w:val="22"/>
                <w:color w:val="auto"/>
              </w:rPr>
            </w:pPr>
          </w:p>
        </w:tc>
        <w:tc>
          <w:tcPr>
            <w:tcW w:w="1300" w:type="dxa"/>
            <w:vAlign w:val="bottom"/>
            <w:shd w:val="clear" w:color="auto" w:fill="B6B6B6"/>
          </w:tcPr>
          <w:p>
            <w:pPr>
              <w:spacing w:after="0"/>
              <w:rPr>
                <w:sz w:val="22"/>
                <w:szCs w:val="22"/>
                <w:color w:val="auto"/>
              </w:rPr>
            </w:pPr>
          </w:p>
        </w:tc>
      </w:tr>
      <w:tr>
        <w:trPr>
          <w:trHeight w:val="250"/>
        </w:trPr>
        <w:tc>
          <w:tcPr>
            <w:tcW w:w="5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235,784</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13.33 %</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228,224</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14.11 %</w:t>
            </w:r>
          </w:p>
        </w:tc>
      </w:tr>
      <w:tr>
        <w:trPr>
          <w:trHeight w:val="263"/>
        </w:trPr>
        <w:tc>
          <w:tcPr>
            <w:tcW w:w="5340" w:type="dxa"/>
            <w:vAlign w:val="bottom"/>
            <w:shd w:val="clear" w:color="auto" w:fill="B6B6B6"/>
          </w:tcPr>
          <w:p>
            <w:pPr>
              <w:ind w:left="260"/>
              <w:spacing w:after="0"/>
              <w:rPr>
                <w:sz w:val="20"/>
                <w:szCs w:val="20"/>
                <w:color w:val="auto"/>
              </w:rPr>
            </w:pPr>
            <w:r>
              <w:rPr>
                <w:rFonts w:ascii="Times New Roman" w:cs="Times New Roman" w:eastAsia="Times New Roman" w:hAnsi="Times New Roman"/>
                <w:sz w:val="18"/>
                <w:szCs w:val="18"/>
                <w:color w:val="auto"/>
              </w:rPr>
              <w:t>Cass Commercial Bank</w:t>
            </w:r>
          </w:p>
        </w:tc>
        <w:tc>
          <w:tcPr>
            <w:tcW w:w="240" w:type="dxa"/>
            <w:vAlign w:val="bottom"/>
            <w:shd w:val="clear" w:color="auto" w:fill="B6B6B6"/>
          </w:tcPr>
          <w:p>
            <w:pPr>
              <w:spacing w:after="0"/>
              <w:rPr>
                <w:sz w:val="22"/>
                <w:szCs w:val="22"/>
                <w:color w:val="auto"/>
              </w:rPr>
            </w:pPr>
          </w:p>
        </w:tc>
        <w:tc>
          <w:tcPr>
            <w:tcW w:w="1380" w:type="dxa"/>
            <w:vAlign w:val="bottom"/>
            <w:shd w:val="clear" w:color="auto" w:fill="B6B6B6"/>
          </w:tcPr>
          <w:p>
            <w:pPr>
              <w:ind w:left="440"/>
              <w:spacing w:after="0"/>
              <w:rPr>
                <w:sz w:val="20"/>
                <w:szCs w:val="20"/>
                <w:color w:val="auto"/>
              </w:rPr>
            </w:pPr>
            <w:r>
              <w:rPr>
                <w:rFonts w:ascii="Times New Roman" w:cs="Times New Roman" w:eastAsia="Times New Roman" w:hAnsi="Times New Roman"/>
                <w:sz w:val="18"/>
                <w:szCs w:val="18"/>
                <w:color w:val="auto"/>
              </w:rPr>
              <w:t>170,532</w:t>
            </w: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14.96 %</w:t>
            </w:r>
          </w:p>
        </w:tc>
        <w:tc>
          <w:tcPr>
            <w:tcW w:w="100" w:type="dxa"/>
            <w:vAlign w:val="bottom"/>
            <w:shd w:val="clear" w:color="auto" w:fill="B6B6B6"/>
          </w:tcPr>
          <w:p>
            <w:pPr>
              <w:spacing w:after="0"/>
              <w:rPr>
                <w:sz w:val="22"/>
                <w:szCs w:val="22"/>
                <w:color w:val="auto"/>
              </w:rPr>
            </w:pPr>
          </w:p>
        </w:tc>
        <w:tc>
          <w:tcPr>
            <w:tcW w:w="220" w:type="dxa"/>
            <w:vAlign w:val="bottom"/>
            <w:shd w:val="clear" w:color="auto" w:fill="B6B6B6"/>
          </w:tcPr>
          <w:p>
            <w:pPr>
              <w:spacing w:after="0"/>
              <w:rPr>
                <w:sz w:val="22"/>
                <w:szCs w:val="22"/>
                <w:color w:val="auto"/>
              </w:rPr>
            </w:pPr>
          </w:p>
        </w:tc>
        <w:tc>
          <w:tcPr>
            <w:tcW w:w="1380" w:type="dxa"/>
            <w:vAlign w:val="bottom"/>
            <w:shd w:val="clear" w:color="auto" w:fill="B6B6B6"/>
          </w:tcPr>
          <w:p>
            <w:pPr>
              <w:jc w:val="right"/>
              <w:ind w:right="250"/>
              <w:spacing w:after="0"/>
              <w:rPr>
                <w:sz w:val="20"/>
                <w:szCs w:val="20"/>
                <w:color w:val="auto"/>
              </w:rPr>
            </w:pPr>
            <w:r>
              <w:rPr>
                <w:rFonts w:ascii="Times New Roman" w:cs="Times New Roman" w:eastAsia="Times New Roman" w:hAnsi="Times New Roman"/>
                <w:sz w:val="18"/>
                <w:szCs w:val="18"/>
                <w:color w:val="auto"/>
              </w:rPr>
              <w:t>163,030</w:t>
            </w: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16.07 %</w:t>
            </w:r>
          </w:p>
        </w:tc>
      </w:tr>
      <w:tr>
        <w:trPr>
          <w:trHeight w:val="25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Tier I capital (to leverage assets)</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3"/>
        </w:trPr>
        <w:tc>
          <w:tcPr>
            <w:tcW w:w="5340" w:type="dxa"/>
            <w:vAlign w:val="bottom"/>
            <w:shd w:val="clear" w:color="auto" w:fill="B6B6B6"/>
          </w:tcPr>
          <w:p>
            <w:pPr>
              <w:ind w:left="2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240" w:type="dxa"/>
            <w:vAlign w:val="bottom"/>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B6B6B6"/>
          </w:tcPr>
          <w:p>
            <w:pPr>
              <w:ind w:left="440"/>
              <w:spacing w:after="0"/>
              <w:rPr>
                <w:sz w:val="20"/>
                <w:szCs w:val="20"/>
                <w:color w:val="auto"/>
              </w:rPr>
            </w:pPr>
            <w:r>
              <w:rPr>
                <w:rFonts w:ascii="Times New Roman" w:cs="Times New Roman" w:eastAsia="Times New Roman" w:hAnsi="Times New Roman"/>
                <w:sz w:val="18"/>
                <w:szCs w:val="18"/>
                <w:color w:val="auto"/>
              </w:rPr>
              <w:t>235,784</w:t>
            </w: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9.08 %</w:t>
            </w:r>
          </w:p>
        </w:tc>
        <w:tc>
          <w:tcPr>
            <w:tcW w:w="100" w:type="dxa"/>
            <w:vAlign w:val="bottom"/>
            <w:shd w:val="clear" w:color="auto" w:fill="B6B6B6"/>
          </w:tcPr>
          <w:p>
            <w:pPr>
              <w:spacing w:after="0"/>
              <w:rPr>
                <w:sz w:val="22"/>
                <w:szCs w:val="22"/>
                <w:color w:val="auto"/>
              </w:rPr>
            </w:pPr>
          </w:p>
        </w:tc>
        <w:tc>
          <w:tcPr>
            <w:tcW w:w="22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B6B6B6"/>
          </w:tcPr>
          <w:p>
            <w:pPr>
              <w:jc w:val="right"/>
              <w:ind w:right="250"/>
              <w:spacing w:after="0"/>
              <w:rPr>
                <w:sz w:val="20"/>
                <w:szCs w:val="20"/>
                <w:color w:val="auto"/>
              </w:rPr>
            </w:pPr>
            <w:r>
              <w:rPr>
                <w:rFonts w:ascii="Times New Roman" w:cs="Times New Roman" w:eastAsia="Times New Roman" w:hAnsi="Times New Roman"/>
                <w:sz w:val="18"/>
                <w:szCs w:val="18"/>
                <w:color w:val="auto"/>
              </w:rPr>
              <w:t>228,224</w:t>
            </w: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9.21 %</w:t>
            </w:r>
          </w:p>
        </w:tc>
      </w:tr>
      <w:tr>
        <w:trPr>
          <w:trHeight w:val="250"/>
        </w:trPr>
        <w:tc>
          <w:tcPr>
            <w:tcW w:w="53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Cass Commercial Bank</w:t>
            </w: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170,532</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10.44 %</w:t>
            </w: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163,030</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11.05 %</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assets and liabilities are primarily monetary, consisting of cash, cash equivalents, securities, loans, payables and deposits. Monetary assets and liabilities are those that can be converted into a fixed number of dollars. The Company's consolidated balance sheet reflects a net positive monetary position (monetary assets exceed monetary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liabilities). During periods of inflation, the holding of a net positive monetary position will result in an overall decline in the purchasing power of a company. Management believes that replacement costs of equipment, furniture, and leasehold improvements will not materially affect operations. The rate of inflation does affect certain expenses, such as those for employee compensation, which may not be readily recoverable in the price of the Company’s services.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New and Not Yet Adopted Accounting Pronouncements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new accounting pronouncements that are applicable to the company and/or materially impact the Company.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the Company’s Annual Report on Form 10-K for the year ended December 31, 2021, the Company manages its interest rate risk through measurement techniques that include gap analysis and a simulation model. As part of the risk management process, asset/liability management policies are established and monitored by management.</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simulated changes in net interest income versus unchanged rates over the next 12 months as of September 30, 2022 and December 31,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0" w:type="dxa"/>
            <w:vAlign w:val="bottom"/>
            <w:tcBorders>
              <w:bottom w:val="single" w:sz="8" w:color="auto"/>
            </w:tcBorders>
            <w:gridSpan w:val="4"/>
          </w:tcPr>
          <w:p>
            <w:pPr>
              <w:ind w:left="2040"/>
              <w:spacing w:after="0"/>
              <w:rPr>
                <w:sz w:val="20"/>
                <w:szCs w:val="20"/>
                <w:color w:val="auto"/>
              </w:rPr>
            </w:pPr>
            <w:r>
              <w:rPr>
                <w:rFonts w:ascii="Times New Roman" w:cs="Times New Roman" w:eastAsia="Times New Roman" w:hAnsi="Times New Roman"/>
                <w:sz w:val="18"/>
                <w:szCs w:val="18"/>
                <w:b w:val="1"/>
                <w:bCs w:val="1"/>
                <w:color w:val="auto"/>
              </w:rPr>
              <w:t>% change in projected net interest income</w:t>
            </w:r>
          </w:p>
        </w:tc>
        <w:tc>
          <w:tcPr>
            <w:tcW w:w="820" w:type="dxa"/>
            <w:vAlign w:val="bottom"/>
            <w:tcBorders>
              <w:bottom w:val="single" w:sz="8" w:color="auto"/>
            </w:tcBorders>
          </w:tcPr>
          <w:p>
            <w:pPr>
              <w:spacing w:after="0"/>
              <w:rPr>
                <w:sz w:val="20"/>
                <w:szCs w:val="20"/>
                <w:color w:val="auto"/>
              </w:rPr>
            </w:pPr>
          </w:p>
        </w:tc>
      </w:tr>
      <w:tr>
        <w:trPr>
          <w:trHeight w:val="223"/>
        </w:trPr>
        <w:tc>
          <w:tcPr>
            <w:tcW w:w="3400" w:type="dxa"/>
            <w:vAlign w:val="bottom"/>
            <w:tcBorders>
              <w:bottom w:val="single" w:sz="8" w:color="B6B6B6"/>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278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840" w:type="dxa"/>
            <w:vAlign w:val="bottom"/>
            <w:tcBorders>
              <w:bottom w:val="single" w:sz="8" w:color="auto"/>
            </w:tcBorders>
          </w:tcPr>
          <w:p>
            <w:pPr>
              <w:spacing w:after="0"/>
              <w:rPr>
                <w:sz w:val="19"/>
                <w:szCs w:val="19"/>
                <w:color w:val="auto"/>
              </w:rPr>
            </w:pPr>
          </w:p>
        </w:tc>
        <w:tc>
          <w:tcPr>
            <w:tcW w:w="160" w:type="dxa"/>
            <w:vAlign w:val="bottom"/>
            <w:tcBorders>
              <w:bottom w:val="single" w:sz="8" w:color="B6B6B6"/>
            </w:tcBorders>
          </w:tcPr>
          <w:p>
            <w:pPr>
              <w:spacing w:after="0"/>
              <w:rPr>
                <w:sz w:val="19"/>
                <w:szCs w:val="19"/>
                <w:color w:val="auto"/>
              </w:rPr>
            </w:pPr>
          </w:p>
        </w:tc>
        <w:tc>
          <w:tcPr>
            <w:tcW w:w="282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820" w:type="dxa"/>
            <w:vAlign w:val="bottom"/>
            <w:tcBorders>
              <w:bottom w:val="single" w:sz="8" w:color="auto"/>
            </w:tcBorders>
          </w:tcPr>
          <w:p>
            <w:pPr>
              <w:spacing w:after="0"/>
              <w:rPr>
                <w:sz w:val="19"/>
                <w:szCs w:val="19"/>
                <w:color w:val="auto"/>
              </w:rPr>
            </w:pPr>
          </w:p>
        </w:tc>
      </w:tr>
      <w:tr>
        <w:trPr>
          <w:trHeight w:val="223"/>
        </w:trPr>
        <w:tc>
          <w:tcPr>
            <w:tcW w:w="350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+200 basis points</w:t>
            </w:r>
          </w:p>
        </w:tc>
        <w:tc>
          <w:tcPr>
            <w:tcW w:w="2780" w:type="dxa"/>
            <w:vAlign w:val="bottom"/>
            <w:shd w:val="clear" w:color="auto" w:fill="B6B6B6"/>
          </w:tcPr>
          <w:p>
            <w:pPr>
              <w:spacing w:after="0"/>
              <w:rPr>
                <w:sz w:val="19"/>
                <w:szCs w:val="19"/>
                <w:color w:val="auto"/>
              </w:rPr>
            </w:pPr>
          </w:p>
        </w:tc>
        <w:tc>
          <w:tcPr>
            <w:tcW w:w="8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160" w:type="dxa"/>
            <w:vAlign w:val="bottom"/>
            <w:shd w:val="clear" w:color="auto" w:fill="B6B6B6"/>
          </w:tcPr>
          <w:p>
            <w:pPr>
              <w:spacing w:after="0"/>
              <w:rPr>
                <w:sz w:val="19"/>
                <w:szCs w:val="19"/>
                <w:color w:val="auto"/>
              </w:rPr>
            </w:pPr>
          </w:p>
        </w:tc>
        <w:tc>
          <w:tcPr>
            <w:tcW w:w="2820" w:type="dxa"/>
            <w:vAlign w:val="bottom"/>
            <w:shd w:val="clear" w:color="auto" w:fill="B6B6B6"/>
          </w:tcPr>
          <w:p>
            <w:pPr>
              <w:spacing w:after="0"/>
              <w:rPr>
                <w:sz w:val="19"/>
                <w:szCs w:val="19"/>
                <w:color w:val="auto"/>
              </w:rPr>
            </w:pP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20.6 %</w:t>
            </w:r>
          </w:p>
        </w:tc>
      </w:tr>
      <w:tr>
        <w:trPr>
          <w:trHeight w:val="229"/>
        </w:trPr>
        <w:tc>
          <w:tcPr>
            <w:tcW w:w="6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+100 basis points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10.2 %</w:t>
            </w:r>
          </w:p>
        </w:tc>
      </w:tr>
      <w:tr>
        <w:trPr>
          <w:trHeight w:val="230"/>
        </w:trPr>
        <w:tc>
          <w:tcPr>
            <w:tcW w:w="6280" w:type="dxa"/>
            <w:vAlign w:val="bottom"/>
            <w:gridSpan w:val="3"/>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Flat rates</w:t>
            </w:r>
          </w:p>
        </w:tc>
        <w:tc>
          <w:tcPr>
            <w:tcW w:w="3820" w:type="dxa"/>
            <w:vAlign w:val="bottom"/>
            <w:gridSpan w:val="3"/>
            <w:shd w:val="clear" w:color="auto" w:fill="B6B6B6"/>
          </w:tcPr>
          <w:p>
            <w:pPr>
              <w:jc w:val="right"/>
              <w:ind w:right="291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6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-100 basis points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6280" w:type="dxa"/>
            <w:vAlign w:val="bottom"/>
            <w:gridSpan w:val="3"/>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-200 basis points</w:t>
            </w:r>
          </w:p>
        </w:tc>
        <w:tc>
          <w:tcPr>
            <w:tcW w:w="8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shd w:val="clear" w:color="auto" w:fill="B6B6B6"/>
          </w:tcPr>
          <w:p>
            <w:pPr>
              <w:spacing w:after="0"/>
              <w:rPr>
                <w:sz w:val="19"/>
                <w:szCs w:val="19"/>
                <w:color w:val="auto"/>
              </w:rPr>
            </w:pPr>
          </w:p>
        </w:tc>
        <w:tc>
          <w:tcPr>
            <w:tcW w:w="2820" w:type="dxa"/>
            <w:vAlign w:val="bottom"/>
            <w:shd w:val="clear" w:color="auto" w:fill="B6B6B6"/>
          </w:tcPr>
          <w:p>
            <w:pPr>
              <w:spacing w:after="0"/>
              <w:rPr>
                <w:sz w:val="19"/>
                <w:szCs w:val="19"/>
                <w:color w:val="auto"/>
              </w:rPr>
            </w:pP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N/M</w:t>
            </w: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projected net interest income in a rising interest rate environment from December 31, 2021 to September 30, 2022 is primarily due to the purchase of $155,119,000 in U.S. treasury bonds throughout the first nine months of 2022. These bonds mature over a one to two year period and were purchased utilizing available liquid cash and cash equivalents.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management, under the supervision and with the participation of the principal executive officer and the principal financial officer, evaluated the effectiveness of the Company’s disclosure controls and procedures (as defined in Rules 13a-15(e) and 15d-15(e) under the Securities Exchange Act of 1934, as amended) as of the end of the period covered by this report and concluded that, as of such date, these controls and procedures were effective.</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the Third Quarter of 2022 in the Company's internal control over financial reporting identified by the Company’s principal executive officer and principal financial officer in connection with their evaluation that materially affected or are reasonably likely to materially affect the Company’s internal control over financial reporting (as defined in Rules 13a-15(f) and 15d-15(f) under the Securities Exchange Act of 1934, as amended).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Company is the subject of various pending or threatened legal actions and proceedings, including those that arise in the ordinary course of business. Management believes the outcome of all such proceedings will not have a material effect on the businesses or financial conditions of the Company or its subsidiaries.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included in Part I, Item 1A of its Annual Report on Form 10-K for the year ended December 31, 2021, a description of certain risks and uncertainties that could affect the Company’s business, future performance or financial condition (the “Risk Factors”). There are no material changes to the Risk Factors as disclosed in the Company’s 2021 Annual Report on Form 10-K.</w:t>
      </w:r>
    </w:p>
    <w:p>
      <w:pPr>
        <w:spacing w:after="0" w:line="131" w:lineRule="exact"/>
        <w:rPr>
          <w:sz w:val="20"/>
          <w:szCs w:val="20"/>
          <w:color w:val="auto"/>
        </w:rPr>
      </w:pPr>
    </w:p>
    <w:p>
      <w:pPr>
        <w:ind w:right="4100"/>
        <w:spacing w:after="0" w:line="461" w:lineRule="auto"/>
        <w:rPr>
          <w:sz w:val="20"/>
          <w:szCs w:val="20"/>
          <w:color w:val="auto"/>
        </w:rPr>
      </w:pPr>
      <w:r>
        <w:rPr>
          <w:rFonts w:ascii="Times New Roman" w:cs="Times New Roman" w:eastAsia="Times New Roman" w:hAnsi="Times New Roman"/>
          <w:sz w:val="18"/>
          <w:szCs w:val="18"/>
          <w:b w:val="1"/>
          <w:bCs w:val="1"/>
          <w:color w:val="auto"/>
        </w:rPr>
        <w:t xml:space="preserve">ITEM 2. UNREGISTERED SALES OF EQUITY SECURITIES AND USE OF PROCEEDS </w:t>
      </w:r>
      <w:r>
        <w:rPr>
          <w:rFonts w:ascii="Times New Roman" w:cs="Times New Roman" w:eastAsia="Times New Roman" w:hAnsi="Times New Roman"/>
          <w:sz w:val="18"/>
          <w:szCs w:val="18"/>
          <w:color w:val="auto"/>
        </w:rPr>
        <w:t>None.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9"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7" w:lineRule="exact"/>
        <w:rPr>
          <w:rFonts w:ascii="Times New Roman" w:cs="Times New Roman" w:eastAsia="Times New Roman" w:hAnsi="Times New Roman"/>
          <w:sz w:val="18"/>
          <w:szCs w:val="18"/>
          <w:color w:val="auto"/>
        </w:rPr>
      </w:pPr>
    </w:p>
    <w:p>
      <w:pPr>
        <w:ind w:left="660" w:hanging="652"/>
        <w:spacing w:after="0" w:line="260" w:lineRule="auto"/>
        <w:tabs>
          <w:tab w:leader="none" w:pos="6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no material changes to the procedures by which security holders may recommend nominees to the Company’s Board of Directors implemented in the Third Quarter of 2022.</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Exhibit 31.1 Certification Pursuant to Section 302 of the Sarbanes-Oxley Act of 2002</w:t>
      </w:r>
      <w:r>
        <w:rPr>
          <w:rFonts w:ascii="Times New Roman" w:cs="Times New Roman" w:eastAsia="Times New Roman" w:hAnsi="Times New Roman"/>
          <w:sz w:val="18"/>
          <w:szCs w:val="18"/>
          <w:color w:val="000000"/>
        </w:rPr>
        <w: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Exhibit 31.2 Certification Pursuant to Section 302 of the Sarbanes-Oxley Act of 2002</w:t>
      </w:r>
      <w:r>
        <w:rPr>
          <w:rFonts w:ascii="Times New Roman" w:cs="Times New Roman" w:eastAsia="Times New Roman" w:hAnsi="Times New Roman"/>
          <w:sz w:val="18"/>
          <w:szCs w:val="18"/>
          <w:color w:val="000000"/>
        </w:rPr>
        <w: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Exhibit 32.1 Certification Pursuant to 18 U.S.C. Section 1350, as Adopted Pursuant to Section 906 of the Sarbanes-Oxley Act of 2002</w:t>
      </w:r>
      <w:r>
        <w:rPr>
          <w:rFonts w:ascii="Times New Roman" w:cs="Times New Roman" w:eastAsia="Times New Roman" w:hAnsi="Times New Roman"/>
          <w:sz w:val="18"/>
          <w:szCs w:val="18"/>
          <w:color w:val="000000"/>
        </w:rPr>
        <w: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Exhibit 32.2 Certification Pursuant to 18 U.S.C. Section 1350, as Adopted Pursuant to Section 906 of the Sarbanes-Oxley Act of 2002</w:t>
      </w:r>
      <w:r>
        <w:rPr>
          <w:rFonts w:ascii="Times New Roman" w:cs="Times New Roman" w:eastAsia="Times New Roman" w:hAnsi="Times New Roman"/>
          <w:sz w:val="18"/>
          <w:szCs w:val="18"/>
          <w:color w:val="000000"/>
        </w:rPr>
        <w:t>.</w:t>
      </w:r>
    </w:p>
    <w:p>
      <w:pPr>
        <w:spacing w:after="0" w:line="77" w:lineRule="exact"/>
        <w:rPr>
          <w:sz w:val="20"/>
          <w:szCs w:val="20"/>
          <w:color w:val="auto"/>
        </w:rPr>
      </w:pPr>
    </w:p>
    <w:p>
      <w:pPr>
        <w:ind w:left="20" w:right="380"/>
        <w:spacing w:after="0" w:line="237" w:lineRule="auto"/>
        <w:rPr>
          <w:sz w:val="20"/>
          <w:szCs w:val="20"/>
          <w:color w:val="auto"/>
        </w:rPr>
      </w:pPr>
      <w:r>
        <w:rPr>
          <w:rFonts w:ascii="Times New Roman" w:cs="Times New Roman" w:eastAsia="Times New Roman" w:hAnsi="Times New Roman"/>
          <w:sz w:val="18"/>
          <w:szCs w:val="18"/>
          <w:color w:val="auto"/>
        </w:rPr>
        <w:t>Exhibit 101.INS XBRL Instance Document. The instance document does not appear in the Interactive Data File because its XBRL tags are embedded within the Inline XBRL document.</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101.SCH Inline XBRL Taxonomy Extension Schema Document.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101.CAL Inline XBRL Taxonomy Extension Calculation Linkbase Document.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101.LAB Inline XBRL Taxonomy Extension Label Linkbase Document.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101.PRE Inline XBRL Taxonomy Extension Presentation Linkbase Document.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101.DEF Inline XBRL Taxonomy Extension Definition Linkbase Document.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104 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98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SIGNATURES</w:t>
            </w:r>
          </w:p>
        </w:tc>
      </w:tr>
      <w:tr>
        <w:trPr>
          <w:trHeight w:val="387"/>
        </w:trPr>
        <w:tc>
          <w:tcPr>
            <w:tcW w:w="112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w:t>
            </w: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undersigned thereunto duly authorized.</w:t>
            </w:r>
          </w:p>
        </w:tc>
        <w:tc>
          <w:tcPr>
            <w:tcW w:w="900" w:type="dxa"/>
            <w:vAlign w:val="bottom"/>
          </w:tcPr>
          <w:p>
            <w:pPr>
              <w:spacing w:after="0"/>
              <w:rPr>
                <w:sz w:val="20"/>
                <w:szCs w:val="20"/>
                <w:color w:val="auto"/>
              </w:rPr>
            </w:pPr>
          </w:p>
        </w:tc>
        <w:tc>
          <w:tcPr>
            <w:tcW w:w="6980" w:type="dxa"/>
            <w:vAlign w:val="bottom"/>
          </w:tcPr>
          <w:p>
            <w:pPr>
              <w:spacing w:after="0"/>
              <w:rPr>
                <w:sz w:val="20"/>
                <w:szCs w:val="20"/>
                <w:color w:val="auto"/>
              </w:rPr>
            </w:pPr>
          </w:p>
        </w:tc>
      </w:tr>
      <w:tr>
        <w:trPr>
          <w:trHeight w:val="446"/>
        </w:trPr>
        <w:tc>
          <w:tcPr>
            <w:tcW w:w="3360" w:type="dxa"/>
            <w:vAlign w:val="bottom"/>
          </w:tcPr>
          <w:p>
            <w:pPr>
              <w:spacing w:after="0"/>
              <w:rPr>
                <w:sz w:val="24"/>
                <w:szCs w:val="24"/>
                <w:color w:val="auto"/>
              </w:rPr>
            </w:pPr>
          </w:p>
        </w:tc>
        <w:tc>
          <w:tcPr>
            <w:tcW w:w="7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CASS INFORMATION SYSTEMS, INC.</w:t>
            </w:r>
          </w:p>
        </w:tc>
      </w:tr>
      <w:tr>
        <w:trPr>
          <w:trHeight w:val="52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7, 2022</w:t>
            </w:r>
          </w:p>
        </w:tc>
        <w:tc>
          <w:tcPr>
            <w:tcW w:w="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By</w:t>
            </w:r>
          </w:p>
        </w:tc>
        <w:tc>
          <w:tcPr>
            <w:tcW w:w="6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Eric H. Brunngraber</w:t>
            </w:r>
          </w:p>
        </w:tc>
      </w:tr>
      <w:tr>
        <w:trPr>
          <w:trHeight w:val="243"/>
        </w:trPr>
        <w:tc>
          <w:tcPr>
            <w:tcW w:w="3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Eric H. Brunngraber</w:t>
            </w:r>
          </w:p>
        </w:tc>
      </w:tr>
      <w:tr>
        <w:trPr>
          <w:trHeight w:val="257"/>
        </w:trPr>
        <w:tc>
          <w:tcPr>
            <w:tcW w:w="3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and Chief Executive Officer</w:t>
            </w:r>
          </w:p>
        </w:tc>
      </w:tr>
      <w:tr>
        <w:trPr>
          <w:trHeight w:val="257"/>
        </w:trPr>
        <w:tc>
          <w:tcPr>
            <w:tcW w:w="3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067"/>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7, 2022</w:t>
            </w:r>
          </w:p>
        </w:tc>
        <w:tc>
          <w:tcPr>
            <w:tcW w:w="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By</w:t>
            </w:r>
          </w:p>
        </w:tc>
        <w:tc>
          <w:tcPr>
            <w:tcW w:w="6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Michael J. Normile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8255</wp:posOffset>
            </wp:positionV>
            <wp:extent cx="44316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431665" cy="8255"/>
                    </a:xfrm>
                    <a:prstGeom prst="rect">
                      <a:avLst/>
                    </a:prstGeom>
                    <a:noFill/>
                  </pic:spPr>
                </pic:pic>
              </a:graphicData>
            </a:graphic>
          </wp:anchor>
        </w:drawing>
      </w:r>
    </w:p>
    <w:p>
      <w:pPr>
        <w:spacing w:after="0" w:line="16" w:lineRule="exact"/>
        <w:rPr>
          <w:sz w:val="20"/>
          <w:szCs w:val="20"/>
          <w:color w:val="auto"/>
        </w:rPr>
      </w:pPr>
    </w:p>
    <w:p>
      <w:pPr>
        <w:jc w:val="center"/>
        <w:ind w:left="4240"/>
        <w:spacing w:after="0"/>
        <w:rPr>
          <w:sz w:val="20"/>
          <w:szCs w:val="20"/>
          <w:color w:val="auto"/>
        </w:rPr>
      </w:pPr>
      <w:r>
        <w:rPr>
          <w:rFonts w:ascii="Times New Roman" w:cs="Times New Roman" w:eastAsia="Times New Roman" w:hAnsi="Times New Roman"/>
          <w:sz w:val="18"/>
          <w:szCs w:val="18"/>
          <w:color w:val="auto"/>
        </w:rPr>
        <w:t>Michael J. Normile</w:t>
      </w:r>
    </w:p>
    <w:p>
      <w:pPr>
        <w:spacing w:after="0" w:line="50" w:lineRule="exact"/>
        <w:rPr>
          <w:sz w:val="20"/>
          <w:szCs w:val="20"/>
          <w:color w:val="auto"/>
        </w:rPr>
      </w:pPr>
    </w:p>
    <w:p>
      <w:pPr>
        <w:jc w:val="center"/>
        <w:ind w:left="42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50" w:lineRule="exact"/>
        <w:rPr>
          <w:sz w:val="20"/>
          <w:szCs w:val="20"/>
          <w:color w:val="auto"/>
        </w:rPr>
      </w:pPr>
    </w:p>
    <w:p>
      <w:pPr>
        <w:jc w:val="center"/>
        <w:ind w:left="42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1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H. Brunngraber, certify that:</w:t>
      </w:r>
    </w:p>
    <w:p>
      <w:pPr>
        <w:spacing w:after="0" w:line="225"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Cass Information Systems,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7, 2022</w:t>
      </w:r>
    </w:p>
    <w:p>
      <w:pPr>
        <w:spacing w:after="0" w:line="2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/s/ Eric H. Brunngraber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Eric H. Brunngraber</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143"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Normile, certify that:</w:t>
      </w:r>
    </w:p>
    <w:p>
      <w:pPr>
        <w:spacing w:after="0" w:line="225"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Cass Information Systems,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7, 2022</w:t>
      </w:r>
    </w:p>
    <w:p>
      <w:pPr>
        <w:spacing w:after="0" w:line="50"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 Michael J. Normile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Michael J. Normile</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Executive Vice President and Chief</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143"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Cass Information Systems, Inc. (“the Company”) on Form 10-Q for the period ended September 30, 2022 as filed with the Securities and Exchange Commission on the date hereof (the “Report”), I, Eric H. Brunngraber, Chairman, President and Chief Executive Officer of the Company, certify, pursuant to 18 U.S.C. § 1350, as adopted pursuant to § 906 of the Sarbanes-Oxley Act of 2002, that:</w:t>
      </w:r>
    </w:p>
    <w:p>
      <w:pPr>
        <w:spacing w:after="0" w:line="176" w:lineRule="exact"/>
        <w:rPr>
          <w:sz w:val="20"/>
          <w:szCs w:val="20"/>
          <w:color w:val="auto"/>
        </w:rPr>
      </w:pPr>
    </w:p>
    <w:p>
      <w:pPr>
        <w:ind w:left="640" w:hanging="308"/>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/s/ Eric H. Brunngraber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Eric H. Brunngraber</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November 7, 2022</w:t>
      </w:r>
    </w:p>
    <w:p>
      <w:pPr>
        <w:spacing w:after="0" w:line="31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92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Cass Information Systems, Inc. (“the Company”) on Form 10-Q for the period ended September 30, 2022 as filed with the Securities and Exchange Commission on the date hereof (the “Report”), I, Michael J. Normile, Executive Vice President and Chief Financial Officer of the Company, certify, pursuant to 18 U.S.C. § 1350, as adopted pursuant to § 906 of the Sarbanes-Oxley Act of 2002, that:</w:t>
      </w:r>
    </w:p>
    <w:p>
      <w:pPr>
        <w:spacing w:after="0" w:line="176" w:lineRule="exact"/>
        <w:rPr>
          <w:sz w:val="20"/>
          <w:szCs w:val="20"/>
          <w:color w:val="auto"/>
        </w:rPr>
      </w:pPr>
    </w:p>
    <w:p>
      <w:pPr>
        <w:ind w:left="640" w:hanging="308"/>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 Michael J. Normile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Michael J. Normile</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November 7, 2022</w:t>
      </w:r>
    </w:p>
    <w:p>
      <w:pPr>
        <w:spacing w:after="0" w:line="31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bullet"/>
      <w:start w:val="1"/>
    </w:lvl>
  </w:abstractNum>
  <w:abstractNum w:abstractNumId="5">
    <w:nsid w:val="66EF438D"/>
    <w:multiLevelType w:val="hybridMultilevel"/>
    <w:lvl w:ilvl="0">
      <w:lvlJc w:val="left"/>
      <w:lvlText w:val="2"/>
      <w:numFmt w:val="bullet"/>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2022-11-07T10:04:44Z</dcterms:created>
  <dcterms:modified xsi:type="dcterms:W3CDTF">2022-11-07T10:04:44Z</dcterms:modified>
</cp:coreProperties>
</file>