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2"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May 3, 2024: Common stock, par value $.50 per share – 13,643,658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March 31, 2024 (unaudited) and December 31, 2023</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Months Ended March 31, 2024 and 2023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Months Ended March 31, 2024 and 2023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Three Months Ended March 31, 2024 and 2023 (unaudited)</w:t>
      </w:r>
    </w:p>
    <w:p>
      <w:pPr>
        <w:spacing w:after="0" w:line="29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Months Ended March 31, 2024 and 2023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684" w:lineRule="exact"/>
        <w:rPr>
          <w:sz w:val="20"/>
          <w:szCs w:val="20"/>
          <w:color w:val="auto"/>
        </w:rPr>
      </w:pPr>
    </w:p>
    <w:p>
      <w:pPr>
        <w:sectPr>
          <w:pgSz w:w="11900" w:h="16838" w:orient="portrait"/>
          <w:cols w:equalWidth="0" w:num="2">
            <w:col w:w="10340" w:space="420"/>
            <w:col w:w="48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2023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B6B6B6"/>
          </w:tcPr>
          <w:p>
            <w:pPr>
              <w:spacing w:after="0"/>
              <w:rPr>
                <w:sz w:val="21"/>
                <w:szCs w:val="21"/>
                <w:color w:val="auto"/>
              </w:rPr>
            </w:pPr>
          </w:p>
        </w:tc>
        <w:tc>
          <w:tcPr>
            <w:tcW w:w="14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175,480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351,560</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192,803</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372,468</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621,929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627,117</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1,036,997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1,014,318</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bottom w:val="single" w:sz="8" w:color="auto"/>
            </w:tcBorders>
            <w:shd w:val="clear" w:color="auto" w:fill="B6B6B6"/>
          </w:tcPr>
          <w:p>
            <w:pPr>
              <w:spacing w:after="0"/>
              <w:rPr>
                <w:sz w:val="21"/>
                <w:szCs w:val="21"/>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1,023,698</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1,001,229</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198,861</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32,613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30,093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49,159</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110,651</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68,390</w:t>
            </w:r>
          </w:p>
        </w:tc>
      </w:tr>
      <w:tr>
        <w:trPr>
          <w:trHeight w:val="282"/>
        </w:trPr>
        <w:tc>
          <w:tcPr>
            <w:tcW w:w="20" w:type="dxa"/>
            <w:vAlign w:val="bottom"/>
            <w:tcBorders>
              <w:bottom w:val="single" w:sz="8" w:color="B6B6B6"/>
            </w:tcBorders>
            <w:shd w:val="clear" w:color="auto" w:fill="B6B6B6"/>
          </w:tcPr>
          <w:p>
            <w:pPr>
              <w:spacing w:after="0"/>
              <w:rPr>
                <w:sz w:val="24"/>
                <w:szCs w:val="24"/>
                <w:color w:val="auto"/>
              </w:rPr>
            </w:pPr>
          </w:p>
        </w:tc>
        <w:tc>
          <w:tcPr>
            <w:tcW w:w="8040" w:type="dxa"/>
            <w:vAlign w:val="bottom"/>
            <w:tcBorders>
              <w:bottom w:val="single" w:sz="8" w:color="B6B6B6"/>
            </w:tcBorders>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2,293,579</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2,478,622</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46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524,359</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666,213</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616,455</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1,079,092</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1,140,814</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944,793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1,071,369</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36,630</w:t>
            </w: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2,064,092</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2,248,813</w:t>
            </w: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0" w:type="dxa"/>
            <w:vAlign w:val="bottom"/>
            <w:tcBorders>
              <w:bottom w:val="single" w:sz="8" w:color="B6B6B6"/>
            </w:tcBorders>
            <w:shd w:val="clear" w:color="auto" w:fill="B6B6B6"/>
          </w:tcPr>
          <w:p>
            <w:pPr>
              <w:spacing w:after="0"/>
              <w:rPr>
                <w:sz w:val="20"/>
                <w:szCs w:val="20"/>
                <w:color w:val="auto"/>
              </w:rPr>
            </w:pPr>
          </w:p>
        </w:tc>
        <w:tc>
          <w:tcPr>
            <w:tcW w:w="1580" w:type="dxa"/>
            <w:vAlign w:val="bottom"/>
            <w:tcBorders>
              <w:bottom w:val="single" w:sz="8" w:color="auto"/>
            </w:tcBorders>
            <w:gridSpan w:val="2"/>
            <w:shd w:val="clear" w:color="auto" w:fill="B6B6B6"/>
          </w:tcPr>
          <w:p>
            <w:pPr>
              <w:spacing w:after="0" w:line="202" w:lineRule="exact"/>
              <w:rPr>
                <w:sz w:val="20"/>
                <w:szCs w:val="20"/>
                <w:color w:val="auto"/>
              </w:rPr>
            </w:pPr>
            <w:r>
              <w:rPr>
                <w:rFonts w:ascii="Times New Roman" w:cs="Times New Roman" w:eastAsia="Times New Roman" w:hAnsi="Times New Roman"/>
                <w:sz w:val="18"/>
                <w:szCs w:val="18"/>
                <w:color w:val="auto"/>
                <w:w w:val="99"/>
              </w:rPr>
              <w:t>Shareholders’ Equity:</w:t>
            </w:r>
          </w:p>
        </w:tc>
        <w:tc>
          <w:tcPr>
            <w:tcW w:w="6460" w:type="dxa"/>
            <w:vAlign w:val="bottom"/>
            <w:tcBorders>
              <w:bottom w:val="single" w:sz="8" w:color="B6B6B6"/>
            </w:tcBorders>
            <w:shd w:val="clear" w:color="auto" w:fill="B6B6B6"/>
          </w:tcPr>
          <w:p>
            <w:pPr>
              <w:spacing w:after="0"/>
              <w:rPr>
                <w:sz w:val="20"/>
                <w:szCs w:val="20"/>
                <w:color w:val="auto"/>
              </w:rPr>
            </w:pPr>
          </w:p>
        </w:tc>
        <w:tc>
          <w:tcPr>
            <w:tcW w:w="160" w:type="dxa"/>
            <w:vAlign w:val="bottom"/>
            <w:tcBorders>
              <w:bottom w:val="single" w:sz="8" w:color="B6B6B6"/>
            </w:tcBorders>
            <w:shd w:val="clear" w:color="auto" w:fill="B6B6B6"/>
          </w:tcPr>
          <w:p>
            <w:pPr>
              <w:spacing w:after="0"/>
              <w:rPr>
                <w:sz w:val="20"/>
                <w:szCs w:val="20"/>
                <w:color w:val="auto"/>
              </w:rPr>
            </w:pPr>
          </w:p>
        </w:tc>
        <w:tc>
          <w:tcPr>
            <w:tcW w:w="1440" w:type="dxa"/>
            <w:vAlign w:val="bottom"/>
            <w:tcBorders>
              <w:bottom w:val="single" w:sz="8" w:color="B6B6B6"/>
            </w:tcBorders>
            <w:shd w:val="clear" w:color="auto" w:fill="B6B6B6"/>
          </w:tcPr>
          <w:p>
            <w:pPr>
              <w:spacing w:after="0"/>
              <w:rPr>
                <w:sz w:val="20"/>
                <w:szCs w:val="20"/>
                <w:color w:val="auto"/>
              </w:rPr>
            </w:pPr>
          </w:p>
        </w:tc>
        <w:tc>
          <w:tcPr>
            <w:tcW w:w="100" w:type="dxa"/>
            <w:vAlign w:val="bottom"/>
            <w:tcBorders>
              <w:bottom w:val="single" w:sz="8" w:color="B6B6B6"/>
            </w:tcBorders>
            <w:shd w:val="clear" w:color="auto" w:fill="B6B6B6"/>
          </w:tcPr>
          <w:p>
            <w:pPr>
              <w:spacing w:after="0"/>
              <w:rPr>
                <w:sz w:val="20"/>
                <w:szCs w:val="20"/>
                <w:color w:val="auto"/>
              </w:rPr>
            </w:pPr>
          </w:p>
        </w:tc>
        <w:tc>
          <w:tcPr>
            <w:tcW w:w="160" w:type="dxa"/>
            <w:vAlign w:val="bottom"/>
            <w:tcBorders>
              <w:bottom w:val="single" w:sz="8" w:color="B6B6B6"/>
            </w:tcBorders>
            <w:shd w:val="clear" w:color="auto" w:fill="B6B6B6"/>
          </w:tcPr>
          <w:p>
            <w:pPr>
              <w:spacing w:after="0"/>
              <w:rPr>
                <w:sz w:val="20"/>
                <w:szCs w:val="20"/>
                <w:color w:val="auto"/>
              </w:rPr>
            </w:pPr>
          </w:p>
        </w:tc>
        <w:tc>
          <w:tcPr>
            <w:tcW w:w="1320" w:type="dxa"/>
            <w:vAlign w:val="bottom"/>
            <w:tcBorders>
              <w:bottom w:val="single" w:sz="8" w:color="B6B6B6"/>
            </w:tcBorders>
            <w:shd w:val="clear" w:color="auto" w:fill="B6B6B6"/>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6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shd w:val="clear" w:color="auto" w:fill="B6B6B6"/>
          </w:tcPr>
          <w:p>
            <w:pPr>
              <w:spacing w:after="0"/>
              <w:rPr>
                <w:sz w:val="18"/>
                <w:szCs w:val="18"/>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60" w:type="dxa"/>
            <w:vAlign w:val="bottom"/>
            <w:shd w:val="clear" w:color="auto" w:fill="B6B6B6"/>
          </w:tcPr>
          <w:p>
            <w:pPr>
              <w:spacing w:after="0"/>
              <w:rPr>
                <w:sz w:val="18"/>
                <w:szCs w:val="18"/>
                <w:color w:val="auto"/>
              </w:rPr>
            </w:pPr>
          </w:p>
        </w:tc>
        <w:tc>
          <w:tcPr>
            <w:tcW w:w="14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r>
      <w:tr>
        <w:trPr>
          <w:trHeight w:val="203"/>
        </w:trPr>
        <w:tc>
          <w:tcPr>
            <w:tcW w:w="20" w:type="dxa"/>
            <w:vAlign w:val="bottom"/>
            <w:shd w:val="clear" w:color="auto" w:fill="B6B6B6"/>
          </w:tcPr>
          <w:p>
            <w:pPr>
              <w:spacing w:after="0"/>
              <w:rPr>
                <w:sz w:val="17"/>
                <w:szCs w:val="17"/>
                <w:color w:val="auto"/>
              </w:rPr>
            </w:pPr>
          </w:p>
        </w:tc>
        <w:tc>
          <w:tcPr>
            <w:tcW w:w="8040" w:type="dxa"/>
            <w:vAlign w:val="bottom"/>
            <w:gridSpan w:val="3"/>
            <w:shd w:val="clear" w:color="auto" w:fill="B6B6B6"/>
          </w:tcPr>
          <w:p>
            <w:pPr>
              <w:ind w:left="160"/>
              <w:spacing w:after="0" w:line="202" w:lineRule="exact"/>
              <w:rPr>
                <w:sz w:val="20"/>
                <w:szCs w:val="20"/>
                <w:color w:val="auto"/>
              </w:rPr>
            </w:pPr>
            <w:r>
              <w:rPr>
                <w:rFonts w:ascii="Times New Roman" w:cs="Times New Roman" w:eastAsia="Times New Roman" w:hAnsi="Times New Roman"/>
                <w:sz w:val="18"/>
                <w:szCs w:val="18"/>
                <w:color w:val="auto"/>
              </w:rPr>
              <w:t>March 31, 2024 and December 31, 2023; 13,627,848 and 13,582,375 shares outstanding at March 31, 2024</w:t>
            </w:r>
          </w:p>
        </w:tc>
        <w:tc>
          <w:tcPr>
            <w:tcW w:w="160" w:type="dxa"/>
            <w:vAlign w:val="bottom"/>
            <w:shd w:val="clear" w:color="auto" w:fill="B6B6B6"/>
          </w:tcPr>
          <w:p>
            <w:pPr>
              <w:spacing w:after="0"/>
              <w:rPr>
                <w:sz w:val="17"/>
                <w:szCs w:val="17"/>
                <w:color w:val="auto"/>
              </w:rPr>
            </w:pPr>
          </w:p>
        </w:tc>
        <w:tc>
          <w:tcPr>
            <w:tcW w:w="144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r>
      <w:tr>
        <w:trPr>
          <w:trHeight w:val="261"/>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208,007</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145,782</w:t>
            </w:r>
          </w:p>
        </w:tc>
      </w:tr>
      <w:tr>
        <w:trPr>
          <w:trHeight w:val="211"/>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 in treasury, at cost (1,877,924 shares at March 31, 2024 and 1,923,397 shares at December 31,</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1"/>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(84,264)</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(49,156)</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(47,469)</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229,487</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229,809</w:t>
            </w:r>
          </w:p>
        </w:tc>
      </w:tr>
      <w:tr>
        <w:trPr>
          <w:trHeight w:val="281"/>
        </w:trPr>
        <w:tc>
          <w:tcPr>
            <w:tcW w:w="20" w:type="dxa"/>
            <w:vAlign w:val="bottom"/>
            <w:tcBorders>
              <w:bottom w:val="single" w:sz="8" w:color="B6B6B6"/>
            </w:tcBorders>
            <w:shd w:val="clear" w:color="auto" w:fill="B6B6B6"/>
          </w:tcPr>
          <w:p>
            <w:pPr>
              <w:spacing w:after="0"/>
              <w:rPr>
                <w:sz w:val="24"/>
                <w:szCs w:val="24"/>
                <w:color w:val="auto"/>
              </w:rPr>
            </w:pPr>
          </w:p>
        </w:tc>
        <w:tc>
          <w:tcPr>
            <w:tcW w:w="8040" w:type="dxa"/>
            <w:vAlign w:val="bottom"/>
            <w:tcBorders>
              <w:bottom w:val="single" w:sz="8" w:color="B6B6B6"/>
            </w:tcBorders>
            <w:gridSpan w:val="3"/>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2,293,579</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2,478,622</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46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jc w:val="center"/>
        <w:ind w:right="-539"/>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8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320" w:type="dxa"/>
            <w:vAlign w:val="bottom"/>
            <w:tcBorders>
              <w:top w:val="single" w:sz="8" w:color="B6B6B6"/>
              <w:bottom w:val="single" w:sz="8" w:color="auto"/>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r>
      <w:tr>
        <w:trPr>
          <w:trHeight w:val="257"/>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96"/>
        </w:trPr>
        <w:tc>
          <w:tcPr>
            <w:tcW w:w="832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32,107</w:t>
            </w:r>
          </w:p>
        </w:tc>
      </w:tr>
      <w:tr>
        <w:trPr>
          <w:trHeight w:val="250"/>
        </w:trPr>
        <w:tc>
          <w:tcPr>
            <w:tcW w:w="832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r>
      <w:tr>
        <w:trPr>
          <w:trHeight w:val="263"/>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12,235</w:t>
            </w: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8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50"/>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57"/>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95"/>
        </w:trPr>
        <w:tc>
          <w:tcPr>
            <w:tcW w:w="832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20,142</w:t>
            </w:r>
          </w:p>
        </w:tc>
      </w:tr>
      <w:tr>
        <w:trPr>
          <w:trHeight w:val="250"/>
        </w:trPr>
        <w:tc>
          <w:tcPr>
            <w:tcW w:w="832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r>
      <w:tr>
        <w:trPr>
          <w:trHeight w:val="263"/>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deposits</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short-term borrowings</w:t>
            </w: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8320" w:type="dxa"/>
            <w:vAlign w:val="bottom"/>
            <w:tcBorders>
              <w:top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top w:val="single" w:sz="8" w:color="B6B6B6"/>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50"/>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r>
      <w:tr>
        <w:trPr>
          <w:trHeight w:val="257"/>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0"/>
        </w:trPr>
        <w:tc>
          <w:tcPr>
            <w:tcW w:w="8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(release of) credit losses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w:t>
            </w:r>
          </w:p>
        </w:tc>
      </w:tr>
      <w:tr>
        <w:trPr>
          <w:trHeight w:val="257"/>
        </w:trPr>
        <w:tc>
          <w:tcPr>
            <w:tcW w:w="832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49,678</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49,345</w:t>
            </w:r>
          </w:p>
        </w:tc>
      </w:tr>
      <w:tr>
        <w:trPr>
          <w:trHeight w:val="54"/>
        </w:trPr>
        <w:tc>
          <w:tcPr>
            <w:tcW w:w="8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7"/>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30,026</w:t>
            </w:r>
          </w:p>
        </w:tc>
      </w:tr>
      <w:tr>
        <w:trPr>
          <w:trHeight w:val="263"/>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63"/>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0"/>
        </w:trPr>
        <w:tc>
          <w:tcPr>
            <w:tcW w:w="8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50"/>
        </w:trPr>
        <w:tc>
          <w:tcPr>
            <w:tcW w:w="8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40,671</w:t>
            </w:r>
          </w:p>
        </w:tc>
        <w:tc>
          <w:tcPr>
            <w:tcW w:w="10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40,372</w:t>
            </w:r>
          </w:p>
        </w:tc>
      </w:tr>
      <w:tr>
        <w:trPr>
          <w:trHeight w:val="250"/>
        </w:trPr>
        <w:tc>
          <w:tcPr>
            <w:tcW w:w="8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r>
      <w:tr>
        <w:trPr>
          <w:trHeight w:val="257"/>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57"/>
        </w:trPr>
        <w:tc>
          <w:tcPr>
            <w:tcW w:w="8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46"/>
        </w:trPr>
        <w:tc>
          <w:tcPr>
            <w:tcW w:w="8320" w:type="dxa"/>
            <w:vAlign w:val="bottom"/>
            <w:tcBorders>
              <w:bottom w:val="single" w:sz="8" w:color="B6B6B6"/>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0"/>
        </w:trPr>
        <w:tc>
          <w:tcPr>
            <w:tcW w:w="832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top w:val="single" w:sz="8" w:color="B6B6B6"/>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3"/>
        </w:trPr>
        <w:tc>
          <w:tcPr>
            <w:tcW w:w="8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17" w:right="8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B6B6B6"/>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818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Net unrealized (loss) gain on securities available-for-sale</w:t>
            </w:r>
          </w:p>
        </w:tc>
        <w:tc>
          <w:tcPr>
            <w:tcW w:w="920" w:type="dxa"/>
            <w:vAlign w:val="bottom"/>
            <w:shd w:val="clear" w:color="auto" w:fill="B6B6B6"/>
          </w:tcPr>
          <w:p>
            <w:pPr>
              <w:spacing w:after="0"/>
              <w:rPr>
                <w:sz w:val="24"/>
                <w:szCs w:val="24"/>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8"/>
              </w:rPr>
              <w:t>(2,096)</w:t>
            </w:r>
          </w:p>
        </w:tc>
        <w:tc>
          <w:tcPr>
            <w:tcW w:w="1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9,181</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77"/>
        </w:trPr>
        <w:tc>
          <w:tcPr>
            <w:tcW w:w="818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gains included in net income</w:t>
            </w:r>
          </w:p>
        </w:tc>
        <w:tc>
          <w:tcPr>
            <w:tcW w:w="920" w:type="dxa"/>
            <w:vAlign w:val="bottom"/>
            <w:shd w:val="clear" w:color="auto" w:fill="B6B6B6"/>
          </w:tcPr>
          <w:p>
            <w:pPr>
              <w:spacing w:after="0"/>
              <w:rPr>
                <w:sz w:val="24"/>
                <w:szCs w:val="24"/>
                <w:color w:val="auto"/>
              </w:rPr>
            </w:pPr>
          </w:p>
        </w:tc>
        <w:tc>
          <w:tcPr>
            <w:tcW w:w="66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18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Borders>
              <w:bottom w:val="single" w:sz="8" w:color="auto"/>
            </w:tcBorders>
            <w:shd w:val="clear" w:color="auto" w:fill="B6B6B6"/>
          </w:tcPr>
          <w:p>
            <w:pPr>
              <w:spacing w:after="0"/>
              <w:rPr>
                <w:sz w:val="23"/>
                <w:szCs w:val="23"/>
                <w:color w:val="auto"/>
              </w:rPr>
            </w:pPr>
          </w:p>
        </w:tc>
        <w:tc>
          <w:tcPr>
            <w:tcW w:w="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1"/>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Net amortization of premium/discount on investment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Provision for (release of) for credit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current income tax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Increase in pension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57"/>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95"/>
        </w:trPr>
        <w:tc>
          <w:tcPr>
            <w:tcW w:w="8180" w:type="dxa"/>
            <w:vAlign w:val="bottom"/>
            <w:tcBorders>
              <w:bottom w:val="single" w:sz="8" w:color="B6B6B6"/>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50"/>
        </w:trPr>
        <w:tc>
          <w:tcPr>
            <w:tcW w:w="818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61,418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(37,504)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(15,190)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payments in advance of funding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33,956</w:t>
            </w:r>
          </w:p>
        </w:tc>
      </w:tr>
      <w:tr>
        <w:trPr>
          <w:trHeight w:val="250"/>
        </w:trPr>
        <w:tc>
          <w:tcPr>
            <w:tcW w:w="818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95"/>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shd w:val="clear" w:color="auto" w:fill="B6B6B6"/>
          </w:tcPr>
          <w:p>
            <w:pPr>
              <w:spacing w:after="0"/>
              <w:rPr>
                <w:sz w:val="24"/>
                <w:szCs w:val="24"/>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spacing w:after="0"/>
              <w:rPr>
                <w:sz w:val="24"/>
                <w:szCs w:val="24"/>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103,927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(111,480)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(57,434)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(106,201)</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22,568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accounts and drafts receivable from customers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58,491</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accounts and drafts payable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(126,576)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50"/>
        </w:trPr>
        <w:tc>
          <w:tcPr>
            <w:tcW w:w="8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(117,516)</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(103,684)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372,468</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200,942</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207,422</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131,682</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(81,211)</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(59,321)</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($0.29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61,534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plans,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134,822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($0.30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105,686 common shares</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180"/>
              <w:spacing w:after="0" w:line="176" w:lineRule="exact"/>
              <w:rPr>
                <w:sz w:val="20"/>
                <w:szCs w:val="20"/>
                <w:color w:val="auto"/>
              </w:rPr>
            </w:pPr>
            <w:r>
              <w:rPr>
                <w:rFonts w:ascii="Times New Roman" w:cs="Times New Roman" w:eastAsia="Times New Roman" w:hAnsi="Times New Roman"/>
                <w:sz w:val="18"/>
                <w:szCs w:val="18"/>
                <w:color w:val="auto"/>
              </w:rPr>
              <w:t>pursuant to stock-based compensation</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23,271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204,361</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(82,316)</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(49,156)</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229,487</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2023 ("2023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Borders>
              <w:bottom w:val="single" w:sz="8" w:color="auto"/>
            </w:tcBorders>
            <w:shd w:val="clear" w:color="auto" w:fill="B6B6B6"/>
          </w:tcPr>
          <w:p>
            <w:pPr>
              <w:spacing w:after="0"/>
              <w:rPr>
                <w:sz w:val="21"/>
                <w:szCs w:val="21"/>
                <w:color w:val="auto"/>
              </w:rPr>
            </w:pPr>
          </w:p>
        </w:tc>
        <w:tc>
          <w:tcPr>
            <w:tcW w:w="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lists are amortized over 7 to 10 years; the patents over 18 years; software over 3 to 7 years; the trade names over 10 to 20 years; and other intangible assets over 15 years. Amortization of intangible assets amounted to $191,000 and $195,000 for the three-month periods ended March 31, 2024 and 2023, respectively. Estimated annual amortization of intangibles is $738,000 in 2024, $730,000 in 2025, $582,000 in 2026, $262,000 in 2027, and $254,000 in 2028.</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0" w:type="dxa"/>
            <w:vAlign w:val="bottom"/>
          </w:tcPr>
          <w:p>
            <w:pPr>
              <w:spacing w:after="0"/>
              <w:rPr>
                <w:sz w:val="24"/>
                <w:szCs w:val="24"/>
                <w:color w:val="auto"/>
              </w:rPr>
            </w:pPr>
          </w:p>
        </w:tc>
        <w:tc>
          <w:tcPr>
            <w:tcW w:w="27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7380" w:type="dxa"/>
            <w:vAlign w:val="bottom"/>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80" w:type="dxa"/>
            <w:vAlign w:val="bottom"/>
            <w:tcBorders>
              <w:bottom w:val="single" w:sz="8" w:color="B6B6B6"/>
            </w:tcBorders>
            <w:shd w:val="clear" w:color="auto" w:fill="B6B6B6"/>
          </w:tcPr>
          <w:p>
            <w:pPr>
              <w:spacing w:after="0"/>
              <w:rPr>
                <w:sz w:val="21"/>
                <w:szCs w:val="21"/>
                <w:color w:val="auto"/>
              </w:rPr>
            </w:pPr>
          </w:p>
        </w:tc>
        <w:tc>
          <w:tcPr>
            <w:tcW w:w="52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0" w:type="dxa"/>
            <w:vAlign w:val="bottom"/>
          </w:tcPr>
          <w:p>
            <w:pPr>
              <w:spacing w:after="0"/>
              <w:rPr>
                <w:sz w:val="1"/>
                <w:szCs w:val="1"/>
                <w:color w:val="auto"/>
              </w:rPr>
            </w:pPr>
          </w:p>
        </w:tc>
      </w:tr>
      <w:tr>
        <w:trPr>
          <w:trHeight w:val="263"/>
        </w:trPr>
        <w:tc>
          <w:tcPr>
            <w:tcW w:w="73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13,530,228</w:t>
            </w:r>
          </w:p>
        </w:tc>
        <w:tc>
          <w:tcPr>
            <w:tcW w:w="5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13,599,472</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57"/>
        </w:trPr>
        <w:tc>
          <w:tcPr>
            <w:tcW w:w="7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80" w:type="dxa"/>
            <w:vAlign w:val="bottom"/>
            <w:shd w:val="clear" w:color="auto" w:fill="B6B6B6"/>
          </w:tcPr>
          <w:p>
            <w:pPr>
              <w:spacing w:after="0"/>
              <w:rPr>
                <w:sz w:val="21"/>
                <w:szCs w:val="21"/>
                <w:color w:val="auto"/>
              </w:rPr>
            </w:pPr>
          </w:p>
        </w:tc>
        <w:tc>
          <w:tcPr>
            <w:tcW w:w="52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0" w:type="dxa"/>
            <w:vAlign w:val="bottom"/>
          </w:tcPr>
          <w:p>
            <w:pPr>
              <w:spacing w:after="0"/>
              <w:rPr>
                <w:sz w:val="1"/>
                <w:szCs w:val="1"/>
                <w:color w:val="auto"/>
              </w:rPr>
            </w:pPr>
          </w:p>
        </w:tc>
      </w:tr>
      <w:tr>
        <w:trPr>
          <w:trHeight w:val="263"/>
        </w:trPr>
        <w:tc>
          <w:tcPr>
            <w:tcW w:w="73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13,530,228</w:t>
            </w:r>
          </w:p>
        </w:tc>
        <w:tc>
          <w:tcPr>
            <w:tcW w:w="5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13,599,472</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255,049</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263,926</w:t>
            </w:r>
          </w:p>
        </w:tc>
        <w:tc>
          <w:tcPr>
            <w:tcW w:w="0" w:type="dxa"/>
            <w:vAlign w:val="bottom"/>
          </w:tcPr>
          <w:p>
            <w:pPr>
              <w:spacing w:after="0"/>
              <w:rPr>
                <w:sz w:val="1"/>
                <w:szCs w:val="1"/>
                <w:color w:val="auto"/>
              </w:rPr>
            </w:pPr>
          </w:p>
        </w:tc>
      </w:tr>
      <w:tr>
        <w:trPr>
          <w:trHeight w:val="256"/>
        </w:trPr>
        <w:tc>
          <w:tcPr>
            <w:tcW w:w="73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13,785,277</w:t>
            </w:r>
          </w:p>
        </w:tc>
        <w:tc>
          <w:tcPr>
            <w:tcW w:w="5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13,863,398</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2023, the Board of Directors authorized the repurchase of up to 500,000 shares of the Company’s common stock with no expiration date. As of March 31, 2024, the Company had 462,765 shares remaining available for repurchase under the program. The Company repurchased 23,271 and 0 shares during the three-month periods ended March 31, 2024 and 2023, respectively. Repurchases may be made in the open market or through negotiated transactions from time to time depending on market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2023 Form 10-K. Management evaluates segment performance based on pre-tax income after allocations for corporate expenses. Transactions between segments are accounted for at what management believes to be fair value.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2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940" w:type="dxa"/>
            <w:vAlign w:val="bottom"/>
            <w:tcBorders>
              <w:bottom w:val="single" w:sz="8" w:color="auto"/>
            </w:tcBorders>
            <w:gridSpan w:val="2"/>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w:t>
            </w:r>
          </w:p>
        </w:tc>
        <w:tc>
          <w:tcPr>
            <w:tcW w:w="1240" w:type="dxa"/>
            <w:vAlign w:val="bottom"/>
            <w:shd w:val="clear" w:color="auto" w:fill="B6B6B6"/>
          </w:tcPr>
          <w:p>
            <w:pPr>
              <w:spacing w:after="0"/>
              <w:rPr>
                <w:sz w:val="21"/>
                <w:szCs w:val="21"/>
                <w:color w:val="auto"/>
              </w:rPr>
            </w:pPr>
          </w:p>
        </w:tc>
        <w:tc>
          <w:tcPr>
            <w:tcW w:w="134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040" w:type="dxa"/>
            <w:vAlign w:val="bottom"/>
            <w:shd w:val="clear" w:color="auto" w:fill="B6B6B6"/>
          </w:tcPr>
          <w:p>
            <w:pPr>
              <w:spacing w:after="0"/>
              <w:rPr>
                <w:sz w:val="21"/>
                <w:szCs w:val="21"/>
                <w:color w:val="auto"/>
              </w:rPr>
            </w:pPr>
          </w:p>
        </w:tc>
        <w:tc>
          <w:tcPr>
            <w:tcW w:w="2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33,297</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10,191</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13,884</w:t>
            </w:r>
          </w:p>
        </w:tc>
        <w:tc>
          <w:tcPr>
            <w:tcW w:w="260" w:type="dxa"/>
            <w:vAlign w:val="bottom"/>
            <w:shd w:val="clear" w:color="auto" w:fill="B6B6B6"/>
          </w:tcPr>
          <w:p>
            <w:pPr>
              <w:spacing w:after="0"/>
              <w:rPr>
                <w:sz w:val="22"/>
                <w:szCs w:val="22"/>
                <w:color w:val="auto"/>
              </w:rPr>
            </w:pPr>
          </w:p>
        </w:tc>
        <w:tc>
          <w:tcPr>
            <w:tcW w:w="13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7,890</w:t>
            </w:r>
          </w:p>
        </w:tc>
        <w:tc>
          <w:tcPr>
            <w:tcW w:w="2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Pre-tax income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tcPr>
          <w:p>
            <w:pPr>
              <w:spacing w:after="0"/>
              <w:rPr>
                <w:sz w:val="21"/>
                <w:szCs w:val="21"/>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9,007</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1,386,858</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1,122,954</w:t>
            </w:r>
          </w:p>
        </w:tc>
        <w:tc>
          <w:tcPr>
            <w:tcW w:w="260" w:type="dxa"/>
            <w:vAlign w:val="bottom"/>
            <w:shd w:val="clear" w:color="auto" w:fill="B6B6B6"/>
          </w:tcPr>
          <w:p>
            <w:pPr>
              <w:spacing w:after="0"/>
              <w:rPr>
                <w:sz w:val="22"/>
                <w:szCs w:val="22"/>
                <w:color w:val="auto"/>
              </w:rPr>
            </w:pPr>
          </w:p>
        </w:tc>
        <w:tc>
          <w:tcPr>
            <w:tcW w:w="13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(216,233)</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2,293,579</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1,315,614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799,740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2,115,354</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31,077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32,107</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9,447</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13,177</w:t>
            </w:r>
          </w:p>
        </w:tc>
        <w:tc>
          <w:tcPr>
            <w:tcW w:w="260" w:type="dxa"/>
            <w:vAlign w:val="bottom"/>
            <w:shd w:val="clear" w:color="auto" w:fill="B6B6B6"/>
          </w:tcPr>
          <w:p>
            <w:pPr>
              <w:spacing w:after="0"/>
              <w:rPr>
                <w:sz w:val="22"/>
                <w:szCs w:val="22"/>
                <w:color w:val="auto"/>
              </w:rPr>
            </w:pPr>
          </w:p>
        </w:tc>
        <w:tc>
          <w:tcPr>
            <w:tcW w:w="13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20,142</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5,433</w:t>
            </w:r>
          </w:p>
        </w:tc>
        <w:tc>
          <w:tcPr>
            <w:tcW w:w="2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Pre-tax income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260" w:type="dxa"/>
            <w:vAlign w:val="bottom"/>
          </w:tcPr>
          <w:p>
            <w:pPr>
              <w:spacing w:after="0"/>
              <w:rPr>
                <w:sz w:val="21"/>
                <w:szCs w:val="21"/>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1,526,001</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1,167,979</w:t>
            </w:r>
          </w:p>
        </w:tc>
        <w:tc>
          <w:tcPr>
            <w:tcW w:w="260" w:type="dxa"/>
            <w:vAlign w:val="bottom"/>
            <w:shd w:val="clear" w:color="auto" w:fill="B6B6B6"/>
          </w:tcPr>
          <w:p>
            <w:pPr>
              <w:spacing w:after="0"/>
              <w:rPr>
                <w:sz w:val="22"/>
                <w:szCs w:val="22"/>
                <w:color w:val="auto"/>
              </w:rPr>
            </w:pPr>
          </w:p>
        </w:tc>
        <w:tc>
          <w:tcPr>
            <w:tcW w:w="13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(266,591)</w:t>
            </w:r>
          </w:p>
        </w:tc>
        <w:tc>
          <w:tcPr>
            <w:tcW w:w="280" w:type="dxa"/>
            <w:vAlign w:val="bottom"/>
            <w:shd w:val="clear" w:color="auto" w:fill="B6B6B6"/>
          </w:tcPr>
          <w:p>
            <w:pPr>
              <w:spacing w:after="0"/>
              <w:rPr>
                <w:sz w:val="22"/>
                <w:szCs w:val="22"/>
                <w:color w:val="auto"/>
              </w:rPr>
            </w:pPr>
          </w:p>
        </w:tc>
        <w:tc>
          <w:tcPr>
            <w:tcW w:w="1260" w:type="dxa"/>
            <w:vAlign w:val="bottom"/>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8"/>
                <w:szCs w:val="18"/>
                <w:color w:val="auto"/>
              </w:rPr>
              <w:t>2,427,389</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1,357,035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882,892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2,239,927</w:t>
            </w:r>
          </w:p>
        </w:tc>
        <w:tc>
          <w:tcPr>
            <w:tcW w:w="0" w:type="dxa"/>
            <w:vAlign w:val="bottom"/>
          </w:tcPr>
          <w:p>
            <w:pPr>
              <w:spacing w:after="0"/>
              <w:rPr>
                <w:sz w:val="1"/>
                <w:szCs w:val="1"/>
                <w:color w:val="auto"/>
              </w:rPr>
            </w:pPr>
          </w:p>
        </w:tc>
      </w:tr>
      <w:tr>
        <w:trPr>
          <w:trHeight w:val="47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6 – Loans by Type</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372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526,486</w:t>
            </w:r>
          </w:p>
        </w:tc>
        <w:tc>
          <w:tcPr>
            <w:tcW w:w="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498,502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2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3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2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378,158</w:t>
            </w:r>
          </w:p>
        </w:tc>
        <w:tc>
          <w:tcPr>
            <w:tcW w:w="3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381,368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B6B6B6"/>
          </w:tcPr>
          <w:p>
            <w:pPr>
              <w:spacing w:after="0"/>
              <w:rPr>
                <w:sz w:val="22"/>
                <w:szCs w:val="22"/>
                <w:color w:val="auto"/>
              </w:rPr>
            </w:pPr>
          </w:p>
        </w:tc>
        <w:tc>
          <w:tcPr>
            <w:tcW w:w="134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1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1,036,997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March 31,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2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2024</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526,486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526,486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114,200</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8,812</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378,158</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378,158</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9,336</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1,036,997</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1,036,997</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2023</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498,502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498,502</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118,371</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118,371</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8,233</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381,368</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381,368</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7,790</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1,014,318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1,014,318</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March 31, 2024 and December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2024</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526,486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526,486</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110,407</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3,793</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114,200</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8,812</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371,711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6,447</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378,158</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9,336</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9,336</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1,026,757</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10,240</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1,036,997</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2023</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498,502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498,502</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118,371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118,371</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8,233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375,865</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5,503</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381,368</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7,790</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1,008,815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1,014,318</w:t>
            </w:r>
          </w:p>
        </w:tc>
      </w:tr>
    </w:tbl>
    <w:p>
      <w:pPr>
        <w:spacing w:after="0" w:line="306" w:lineRule="exact"/>
        <w:rPr>
          <w:sz w:val="20"/>
          <w:szCs w:val="20"/>
          <w:color w:val="auto"/>
        </w:rPr>
      </w:pPr>
    </w:p>
    <w:p>
      <w:pPr>
        <w:ind w:left="20" w:right="20" w:firstLine="6"/>
        <w:spacing w:after="0" w:line="222" w:lineRule="auto"/>
        <w:tabs>
          <w:tab w:leader="none" w:pos="131"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spacing w:after="0" w:line="6" w:lineRule="exact"/>
        <w:rPr>
          <w:sz w:val="20"/>
          <w:szCs w:val="20"/>
          <w:color w:val="auto"/>
        </w:rPr>
      </w:pPr>
    </w:p>
    <w:p>
      <w:pPr>
        <w:ind w:left="120" w:hanging="94"/>
        <w:spacing w:after="0"/>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modifications to borrowers experiencing financial difficulty may be in the form of principal forgiveness, an interest rate reduction, an other-than-insignificant payment delay, a term extension, or a combination thereof, among other things. There were no loans modified during the three months ended March 31, 2024. The following table shows the amortized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loans that were both experiencing financial difficulty and modified during the three months ended March 31, 2023, segregated by category and type of modification.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 of Total</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and Interest Rate</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r>
      <w:tr>
        <w:trPr>
          <w:trHeight w:val="25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50"/>
        </w:trPr>
        <w:tc>
          <w:tcPr>
            <w:tcW w:w="32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B6B6B6"/>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6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two loans modified during the three months ended March 31, 2023. The terms were extended by periods of two and three years and there was not an interest rate reduction associated with the modifications.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payment status of loans that have been modified to borrowers experiencing financial difficulty in the last twelve months: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30-59 Days Past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60-89 Days Past</w:t>
            </w:r>
          </w:p>
        </w:tc>
        <w:tc>
          <w:tcPr>
            <w:tcW w:w="200" w:type="dxa"/>
            <w:vAlign w:val="bottom"/>
          </w:tcPr>
          <w:p>
            <w:pPr>
              <w:spacing w:after="0"/>
              <w:rPr>
                <w:sz w:val="17"/>
                <w:szCs w:val="17"/>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90 Days or More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5"/>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Due</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Past Due</w:t>
            </w:r>
          </w:p>
        </w:tc>
      </w:tr>
      <w:tr>
        <w:trPr>
          <w:trHeight w:val="250"/>
        </w:trPr>
        <w:tc>
          <w:tcPr>
            <w:tcW w:w="35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11,686</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11,686</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three months ended March 31, 2024 or 2023 and that had been modified due to the borrower experiencing financial difficulty within the 12 previous months preceding the default.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three months ended March 31, 2024 or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March 31, 2024, and December 31,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March 31, 2024 or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credit losses (“ACL”) by category for the three-month period ended March 31, 2024 and year-ended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80" w:type="dxa"/>
            <w:vAlign w:val="bottom"/>
          </w:tcPr>
          <w:p>
            <w:pPr>
              <w:spacing w:after="0"/>
              <w:rPr>
                <w:sz w:val="18"/>
                <w:szCs w:val="18"/>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60" w:type="dxa"/>
            <w:vAlign w:val="bottom"/>
          </w:tcPr>
          <w:p>
            <w:pPr>
              <w:spacing w:after="0"/>
              <w:rPr>
                <w:sz w:val="18"/>
                <w:szCs w:val="18"/>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40" w:type="dxa"/>
            <w:vAlign w:val="bottom"/>
          </w:tcPr>
          <w:p>
            <w:pPr>
              <w:spacing w:after="0"/>
              <w:rPr>
                <w:sz w:val="18"/>
                <w:szCs w:val="18"/>
                <w:color w:val="auto"/>
              </w:rPr>
            </w:pPr>
          </w:p>
        </w:tc>
        <w:tc>
          <w:tcPr>
            <w:tcW w:w="13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6,437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5,412</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6,476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200"/>
              <w:spacing w:after="0" w:line="256" w:lineRule="exact"/>
              <w:rPr>
                <w:sz w:val="20"/>
                <w:szCs w:val="20"/>
                <w:color w:val="auto"/>
              </w:rPr>
            </w:pPr>
            <w:r>
              <w:rPr>
                <w:rFonts w:ascii="Times New Roman" w:cs="Times New Roman" w:eastAsia="Times New Roman" w:hAnsi="Times New Roman"/>
                <w:sz w:val="18"/>
                <w:szCs w:val="18"/>
                <w:color w:val="auto"/>
              </w:rPr>
              <w:t xml:space="preserve">(Release of) provision for credit losses </w:t>
            </w:r>
            <w:r>
              <w:rPr>
                <w:rFonts w:ascii="Times New Roman" w:cs="Times New Roman" w:eastAsia="Times New Roman" w:hAnsi="Times New Roman"/>
                <w:sz w:val="23"/>
                <w:szCs w:val="23"/>
                <w:color w:val="auto"/>
                <w:vertAlign w:val="superscript"/>
              </w:rPr>
              <w:t>(1)</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March 31, 2024</w:t>
            </w:r>
          </w:p>
        </w:tc>
        <w:tc>
          <w:tcPr>
            <w:tcW w:w="6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5,627</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6,514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80" w:right="20" w:hanging="95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 period ended March 31, 2024 and year-ended December 31, 2023, there was a release of credit losses of $115,000 and $100,000, respectively, for unfunded commitments.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As more fully described in the Form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$17,000 and $132,000 had been recorded at March 31, 2024 and December 31, 2023, respectively.</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balances of unfunded commitments, standby and commercial letters of credit were $223.6 million, $13.5 million, and $569,000, respectively. Since some of the financial instruments may expire without being drawn upon, the total amounts do not necessarily represent future cash requirements.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filed a claim against Rubicon Technologies, Inc. ("Rubicon") for failed reimbursement of invoices that were processed and paid by the Company on Rubicon's behalf and fees for Company services that are due for invoice management services and bill pay services. The Company has a receivable at March 31, 2024 for $8.1 million related to these amounts. There is uncertainty of the existence, or extent of any loss exposure at March 31, 2024. In addition, the Company evaluated the receivable from a credit loss perspective, and, based on this evaluation, the Company does not have a reserve related to this receivable at March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three months ended March 31, 2024, 36,852 time-based restricted shares and 51,261 performance-based restricted shares were granted under the 2023 Omnibus Plan. Stock-based compensation expense for the three months ended March 31, 2024 and 2023 was $1.2 million and $2.0 million,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total unrecognized compensation expense related to non-vested restricted shares was $2.4 million, and the related weighted-average period over which it is expected to be recognized is approximately 0.97 years.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three months ended March 31, 2024, with total shares and weighted-average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80" w:type="dxa"/>
            <w:vAlign w:val="bottom"/>
          </w:tcPr>
          <w:p>
            <w:pPr>
              <w:spacing w:after="0"/>
              <w:rPr>
                <w:sz w:val="20"/>
                <w:szCs w:val="20"/>
                <w:color w:val="auto"/>
              </w:rPr>
            </w:pPr>
          </w:p>
        </w:tc>
        <w:tc>
          <w:tcPr>
            <w:tcW w:w="306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8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237,780</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36,852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(37,577)</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236,345</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42.79</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three months ended March 31, 2024, based on 100% of target value: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80" w:type="dxa"/>
            <w:vAlign w:val="bottom"/>
          </w:tcPr>
          <w:p>
            <w:pPr>
              <w:spacing w:after="0"/>
              <w:rPr>
                <w:sz w:val="20"/>
                <w:szCs w:val="20"/>
                <w:color w:val="auto"/>
              </w:rPr>
            </w:pPr>
          </w:p>
        </w:tc>
        <w:tc>
          <w:tcPr>
            <w:tcW w:w="306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8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159,073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51,261</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(50,840)</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40.74</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158,428</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43.87</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three months ended March 31, 2024 were based on the Company's achievement of 135.4% of target financial goals for the 2021-2023 performance period, resulting in the issuance of 68,834 shares of common stock. The outstanding PBRS at March 31, 2024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three months ended March 31, 2024.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7"/>
                <w:szCs w:val="17"/>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6"/>
        </w:trPr>
        <w:tc>
          <w:tcPr>
            <w:tcW w:w="38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vMerge w:val="restart"/>
          </w:tcPr>
          <w:p>
            <w:pPr>
              <w:jc w:val="center"/>
              <w:ind w:right="2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38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5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5"/>
                <w:szCs w:val="15"/>
                <w:color w:val="auto"/>
              </w:rPr>
            </w:pPr>
          </w:p>
        </w:tc>
        <w:tc>
          <w:tcPr>
            <w:tcW w:w="1400" w:type="dxa"/>
            <w:vAlign w:val="bottom"/>
          </w:tcPr>
          <w:p>
            <w:pPr>
              <w:jc w:val="center"/>
              <w:ind w:right="290"/>
              <w:spacing w:after="0" w:line="176"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4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50"/>
        </w:trPr>
        <w:tc>
          <w:tcPr>
            <w:tcW w:w="38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5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30,409</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46.70</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(30,409)</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46.70</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25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6B6B6"/>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Note 9 – Defined Pension Plans</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following table represents the components of net periodic pension cost: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8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2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Actual 2023</w:t>
            </w:r>
          </w:p>
        </w:tc>
        <w:tc>
          <w:tcPr>
            <w:tcW w:w="0" w:type="dxa"/>
            <w:vAlign w:val="bottom"/>
          </w:tcPr>
          <w:p>
            <w:pPr>
              <w:spacing w:after="0"/>
              <w:rPr>
                <w:sz w:val="1"/>
                <w:szCs w:val="1"/>
                <w:color w:val="auto"/>
              </w:rPr>
            </w:pPr>
          </w:p>
        </w:tc>
      </w:tr>
      <w:tr>
        <w:trPr>
          <w:trHeight w:val="238"/>
        </w:trPr>
        <w:tc>
          <w:tcPr>
            <w:tcW w:w="5720" w:type="dxa"/>
            <w:vAlign w:val="bottom"/>
            <w:tcBorders>
              <w:bottom w:val="single" w:sz="8" w:color="auto"/>
            </w:tcBorders>
            <w:vMerge w:val="continue"/>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6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4,291</w:t>
            </w:r>
          </w:p>
        </w:tc>
        <w:tc>
          <w:tcPr>
            <w:tcW w:w="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68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net periodic pension cost of $195,000 and $100,000 for the three-month periods ended March 31, 2024, and March 31, 2023, respectively. The Company made no contributions to the Plan during the three-month period ended March 31, 2024 and is evaluating the amount of contributions, if any, for the remainder of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funded defined-benefit pension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6"/>
        </w:trPr>
        <w:tc>
          <w:tcPr>
            <w:tcW w:w="56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451</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451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720"/>
        <w:spacing w:after="0" w:line="453" w:lineRule="auto"/>
        <w:rPr>
          <w:sz w:val="20"/>
          <w:szCs w:val="20"/>
          <w:color w:val="auto"/>
        </w:rPr>
      </w:pPr>
      <w:r>
        <w:rPr>
          <w:rFonts w:ascii="Times New Roman" w:cs="Times New Roman" w:eastAsia="Times New Roman" w:hAnsi="Times New Roman"/>
          <w:sz w:val="18"/>
          <w:szCs w:val="18"/>
          <w:color w:val="auto"/>
        </w:rPr>
        <w:t>SERP cost recorded to expense was $113,000 and $118,000 for the three month periods ended March 31, 2024, and March 31, 2023, respectively. Note 10 – Income Taxes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was 20.6% and 20.7% for the three month periods ended March 31, 2024, and March 31, 2023, respectively. The effective tax rate for all periods differs from the statutory rate of 21% primarily due to the tax-exempt interest received from municipal bonds and bank-owned life insurance, among other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80" w:type="dxa"/>
            <w:vAlign w:val="bottom"/>
          </w:tcPr>
          <w:p>
            <w:pPr>
              <w:jc w:val="center"/>
              <w:ind w:left="2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80" w:type="dxa"/>
            <w:vAlign w:val="bottom"/>
          </w:tcPr>
          <w:p>
            <w:pPr>
              <w:jc w:val="center"/>
              <w:ind w:left="2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227,068</w:t>
            </w:r>
          </w:p>
        </w:tc>
        <w:tc>
          <w:tcPr>
            <w:tcW w:w="1280" w:type="dxa"/>
            <w:vAlign w:val="bottom"/>
            <w:shd w:val="clear" w:color="auto" w:fill="B6B6B6"/>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209,704</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208,586</w:t>
            </w:r>
          </w:p>
        </w:tc>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119,048</w:t>
            </w:r>
          </w:p>
        </w:tc>
        <w:tc>
          <w:tcPr>
            <w:tcW w:w="128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109,913</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84,922</w:t>
            </w: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84,522</w:t>
            </w:r>
          </w:p>
        </w:tc>
        <w:tc>
          <w:tcPr>
            <w:tcW w:w="0" w:type="dxa"/>
            <w:vAlign w:val="bottom"/>
          </w:tcPr>
          <w:p>
            <w:pPr>
              <w:spacing w:after="0"/>
              <w:rPr>
                <w:sz w:val="1"/>
                <w:szCs w:val="1"/>
                <w:color w:val="auto"/>
              </w:rPr>
            </w:pPr>
          </w:p>
        </w:tc>
      </w:tr>
      <w:tr>
        <w:trPr>
          <w:trHeight w:val="218"/>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shd w:val="clear" w:color="auto" w:fill="B6B6B6"/>
          </w:tcPr>
          <w:p>
            <w:pPr>
              <w:spacing w:after="0"/>
              <w:rPr>
                <w:sz w:val="20"/>
                <w:szCs w:val="20"/>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42,201</w:t>
            </w:r>
          </w:p>
        </w:tc>
        <w:tc>
          <w:tcPr>
            <w:tcW w:w="1280" w:type="dxa"/>
            <w:vAlign w:val="bottom"/>
            <w:tcBorders>
              <w:bottom w:val="single" w:sz="8" w:color="auto"/>
            </w:tcBorders>
            <w:shd w:val="clear" w:color="auto" w:fill="B6B6B6"/>
          </w:tcPr>
          <w:p>
            <w:pPr>
              <w:spacing w:after="0"/>
              <w:rPr>
                <w:sz w:val="20"/>
                <w:szCs w:val="20"/>
                <w:color w:val="auto"/>
              </w:rPr>
            </w:pPr>
          </w:p>
        </w:tc>
        <w:tc>
          <w:tcPr>
            <w:tcW w:w="3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B6B6B6"/>
          </w:tcPr>
          <w:p>
            <w:pPr>
              <w:spacing w:after="0"/>
              <w:rPr>
                <w:sz w:val="20"/>
                <w:szCs w:val="20"/>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tcBorders>
              <w:bottom w:val="single" w:sz="8" w:color="auto"/>
            </w:tcBorders>
            <w:shd w:val="clear" w:color="auto" w:fill="B6B6B6"/>
          </w:tcPr>
          <w:p>
            <w:pPr>
              <w:spacing w:after="0"/>
              <w:rPr>
                <w:sz w:val="20"/>
                <w:szCs w:val="20"/>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681,825</w:t>
            </w:r>
          </w:p>
        </w:tc>
        <w:tc>
          <w:tcPr>
            <w:tcW w:w="12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33</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621,929</w:t>
            </w:r>
          </w:p>
        </w:tc>
        <w:tc>
          <w:tcPr>
            <w:tcW w:w="0" w:type="dxa"/>
            <w:vAlign w:val="bottom"/>
          </w:tcPr>
          <w:p>
            <w:pPr>
              <w:spacing w:after="0"/>
              <w:rPr>
                <w:sz w:val="1"/>
                <w:szCs w:val="1"/>
                <w:color w:val="auto"/>
              </w:rPr>
            </w:pPr>
          </w:p>
        </w:tc>
      </w:tr>
      <w:tr>
        <w:trPr>
          <w:trHeight w:val="547"/>
        </w:trPr>
        <w:tc>
          <w:tcPr>
            <w:tcW w:w="5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80" w:type="dxa"/>
            <w:vAlign w:val="bottom"/>
          </w:tcPr>
          <w:p>
            <w:pPr>
              <w:jc w:val="center"/>
              <w:ind w:left="2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80" w:type="dxa"/>
            <w:vAlign w:val="bottom"/>
          </w:tcPr>
          <w:p>
            <w:pPr>
              <w:jc w:val="center"/>
              <w:ind w:left="2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6"/>
                <w:szCs w:val="16"/>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235,297</w:t>
            </w:r>
          </w:p>
        </w:tc>
        <w:tc>
          <w:tcPr>
            <w:tcW w:w="1280" w:type="dxa"/>
            <w:vAlign w:val="bottom"/>
            <w:shd w:val="clear" w:color="auto" w:fill="B6B6B6"/>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219,035</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188,307</w:t>
            </w:r>
          </w:p>
        </w:tc>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157,799</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111,109</w:t>
            </w:r>
          </w:p>
        </w:tc>
        <w:tc>
          <w:tcPr>
            <w:tcW w:w="128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102,340</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109,836</w:t>
            </w: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0" w:type="dxa"/>
            <w:vAlign w:val="bottom"/>
          </w:tcPr>
          <w:p>
            <w:pPr>
              <w:spacing w:after="0"/>
              <w:rPr>
                <w:sz w:val="1"/>
                <w:szCs w:val="1"/>
                <w:color w:val="auto"/>
              </w:rPr>
            </w:pPr>
          </w:p>
        </w:tc>
      </w:tr>
      <w:tr>
        <w:trPr>
          <w:trHeight w:val="218"/>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shd w:val="clear" w:color="auto" w:fill="B6B6B6"/>
          </w:tcPr>
          <w:p>
            <w:pPr>
              <w:spacing w:after="0"/>
              <w:rPr>
                <w:sz w:val="20"/>
                <w:szCs w:val="20"/>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40,368</w:t>
            </w:r>
          </w:p>
        </w:tc>
        <w:tc>
          <w:tcPr>
            <w:tcW w:w="1280" w:type="dxa"/>
            <w:vAlign w:val="bottom"/>
            <w:tcBorders>
              <w:bottom w:val="single" w:sz="8" w:color="auto"/>
            </w:tcBorders>
            <w:shd w:val="clear" w:color="auto" w:fill="B6B6B6"/>
          </w:tcPr>
          <w:p>
            <w:pPr>
              <w:spacing w:after="0"/>
              <w:rPr>
                <w:sz w:val="20"/>
                <w:szCs w:val="20"/>
                <w:color w:val="auto"/>
              </w:rPr>
            </w:pPr>
          </w:p>
        </w:tc>
        <w:tc>
          <w:tcPr>
            <w:tcW w:w="3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B6B6B6"/>
          </w:tcPr>
          <w:p>
            <w:pPr>
              <w:spacing w:after="0"/>
              <w:rPr>
                <w:sz w:val="20"/>
                <w:szCs w:val="20"/>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80" w:type="dxa"/>
            <w:vAlign w:val="bottom"/>
            <w:tcBorders>
              <w:bottom w:val="single" w:sz="8" w:color="auto"/>
            </w:tcBorders>
            <w:shd w:val="clear" w:color="auto" w:fill="B6B6B6"/>
          </w:tcPr>
          <w:p>
            <w:pPr>
              <w:spacing w:after="0"/>
              <w:rPr>
                <w:sz w:val="20"/>
                <w:szCs w:val="20"/>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684,917</w:t>
            </w:r>
          </w:p>
        </w:tc>
        <w:tc>
          <w:tcPr>
            <w:tcW w:w="12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627,117</w:t>
            </w:r>
          </w:p>
        </w:tc>
        <w:tc>
          <w:tcPr>
            <w:tcW w:w="0" w:type="dxa"/>
            <w:vAlign w:val="bottom"/>
          </w:tcPr>
          <w:p>
            <w:pPr>
              <w:spacing w:after="0"/>
              <w:rPr>
                <w:sz w:val="1"/>
                <w:szCs w:val="1"/>
                <w:color w:val="auto"/>
              </w:rPr>
            </w:pPr>
          </w:p>
        </w:tc>
      </w:tr>
      <w:tr>
        <w:trPr>
          <w:trHeight w:val="918"/>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26,244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175,899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17,206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202,143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29,086</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147,282</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32,126</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176,368</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12,600</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82,269</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8,761</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94,869</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84,522</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8"/>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2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41,422</w:t>
            </w:r>
          </w:p>
        </w:tc>
        <w:tc>
          <w:tcPr>
            <w:tcW w:w="2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28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67,930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531,394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599,324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63,198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152,854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16,046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216,052</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157,799</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30,508</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157,799</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19,545</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82,795</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8,314</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102,340</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108,721</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8"/>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2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39,222</w:t>
            </w:r>
          </w:p>
        </w:tc>
        <w:tc>
          <w:tcPr>
            <w:tcW w:w="2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28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82,743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541,391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624,134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267 securities, or 96.0% (228 of which for greater than 12 months), in an unrealized loss position as of March 31, 2024. The unrealized losses at March 31, 2024 were primarily attributable to changes in market interest rates 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275 securities, or 98.9% (210 of which for greater than 12 months), in an unrealized loss position as of December 31, 2023. At March 31, 2024 and December 31, 2023, the Company had not recorded an allowance for credit losses on securities.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199,175</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197,437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94,092</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92,440</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208,628</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183,284</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179,930</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148,768</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681,825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621,929</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$0 and $61.4 million for the three months ended March 31, 2024, and 2023, respectively. Gross realized losses were $0 and $148,000 for the three months ended March 31, 2024 and 2023, respectively. Gross realized gains were $0 and $187,000 for the three months ended March 31, 2024, and 2023, respectively. There were no securities pledged to secure public deposits or for other purposes at March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192,803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372,468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372,468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621,929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621,929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627,117</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627,117</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1,023,698</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1,001,229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962,223</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8,965</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8,450</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1,847,395</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1,811,193</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2,009,264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1,970,258</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1,079,092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1,079,092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1,140,814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1,140,814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944,793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944,793</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1,071,369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1,071,369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2,024,272</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2,024,272</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2,212,818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2,212,818</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for the periods ended March 31, 2024 and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7"/>
        </w:trPr>
        <w:tc>
          <w:tcPr>
            <w:tcW w:w="8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Processing fees</w:t>
            </w:r>
          </w:p>
        </w:tc>
        <w:tc>
          <w:tcPr>
            <w:tcW w:w="2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Borders>
              <w:bottom w:val="single" w:sz="8" w:color="B6B6B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0" w:type="dxa"/>
            <w:vAlign w:val="bottom"/>
          </w:tcPr>
          <w:p>
            <w:pPr>
              <w:spacing w:after="0"/>
              <w:rPr>
                <w:sz w:val="1"/>
                <w:szCs w:val="1"/>
                <w:color w:val="auto"/>
              </w:rPr>
            </w:pPr>
          </w:p>
        </w:tc>
      </w:tr>
      <w:tr>
        <w:trPr>
          <w:trHeight w:val="256"/>
        </w:trPr>
        <w:tc>
          <w:tcPr>
            <w:tcW w:w="830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32,030</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Bank service fees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B6B6B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7"/>
        </w:trPr>
        <w:tc>
          <w:tcPr>
            <w:tcW w:w="83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B6B6B6"/>
            </w:tcBorders>
          </w:tcPr>
          <w:p>
            <w:pPr>
              <w:ind w:left="20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B6B6B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auto"/>
            </w:tcBorders>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tcBorders>
              <w:bottom w:val="single" w:sz="8" w:color="auto"/>
            </w:tcBorders>
            <w:shd w:val="clear" w:color="auto" w:fill="B6B6B6"/>
          </w:tcPr>
          <w:p>
            <w:pPr>
              <w:spacing w:after="0"/>
              <w:rPr>
                <w:sz w:val="21"/>
                <w:szCs w:val="21"/>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March 31, 2024, the Company had lease liabilities of $8.2 million and right-of-use assets of $7.8 million. Lease liabilities and right-of-use assets are reflected in other liabilities and other assets, respectively. Presented within occupancy expense on the Consolidated Statements of Income for the three months ended March 31, 2024, operating lease cost was $341,000, short-term lease cost was $81,000, and there was no variable lease cost. At March 31, 2024, the weighted-average remaining lease term for the operating leases was 7.1 years and the weighted-average discount rate used in the measurement of operating lease liabilities was 3.56%. Certain of the Company’s leases contain options to renew the lease; however, these renewal options are not included in the calculation of the lease liabilities as they are not reasonably certain to be exercised. See the Company’s 2023 Form 10-K for information regarding these commitments.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March 31, 2024 is as follows:</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20" w:type="dxa"/>
            <w:vAlign w:val="bottom"/>
          </w:tcPr>
          <w:p>
            <w:pPr>
              <w:spacing w:after="0"/>
              <w:rPr>
                <w:sz w:val="24"/>
                <w:szCs w:val="24"/>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2"/>
        </w:trPr>
        <w:tc>
          <w:tcPr>
            <w:tcW w:w="8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82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5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20"/>
        <w:spacing w:after="0" w:line="45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three months ended March 31, 2024. Note 15 – Subsequent Events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March 31, 2024.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the general level of transportation costs, deregulation of energy costs, and consolidation of telecommunication providers; and economic factors that include the general level of economic activity, the ability to hire and retain qualified staff, and the growth and quality of the Bank’s loan portfolio. For a more detailed discussion of the Company’s revenue drivers and factors that impact the Company’s results of operation and financial condition generally, see Item 7, “Management’s Discussion and Analysis of Financial Condition and Results of Operations” in the Company’s 2023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Industry Developments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transportation industry continues to experience a decline in overall freight rates caused by an ongoing freight recession. The freight recession adversely affects the number of freight transactions and dollar amount of invoices processed. Partially as a result, the Company's average accounts and drafts payable has declined $59.3 million, or 5.4%, from the first quarter of 2023 to the first quarter of 2024. Transportation dollar volumes are key to the Company’s revenue as higher volumes generally lead to an increase in payment float, which generates interest income, as well as an increase in payments in advance of funding, which generates financial fees.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decline in average accounts and drafts payable as well as a decline in average deposits partially stemming from the disruption in the banking industry in the first quarter of 2023, the Company’s liquidity position and balance sheet remains strong. The Company maintained average short-term investments of $352.2 million during the first quarter of 2024. In addition, all of the Company's investment securities are classified as available-for-sale and there were no outstanding borrowings at March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rising inflation, the Federal Reserve has increased the Federal Funds rate. The increase in the Federal Funds rate has contributed to a slight increase in the Company's net interest margin, therefore positively impacting net interest income. Inflation has also had the impact of increasing operating expenses, such as compensation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March 31, 2024 (“first quarter of 2024”) compared to the three-month period ended March 31, 2023 (“first quarter of 2023”). The following discussion and analysis should be read in conjunction with the unaudited consolidated financial statements and related notes and with the statistical information and financial data appearing in this report, as well as in the Company’s 2023 Form 10-K. Results of operations for the three months ended March 31, 2024 are not necessarily indicative of the results to be attained for any other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40" w:type="dxa"/>
            <w:vAlign w:val="bottom"/>
          </w:tcPr>
          <w:p>
            <w:pPr>
              <w:spacing w:after="0"/>
              <w:rPr>
                <w:sz w:val="14"/>
                <w:szCs w:val="14"/>
                <w:color w:val="auto"/>
              </w:rPr>
            </w:pP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4"/>
                <w:szCs w:val="14"/>
                <w:color w:val="auto"/>
              </w:rPr>
            </w:pPr>
          </w:p>
        </w:tc>
        <w:tc>
          <w:tcPr>
            <w:tcW w:w="13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21,253</w:t>
            </w:r>
          </w:p>
        </w:tc>
        <w:tc>
          <w:tcPr>
            <w:tcW w:w="36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19,513</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10,777</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11,259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16,476</w:t>
            </w:r>
          </w:p>
        </w:tc>
        <w:tc>
          <w:tcPr>
            <w:tcW w:w="36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16,898</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Pr>
          <w:p>
            <w:pPr>
              <w:spacing w:after="0"/>
              <w:rPr>
                <w:sz w:val="21"/>
                <w:szCs w:val="21"/>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1,267</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1,335</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49,678</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49,345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40,671</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40,372</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9,007</w:t>
            </w:r>
          </w:p>
        </w:tc>
        <w:tc>
          <w:tcPr>
            <w:tcW w:w="36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8,973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1,855</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1,856</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7,152</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7,117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57"/>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0.51</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36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12.66 %</w:t>
            </w:r>
          </w:p>
        </w:tc>
        <w:tc>
          <w:tcPr>
            <w:tcW w:w="36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13.76 %</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net revenue of $49.7 million during the three months ended March 31, 2024, up 0.7% from the three months ended March 31, 2023, primarily driven by higher processing fees. Operating expense increased 0.7% primarily driven by an increase in full-time equivalent employees. Net income was $7.2 million and diluted EPS was $0.52 per share, increases of 0.5% and 2.0% from the three months ended March 31,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1.20% return on average assets and 12.66% return on average equity.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generated in the payment process which can be used to generate interest income. Processing volumes, average payments in advance of funding, and fee revenue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14"/>
                <w:szCs w:val="14"/>
                <w:color w:val="auto"/>
              </w:rPr>
            </w:pP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4"/>
                <w:szCs w:val="14"/>
                <w:color w:val="auto"/>
              </w:rPr>
            </w:pPr>
          </w:p>
        </w:tc>
        <w:tc>
          <w:tcPr>
            <w:tcW w:w="13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69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6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00" w:type="dxa"/>
            <w:vAlign w:val="bottom"/>
            <w:shd w:val="clear" w:color="auto" w:fill="B6B6B6"/>
          </w:tcPr>
          <w:p>
            <w:pPr>
              <w:spacing w:after="0"/>
              <w:rPr>
                <w:sz w:val="21"/>
                <w:szCs w:val="21"/>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8,771</w:t>
            </w:r>
          </w:p>
        </w:tc>
        <w:tc>
          <w:tcPr>
            <w:tcW w:w="320" w:type="dxa"/>
            <w:vAlign w:val="bottom"/>
            <w:shd w:val="clear" w:color="auto" w:fill="B6B6B6"/>
          </w:tcPr>
          <w:p>
            <w:pPr>
              <w:spacing w:after="0"/>
              <w:rPr>
                <w:sz w:val="21"/>
                <w:szCs w:val="21"/>
                <w:color w:val="auto"/>
              </w:rPr>
            </w:pPr>
          </w:p>
        </w:tc>
        <w:tc>
          <w:tcPr>
            <w:tcW w:w="13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9,098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8,939,646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10,268,451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63"/>
        </w:trPr>
        <w:tc>
          <w:tcPr>
            <w:tcW w:w="6940" w:type="dxa"/>
            <w:vAlign w:val="bottom"/>
            <w:shd w:val="clear" w:color="auto" w:fill="B6B6B6"/>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Facility-related transaction volume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4,264</w:t>
            </w:r>
          </w:p>
        </w:tc>
        <w:tc>
          <w:tcPr>
            <w:tcW w:w="32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3,468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56"/>
        </w:trPr>
        <w:tc>
          <w:tcPr>
            <w:tcW w:w="69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dollar volume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5,329,566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5,313,385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57"/>
        </w:trPr>
        <w:tc>
          <w:tcPr>
            <w:tcW w:w="6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 funding</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194,338</w:t>
            </w:r>
          </w:p>
        </w:tc>
        <w:tc>
          <w:tcPr>
            <w:tcW w:w="32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240,890</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5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19,513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63"/>
        </w:trPr>
        <w:tc>
          <w:tcPr>
            <w:tcW w:w="6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10,777</w:t>
            </w:r>
          </w:p>
        </w:tc>
        <w:tc>
          <w:tcPr>
            <w:tcW w:w="32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11,259</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energy, telecom and environmental.</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Processing fee revenue increased $1.7 million, or 8.9%, primarily attributable to an increase in facility-related invoice volumes of 23.0%. The Company has experienced recent success in adding facility clients with high transaction volumes. Transportation invoice volumes decreased 3.6% over the same period. The decline in transportation volumes is due to the ongoing freight recession.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fee revenue decreased $482,000, or 4.3%, primarily attributable to a decline in transportation dollar volumes of 12.9% in addition to changes in the manner certain vendors receive payments, partially offset by the increase in short-term interest rates in between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Pr>
          <w:p>
            <w:pPr>
              <w:spacing w:after="0"/>
              <w:rPr>
                <w:sz w:val="14"/>
                <w:szCs w:val="14"/>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4"/>
                <w:szCs w:val="14"/>
                <w:color w:val="auto"/>
              </w:rPr>
            </w:pPr>
          </w:p>
        </w:tc>
        <w:tc>
          <w:tcPr>
            <w:tcW w:w="13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 assets</w:t>
            </w:r>
          </w:p>
        </w:tc>
        <w:tc>
          <w:tcPr>
            <w:tcW w:w="3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2,063,239</w:t>
            </w:r>
          </w:p>
        </w:tc>
        <w:tc>
          <w:tcPr>
            <w:tcW w:w="5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2,162,734</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631,622</w:t>
            </w:r>
          </w:p>
        </w:tc>
        <w:tc>
          <w:tcPr>
            <w:tcW w:w="52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591,102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63"/>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16,720</w:t>
            </w:r>
          </w:p>
        </w:tc>
        <w:tc>
          <w:tcPr>
            <w:tcW w:w="52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17,219</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3.26 %</w:t>
            </w:r>
          </w:p>
        </w:tc>
        <w:tc>
          <w:tcPr>
            <w:tcW w:w="2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3.23 %</w:t>
            </w:r>
          </w:p>
        </w:tc>
      </w:tr>
      <w:tr>
        <w:trPr>
          <w:trHeight w:val="263"/>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362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4.27 %</w:t>
            </w:r>
          </w:p>
        </w:tc>
        <w:tc>
          <w:tcPr>
            <w:tcW w:w="2500" w:type="dxa"/>
            <w:vAlign w:val="bottom"/>
            <w:shd w:val="clear" w:color="auto" w:fill="B6B6B6"/>
          </w:tcPr>
          <w:p>
            <w:pPr>
              <w:jc w:val="right"/>
              <w:ind w:right="1290"/>
              <w:spacing w:after="0"/>
              <w:rPr>
                <w:sz w:val="20"/>
                <w:szCs w:val="20"/>
                <w:color w:val="auto"/>
              </w:rPr>
            </w:pPr>
            <w:r>
              <w:rPr>
                <w:rFonts w:ascii="Times New Roman" w:cs="Times New Roman" w:eastAsia="Times New Roman" w:hAnsi="Times New Roman"/>
                <w:sz w:val="18"/>
                <w:szCs w:val="18"/>
                <w:color w:val="auto"/>
              </w:rPr>
              <w:t>3.84 %</w:t>
            </w:r>
          </w:p>
        </w:tc>
      </w:tr>
      <w:tr>
        <w:trPr>
          <w:trHeight w:val="25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interest-bearing liabilities</w:t>
            </w:r>
          </w:p>
        </w:tc>
        <w:tc>
          <w:tcPr>
            <w:tcW w:w="3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3.30 %</w:t>
            </w:r>
          </w:p>
        </w:tc>
        <w:tc>
          <w:tcPr>
            <w:tcW w:w="2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2024 and 2023.</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interest income is primarily due to the decrease in average earning assets of $99.5 million, or 4.6%, partially offset by the increase in the Federal Funds rate throughout 2022 and 2023, positively impacting the net interest margin which increased to 3.26%, as compared to 3.23% in the prior year. The yield on interest-earning assets increased 43 basis points from 3.84% to 4.27% while the cost of interest-bearing liabilities increased 110 basis points from 2.20% to 3.30%.</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decreased $60.0 million, or 5.6%, to $1.02 billion. The decrease in average loans was primarily due to the Company opting to be more selective in booking new loans as a result of a decline in average deposits during the first half of 2023. The average yield on loans increased 45 basis points to 5.06%, primarily due to the increase in short-term interest rates.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investment securities decreased $96.5 million, or 12.2%, to $694.8 million due to the maturity of investment securities throughout 2023 and the first three months of 2024. The average yield on taxable investment securities increased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18 basis points to 2.72% as a result of the increase in short and long-term interest rates. The average yield on tax-exempt investment securities declined 13 basis points to 2.69% driven by maturities of higher rate securities.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increased $57.0 million, or 19.3%, to $352.2 million. The increase is primarily a result of maturities of investment securities and the decline in average loans, partially offset by a decrease in average funding sources. The average yield on short-term investments increased 79 basis points to 5.07%, primarily due to the increase in short-term interest rates that began in March 2022. The majority of these short-term investments are held at the Federal Reserve Bank.</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average balance of interest-bearing deposits increased $40.5 million, or 6.9%, to $631.6 million. Average non-interest-bearing demand deposits decreased $105.7 million, or 19.1%, to $447.9 million. The Company experienced deposit attrition during the first half of 2023 as larger commercial depository clients moved their funds to higher interest rate alternatives outside the Company. The Company also incurred a shift from non-interest bearing to interest-bearing deposits from current customers. However, the Company has experienced recent growth in its average deposit balances as a result of higher deposit rates and increased depositor confidence across the banking industry. The average rate paid on interest-bearing deposits increased 112 basis points to 3.30% due to the increase in short-term interest rates.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accounts and drafts payable decreased $59.3 million, or 5.4%, to $1.04 billion. The decrease in average accounts and drafts payable was primarily driven by the decrease in transportation dollar volumes of 12.9%. In addition, a cyber attack at a CassPay client during the first quarter of 2024 reduced payment volumes and related average accounts and drafts payable to that client.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2023</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1,016,246</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12,776</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1,076,221</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12,235</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521,144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3,519</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571,673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3,586</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173,685</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1,162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219,690</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1,529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352,163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4,441</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295,150</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3,113</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4.28 %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2,063,238</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21,898</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2,162,734</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20,463</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31,531</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20,433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48,111</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20,574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21,355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194,338</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240,890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(59,407)</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(66,525)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71,889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(13,091)</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2,381,582</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2,499,341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548,071</w:t>
            </w: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4,404</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523,410</w:t>
            </w: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2,824</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27,627</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257</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23,803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110</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48,479</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485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36,787</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631,622</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5,178</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591,102</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3,171</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Pr>
          <w:p>
            <w:pPr>
              <w:spacing w:after="0"/>
              <w:rPr>
                <w:sz w:val="17"/>
                <w:szCs w:val="17"/>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340" w:type="dxa"/>
            <w:vAlign w:val="bottom"/>
          </w:tcPr>
          <w:p>
            <w:pPr>
              <w:spacing w:after="0"/>
              <w:rPr>
                <w:sz w:val="17"/>
                <w:szCs w:val="17"/>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631,633</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5,178</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596,935</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3,244</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447,900</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553,644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1,035,833</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1,095,182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39,547</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43,789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2,154,913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2,289,550</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226,669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209,791</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2,381,582</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2,499,341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16,720</w:t>
            </w:r>
          </w:p>
        </w:tc>
        <w:tc>
          <w:tcPr>
            <w:tcW w:w="96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17,219</w:t>
            </w:r>
          </w:p>
        </w:tc>
        <w:tc>
          <w:tcPr>
            <w:tcW w:w="98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on loans includes net loan fees of $83,000 and $220,000 for the first quarter of 2024 and 2023, respectively.</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39" w:lineRule="exact"/>
        <w:rPr>
          <w:rFonts w:ascii="Times New Roman" w:cs="Times New Roman" w:eastAsia="Times New Roman" w:hAnsi="Times New Roman"/>
          <w:sz w:val="14"/>
          <w:szCs w:val="14"/>
          <w:color w:val="auto"/>
        </w:rPr>
      </w:pPr>
    </w:p>
    <w:p>
      <w:pPr>
        <w:ind w:left="340" w:right="100" w:hanging="332"/>
        <w:spacing w:after="0" w:line="23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2024 and 2023. The tax-equivalent adjustment was approximately $244,000 and $321,000 for the first quarter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 2024 Compared to First Quarter of 2023</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Rate</w:t>
            </w: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000" w:type="dxa"/>
            <w:vAlign w:val="bottom"/>
            <w:shd w:val="clear" w:color="auto" w:fill="B6B6B6"/>
          </w:tcPr>
          <w:p>
            <w:pPr>
              <w:spacing w:after="0"/>
              <w:rPr>
                <w:sz w:val="22"/>
                <w:szCs w:val="22"/>
                <w:color w:val="auto"/>
              </w:rPr>
            </w:pPr>
          </w:p>
        </w:tc>
        <w:tc>
          <w:tcPr>
            <w:tcW w:w="48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5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(677)</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56"/>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000" w:type="dxa"/>
            <w:vAlign w:val="bottom"/>
            <w:shd w:val="clear" w:color="auto" w:fill="B6B6B6"/>
          </w:tcPr>
          <w:p>
            <w:pPr>
              <w:spacing w:after="0"/>
              <w:rPr>
                <w:sz w:val="22"/>
                <w:szCs w:val="22"/>
                <w:color w:val="auto"/>
              </w:rPr>
            </w:pPr>
          </w:p>
        </w:tc>
        <w:tc>
          <w:tcPr>
            <w:tcW w:w="48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5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(316)</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000" w:type="dxa"/>
            <w:vAlign w:val="bottom"/>
            <w:shd w:val="clear" w:color="auto" w:fill="B6B6B6"/>
          </w:tcPr>
          <w:p>
            <w:pPr>
              <w:spacing w:after="0"/>
              <w:rPr>
                <w:sz w:val="22"/>
                <w:szCs w:val="22"/>
                <w:color w:val="auto"/>
              </w:rPr>
            </w:pPr>
          </w:p>
        </w:tc>
        <w:tc>
          <w:tcPr>
            <w:tcW w:w="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7"/>
              </w:rPr>
              <w:t>(300)</w:t>
            </w:r>
          </w:p>
        </w:tc>
        <w:tc>
          <w:tcPr>
            <w:tcW w:w="960" w:type="dxa"/>
            <w:vAlign w:val="bottom"/>
            <w:shd w:val="clear" w:color="auto" w:fill="B6B6B6"/>
          </w:tcPr>
          <w:p>
            <w:pPr>
              <w:spacing w:after="0"/>
              <w:rPr>
                <w:sz w:val="22"/>
                <w:szCs w:val="22"/>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000" w:type="dxa"/>
            <w:vAlign w:val="bottom"/>
            <w:tcBorders>
              <w:bottom w:val="single" w:sz="8" w:color="auto"/>
            </w:tcBorders>
            <w:shd w:val="clear" w:color="auto" w:fill="B6B6B6"/>
          </w:tcPr>
          <w:p>
            <w:pPr>
              <w:spacing w:after="0"/>
              <w:rPr>
                <w:sz w:val="21"/>
                <w:szCs w:val="21"/>
                <w:color w:val="auto"/>
              </w:rPr>
            </w:pPr>
          </w:p>
        </w:tc>
        <w:tc>
          <w:tcPr>
            <w:tcW w:w="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7"/>
              </w:rPr>
              <w:t>(616)</w:t>
            </w:r>
          </w:p>
        </w:tc>
        <w:tc>
          <w:tcPr>
            <w:tcW w:w="960" w:type="dxa"/>
            <w:vAlign w:val="bottom"/>
            <w:tcBorders>
              <w:bottom w:val="single" w:sz="8" w:color="auto"/>
            </w:tcBorders>
            <w:shd w:val="clear" w:color="auto" w:fill="B6B6B6"/>
          </w:tcPr>
          <w:p>
            <w:pPr>
              <w:spacing w:after="0"/>
              <w:rPr>
                <w:sz w:val="21"/>
                <w:szCs w:val="21"/>
                <w:color w:val="auto"/>
              </w:rPr>
            </w:pPr>
          </w:p>
        </w:tc>
        <w:tc>
          <w:tcPr>
            <w:tcW w:w="5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2,051</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5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expense:</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000" w:type="dxa"/>
            <w:vAlign w:val="bottom"/>
            <w:shd w:val="clear" w:color="auto" w:fill="B6B6B6"/>
          </w:tcPr>
          <w:p>
            <w:pPr>
              <w:spacing w:after="0"/>
              <w:rPr>
                <w:sz w:val="22"/>
                <w:szCs w:val="22"/>
                <w:color w:val="auto"/>
              </w:rPr>
            </w:pPr>
          </w:p>
        </w:tc>
        <w:tc>
          <w:tcPr>
            <w:tcW w:w="4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shd w:val="clear" w:color="auto" w:fill="B6B6B6"/>
          </w:tcPr>
          <w:p>
            <w:pPr>
              <w:spacing w:after="0"/>
              <w:rPr>
                <w:sz w:val="22"/>
                <w:szCs w:val="22"/>
                <w:color w:val="auto"/>
              </w:rPr>
            </w:pPr>
          </w:p>
        </w:tc>
        <w:tc>
          <w:tcPr>
            <w:tcW w:w="5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0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000" w:type="dxa"/>
            <w:vAlign w:val="bottom"/>
            <w:shd w:val="clear" w:color="auto" w:fill="B6B6B6"/>
          </w:tcPr>
          <w:p>
            <w:pPr>
              <w:spacing w:after="0"/>
              <w:rPr>
                <w:sz w:val="22"/>
                <w:szCs w:val="22"/>
                <w:color w:val="auto"/>
              </w:rPr>
            </w:pPr>
          </w:p>
        </w:tc>
        <w:tc>
          <w:tcPr>
            <w:tcW w:w="4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shd w:val="clear" w:color="auto" w:fill="B6B6B6"/>
          </w:tcPr>
          <w:p>
            <w:pPr>
              <w:spacing w:after="0"/>
              <w:rPr>
                <w:sz w:val="22"/>
                <w:szCs w:val="22"/>
                <w:color w:val="auto"/>
              </w:rPr>
            </w:pPr>
          </w:p>
        </w:tc>
        <w:tc>
          <w:tcPr>
            <w:tcW w:w="5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0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000" w:type="dxa"/>
            <w:vAlign w:val="bottom"/>
            <w:tcBorders>
              <w:bottom w:val="single" w:sz="8" w:color="auto"/>
            </w:tcBorders>
            <w:shd w:val="clear" w:color="auto" w:fill="B6B6B6"/>
          </w:tcPr>
          <w:p>
            <w:pPr>
              <w:spacing w:after="0"/>
              <w:rPr>
                <w:sz w:val="22"/>
                <w:szCs w:val="22"/>
                <w:color w:val="auto"/>
              </w:rPr>
            </w:pPr>
          </w:p>
        </w:tc>
        <w:tc>
          <w:tcPr>
            <w:tcW w:w="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Borders>
              <w:bottom w:val="single" w:sz="8" w:color="auto"/>
            </w:tcBorders>
            <w:shd w:val="clear" w:color="auto" w:fill="B6B6B6"/>
          </w:tcPr>
          <w:p>
            <w:pPr>
              <w:spacing w:after="0"/>
              <w:rPr>
                <w:sz w:val="22"/>
                <w:szCs w:val="22"/>
                <w:color w:val="auto"/>
              </w:rPr>
            </w:pPr>
          </w:p>
        </w:tc>
        <w:tc>
          <w:tcPr>
            <w:tcW w:w="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00" w:type="dxa"/>
            <w:vAlign w:val="bottom"/>
            <w:tcBorders>
              <w:bottom w:val="single" w:sz="8" w:color="auto"/>
            </w:tcBorders>
            <w:shd w:val="clear" w:color="auto" w:fill="B6B6B6"/>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7"/>
              </w:rPr>
              <w:t>(828)</w:t>
            </w:r>
          </w:p>
        </w:tc>
        <w:tc>
          <w:tcPr>
            <w:tcW w:w="960" w:type="dxa"/>
            <w:vAlign w:val="bottom"/>
            <w:tcBorders>
              <w:bottom w:val="single" w:sz="8" w:color="auto"/>
            </w:tcBorders>
            <w:shd w:val="clear" w:color="auto" w:fill="B6B6B6"/>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March 31,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$95,000 for the first quarter of 2024 and release of credit losses of $340,000 in first quarter of 2023.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first quarter of 2024 was driven by an increase in total loans of $22.7 million, or 2.2%, as compared to December 31, 2023.</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experienced no loan charge-offs in the first quarter of 2024 and 2023. The ACL was $13.3 million at March 31, 2024 and $13.1 million at December 31, 2023. The ACL represented 1.28% of outstanding loans at March 31, 2024 and 1.29% of outstanding loans at December 31, 2023. The allowance for unfunded commitments was $17,000 at March 31, 2024 and $132,000 at December 31, 2023. There were no nonperforming loans outstanding at March 31, 2024 and December 31, 2023.</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8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First Quarter of</w:t>
            </w: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33"/>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13,089</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13,539</w:t>
            </w: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w:t>
            </w:r>
          </w:p>
        </w:tc>
      </w:tr>
      <w:tr>
        <w:trPr>
          <w:trHeight w:val="257"/>
        </w:trPr>
        <w:tc>
          <w:tcPr>
            <w:tcW w:w="8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recoveries</w:t>
            </w:r>
          </w:p>
        </w:tc>
        <w:tc>
          <w:tcPr>
            <w:tcW w:w="34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13,299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13,254</w:t>
            </w:r>
          </w:p>
        </w:tc>
      </w:tr>
      <w:tr>
        <w:trPr>
          <w:trHeight w:val="148"/>
        </w:trPr>
        <w:tc>
          <w:tcPr>
            <w:tcW w:w="8020" w:type="dxa"/>
            <w:vAlign w:val="bottom"/>
            <w:shd w:val="clear" w:color="auto" w:fill="B6B6B6"/>
          </w:tcPr>
          <w:p>
            <w:pPr>
              <w:spacing w:after="0"/>
              <w:rPr>
                <w:sz w:val="12"/>
                <w:szCs w:val="12"/>
                <w:color w:val="auto"/>
              </w:rPr>
            </w:pPr>
          </w:p>
        </w:tc>
        <w:tc>
          <w:tcPr>
            <w:tcW w:w="340" w:type="dxa"/>
            <w:vAlign w:val="bottom"/>
            <w:shd w:val="clear" w:color="auto" w:fill="B6B6B6"/>
          </w:tcPr>
          <w:p>
            <w:pPr>
              <w:spacing w:after="0"/>
              <w:rPr>
                <w:sz w:val="12"/>
                <w:szCs w:val="12"/>
                <w:color w:val="auto"/>
              </w:rPr>
            </w:pPr>
          </w:p>
        </w:tc>
        <w:tc>
          <w:tcPr>
            <w:tcW w:w="1220" w:type="dxa"/>
            <w:vAlign w:val="bottom"/>
            <w:shd w:val="clear" w:color="auto" w:fill="B6B6B6"/>
          </w:tcPr>
          <w:p>
            <w:pPr>
              <w:spacing w:after="0"/>
              <w:rPr>
                <w:sz w:val="12"/>
                <w:szCs w:val="12"/>
                <w:color w:val="auto"/>
              </w:rPr>
            </w:pPr>
          </w:p>
        </w:tc>
        <w:tc>
          <w:tcPr>
            <w:tcW w:w="380" w:type="dxa"/>
            <w:vAlign w:val="bottom"/>
            <w:shd w:val="clear" w:color="auto" w:fill="B6B6B6"/>
          </w:tcPr>
          <w:p>
            <w:pPr>
              <w:spacing w:after="0"/>
              <w:rPr>
                <w:sz w:val="12"/>
                <w:szCs w:val="12"/>
                <w:color w:val="auto"/>
              </w:rPr>
            </w:pPr>
          </w:p>
        </w:tc>
        <w:tc>
          <w:tcPr>
            <w:tcW w:w="1180" w:type="dxa"/>
            <w:vAlign w:val="bottom"/>
            <w:shd w:val="clear" w:color="auto" w:fill="B6B6B6"/>
          </w:tcPr>
          <w:p>
            <w:pPr>
              <w:spacing w:after="0"/>
              <w:rPr>
                <w:sz w:val="12"/>
                <w:szCs w:val="12"/>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r>
      <w:tr>
        <w:trPr>
          <w:trHeight w:val="257"/>
        </w:trPr>
        <w:tc>
          <w:tcPr>
            <w:tcW w:w="8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r>
      <w:tr>
        <w:trPr>
          <w:trHeight w:val="135"/>
        </w:trPr>
        <w:tc>
          <w:tcPr>
            <w:tcW w:w="8020" w:type="dxa"/>
            <w:vAlign w:val="bottom"/>
            <w:shd w:val="clear" w:color="auto" w:fill="B6B6B6"/>
          </w:tcPr>
          <w:p>
            <w:pPr>
              <w:spacing w:after="0"/>
              <w:rPr>
                <w:sz w:val="11"/>
                <w:szCs w:val="11"/>
                <w:color w:val="auto"/>
              </w:rPr>
            </w:pPr>
          </w:p>
        </w:tc>
        <w:tc>
          <w:tcPr>
            <w:tcW w:w="340" w:type="dxa"/>
            <w:vAlign w:val="bottom"/>
            <w:shd w:val="clear" w:color="auto" w:fill="B6B6B6"/>
          </w:tcPr>
          <w:p>
            <w:pPr>
              <w:spacing w:after="0"/>
              <w:rPr>
                <w:sz w:val="11"/>
                <w:szCs w:val="11"/>
                <w:color w:val="auto"/>
              </w:rPr>
            </w:pPr>
          </w:p>
        </w:tc>
        <w:tc>
          <w:tcPr>
            <w:tcW w:w="1220" w:type="dxa"/>
            <w:vAlign w:val="bottom"/>
            <w:shd w:val="clear" w:color="auto" w:fill="B6B6B6"/>
          </w:tcPr>
          <w:p>
            <w:pPr>
              <w:spacing w:after="0"/>
              <w:rPr>
                <w:sz w:val="11"/>
                <w:szCs w:val="11"/>
                <w:color w:val="auto"/>
              </w:rPr>
            </w:pPr>
          </w:p>
        </w:tc>
        <w:tc>
          <w:tcPr>
            <w:tcW w:w="380" w:type="dxa"/>
            <w:vAlign w:val="bottom"/>
            <w:shd w:val="clear" w:color="auto" w:fill="B6B6B6"/>
          </w:tcPr>
          <w:p>
            <w:pPr>
              <w:spacing w:after="0"/>
              <w:rPr>
                <w:sz w:val="11"/>
                <w:szCs w:val="11"/>
                <w:color w:val="auto"/>
              </w:rPr>
            </w:pPr>
          </w:p>
        </w:tc>
        <w:tc>
          <w:tcPr>
            <w:tcW w:w="1180" w:type="dxa"/>
            <w:vAlign w:val="bottom"/>
            <w:shd w:val="clear" w:color="auto" w:fill="B6B6B6"/>
          </w:tcPr>
          <w:p>
            <w:pPr>
              <w:spacing w:after="0"/>
              <w:rPr>
                <w:sz w:val="11"/>
                <w:szCs w:val="1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802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Average</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1,016,246</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1,076,221</w:t>
            </w:r>
          </w:p>
        </w:tc>
      </w:tr>
      <w:tr>
        <w:trPr>
          <w:trHeight w:val="250"/>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1,036,997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1,070,373</w:t>
            </w:r>
          </w:p>
        </w:tc>
      </w:tr>
      <w:tr>
        <w:trPr>
          <w:trHeight w:val="257"/>
        </w:trPr>
        <w:tc>
          <w:tcPr>
            <w:tcW w:w="8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Ratio of allowance for credit losses to loans outstanding at March 31</w:t>
            </w:r>
          </w:p>
        </w:tc>
        <w:tc>
          <w:tcPr>
            <w:tcW w:w="34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first quarter of 2024 increased $299,000, or 0.7%, compared to the first quarter of 2023. The following table details the components of operating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100" w:type="dxa"/>
            <w:vAlign w:val="bottom"/>
            <w:tcBorders>
              <w:bottom w:val="single" w:sz="8" w:color="auto"/>
            </w:tcBorders>
          </w:tcPr>
          <w:p>
            <w:pPr>
              <w:spacing w:after="0"/>
              <w:rPr>
                <w:sz w:val="20"/>
                <w:szCs w:val="20"/>
                <w:color w:val="auto"/>
              </w:rPr>
            </w:pPr>
          </w:p>
        </w:tc>
      </w:tr>
      <w:tr>
        <w:trPr>
          <w:trHeight w:val="237"/>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40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23,976</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22,605</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9"/>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periodic pension cost (benefit)</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B6B6B6"/>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23"/>
        </w:trPr>
        <w:tc>
          <w:tcPr>
            <w:tcW w:w="75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30,026</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7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75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bottom w:val="single" w:sz="8" w:color="auto"/>
            </w:tcBorders>
            <w:shd w:val="clear" w:color="auto" w:fill="B6B6B6"/>
          </w:tcPr>
          <w:p>
            <w:pPr>
              <w:spacing w:after="0"/>
              <w:rPr>
                <w:sz w:val="19"/>
                <w:szCs w:val="19"/>
                <w:color w:val="auto"/>
              </w:rPr>
            </w:pPr>
          </w:p>
        </w:tc>
        <w:tc>
          <w:tcPr>
            <w:tcW w:w="64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23"/>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40,372</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expenses increased $581,000, or 1.9%. Salaries and commissions increased $1.4 million, or 6.1%, as a result of merit increases and an increase in average full-time equivalent employees of 5.2% due to strategic investments in various technology initiatives. Share-based compensation decreased $724,000, reflecting the Company's financial performance and the impact on performance-based restricted stock between the periods.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Non-Personnel expenses decreased $282,000, or 1.9%. Certain expense categories related to technology initiatives declined as the Company transitioned to new technology platforms for data entry.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March 31, 2024 were $2.29 billion, a decrease of $185.0 million, or 7.5%, from December 31, 2023.</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experienced a decrease in cash and cash equivalents of $179.7 million, or 48.2%, during the first three months of 2024. The change in cash and cash equivalents reflects the Company’s daily liquidity position and is primarily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affected by changes in funding sources, mainly accounts and drafts payable and deposits, cash flows in and out of loans, investments securities and payments in advance of funding.</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investment securities portfolio decreased $5.2 million, or 0.8%, during the first three months of 2024. The decrease is due to maturities of $39.6 million and an increase in unrealized losses of $1.7 million driven by the increase in long-term interest rates, partially offset by purchases of $37.5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increased $22.7 million, or 2.2%, from December 31, 2023. The Company experienced growth in its commercial and industrial loan portfolio during the first quarter of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in advance of funding increased $22.7 million, or 11.4%. The Company has experienced a recent increase in these balances dues to sales activities and other external factors.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and drafts receivable from customers decreased $77.8 million, or 70.3%, from December 31, 2023. The decrease is solely due to timing of customer funding.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deposits at March 31, 2024 were $1.08 billion, a decrease of $61.7 million, or 5.4%, from December 31, 2023. The decrease is primarily due to timing as well as client tax payments occurring towards the end of the first quarter.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at March 31, 2024 were $944.8 million, a decrease of $126.6 million, or 11.8%, from December 31, 2023. Accounts and drafts payable are a stable source of funding generated by payment float from transportation and facility clients.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liabilities at March 31, 2024 were $2.06 billion, a decrease of $184.7 million, or 8.2%, from December 31, 2023, reflective of the decrease in deposits and accounts and drafts payable.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March 31, 2024 was $229.5 million, a $322,000 decrease from December 31, 2023. The decrease in shareholders’ equity is a result of dividends paid of $4.1 million, the repurchase of Company stock of $1.1 million, and an increase in accumulated other comprehensive loss of $1.7 million primarily related to the fair value of available-for-sale investment securities, partially offset by first quarter of 2024 earnings of $7.2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$192.8 million at March 31, 2024, a decrease of $179.7 million, or 48.2%, from December 31, 2023. At March 31, 2024, these assets represented 8.4% of total assets and are the Company’s and its subsidiaries’ primary source of liquidity to meet future expected and unexpected loan demand, depositor withdrawals or reductions in accounts and drafts payable.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$621.9 million at March 31, 2024, a decrease of $5.2 million from December 31, 2023. These assets represented 27.1% of total assets at March 31, 2024. Of the total portfolio, 19.3% mature in one year, 20.6% mature in one to five years, and 60.1% mature in five or more years</w:t>
      </w:r>
      <w:r>
        <w:rPr>
          <w:rFonts w:ascii="Times New Roman" w:cs="Times New Roman" w:eastAsia="Times New Roman" w:hAnsi="Times New Roman"/>
          <w:sz w:val="18"/>
          <w:szCs w:val="18"/>
          <w:i w:val="1"/>
          <w:iCs w:val="1"/>
          <w:color w:val="auto"/>
        </w:rPr>
        <w: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 million in aggregate. As of March 31, 2024, the Bank also has secured lines of credit with the Federal Home Loan Bank of $238.5 million collateralized by mortgage loans. The Company also has secured lines of credit from three banks up to a maximum of $250.0 million in aggregate collateralized by investment securities. There were no amounts outstanding under any line of credit as of March 31, 2024 or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$47.5 million of CDARS deposits and interest-bearing demand deposits include $164.6 million of ICS deposits. These programs offer the Bank’s customers the ability to maximize Federal Deposit Insurance Corporation (“FDIC”) insurance coverage. The Company uses these programs to retain or attract deposits from existing customers.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$9.8 million for the three months ended March 31, 2024, compared to $9.3 million for the three months ended March 31, 2023, an increase of $534,000.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2024, which are estimated to range from $10 million to $12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$9.5 million for both the three months ended March 31, 2024 and 2023. The first quarter of 2024 reflected higher net income of $35,000 and higher depreciation of $196,000, which was partially offset by a decrease in net amortization of premium/discount on investment securities of $182,000.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impacting the $534,000 increase in net cash provided by operating activities include:</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operating activities, net of $269,000, primarily due to changes in various other assets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smaller increase in accounts receivable of $277,000;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provision for (release of) credit losses of $435,000 primarily due to changes in loans outstanding during the respective periods.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were partially offset by a decrease in the stock compensation expense of $724,000.</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2023 Form 10-K.</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administered by state and federal banking agencies. Capital adequacy guidelines, and, for banks, prompt correct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2023 Form 10-K.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271,145</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15.60 %</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139,011</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205,707</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88,109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110,137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257,826</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78,194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193,197</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49,562</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71,589</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257,826</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104,258</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193,197</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66,082</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88,109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257,826</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94,445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193,197</w:t>
            </w:r>
          </w:p>
        </w:tc>
        <w:tc>
          <w:tcPr>
            <w:tcW w:w="96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60,240</w:t>
            </w:r>
          </w:p>
        </w:tc>
        <w:tc>
          <w:tcPr>
            <w:tcW w:w="106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75,300</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269,580</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15.49 %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139,266</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204,584</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19.04</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85,964</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99"/>
              </w:rPr>
              <w:t>107,455</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256,359</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78,337</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192,104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48,355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69,846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256,359</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104,449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192,104</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64,473</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85,964</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256,359</w:t>
            </w:r>
          </w:p>
        </w:tc>
        <w:tc>
          <w:tcPr>
            <w:tcW w:w="96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95,760</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192,104</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61,526</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76,908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October 2023, the FASB issued 2023-06, </w:t>
      </w:r>
      <w:r>
        <w:rPr>
          <w:rFonts w:ascii="Times New Roman" w:cs="Times New Roman" w:eastAsia="Times New Roman" w:hAnsi="Times New Roman"/>
          <w:sz w:val="18"/>
          <w:szCs w:val="18"/>
          <w:i w:val="1"/>
          <w:iCs w:val="1"/>
          <w:color w:val="auto"/>
        </w:rPr>
        <w:t>Disclosure Improvements -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ASU amends the ASC to incorporate certain disclosure requirements from SEC Release No. 33-10532 -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Update and Simplification that was issued in 2018.</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2023-07, </w:t>
      </w:r>
      <w:r>
        <w:rPr>
          <w:rFonts w:ascii="Times New Roman" w:cs="Times New Roman" w:eastAsia="Times New Roman" w:hAnsi="Times New Roman"/>
          <w:sz w:val="18"/>
          <w:szCs w:val="18"/>
          <w:i w:val="1"/>
          <w:iCs w:val="1"/>
          <w:color w:val="auto"/>
        </w:rPr>
        <w:t>Segment Reporting (Topic 820): Improvements to Reportable Segment Disclosures</w:t>
      </w:r>
      <w:r>
        <w:rPr>
          <w:rFonts w:ascii="Times New Roman" w:cs="Times New Roman" w:eastAsia="Times New Roman" w:hAnsi="Times New Roman"/>
          <w:sz w:val="18"/>
          <w:szCs w:val="18"/>
          <w:color w:val="auto"/>
        </w:rPr>
        <w:t xml:space="preserve"> ("ASU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2024. Early adoption is permitted. ASU 2023-07 is not expected to have a significant impact on the Company's financial statements.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2023 Form 10-K for the year ended December 31, 2023,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March 31, 2024 and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4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29"/>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86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$2.06 billion for the first quarter of 2024 greatly exceeded average interest-bearing liabilities of $631.6 million. The table above on the projected impact of interest rate shocks results from a static balance sheet at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first quarter of 2024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2023 Form 10-K, a description of certain risks and uncertainties that could affect the Company’s business, future performance or financial condition (the “Risk Factors”). There are no material changes to the Risk Factors as disclosed in the Company’s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repurchased shares of its common stock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3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39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60" w:type="dxa"/>
            <w:vAlign w:val="bottom"/>
          </w:tcPr>
          <w:p>
            <w:pPr>
              <w:spacing w:after="0"/>
              <w:rPr>
                <w:sz w:val="8"/>
                <w:szCs w:val="8"/>
                <w:color w:val="auto"/>
              </w:rPr>
            </w:pPr>
          </w:p>
        </w:tc>
        <w:tc>
          <w:tcPr>
            <w:tcW w:w="2460" w:type="dxa"/>
            <w:vAlign w:val="bottom"/>
            <w:vMerge w:val="restart"/>
          </w:tcPr>
          <w:p>
            <w:pPr>
              <w:jc w:val="center"/>
              <w:ind w:left="8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460" w:type="dxa"/>
            <w:vAlign w:val="bottom"/>
            <w:vMerge w:val="restart"/>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396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9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tcPr>
          <w:p>
            <w:pPr>
              <w:jc w:val="center"/>
              <w:ind w:left="9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3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January 1, 2024–January 31, 2024</w:t>
            </w:r>
          </w:p>
        </w:tc>
        <w:tc>
          <w:tcPr>
            <w:tcW w:w="2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44.01</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486,036</w:t>
            </w: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2024–February 29, 2024</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44.94</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18,765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467,271</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March 1, 2024–March 31, 2024</w:t>
            </w:r>
          </w:p>
        </w:tc>
        <w:tc>
          <w:tcPr>
            <w:tcW w:w="2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46.79</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4,506</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462,765</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44.46</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23,271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462,765</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2024, there were 23,271 shares repurchased pursuant to the Company's publicly announced treasury stock buyback program and 43,942 shares transferred from employees in satisfaction of tax withholding obligations upon the vesting of restricted stock.</w:t>
      </w:r>
    </w:p>
    <w:p>
      <w:pPr>
        <w:ind w:left="340" w:hanging="332"/>
        <w:spacing w:after="0" w:line="26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authorized the treasury stock buyback program on October 17, 2023, announced by the Company on October 19, 2023. The program provides that the Company may repurchase up to an aggregate of 500,000 shares of common stock and has no expiration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first quarter of 2024.</w:t>
      </w:r>
    </w:p>
    <w:p>
      <w:pPr>
        <w:spacing w:after="0" w:line="121"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CASS INFORMATION SYSTEMS, INC.</w:t>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3, 2024</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26035</wp:posOffset>
            </wp:positionV>
            <wp:extent cx="44316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3160" w:space="720"/>
            <w:col w:w="2440" w:space="720"/>
            <w:col w:w="4200"/>
          </w:cols>
          <w:pgMar w:left="320" w:top="117" w:right="339" w:bottom="1440" w:gutter="0" w:footer="0" w:header="0"/>
          <w:type w:val="continuous"/>
        </w:sectPr>
      </w:pPr>
    </w:p>
    <w:p>
      <w:pPr>
        <w:jc w:val="center"/>
        <w:ind w:left="42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r>
        <w:trPr>
          <w:trHeight w:val="243"/>
        </w:trPr>
        <w:tc>
          <w:tcPr>
            <w:tcW w:w="2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Normile</w:t>
            </w:r>
          </w:p>
        </w:tc>
      </w:tr>
      <w:tr>
        <w:trPr>
          <w:trHeight w:val="256"/>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57"/>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918"/>
        </w:trPr>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-34-</w:t>
            </w:r>
          </w:p>
        </w:tc>
      </w:tr>
    </w:tbl>
    <w:p>
      <w:pPr>
        <w:sectPr>
          <w:pgSz w:w="11900" w:h="16838" w:orient="portrait"/>
          <w:cols w:equalWidth="0" w:num="1">
            <w:col w:w="11240"/>
          </w:cols>
          <w:pgMar w:left="320" w:top="117"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2024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3, 2024</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2024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3, 2024</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2024-05-03T09:49:01Z</dcterms:created>
  <dcterms:modified xsi:type="dcterms:W3CDTF">2024-05-03T09:49:01Z</dcterms:modified>
</cp:coreProperties>
</file>