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8"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4"/>
          <w:szCs w:val="14"/>
          <w:b w:val="1"/>
          <w:bCs w:val="1"/>
          <w:color w:val="auto"/>
        </w:rPr>
        <w:t>_________________</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9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25" w:lineRule="exact"/>
        <w:rPr>
          <w:sz w:val="24"/>
          <w:szCs w:val="24"/>
          <w:color w:val="auto"/>
        </w:rPr>
      </w:pPr>
    </w:p>
    <w:p>
      <w:pPr>
        <w:ind w:left="200"/>
        <w:spacing w:after="0"/>
        <w:tabs>
          <w:tab w:leader="none" w:pos="2780" w:val="left"/>
        </w:tabs>
        <w:rPr>
          <w:sz w:val="20"/>
          <w:szCs w:val="20"/>
          <w:color w:val="auto"/>
        </w:rPr>
      </w:pPr>
      <w:r>
        <w:rPr>
          <w:rFonts w:ascii="Times New Roman" w:cs="Times New Roman" w:eastAsia="Times New Roman" w:hAnsi="Times New Roman"/>
          <w:sz w:val="18"/>
          <w:szCs w:val="18"/>
          <w:color w:val="auto"/>
        </w:rPr>
        <w:t>For the quarterly period ended</w:t>
      </w:r>
      <w:r>
        <w:rPr>
          <w:sz w:val="20"/>
          <w:szCs w:val="20"/>
          <w:color w:val="auto"/>
        </w:rPr>
        <w:tab/>
      </w:r>
      <w:r>
        <w:rPr>
          <w:rFonts w:ascii="Times New Roman" w:cs="Times New Roman" w:eastAsia="Times New Roman" w:hAnsi="Times New Roman"/>
          <w:sz w:val="17"/>
          <w:szCs w:val="17"/>
          <w:color w:val="auto"/>
        </w:rPr>
        <w:t>June 30,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1549400</wp:posOffset>
            </wp:positionH>
            <wp:positionV relativeFrom="paragraph">
              <wp:posOffset>-7620</wp:posOffset>
            </wp:positionV>
            <wp:extent cx="11239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2395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1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w:t>
            </w:r>
          </w:p>
        </w:tc>
        <w:tc>
          <w:tcPr>
            <w:tcW w:w="5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20" w:type="dxa"/>
            <w:vAlign w:val="bottom"/>
          </w:tcPr>
          <w:p>
            <w:pPr>
              <w:spacing w:after="0"/>
              <w:rPr>
                <w:sz w:val="17"/>
                <w:szCs w:val="17"/>
                <w:color w:val="auto"/>
              </w:rPr>
            </w:pPr>
          </w:p>
        </w:tc>
      </w:tr>
      <w:tr>
        <w:trPr>
          <w:trHeight w:val="453"/>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2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Commission File No. 000-20827</w:t>
            </w:r>
          </w:p>
        </w:tc>
        <w:tc>
          <w:tcPr>
            <w:tcW w:w="3620" w:type="dxa"/>
            <w:vAlign w:val="bottom"/>
          </w:tcPr>
          <w:p>
            <w:pPr>
              <w:spacing w:after="0"/>
              <w:rPr>
                <w:sz w:val="24"/>
                <w:szCs w:val="24"/>
                <w:color w:val="auto"/>
              </w:rPr>
            </w:pPr>
          </w:p>
        </w:tc>
      </w:tr>
      <w:tr>
        <w:trPr>
          <w:trHeight w:val="338"/>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60" w:type="dxa"/>
            <w:vAlign w:val="bottom"/>
            <w:gridSpan w:val="2"/>
          </w:tcPr>
          <w:p>
            <w:pPr>
              <w:jc w:val="center"/>
              <w:ind w:right="490"/>
              <w:spacing w:after="0"/>
              <w:rPr>
                <w:sz w:val="20"/>
                <w:szCs w:val="20"/>
                <w:color w:val="auto"/>
              </w:rPr>
            </w:pPr>
            <w:r>
              <w:rPr>
                <w:rFonts w:ascii="Times New Roman" w:cs="Times New Roman" w:eastAsia="Times New Roman" w:hAnsi="Times New Roman"/>
                <w:sz w:val="14"/>
                <w:szCs w:val="14"/>
                <w:b w:val="1"/>
                <w:bCs w:val="1"/>
                <w:color w:val="auto"/>
                <w:w w:val="96"/>
              </w:rPr>
              <w:t>________________</w:t>
            </w:r>
          </w:p>
        </w:tc>
        <w:tc>
          <w:tcPr>
            <w:tcW w:w="26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52"/>
        </w:trPr>
        <w:tc>
          <w:tcPr>
            <w:tcW w:w="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60" w:type="dxa"/>
            <w:vAlign w:val="bottom"/>
            <w:gridSpan w:val="6"/>
          </w:tcPr>
          <w:p>
            <w:pPr>
              <w:ind w:left="40"/>
              <w:spacing w:after="0" w:line="251" w:lineRule="exact"/>
              <w:rPr>
                <w:sz w:val="20"/>
                <w:szCs w:val="20"/>
                <w:color w:val="auto"/>
              </w:rPr>
            </w:pPr>
            <w:r>
              <w:rPr>
                <w:rFonts w:ascii="Times New Roman" w:cs="Times New Roman" w:eastAsia="Times New Roman" w:hAnsi="Times New Roman"/>
                <w:sz w:val="22"/>
                <w:szCs w:val="22"/>
                <w:b w:val="1"/>
                <w:bCs w:val="1"/>
                <w:color w:val="auto"/>
              </w:rPr>
              <w:t>CASS INFORMATION SYSTEMS, INC.</w:t>
            </w:r>
          </w:p>
        </w:tc>
        <w:tc>
          <w:tcPr>
            <w:tcW w:w="3620" w:type="dxa"/>
            <w:vAlign w:val="bottom"/>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6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62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Missouri</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20" w:type="dxa"/>
            <w:vAlign w:val="bottom"/>
          </w:tcPr>
          <w:p>
            <w:pPr>
              <w:jc w:val="right"/>
              <w:ind w:right="2210"/>
              <w:spacing w:after="0"/>
              <w:rPr>
                <w:sz w:val="20"/>
                <w:szCs w:val="20"/>
                <w:color w:val="auto"/>
              </w:rPr>
            </w:pPr>
            <w:r>
              <w:rPr>
                <w:rFonts w:ascii="Times New Roman" w:cs="Times New Roman" w:eastAsia="Times New Roman" w:hAnsi="Times New Roman"/>
                <w:sz w:val="18"/>
                <w:szCs w:val="18"/>
                <w:b w:val="1"/>
                <w:bCs w:val="1"/>
                <w:color w:val="auto"/>
              </w:rPr>
              <w:t>43-1265338</w:t>
            </w:r>
          </w:p>
        </w:tc>
      </w:tr>
      <w:tr>
        <w:trPr>
          <w:trHeight w:val="243"/>
        </w:trPr>
        <w:tc>
          <w:tcPr>
            <w:tcW w:w="20" w:type="dxa"/>
            <w:vAlign w:val="bottom"/>
          </w:tcPr>
          <w:p>
            <w:pPr>
              <w:spacing w:after="0"/>
              <w:rPr>
                <w:sz w:val="21"/>
                <w:szCs w:val="21"/>
                <w:color w:val="auto"/>
              </w:rPr>
            </w:pPr>
          </w:p>
        </w:tc>
        <w:tc>
          <w:tcPr>
            <w:tcW w:w="4460" w:type="dxa"/>
            <w:vAlign w:val="bottom"/>
            <w:gridSpan w:val="6"/>
          </w:tcPr>
          <w:p>
            <w:pPr>
              <w:jc w:val="center"/>
              <w:ind w:left="10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840" w:type="dxa"/>
            <w:vAlign w:val="bottom"/>
          </w:tcPr>
          <w:p>
            <w:pPr>
              <w:spacing w:after="0"/>
              <w:rPr>
                <w:sz w:val="21"/>
                <w:szCs w:val="21"/>
                <w:color w:val="auto"/>
              </w:rPr>
            </w:pPr>
          </w:p>
        </w:tc>
        <w:tc>
          <w:tcPr>
            <w:tcW w:w="610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43"/>
        </w:trPr>
        <w:tc>
          <w:tcPr>
            <w:tcW w:w="20" w:type="dxa"/>
            <w:vAlign w:val="bottom"/>
          </w:tcPr>
          <w:p>
            <w:pPr>
              <w:spacing w:after="0"/>
              <w:rPr>
                <w:sz w:val="21"/>
                <w:szCs w:val="21"/>
                <w:color w:val="auto"/>
              </w:rPr>
            </w:pPr>
          </w:p>
        </w:tc>
        <w:tc>
          <w:tcPr>
            <w:tcW w:w="3640" w:type="dxa"/>
            <w:vAlign w:val="bottom"/>
            <w:gridSpan w:val="2"/>
          </w:tcPr>
          <w:p>
            <w:pPr>
              <w:jc w:val="center"/>
              <w:ind w:left="1850"/>
              <w:spacing w:after="0"/>
              <w:rPr>
                <w:sz w:val="20"/>
                <w:szCs w:val="20"/>
                <w:color w:val="auto"/>
              </w:rPr>
            </w:pPr>
            <w:r>
              <w:rPr>
                <w:rFonts w:ascii="Times New Roman" w:cs="Times New Roman" w:eastAsia="Times New Roman" w:hAnsi="Times New Roman"/>
                <w:sz w:val="18"/>
                <w:szCs w:val="18"/>
                <w:color w:val="auto"/>
                <w:w w:val="97"/>
              </w:rPr>
              <w:t>organization)</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460" w:type="dxa"/>
            <w:vAlign w:val="bottom"/>
            <w:gridSpan w:val="6"/>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rPr>
              <w:t>12444 Powerscourt Drive, Suite 550</w:t>
            </w:r>
          </w:p>
        </w:tc>
        <w:tc>
          <w:tcPr>
            <w:tcW w:w="84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640" w:type="dxa"/>
            <w:vAlign w:val="bottom"/>
            <w:gridSpan w:val="2"/>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rPr>
              <w:t>St. Louis, Missouri</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2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63131</w:t>
            </w:r>
          </w:p>
        </w:tc>
      </w:tr>
      <w:tr>
        <w:trPr>
          <w:trHeight w:val="243"/>
        </w:trPr>
        <w:tc>
          <w:tcPr>
            <w:tcW w:w="20" w:type="dxa"/>
            <w:vAlign w:val="bottom"/>
          </w:tcPr>
          <w:p>
            <w:pPr>
              <w:spacing w:after="0"/>
              <w:rPr>
                <w:sz w:val="21"/>
                <w:szCs w:val="21"/>
                <w:color w:val="auto"/>
              </w:rPr>
            </w:pPr>
          </w:p>
        </w:tc>
        <w:tc>
          <w:tcPr>
            <w:tcW w:w="4460" w:type="dxa"/>
            <w:vAlign w:val="bottom"/>
            <w:gridSpan w:val="6"/>
          </w:tcPr>
          <w:p>
            <w:pPr>
              <w:jc w:val="center"/>
              <w:ind w:left="10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84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20" w:type="dxa"/>
            <w:vAlign w:val="bottom"/>
          </w:tcPr>
          <w:p>
            <w:pPr>
              <w:jc w:val="center"/>
              <w:ind w:right="177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60" w:type="dxa"/>
            <w:vAlign w:val="bottom"/>
            <w:gridSpan w:val="2"/>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(314) 506-5500</w:t>
            </w:r>
          </w:p>
        </w:tc>
        <w:tc>
          <w:tcPr>
            <w:tcW w:w="26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6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20" w:type="dxa"/>
            <w:vAlign w:val="bottom"/>
          </w:tcPr>
          <w:p>
            <w:pPr>
              <w:spacing w:after="0"/>
              <w:rPr>
                <w:sz w:val="20"/>
                <w:szCs w:val="20"/>
                <w:color w:val="auto"/>
              </w:rPr>
            </w:pPr>
          </w:p>
        </w:tc>
      </w:tr>
      <w:tr>
        <w:trPr>
          <w:trHeight w:val="427"/>
        </w:trPr>
        <w:tc>
          <w:tcPr>
            <w:tcW w:w="44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8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41"/>
        </w:trPr>
        <w:tc>
          <w:tcPr>
            <w:tcW w:w="20" w:type="dxa"/>
            <w:vAlign w:val="bottom"/>
          </w:tcPr>
          <w:p>
            <w:pPr>
              <w:spacing w:after="0"/>
              <w:rPr>
                <w:sz w:val="20"/>
                <w:szCs w:val="20"/>
                <w:color w:val="auto"/>
              </w:rPr>
            </w:pPr>
          </w:p>
        </w:tc>
        <w:tc>
          <w:tcPr>
            <w:tcW w:w="36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32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rPr>
              <w:t>Trading symbols</w:t>
            </w: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6"/>
        </w:trPr>
        <w:tc>
          <w:tcPr>
            <w:tcW w:w="20" w:type="dxa"/>
            <w:vAlign w:val="bottom"/>
          </w:tcPr>
          <w:p>
            <w:pPr>
              <w:spacing w:after="0"/>
              <w:rPr>
                <w:sz w:val="19"/>
                <w:szCs w:val="19"/>
                <w:color w:val="auto"/>
              </w:rPr>
            </w:pPr>
          </w:p>
        </w:tc>
        <w:tc>
          <w:tcPr>
            <w:tcW w:w="36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Common stock, par value $.50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20" w:type="dxa"/>
            <w:vAlign w:val="bottom"/>
            <w:tcBorders>
              <w:top w:val="single" w:sz="8" w:color="auto"/>
            </w:tcBorders>
          </w:tcPr>
          <w:p>
            <w:pPr>
              <w:jc w:val="center"/>
              <w:ind w:right="1310"/>
              <w:spacing w:after="0"/>
              <w:rPr>
                <w:sz w:val="20"/>
                <w:szCs w:val="20"/>
                <w:color w:val="auto"/>
              </w:rPr>
            </w:pPr>
            <w:r>
              <w:rPr>
                <w:rFonts w:ascii="Times New Roman" w:cs="Times New Roman" w:eastAsia="Times New Roman" w:hAnsi="Times New Roman"/>
                <w:sz w:val="18"/>
                <w:szCs w:val="18"/>
                <w:color w:val="auto"/>
              </w:rPr>
              <w:t>CASS</w:t>
            </w:r>
          </w:p>
        </w:tc>
        <w:tc>
          <w:tcPr>
            <w:tcW w:w="260" w:type="dxa"/>
            <w:vAlign w:val="bottom"/>
          </w:tcPr>
          <w:p>
            <w:pPr>
              <w:spacing w:after="0"/>
              <w:rPr>
                <w:sz w:val="19"/>
                <w:szCs w:val="19"/>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178"/>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60" w:type="dxa"/>
            <w:vAlign w:val="bottom"/>
            <w:gridSpan w:val="2"/>
          </w:tcPr>
          <w:p>
            <w:pPr>
              <w:jc w:val="center"/>
              <w:ind w:right="490"/>
              <w:spacing w:after="0"/>
              <w:rPr>
                <w:sz w:val="20"/>
                <w:szCs w:val="20"/>
                <w:color w:val="auto"/>
              </w:rPr>
            </w:pPr>
            <w:r>
              <w:rPr>
                <w:rFonts w:ascii="Times New Roman" w:cs="Times New Roman" w:eastAsia="Times New Roman" w:hAnsi="Times New Roman"/>
                <w:sz w:val="14"/>
                <w:szCs w:val="14"/>
                <w:b w:val="1"/>
                <w:bCs w:val="1"/>
                <w:color w:val="auto"/>
                <w:w w:val="96"/>
              </w:rPr>
              <w:t>________________</w:t>
            </w:r>
          </w:p>
        </w:tc>
        <w:tc>
          <w:tcPr>
            <w:tcW w:w="260" w:type="dxa"/>
            <w:vAlign w:val="bottom"/>
          </w:tcPr>
          <w:p>
            <w:pPr>
              <w:spacing w:after="0"/>
              <w:rPr>
                <w:sz w:val="15"/>
                <w:szCs w:val="15"/>
                <w:color w:val="auto"/>
              </w:rPr>
            </w:pPr>
          </w:p>
        </w:tc>
        <w:tc>
          <w:tcPr>
            <w:tcW w:w="3620" w:type="dxa"/>
            <w:vAlign w:val="bottom"/>
          </w:tcPr>
          <w:p>
            <w:pPr>
              <w:spacing w:after="0"/>
              <w:rPr>
                <w:sz w:val="15"/>
                <w:szCs w:val="15"/>
                <w:color w:val="auto"/>
              </w:rPr>
            </w:pPr>
          </w:p>
        </w:tc>
      </w:tr>
    </w:tbl>
    <w:p>
      <w:pPr>
        <w:spacing w:after="0" w:line="185" w:lineRule="exact"/>
        <w:rPr>
          <w:sz w:val="24"/>
          <w:szCs w:val="24"/>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0" w:lineRule="exact"/>
        <w:rPr>
          <w:sz w:val="24"/>
          <w:szCs w:val="24"/>
          <w:color w:val="auto"/>
        </w:rPr>
      </w:pPr>
    </w:p>
    <w:p>
      <w:pPr>
        <w:ind w:left="2860"/>
        <w:spacing w:after="0"/>
        <w:tabs>
          <w:tab w:leader="none" w:pos="3560" w:val="left"/>
          <w:tab w:leader="none" w:pos="558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X</w:t>
      </w:r>
      <w:r>
        <w:rPr>
          <w:sz w:val="20"/>
          <w:szCs w:val="20"/>
          <w:color w:val="auto"/>
        </w:rPr>
        <w:tab/>
      </w: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3881120</wp:posOffset>
            </wp:positionH>
            <wp:positionV relativeFrom="paragraph">
              <wp:posOffset>26035</wp:posOffset>
            </wp:positionV>
            <wp:extent cx="3175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26035</wp:posOffset>
            </wp:positionV>
            <wp:extent cx="317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32" w:lineRule="exact"/>
        <w:rPr>
          <w:sz w:val="24"/>
          <w:szCs w:val="24"/>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w:t>
      </w:r>
    </w:p>
    <w:p>
      <w:pPr>
        <w:spacing w:after="0" w:line="190" w:lineRule="exact"/>
        <w:rPr>
          <w:sz w:val="24"/>
          <w:szCs w:val="24"/>
          <w:color w:val="auto"/>
        </w:rPr>
      </w:pPr>
    </w:p>
    <w:p>
      <w:pPr>
        <w:ind w:left="2860"/>
        <w:spacing w:after="0"/>
        <w:tabs>
          <w:tab w:leader="none" w:pos="3560" w:val="left"/>
          <w:tab w:leader="none" w:pos="558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X</w:t>
      </w:r>
      <w:r>
        <w:rPr>
          <w:sz w:val="20"/>
          <w:szCs w:val="20"/>
          <w:color w:val="auto"/>
        </w:rPr>
        <w:tab/>
      </w: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3881120</wp:posOffset>
            </wp:positionH>
            <wp:positionV relativeFrom="paragraph">
              <wp:posOffset>26035</wp:posOffset>
            </wp:positionV>
            <wp:extent cx="3175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26035</wp:posOffset>
            </wp:positionV>
            <wp:extent cx="317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32" w:lineRule="exact"/>
        <w:rPr>
          <w:sz w:val="24"/>
          <w:szCs w:val="24"/>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0" w:lineRule="exact"/>
        <w:rPr>
          <w:sz w:val="24"/>
          <w:szCs w:val="24"/>
          <w:color w:val="auto"/>
        </w:rPr>
      </w:pPr>
    </w:p>
    <w:tbl>
      <w:tblPr>
        <w:tblLayout w:type="fixed"/>
        <w:tblInd w:w="600" w:type="dxa"/>
        <w:tblCellMar>
          <w:top w:w="0" w:type="dxa"/>
          <w:left w:w="0" w:type="dxa"/>
          <w:bottom w:w="0" w:type="dxa"/>
          <w:right w:w="0" w:type="dxa"/>
        </w:tblCellMar>
      </w:tblPr>
      <w:tr>
        <w:trPr>
          <w:trHeight w:val="241"/>
        </w:trPr>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Large Accelerated Filer  X</w:t>
            </w:r>
          </w:p>
        </w:tc>
        <w:tc>
          <w:tcPr>
            <w:tcW w:w="23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50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0"/>
        </w:trPr>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80"/>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00" w:type="dxa"/>
            <w:vAlign w:val="bottom"/>
            <w:tcBorders>
              <w:bottom w:val="single" w:sz="8" w:color="auto"/>
            </w:tcBorders>
          </w:tcPr>
          <w:p>
            <w:pPr>
              <w:spacing w:after="0"/>
              <w:rPr>
                <w:sz w:val="24"/>
                <w:szCs w:val="24"/>
                <w:color w:val="auto"/>
              </w:rPr>
            </w:pPr>
          </w:p>
        </w:tc>
        <w:tc>
          <w:tcPr>
            <w:tcW w:w="22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Emerging Growth Company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5073650</wp:posOffset>
            </wp:positionH>
            <wp:positionV relativeFrom="paragraph">
              <wp:posOffset>-8255</wp:posOffset>
            </wp:positionV>
            <wp:extent cx="317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178" w:lineRule="exact"/>
        <w:rPr>
          <w:sz w:val="24"/>
          <w:szCs w:val="24"/>
          <w:color w:val="auto"/>
        </w:rPr>
      </w:pPr>
    </w:p>
    <w:p>
      <w:pPr>
        <w:ind w:firstLine="27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_____</w:t>
      </w:r>
    </w:p>
    <w:p>
      <w:pPr>
        <w:spacing w:after="0" w:line="162"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39" w:lineRule="exact"/>
        <w:rPr>
          <w:sz w:val="24"/>
          <w:szCs w:val="24"/>
          <w:color w:val="auto"/>
        </w:rPr>
      </w:pPr>
    </w:p>
    <w:p>
      <w:pPr>
        <w:ind w:left="2860"/>
        <w:spacing w:after="0"/>
        <w:tabs>
          <w:tab w:leader="none" w:pos="5580" w:val="left"/>
          <w:tab w:leader="none" w:pos="626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3881120</wp:posOffset>
            </wp:positionH>
            <wp:positionV relativeFrom="paragraph">
              <wp:posOffset>26035</wp:posOffset>
            </wp:positionV>
            <wp:extent cx="317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26035</wp:posOffset>
            </wp:positionV>
            <wp:extent cx="317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32" w:lineRule="exact"/>
        <w:rPr>
          <w:sz w:val="24"/>
          <w:szCs w:val="24"/>
          <w:color w:val="auto"/>
        </w:rPr>
      </w:pPr>
    </w:p>
    <w:p>
      <w:pPr>
        <w:ind w:firstLine="270"/>
        <w:spacing w:after="0" w:line="282" w:lineRule="auto"/>
        <w:rPr>
          <w:sz w:val="20"/>
          <w:szCs w:val="20"/>
          <w:color w:val="auto"/>
        </w:rPr>
      </w:pPr>
      <w:r>
        <w:rPr>
          <w:rFonts w:ascii="Times New Roman" w:cs="Times New Roman" w:eastAsia="Times New Roman" w:hAnsi="Times New Roman"/>
          <w:sz w:val="18"/>
          <w:szCs w:val="18"/>
          <w:color w:val="auto"/>
        </w:rPr>
        <w:t>The number of shares outstanding of the registrant's only class of common stock as of July 26, 2019: Common stock, par value $.50 per share – 14,489,374 shares outstanding.</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8" w:right="239" w:bottom="374"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3257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25755"/>
                    </a:xfrm>
                    <a:prstGeom prst="rect">
                      <a:avLst/>
                    </a:prstGeom>
                    <a:noFill/>
                  </pic:spPr>
                </pic:pic>
              </a:graphicData>
            </a:graphic>
          </wp:anchor>
        </w:drawing>
      </w:r>
    </w:p>
    <w:p>
      <w:pPr>
        <w:spacing w:after="0" w:line="2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7"/>
              </w:rPr>
              <w:t>Item 1.</w:t>
            </w:r>
          </w:p>
        </w:tc>
        <w:tc>
          <w:tcPr>
            <w:tcW w:w="101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FINANCIAL STATEMENTS</w:t>
            </w:r>
          </w:p>
        </w:tc>
        <w:tc>
          <w:tcPr>
            <w:tcW w:w="4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1016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520" w:type="dxa"/>
            <w:vAlign w:val="bottom"/>
            <w:shd w:val="clear" w:color="auto" w:fill="C0C0C0"/>
          </w:tcPr>
          <w:p>
            <w:pPr>
              <w:spacing w:after="0"/>
              <w:rPr>
                <w:sz w:val="20"/>
                <w:szCs w:val="20"/>
                <w:color w:val="auto"/>
              </w:rPr>
            </w:pPr>
          </w:p>
        </w:tc>
        <w:tc>
          <w:tcPr>
            <w:tcW w:w="1016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46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520" w:type="dxa"/>
            <w:vAlign w:val="bottom"/>
            <w:shd w:val="clear" w:color="auto" w:fill="C0C0C0"/>
          </w:tcPr>
          <w:p>
            <w:pPr>
              <w:spacing w:after="0"/>
              <w:rPr>
                <w:sz w:val="20"/>
                <w:szCs w:val="20"/>
                <w:color w:val="auto"/>
              </w:rPr>
            </w:pPr>
          </w:p>
        </w:tc>
        <w:tc>
          <w:tcPr>
            <w:tcW w:w="10160" w:type="dxa"/>
            <w:vAlign w:val="bottom"/>
            <w:shd w:val="clear" w:color="auto" w:fill="C0C0C0"/>
          </w:tcPr>
          <w:p>
            <w:pPr>
              <w:ind w:left="540"/>
              <w:spacing w:after="0"/>
              <w:rPr>
                <w:sz w:val="20"/>
                <w:szCs w:val="20"/>
                <w:color w:val="auto"/>
              </w:rPr>
            </w:pPr>
            <w:r>
              <w:rPr>
                <w:rFonts w:ascii="Times New Roman" w:cs="Times New Roman" w:eastAsia="Times New Roman" w:hAnsi="Times New Roman"/>
                <w:sz w:val="18"/>
                <w:szCs w:val="18"/>
                <w:color w:val="auto"/>
              </w:rPr>
              <w:t>June 30, 2019 (unaudited) and December 31, 2018</w:t>
            </w:r>
          </w:p>
        </w:tc>
        <w:tc>
          <w:tcPr>
            <w:tcW w:w="4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520" w:type="dxa"/>
            <w:vAlign w:val="bottom"/>
            <w:shd w:val="clear" w:color="auto" w:fill="C0C0C0"/>
          </w:tcPr>
          <w:p>
            <w:pPr>
              <w:spacing w:after="0"/>
              <w:rPr>
                <w:sz w:val="22"/>
                <w:szCs w:val="22"/>
                <w:color w:val="auto"/>
              </w:rPr>
            </w:pPr>
          </w:p>
        </w:tc>
        <w:tc>
          <w:tcPr>
            <w:tcW w:w="10160" w:type="dxa"/>
            <w:vAlign w:val="bottom"/>
            <w:shd w:val="clear" w:color="auto" w:fill="C0C0C0"/>
          </w:tcPr>
          <w:p>
            <w:pPr>
              <w:spacing w:after="0"/>
              <w:rPr>
                <w:sz w:val="22"/>
                <w:szCs w:val="22"/>
                <w:color w:val="auto"/>
              </w:rPr>
            </w:pPr>
          </w:p>
        </w:tc>
        <w:tc>
          <w:tcPr>
            <w:tcW w:w="460" w:type="dxa"/>
            <w:vAlign w:val="bottom"/>
            <w:shd w:val="clear" w:color="auto" w:fill="C0C0C0"/>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Consolidated Statements of Income</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Three and six months ended June 30, 2019 and 2018 (unaudited)</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520" w:type="dxa"/>
            <w:vAlign w:val="bottom"/>
            <w:shd w:val="clear" w:color="auto" w:fill="C0C0C0"/>
          </w:tcPr>
          <w:p>
            <w:pPr>
              <w:spacing w:after="0"/>
              <w:rPr>
                <w:sz w:val="20"/>
                <w:szCs w:val="20"/>
                <w:color w:val="auto"/>
              </w:rPr>
            </w:pPr>
          </w:p>
        </w:tc>
        <w:tc>
          <w:tcPr>
            <w:tcW w:w="1016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tc>
        <w:tc>
          <w:tcPr>
            <w:tcW w:w="46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520" w:type="dxa"/>
            <w:vAlign w:val="bottom"/>
            <w:shd w:val="clear" w:color="auto" w:fill="C0C0C0"/>
          </w:tcPr>
          <w:p>
            <w:pPr>
              <w:spacing w:after="0"/>
              <w:rPr>
                <w:sz w:val="20"/>
                <w:szCs w:val="20"/>
                <w:color w:val="auto"/>
              </w:rPr>
            </w:pPr>
          </w:p>
        </w:tc>
        <w:tc>
          <w:tcPr>
            <w:tcW w:w="10160" w:type="dxa"/>
            <w:vAlign w:val="bottom"/>
            <w:shd w:val="clear" w:color="auto" w:fill="C0C0C0"/>
          </w:tcPr>
          <w:p>
            <w:pPr>
              <w:ind w:left="540"/>
              <w:spacing w:after="0"/>
              <w:rPr>
                <w:sz w:val="20"/>
                <w:szCs w:val="20"/>
                <w:color w:val="auto"/>
              </w:rPr>
            </w:pPr>
            <w:r>
              <w:rPr>
                <w:rFonts w:ascii="Times New Roman" w:cs="Times New Roman" w:eastAsia="Times New Roman" w:hAnsi="Times New Roman"/>
                <w:sz w:val="18"/>
                <w:szCs w:val="18"/>
                <w:color w:val="auto"/>
              </w:rPr>
              <w:t>Three and six months ended June 30, 2019 and 2018 (unaudited)</w:t>
            </w:r>
          </w:p>
        </w:tc>
        <w:tc>
          <w:tcPr>
            <w:tcW w:w="4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520" w:type="dxa"/>
            <w:vAlign w:val="bottom"/>
            <w:shd w:val="clear" w:color="auto" w:fill="C0C0C0"/>
          </w:tcPr>
          <w:p>
            <w:pPr>
              <w:spacing w:after="0"/>
              <w:rPr>
                <w:sz w:val="22"/>
                <w:szCs w:val="22"/>
                <w:color w:val="auto"/>
              </w:rPr>
            </w:pPr>
          </w:p>
        </w:tc>
        <w:tc>
          <w:tcPr>
            <w:tcW w:w="10160" w:type="dxa"/>
            <w:vAlign w:val="bottom"/>
            <w:shd w:val="clear" w:color="auto" w:fill="C0C0C0"/>
          </w:tcPr>
          <w:p>
            <w:pPr>
              <w:spacing w:after="0"/>
              <w:rPr>
                <w:sz w:val="22"/>
                <w:szCs w:val="22"/>
                <w:color w:val="auto"/>
              </w:rPr>
            </w:pPr>
          </w:p>
        </w:tc>
        <w:tc>
          <w:tcPr>
            <w:tcW w:w="460" w:type="dxa"/>
            <w:vAlign w:val="bottom"/>
            <w:shd w:val="clear" w:color="auto" w:fill="C0C0C0"/>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Six months ended June 30, 2019 and 2018 (unaudited)</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520" w:type="dxa"/>
            <w:vAlign w:val="bottom"/>
            <w:shd w:val="clear" w:color="auto" w:fill="C0C0C0"/>
          </w:tcPr>
          <w:p>
            <w:pPr>
              <w:spacing w:after="0"/>
              <w:rPr>
                <w:sz w:val="20"/>
                <w:szCs w:val="20"/>
                <w:color w:val="auto"/>
              </w:rPr>
            </w:pPr>
          </w:p>
        </w:tc>
        <w:tc>
          <w:tcPr>
            <w:tcW w:w="1016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Consolidated Statements of Shareholders’ Equity</w:t>
            </w:r>
          </w:p>
        </w:tc>
        <w:tc>
          <w:tcPr>
            <w:tcW w:w="46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520" w:type="dxa"/>
            <w:vAlign w:val="bottom"/>
            <w:shd w:val="clear" w:color="auto" w:fill="C0C0C0"/>
          </w:tcPr>
          <w:p>
            <w:pPr>
              <w:spacing w:after="0"/>
              <w:rPr>
                <w:sz w:val="20"/>
                <w:szCs w:val="20"/>
                <w:color w:val="auto"/>
              </w:rPr>
            </w:pPr>
          </w:p>
        </w:tc>
        <w:tc>
          <w:tcPr>
            <w:tcW w:w="10160" w:type="dxa"/>
            <w:vAlign w:val="bottom"/>
            <w:shd w:val="clear" w:color="auto" w:fill="C0C0C0"/>
          </w:tcPr>
          <w:p>
            <w:pPr>
              <w:ind w:left="540"/>
              <w:spacing w:after="0"/>
              <w:rPr>
                <w:sz w:val="20"/>
                <w:szCs w:val="20"/>
                <w:color w:val="auto"/>
              </w:rPr>
            </w:pPr>
            <w:r>
              <w:rPr>
                <w:rFonts w:ascii="Times New Roman" w:cs="Times New Roman" w:eastAsia="Times New Roman" w:hAnsi="Times New Roman"/>
                <w:sz w:val="18"/>
                <w:szCs w:val="18"/>
                <w:color w:val="auto"/>
              </w:rPr>
              <w:t>Three and six months ended June 30, 2019 and 2018 (unaudited)</w:t>
            </w:r>
          </w:p>
        </w:tc>
        <w:tc>
          <w:tcPr>
            <w:tcW w:w="4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520" w:type="dxa"/>
            <w:vAlign w:val="bottom"/>
            <w:shd w:val="clear" w:color="auto" w:fill="C0C0C0"/>
          </w:tcPr>
          <w:p>
            <w:pPr>
              <w:spacing w:after="0"/>
              <w:rPr>
                <w:sz w:val="22"/>
                <w:szCs w:val="22"/>
                <w:color w:val="auto"/>
              </w:rPr>
            </w:pPr>
          </w:p>
        </w:tc>
        <w:tc>
          <w:tcPr>
            <w:tcW w:w="10160" w:type="dxa"/>
            <w:vAlign w:val="bottom"/>
            <w:shd w:val="clear" w:color="auto" w:fill="C0C0C0"/>
          </w:tcPr>
          <w:p>
            <w:pPr>
              <w:spacing w:after="0"/>
              <w:rPr>
                <w:sz w:val="22"/>
                <w:szCs w:val="22"/>
                <w:color w:val="auto"/>
              </w:rPr>
            </w:pPr>
          </w:p>
        </w:tc>
        <w:tc>
          <w:tcPr>
            <w:tcW w:w="460" w:type="dxa"/>
            <w:vAlign w:val="bottom"/>
            <w:shd w:val="clear" w:color="auto" w:fill="C0C0C0"/>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52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w w:val="97"/>
              </w:rPr>
              <w:t>Item 2.</w:t>
            </w:r>
          </w:p>
        </w:tc>
        <w:tc>
          <w:tcPr>
            <w:tcW w:w="1016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4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1016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3.</w:t>
            </w:r>
          </w:p>
        </w:tc>
        <w:tc>
          <w:tcPr>
            <w:tcW w:w="10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52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w w:val="97"/>
              </w:rPr>
              <w:t>Item 4.</w:t>
            </w:r>
          </w:p>
        </w:tc>
        <w:tc>
          <w:tcPr>
            <w:tcW w:w="1016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CONTROLS AND PROCEDURES</w:t>
            </w:r>
          </w:p>
        </w:tc>
        <w:tc>
          <w:tcPr>
            <w:tcW w:w="4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vMerge w:val="restart"/>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680" w:type="dxa"/>
            <w:vAlign w:val="bottom"/>
            <w:gridSpan w:val="2"/>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vMerge w:val="continue"/>
          </w:tcPr>
          <w:p>
            <w:pPr>
              <w:spacing w:after="0"/>
              <w:rPr>
                <w:sz w:val="20"/>
                <w:szCs w:val="20"/>
                <w:color w:val="auto"/>
              </w:rPr>
            </w:pPr>
          </w:p>
        </w:tc>
        <w:tc>
          <w:tcPr>
            <w:tcW w:w="10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PART II – Other Information </w:t>
            </w:r>
            <w:r>
              <w:rPr>
                <w:rFonts w:ascii="Times New Roman" w:cs="Times New Roman" w:eastAsia="Times New Roman" w:hAnsi="Times New Roman"/>
                <w:sz w:val="18"/>
                <w:szCs w:val="18"/>
                <w:color w:val="auto"/>
              </w:rPr>
              <w:t>– Items 1. – 6.</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8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680" w:type="dxa"/>
            <w:vAlign w:val="bottom"/>
            <w:gridSpan w:val="2"/>
            <w:shd w:val="clear" w:color="auto" w:fill="C0C0C0"/>
          </w:tcPr>
          <w:p>
            <w:pPr>
              <w:spacing w:after="0"/>
              <w:rPr>
                <w:sz w:val="20"/>
                <w:szCs w:val="20"/>
                <w:color w:val="auto"/>
              </w:rPr>
            </w:pPr>
            <w:r>
              <w:rPr>
                <w:rFonts w:ascii="Times New Roman" w:cs="Times New Roman" w:eastAsia="Times New Roman" w:hAnsi="Times New Roman"/>
                <w:sz w:val="18"/>
                <w:szCs w:val="18"/>
                <w:color w:val="auto"/>
              </w:rPr>
              <w:t>SIGNATURES</w:t>
            </w:r>
          </w:p>
        </w:tc>
        <w:tc>
          <w:tcPr>
            <w:tcW w:w="4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109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Forward-looking Statements - Factors That May Affect Future Results</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report may contain or incorporate by reference forward-looking statements made pursuant to the safe harbor provisions of Section 27A of the Securities Act of 1933, as amended, and Section 21E of the Securities Exchange Act of 1934, as amended. Although we believe that, in making any such statements, our expectations are based on reasonable assumptions, forward-looking statements are not guarantees of future performance and involve risks, uncertainties, and other factors beyond our control, which may cause future performance to be materially different from expected performance summarized in the forward-looking statements. These risks, uncertainties and other factors are discussed in Part I, Item 1A, “Risk Factors” of the Company’s 2018 Annual Report on Form 10-K, filed with the Securities and Exchange Commission (“SEC”), which may be updated from time to time in our future filings with the SEC. We undertake no obligation to publicly update or revise any forward-looking statements to reflect changed assumptions, the occurrence of anticipated or unanticipated events, or changes to future results over time</w:t>
      </w:r>
      <w:r>
        <w:rPr>
          <w:rFonts w:ascii="Times New Roman" w:cs="Times New Roman" w:eastAsia="Times New Roman" w:hAnsi="Times New Roman"/>
          <w:sz w:val="13"/>
          <w:szCs w:val="13"/>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78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CASS INFORMATION SYSTEMS, INC. AND SUBSIDIARIES</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78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78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center"/>
              <w:ind w:right="9"/>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67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right"/>
              <w:ind w:right="468"/>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40" w:type="dxa"/>
            <w:vAlign w:val="bottom"/>
            <w:gridSpan w:val="3"/>
            <w:shd w:val="clear" w:color="auto" w:fill="C0C0C0"/>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16,811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340" w:type="dxa"/>
            <w:vAlign w:val="bottom"/>
            <w:gridSpan w:val="3"/>
            <w:shd w:val="clear" w:color="auto" w:fill="C0C0C0"/>
          </w:tcPr>
          <w:p>
            <w:pPr>
              <w:spacing w:after="0"/>
              <w:rPr>
                <w:sz w:val="20"/>
                <w:szCs w:val="20"/>
                <w:color w:val="auto"/>
              </w:rPr>
            </w:pPr>
            <w:r>
              <w:rPr>
                <w:rFonts w:ascii="Times New Roman" w:cs="Times New Roman" w:eastAsia="Times New Roman" w:hAnsi="Times New Roman"/>
                <w:sz w:val="18"/>
                <w:szCs w:val="18"/>
                <w:color w:val="auto"/>
              </w:rPr>
              <w:t>Interest-bearing deposits in other financial institutions</w:t>
            </w:r>
          </w:p>
        </w:tc>
        <w:tc>
          <w:tcPr>
            <w:tcW w:w="380" w:type="dxa"/>
            <w:vAlign w:val="bottom"/>
            <w:shd w:val="clear" w:color="auto" w:fill="C0C0C0"/>
          </w:tcPr>
          <w:p>
            <w:pPr>
              <w:spacing w:after="0"/>
              <w:rPr>
                <w:sz w:val="21"/>
                <w:szCs w:val="21"/>
                <w:color w:val="auto"/>
              </w:rPr>
            </w:pPr>
          </w:p>
        </w:tc>
        <w:tc>
          <w:tcPr>
            <w:tcW w:w="108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73,335</w:t>
            </w:r>
          </w:p>
        </w:tc>
        <w:tc>
          <w:tcPr>
            <w:tcW w:w="280" w:type="dxa"/>
            <w:vAlign w:val="bottom"/>
            <w:shd w:val="clear" w:color="auto" w:fill="C0C0C0"/>
          </w:tcPr>
          <w:p>
            <w:pPr>
              <w:spacing w:after="0"/>
              <w:rPr>
                <w:sz w:val="21"/>
                <w:szCs w:val="21"/>
                <w:color w:val="auto"/>
              </w:rPr>
            </w:pPr>
          </w:p>
        </w:tc>
        <w:tc>
          <w:tcPr>
            <w:tcW w:w="132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179,281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Federal funds sold and other short-term investments</w:t>
            </w:r>
          </w:p>
        </w:tc>
        <w:tc>
          <w:tcPr>
            <w:tcW w:w="3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93,367</w:t>
            </w:r>
          </w:p>
        </w:tc>
        <w:tc>
          <w:tcPr>
            <w:tcW w:w="2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340" w:type="dxa"/>
            <w:vAlign w:val="bottom"/>
            <w:tcBorders>
              <w:top w:val="single" w:sz="8" w:color="C0C0C0"/>
            </w:tcBorders>
            <w:gridSpan w:val="3"/>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Borders>
              <w:top w:val="single" w:sz="8" w:color="C0C0C0"/>
            </w:tcBorders>
            <w:shd w:val="clear" w:color="auto" w:fill="C0C0C0"/>
          </w:tcPr>
          <w:p>
            <w:pPr>
              <w:spacing w:after="0"/>
              <w:rPr>
                <w:sz w:val="20"/>
                <w:szCs w:val="20"/>
                <w:color w:val="auto"/>
              </w:rPr>
            </w:pPr>
          </w:p>
        </w:tc>
        <w:tc>
          <w:tcPr>
            <w:tcW w:w="9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183,513</w:t>
            </w:r>
          </w:p>
        </w:tc>
        <w:tc>
          <w:tcPr>
            <w:tcW w:w="140" w:type="dxa"/>
            <w:vAlign w:val="bottom"/>
            <w:tcBorders>
              <w:top w:val="single" w:sz="8" w:color="C0C0C0"/>
            </w:tcBorders>
            <w:shd w:val="clear" w:color="auto" w:fill="C0C0C0"/>
          </w:tcPr>
          <w:p>
            <w:pPr>
              <w:spacing w:after="0"/>
              <w:rPr>
                <w:sz w:val="20"/>
                <w:szCs w:val="20"/>
                <w:color w:val="auto"/>
              </w:rPr>
            </w:pPr>
          </w:p>
        </w:tc>
        <w:tc>
          <w:tcPr>
            <w:tcW w:w="280" w:type="dxa"/>
            <w:vAlign w:val="bottom"/>
            <w:tcBorders>
              <w:top w:val="single" w:sz="8" w:color="C0C0C0"/>
            </w:tcBorders>
            <w:shd w:val="clear" w:color="auto" w:fill="C0C0C0"/>
          </w:tcPr>
          <w:p>
            <w:pPr>
              <w:spacing w:after="0"/>
              <w:rPr>
                <w:sz w:val="20"/>
                <w:szCs w:val="20"/>
                <w:color w:val="auto"/>
              </w:rPr>
            </w:pPr>
          </w:p>
        </w:tc>
        <w:tc>
          <w:tcPr>
            <w:tcW w:w="380" w:type="dxa"/>
            <w:vAlign w:val="bottom"/>
            <w:tcBorders>
              <w:top w:val="single" w:sz="8" w:color="C0C0C0"/>
            </w:tcBorders>
            <w:shd w:val="clear" w:color="auto" w:fill="C0C0C0"/>
          </w:tcPr>
          <w:p>
            <w:pPr>
              <w:spacing w:after="0"/>
              <w:rPr>
                <w:sz w:val="20"/>
                <w:szCs w:val="20"/>
                <w:color w:val="auto"/>
              </w:rPr>
            </w:pPr>
          </w:p>
        </w:tc>
        <w:tc>
          <w:tcPr>
            <w:tcW w:w="9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230,933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available-for-sale, at fair value</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435,391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vMerge w:val="restart"/>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340" w:type="dxa"/>
            <w:vAlign w:val="bottom"/>
            <w:gridSpan w:val="3"/>
            <w:shd w:val="clear" w:color="auto" w:fill="C0C0C0"/>
          </w:tcPr>
          <w:p>
            <w:pPr>
              <w:spacing w:after="0"/>
              <w:rPr>
                <w:sz w:val="20"/>
                <w:szCs w:val="20"/>
                <w:color w:val="auto"/>
              </w:rPr>
            </w:pPr>
            <w:r>
              <w:rPr>
                <w:rFonts w:ascii="Times New Roman" w:cs="Times New Roman" w:eastAsia="Times New Roman" w:hAnsi="Times New Roman"/>
                <w:sz w:val="18"/>
                <w:szCs w:val="18"/>
                <w:color w:val="auto"/>
              </w:rPr>
              <w:t>Loans</w:t>
            </w:r>
          </w:p>
        </w:tc>
        <w:tc>
          <w:tcPr>
            <w:tcW w:w="380" w:type="dxa"/>
            <w:vAlign w:val="bottom"/>
            <w:shd w:val="clear" w:color="auto" w:fill="C0C0C0"/>
          </w:tcPr>
          <w:p>
            <w:pPr>
              <w:spacing w:after="0"/>
              <w:rPr>
                <w:sz w:val="21"/>
                <w:szCs w:val="21"/>
                <w:color w:val="auto"/>
              </w:rPr>
            </w:pPr>
          </w:p>
        </w:tc>
        <w:tc>
          <w:tcPr>
            <w:tcW w:w="108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790,552</w:t>
            </w:r>
          </w:p>
        </w:tc>
        <w:tc>
          <w:tcPr>
            <w:tcW w:w="280" w:type="dxa"/>
            <w:vAlign w:val="bottom"/>
            <w:shd w:val="clear" w:color="auto" w:fill="C0C0C0"/>
          </w:tcPr>
          <w:p>
            <w:pPr>
              <w:spacing w:after="0"/>
              <w:rPr>
                <w:sz w:val="21"/>
                <w:szCs w:val="21"/>
                <w:color w:val="auto"/>
              </w:rPr>
            </w:pPr>
          </w:p>
        </w:tc>
        <w:tc>
          <w:tcPr>
            <w:tcW w:w="132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721,587</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3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3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10,506</w:t>
            </w:r>
          </w:p>
        </w:tc>
        <w:tc>
          <w:tcPr>
            <w:tcW w:w="2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60" w:type="dxa"/>
            <w:vAlign w:val="bottom"/>
            <w:tcBorders>
              <w:top w:val="single" w:sz="8" w:color="C0C0C0"/>
            </w:tcBorders>
            <w:shd w:val="clear" w:color="auto" w:fill="C0C0C0"/>
          </w:tcPr>
          <w:p>
            <w:pPr>
              <w:spacing w:after="0"/>
              <w:rPr>
                <w:sz w:val="20"/>
                <w:szCs w:val="20"/>
                <w:color w:val="auto"/>
              </w:rPr>
            </w:pPr>
          </w:p>
        </w:tc>
        <w:tc>
          <w:tcPr>
            <w:tcW w:w="7580" w:type="dxa"/>
            <w:vAlign w:val="bottom"/>
            <w:tcBorders>
              <w:top w:val="single" w:sz="8" w:color="C0C0C0"/>
            </w:tcBorders>
            <w:gridSpan w:val="2"/>
            <w:shd w:val="clear" w:color="auto" w:fill="C0C0C0"/>
          </w:tcPr>
          <w:p>
            <w:pPr>
              <w:ind w:left="300"/>
              <w:spacing w:after="0"/>
              <w:rPr>
                <w:sz w:val="20"/>
                <w:szCs w:val="20"/>
                <w:color w:val="auto"/>
              </w:rPr>
            </w:pPr>
            <w:r>
              <w:rPr>
                <w:rFonts w:ascii="Times New Roman" w:cs="Times New Roman" w:eastAsia="Times New Roman" w:hAnsi="Times New Roman"/>
                <w:sz w:val="18"/>
                <w:szCs w:val="18"/>
                <w:color w:val="auto"/>
              </w:rPr>
              <w:t>Loans, net</w:t>
            </w:r>
          </w:p>
        </w:tc>
        <w:tc>
          <w:tcPr>
            <w:tcW w:w="380" w:type="dxa"/>
            <w:vAlign w:val="bottom"/>
            <w:tcBorders>
              <w:top w:val="single" w:sz="8" w:color="C0C0C0"/>
            </w:tcBorders>
            <w:shd w:val="clear" w:color="auto" w:fill="C0C0C0"/>
          </w:tcPr>
          <w:p>
            <w:pPr>
              <w:spacing w:after="0"/>
              <w:rPr>
                <w:sz w:val="20"/>
                <w:szCs w:val="20"/>
                <w:color w:val="auto"/>
              </w:rPr>
            </w:pPr>
          </w:p>
        </w:tc>
        <w:tc>
          <w:tcPr>
            <w:tcW w:w="9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780,046</w:t>
            </w:r>
          </w:p>
        </w:tc>
        <w:tc>
          <w:tcPr>
            <w:tcW w:w="140" w:type="dxa"/>
            <w:vAlign w:val="bottom"/>
            <w:tcBorders>
              <w:top w:val="single" w:sz="8" w:color="C0C0C0"/>
            </w:tcBorders>
            <w:shd w:val="clear" w:color="auto" w:fill="C0C0C0"/>
          </w:tcPr>
          <w:p>
            <w:pPr>
              <w:spacing w:after="0"/>
              <w:rPr>
                <w:sz w:val="20"/>
                <w:szCs w:val="20"/>
                <w:color w:val="auto"/>
              </w:rPr>
            </w:pPr>
          </w:p>
        </w:tc>
        <w:tc>
          <w:tcPr>
            <w:tcW w:w="280" w:type="dxa"/>
            <w:vAlign w:val="bottom"/>
            <w:tcBorders>
              <w:top w:val="single" w:sz="8" w:color="C0C0C0"/>
            </w:tcBorders>
            <w:shd w:val="clear" w:color="auto" w:fill="C0C0C0"/>
          </w:tcPr>
          <w:p>
            <w:pPr>
              <w:spacing w:after="0"/>
              <w:rPr>
                <w:sz w:val="20"/>
                <w:szCs w:val="20"/>
                <w:color w:val="auto"/>
              </w:rPr>
            </w:pPr>
          </w:p>
        </w:tc>
        <w:tc>
          <w:tcPr>
            <w:tcW w:w="380" w:type="dxa"/>
            <w:vAlign w:val="bottom"/>
            <w:tcBorders>
              <w:top w:val="single" w:sz="8" w:color="C0C0C0"/>
            </w:tcBorders>
            <w:shd w:val="clear" w:color="auto" w:fill="C0C0C0"/>
          </w:tcPr>
          <w:p>
            <w:pPr>
              <w:spacing w:after="0"/>
              <w:rPr>
                <w:sz w:val="20"/>
                <w:szCs w:val="20"/>
                <w:color w:val="auto"/>
              </w:rPr>
            </w:pPr>
          </w:p>
        </w:tc>
        <w:tc>
          <w:tcPr>
            <w:tcW w:w="9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711,362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340" w:type="dxa"/>
            <w:vAlign w:val="bottom"/>
            <w:gridSpan w:val="3"/>
            <w:shd w:val="clear" w:color="auto" w:fill="C0C0C0"/>
          </w:tcPr>
          <w:p>
            <w:pPr>
              <w:spacing w:after="0"/>
              <w:rPr>
                <w:sz w:val="20"/>
                <w:szCs w:val="20"/>
                <w:color w:val="auto"/>
              </w:rPr>
            </w:pPr>
            <w:r>
              <w:rPr>
                <w:rFonts w:ascii="Times New Roman" w:cs="Times New Roman" w:eastAsia="Times New Roman" w:hAnsi="Times New Roman"/>
                <w:sz w:val="18"/>
                <w:szCs w:val="18"/>
                <w:color w:val="auto"/>
              </w:rPr>
              <w:t>Investment in bank-owned life insurance</w:t>
            </w:r>
          </w:p>
        </w:tc>
        <w:tc>
          <w:tcPr>
            <w:tcW w:w="380" w:type="dxa"/>
            <w:vAlign w:val="bottom"/>
            <w:shd w:val="clear" w:color="auto" w:fill="C0C0C0"/>
          </w:tcPr>
          <w:p>
            <w:pPr>
              <w:spacing w:after="0"/>
              <w:rPr>
                <w:sz w:val="21"/>
                <w:szCs w:val="21"/>
                <w:color w:val="auto"/>
              </w:rPr>
            </w:pPr>
          </w:p>
        </w:tc>
        <w:tc>
          <w:tcPr>
            <w:tcW w:w="108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17,571</w:t>
            </w:r>
          </w:p>
        </w:tc>
        <w:tc>
          <w:tcPr>
            <w:tcW w:w="280" w:type="dxa"/>
            <w:vAlign w:val="bottom"/>
            <w:shd w:val="clear" w:color="auto" w:fill="C0C0C0"/>
          </w:tcPr>
          <w:p>
            <w:pPr>
              <w:spacing w:after="0"/>
              <w:rPr>
                <w:sz w:val="21"/>
                <w:szCs w:val="21"/>
                <w:color w:val="auto"/>
              </w:rPr>
            </w:pPr>
          </w:p>
        </w:tc>
        <w:tc>
          <w:tcPr>
            <w:tcW w:w="132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17,384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Payments in excess of funding</w:t>
            </w:r>
          </w:p>
        </w:tc>
        <w:tc>
          <w:tcPr>
            <w:tcW w:w="3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174,348</w:t>
            </w:r>
          </w:p>
        </w:tc>
        <w:tc>
          <w:tcPr>
            <w:tcW w:w="2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160,777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340" w:type="dxa"/>
            <w:vAlign w:val="bottom"/>
            <w:gridSpan w:val="3"/>
            <w:shd w:val="clear" w:color="auto" w:fill="C0C0C0"/>
          </w:tcPr>
          <w:p>
            <w:pPr>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shd w:val="clear" w:color="auto" w:fill="C0C0C0"/>
          </w:tcPr>
          <w:p>
            <w:pPr>
              <w:spacing w:after="0"/>
              <w:rPr>
                <w:sz w:val="21"/>
                <w:szCs w:val="21"/>
                <w:color w:val="auto"/>
              </w:rPr>
            </w:pPr>
          </w:p>
        </w:tc>
        <w:tc>
          <w:tcPr>
            <w:tcW w:w="108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12,569</w:t>
            </w:r>
          </w:p>
        </w:tc>
        <w:tc>
          <w:tcPr>
            <w:tcW w:w="280" w:type="dxa"/>
            <w:vAlign w:val="bottom"/>
            <w:shd w:val="clear" w:color="auto" w:fill="C0C0C0"/>
          </w:tcPr>
          <w:p>
            <w:pPr>
              <w:spacing w:after="0"/>
              <w:rPr>
                <w:sz w:val="21"/>
                <w:szCs w:val="21"/>
                <w:color w:val="auto"/>
              </w:rPr>
            </w:pPr>
          </w:p>
        </w:tc>
        <w:tc>
          <w:tcPr>
            <w:tcW w:w="132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12,569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1,345</w:t>
            </w:r>
          </w:p>
        </w:tc>
        <w:tc>
          <w:tcPr>
            <w:tcW w:w="2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340" w:type="dxa"/>
            <w:vAlign w:val="bottom"/>
            <w:gridSpan w:val="3"/>
            <w:shd w:val="clear" w:color="auto" w:fill="C0C0C0"/>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shd w:val="clear" w:color="auto" w:fill="C0C0C0"/>
          </w:tcPr>
          <w:p>
            <w:pPr>
              <w:spacing w:after="0"/>
              <w:rPr>
                <w:sz w:val="21"/>
                <w:szCs w:val="21"/>
                <w:color w:val="auto"/>
              </w:rPr>
            </w:pPr>
          </w:p>
        </w:tc>
        <w:tc>
          <w:tcPr>
            <w:tcW w:w="108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102,745</w:t>
            </w:r>
          </w:p>
        </w:tc>
        <w:tc>
          <w:tcPr>
            <w:tcW w:w="280" w:type="dxa"/>
            <w:vAlign w:val="bottom"/>
            <w:shd w:val="clear" w:color="auto" w:fill="C0C0C0"/>
          </w:tcPr>
          <w:p>
            <w:pPr>
              <w:spacing w:after="0"/>
              <w:rPr>
                <w:sz w:val="21"/>
                <w:szCs w:val="21"/>
                <w:color w:val="auto"/>
              </w:rPr>
            </w:pPr>
          </w:p>
        </w:tc>
        <w:tc>
          <w:tcPr>
            <w:tcW w:w="132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97,032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3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1,728,684</w:t>
            </w:r>
          </w:p>
        </w:tc>
        <w:tc>
          <w:tcPr>
            <w:tcW w:w="1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1,695,176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340" w:type="dxa"/>
            <w:vAlign w:val="bottom"/>
            <w:gridSpan w:val="3"/>
            <w:shd w:val="clear" w:color="auto" w:fill="C0C0C0"/>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8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3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Liabilities:</w:t>
            </w: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8340" w:type="dxa"/>
            <w:vAlign w:val="bottom"/>
            <w:gridSpan w:val="3"/>
            <w:shd w:val="clear" w:color="auto" w:fill="C0C0C0"/>
          </w:tcPr>
          <w:p>
            <w:pPr>
              <w:spacing w:after="0"/>
              <w:rPr>
                <w:sz w:val="20"/>
                <w:szCs w:val="20"/>
                <w:color w:val="auto"/>
              </w:rPr>
            </w:pPr>
            <w:r>
              <w:rPr>
                <w:rFonts w:ascii="Times New Roman" w:cs="Times New Roman" w:eastAsia="Times New Roman" w:hAnsi="Times New Roman"/>
                <w:sz w:val="18"/>
                <w:szCs w:val="18"/>
                <w:color w:val="auto"/>
              </w:rPr>
              <w:t>Deposits:</w:t>
            </w:r>
          </w:p>
        </w:tc>
        <w:tc>
          <w:tcPr>
            <w:tcW w:w="38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Noninterest-bearing</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259,082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313,258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340" w:type="dxa"/>
            <w:vAlign w:val="bottom"/>
            <w:gridSpan w:val="3"/>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Interest-bearing</w:t>
            </w:r>
          </w:p>
        </w:tc>
        <w:tc>
          <w:tcPr>
            <w:tcW w:w="380" w:type="dxa"/>
            <w:vAlign w:val="bottom"/>
            <w:shd w:val="clear" w:color="auto" w:fill="C0C0C0"/>
          </w:tcPr>
          <w:p>
            <w:pPr>
              <w:spacing w:after="0"/>
              <w:rPr>
                <w:sz w:val="21"/>
                <w:szCs w:val="21"/>
                <w:color w:val="auto"/>
              </w:rPr>
            </w:pPr>
          </w:p>
        </w:tc>
        <w:tc>
          <w:tcPr>
            <w:tcW w:w="108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377,547</w:t>
            </w:r>
          </w:p>
        </w:tc>
        <w:tc>
          <w:tcPr>
            <w:tcW w:w="280" w:type="dxa"/>
            <w:vAlign w:val="bottom"/>
            <w:shd w:val="clear" w:color="auto" w:fill="C0C0C0"/>
          </w:tcPr>
          <w:p>
            <w:pPr>
              <w:spacing w:after="0"/>
              <w:rPr>
                <w:sz w:val="21"/>
                <w:szCs w:val="21"/>
                <w:color w:val="auto"/>
              </w:rPr>
            </w:pPr>
          </w:p>
        </w:tc>
        <w:tc>
          <w:tcPr>
            <w:tcW w:w="132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408,668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340" w:type="dxa"/>
            <w:vAlign w:val="bottom"/>
            <w:tcBorders>
              <w:bottom w:val="single" w:sz="8" w:color="C0C0C0"/>
            </w:tcBorders>
            <w:gridSpan w:val="3"/>
          </w:tcPr>
          <w:p>
            <w:pPr>
              <w:ind w:left="520"/>
              <w:spacing w:after="0"/>
              <w:rPr>
                <w:sz w:val="20"/>
                <w:szCs w:val="20"/>
                <w:color w:val="auto"/>
              </w:rPr>
            </w:pPr>
            <w:r>
              <w:rPr>
                <w:rFonts w:ascii="Times New Roman" w:cs="Times New Roman" w:eastAsia="Times New Roman" w:hAnsi="Times New Roman"/>
                <w:sz w:val="18"/>
                <w:szCs w:val="18"/>
                <w:color w:val="auto"/>
              </w:rPr>
              <w:t>Total deposits</w:t>
            </w:r>
          </w:p>
        </w:tc>
        <w:tc>
          <w:tcPr>
            <w:tcW w:w="380" w:type="dxa"/>
            <w:vAlign w:val="bottom"/>
            <w:tcBorders>
              <w:bottom w:val="single" w:sz="8" w:color="C0C0C0"/>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636,629</w:t>
            </w:r>
          </w:p>
        </w:tc>
        <w:tc>
          <w:tcPr>
            <w:tcW w:w="14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721,926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340" w:type="dxa"/>
            <w:vAlign w:val="bottom"/>
            <w:gridSpan w:val="3"/>
            <w:shd w:val="clear" w:color="auto" w:fill="C0C0C0"/>
          </w:tcPr>
          <w:p>
            <w:pPr>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380" w:type="dxa"/>
            <w:vAlign w:val="bottom"/>
            <w:shd w:val="clear" w:color="auto" w:fill="C0C0C0"/>
          </w:tcPr>
          <w:p>
            <w:pPr>
              <w:spacing w:after="0"/>
              <w:rPr>
                <w:sz w:val="20"/>
                <w:szCs w:val="20"/>
                <w:color w:val="auto"/>
              </w:rPr>
            </w:pPr>
          </w:p>
        </w:tc>
        <w:tc>
          <w:tcPr>
            <w:tcW w:w="9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794,871</w:t>
            </w:r>
          </w:p>
        </w:tc>
        <w:tc>
          <w:tcPr>
            <w:tcW w:w="14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9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694,360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56,763</w:t>
            </w:r>
          </w:p>
        </w:tc>
        <w:tc>
          <w:tcPr>
            <w:tcW w:w="2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40" w:type="dxa"/>
            <w:vAlign w:val="bottom"/>
            <w:tcBorders>
              <w:top w:val="single" w:sz="8" w:color="C0C0C0"/>
              <w:bottom w:val="single" w:sz="8" w:color="C0C0C0"/>
            </w:tcBorders>
            <w:gridSpan w:val="3"/>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Borders>
              <w:top w:val="single" w:sz="8" w:color="C0C0C0"/>
              <w:bottom w:val="single" w:sz="8" w:color="C0C0C0"/>
            </w:tcBorders>
            <w:shd w:val="clear" w:color="auto" w:fill="C0C0C0"/>
          </w:tcPr>
          <w:p>
            <w:pPr>
              <w:spacing w:after="0"/>
              <w:rPr>
                <w:sz w:val="20"/>
                <w:szCs w:val="20"/>
                <w:color w:val="auto"/>
              </w:rPr>
            </w:pPr>
          </w:p>
        </w:tc>
        <w:tc>
          <w:tcPr>
            <w:tcW w:w="9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1,488,263</w:t>
            </w:r>
          </w:p>
        </w:tc>
        <w:tc>
          <w:tcPr>
            <w:tcW w:w="140" w:type="dxa"/>
            <w:vAlign w:val="bottom"/>
            <w:tcBorders>
              <w:top w:val="single" w:sz="8" w:color="C0C0C0"/>
              <w:bottom w:val="single" w:sz="8" w:color="C0C0C0"/>
            </w:tcBorders>
            <w:shd w:val="clear" w:color="auto" w:fill="C0C0C0"/>
          </w:tcPr>
          <w:p>
            <w:pPr>
              <w:spacing w:after="0"/>
              <w:rPr>
                <w:sz w:val="20"/>
                <w:szCs w:val="20"/>
                <w:color w:val="auto"/>
              </w:rPr>
            </w:pPr>
          </w:p>
        </w:tc>
        <w:tc>
          <w:tcPr>
            <w:tcW w:w="280" w:type="dxa"/>
            <w:vAlign w:val="bottom"/>
            <w:tcBorders>
              <w:top w:val="single" w:sz="8" w:color="C0C0C0"/>
              <w:bottom w:val="single" w:sz="8" w:color="C0C0C0"/>
            </w:tcBorders>
            <w:shd w:val="clear" w:color="auto" w:fill="C0C0C0"/>
          </w:tcPr>
          <w:p>
            <w:pPr>
              <w:spacing w:after="0"/>
              <w:rPr>
                <w:sz w:val="20"/>
                <w:szCs w:val="20"/>
                <w:color w:val="auto"/>
              </w:rPr>
            </w:pPr>
          </w:p>
        </w:tc>
        <w:tc>
          <w:tcPr>
            <w:tcW w:w="380" w:type="dxa"/>
            <w:vAlign w:val="bottom"/>
            <w:tcBorders>
              <w:top w:val="single" w:sz="8" w:color="C0C0C0"/>
              <w:bottom w:val="single" w:sz="8" w:color="C0C0C0"/>
            </w:tcBorders>
            <w:shd w:val="clear" w:color="auto" w:fill="C0C0C0"/>
          </w:tcPr>
          <w:p>
            <w:pPr>
              <w:spacing w:after="0"/>
              <w:rPr>
                <w:sz w:val="20"/>
                <w:szCs w:val="20"/>
                <w:color w:val="auto"/>
              </w:rPr>
            </w:pPr>
          </w:p>
        </w:tc>
        <w:tc>
          <w:tcPr>
            <w:tcW w:w="9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1,465,328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vMerge w:val="restart"/>
          </w:tcPr>
          <w:p>
            <w:pPr>
              <w:spacing w:after="0"/>
              <w:rPr>
                <w:sz w:val="20"/>
                <w:szCs w:val="20"/>
                <w:color w:val="auto"/>
              </w:rPr>
            </w:pPr>
          </w:p>
        </w:tc>
        <w:tc>
          <w:tcPr>
            <w:tcW w:w="760" w:type="dxa"/>
            <w:vAlign w:val="bottom"/>
            <w:shd w:val="clear" w:color="auto" w:fill="C0C0C0"/>
          </w:tcPr>
          <w:p>
            <w:pPr>
              <w:spacing w:after="0"/>
              <w:rPr>
                <w:sz w:val="20"/>
                <w:szCs w:val="20"/>
                <w:color w:val="auto"/>
              </w:rPr>
            </w:pPr>
          </w:p>
        </w:tc>
        <w:tc>
          <w:tcPr>
            <w:tcW w:w="800" w:type="dxa"/>
            <w:vAlign w:val="bottom"/>
            <w:shd w:val="clear" w:color="auto" w:fill="C0C0C0"/>
          </w:tcPr>
          <w:p>
            <w:pPr>
              <w:spacing w:after="0"/>
              <w:rPr>
                <w:sz w:val="20"/>
                <w:szCs w:val="20"/>
                <w:color w:val="auto"/>
              </w:rPr>
            </w:pPr>
          </w:p>
        </w:tc>
        <w:tc>
          <w:tcPr>
            <w:tcW w:w="678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94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94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3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Shareholders’ Equity:</w:t>
            </w: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6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8340" w:type="dxa"/>
            <w:vAlign w:val="bottom"/>
            <w:gridSpan w:val="3"/>
            <w:shd w:val="clear" w:color="auto" w:fill="C0C0C0"/>
          </w:tcPr>
          <w:p>
            <w:pPr>
              <w:spacing w:after="0"/>
              <w:rPr>
                <w:sz w:val="20"/>
                <w:szCs w:val="20"/>
                <w:color w:val="auto"/>
              </w:rPr>
            </w:pPr>
            <w:r>
              <w:rPr>
                <w:rFonts w:ascii="Times New Roman" w:cs="Times New Roman" w:eastAsia="Times New Roman" w:hAnsi="Times New Roman"/>
                <w:sz w:val="18"/>
                <w:szCs w:val="18"/>
                <w:color w:val="auto"/>
              </w:rPr>
              <w:t>Preferred stock, par value $.50 per share; 2,000,000 shares authorized and no shares issued</w:t>
            </w:r>
          </w:p>
        </w:tc>
        <w:tc>
          <w:tcPr>
            <w:tcW w:w="380" w:type="dxa"/>
            <w:vAlign w:val="bottom"/>
            <w:shd w:val="clear" w:color="auto" w:fill="C0C0C0"/>
          </w:tcPr>
          <w:p>
            <w:pPr>
              <w:spacing w:after="0"/>
              <w:rPr>
                <w:sz w:val="21"/>
                <w:szCs w:val="21"/>
                <w:color w:val="auto"/>
              </w:rPr>
            </w:pPr>
          </w:p>
        </w:tc>
        <w:tc>
          <w:tcPr>
            <w:tcW w:w="1080" w:type="dxa"/>
            <w:vAlign w:val="bottom"/>
            <w:gridSpan w:val="2"/>
            <w:shd w:val="clear" w:color="auto" w:fill="C0C0C0"/>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940" w:type="dxa"/>
            <w:vAlign w:val="bottom"/>
            <w:shd w:val="clear" w:color="auto" w:fill="C0C0C0"/>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 par value $.50 per share; 40,000,000 shares authorized and 15,505,772 shares issued at June 30,</w:t>
            </w: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3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2019 and December 31, 2018</w:t>
            </w:r>
          </w:p>
        </w:tc>
        <w:tc>
          <w:tcPr>
            <w:tcW w:w="3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7,753</w:t>
            </w:r>
          </w:p>
        </w:tc>
        <w:tc>
          <w:tcPr>
            <w:tcW w:w="2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40" w:type="dxa"/>
            <w:vAlign w:val="bottom"/>
            <w:gridSpan w:val="3"/>
            <w:shd w:val="clear" w:color="auto" w:fill="C0C0C0"/>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shd w:val="clear" w:color="auto" w:fill="C0C0C0"/>
          </w:tcPr>
          <w:p>
            <w:pPr>
              <w:spacing w:after="0"/>
              <w:rPr>
                <w:sz w:val="22"/>
                <w:szCs w:val="22"/>
                <w:color w:val="auto"/>
              </w:rPr>
            </w:pPr>
          </w:p>
        </w:tc>
        <w:tc>
          <w:tcPr>
            <w:tcW w:w="108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205,463</w:t>
            </w:r>
          </w:p>
        </w:tc>
        <w:tc>
          <w:tcPr>
            <w:tcW w:w="280" w:type="dxa"/>
            <w:vAlign w:val="bottom"/>
            <w:shd w:val="clear" w:color="auto" w:fill="C0C0C0"/>
          </w:tcPr>
          <w:p>
            <w:pPr>
              <w:spacing w:after="0"/>
              <w:rPr>
                <w:sz w:val="22"/>
                <w:szCs w:val="22"/>
                <w:color w:val="auto"/>
              </w:rPr>
            </w:pPr>
          </w:p>
        </w:tc>
        <w:tc>
          <w:tcPr>
            <w:tcW w:w="132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205,770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3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83,470</w:t>
            </w:r>
          </w:p>
        </w:tc>
        <w:tc>
          <w:tcPr>
            <w:tcW w:w="2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75,171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340" w:type="dxa"/>
            <w:vAlign w:val="bottom"/>
            <w:gridSpan w:val="3"/>
            <w:shd w:val="clear" w:color="auto" w:fill="C0C0C0"/>
          </w:tcPr>
          <w:p>
            <w:pPr>
              <w:spacing w:after="0"/>
              <w:rPr>
                <w:sz w:val="20"/>
                <w:szCs w:val="20"/>
                <w:color w:val="auto"/>
              </w:rPr>
            </w:pPr>
            <w:r>
              <w:rPr>
                <w:rFonts w:ascii="Times New Roman" w:cs="Times New Roman" w:eastAsia="Times New Roman" w:hAnsi="Times New Roman"/>
                <w:sz w:val="18"/>
                <w:szCs w:val="18"/>
                <w:color w:val="auto"/>
              </w:rPr>
              <w:t>Common shares in treasury, at cost (1,016,398 shares at June 30, 2019 and 894,486 shares at December 31, 2018)</w:t>
            </w:r>
          </w:p>
        </w:tc>
        <w:tc>
          <w:tcPr>
            <w:tcW w:w="380" w:type="dxa"/>
            <w:vAlign w:val="bottom"/>
            <w:shd w:val="clear" w:color="auto" w:fill="C0C0C0"/>
          </w:tcPr>
          <w:p>
            <w:pPr>
              <w:spacing w:after="0"/>
              <w:rPr>
                <w:sz w:val="21"/>
                <w:szCs w:val="21"/>
                <w:color w:val="auto"/>
              </w:rPr>
            </w:pPr>
          </w:p>
        </w:tc>
        <w:tc>
          <w:tcPr>
            <w:tcW w:w="108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(46,333)</w:t>
            </w:r>
          </w:p>
        </w:tc>
        <w:tc>
          <w:tcPr>
            <w:tcW w:w="280" w:type="dxa"/>
            <w:vAlign w:val="bottom"/>
            <w:shd w:val="clear" w:color="auto" w:fill="C0C0C0"/>
          </w:tcPr>
          <w:p>
            <w:pPr>
              <w:spacing w:after="0"/>
              <w:rPr>
                <w:sz w:val="21"/>
                <w:szCs w:val="21"/>
                <w:color w:val="auto"/>
              </w:rPr>
            </w:pPr>
          </w:p>
        </w:tc>
        <w:tc>
          <w:tcPr>
            <w:tcW w:w="132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(39,974)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(9,932)</w:t>
            </w:r>
          </w:p>
        </w:tc>
        <w:tc>
          <w:tcPr>
            <w:tcW w:w="2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340" w:type="dxa"/>
            <w:vAlign w:val="bottom"/>
            <w:tcBorders>
              <w:top w:val="single" w:sz="8" w:color="C0C0C0"/>
            </w:tcBorders>
            <w:gridSpan w:val="3"/>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80" w:type="dxa"/>
            <w:vAlign w:val="bottom"/>
            <w:tcBorders>
              <w:top w:val="single" w:sz="8" w:color="C0C0C0"/>
            </w:tcBorders>
            <w:shd w:val="clear" w:color="auto" w:fill="C0C0C0"/>
          </w:tcPr>
          <w:p>
            <w:pPr>
              <w:spacing w:after="0"/>
              <w:rPr>
                <w:sz w:val="20"/>
                <w:szCs w:val="20"/>
                <w:color w:val="auto"/>
              </w:rPr>
            </w:pPr>
          </w:p>
        </w:tc>
        <w:tc>
          <w:tcPr>
            <w:tcW w:w="9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240,421</w:t>
            </w:r>
          </w:p>
        </w:tc>
        <w:tc>
          <w:tcPr>
            <w:tcW w:w="140" w:type="dxa"/>
            <w:vAlign w:val="bottom"/>
            <w:tcBorders>
              <w:top w:val="single" w:sz="8" w:color="C0C0C0"/>
            </w:tcBorders>
            <w:shd w:val="clear" w:color="auto" w:fill="C0C0C0"/>
          </w:tcPr>
          <w:p>
            <w:pPr>
              <w:spacing w:after="0"/>
              <w:rPr>
                <w:sz w:val="20"/>
                <w:szCs w:val="20"/>
                <w:color w:val="auto"/>
              </w:rPr>
            </w:pPr>
          </w:p>
        </w:tc>
        <w:tc>
          <w:tcPr>
            <w:tcW w:w="280" w:type="dxa"/>
            <w:vAlign w:val="bottom"/>
            <w:tcBorders>
              <w:top w:val="single" w:sz="8" w:color="C0C0C0"/>
            </w:tcBorders>
            <w:shd w:val="clear" w:color="auto" w:fill="C0C0C0"/>
          </w:tcPr>
          <w:p>
            <w:pPr>
              <w:spacing w:after="0"/>
              <w:rPr>
                <w:sz w:val="20"/>
                <w:szCs w:val="20"/>
                <w:color w:val="auto"/>
              </w:rPr>
            </w:pPr>
          </w:p>
        </w:tc>
        <w:tc>
          <w:tcPr>
            <w:tcW w:w="380" w:type="dxa"/>
            <w:vAlign w:val="bottom"/>
            <w:tcBorders>
              <w:top w:val="single" w:sz="8" w:color="C0C0C0"/>
            </w:tcBorders>
            <w:shd w:val="clear" w:color="auto" w:fill="C0C0C0"/>
          </w:tcPr>
          <w:p>
            <w:pPr>
              <w:spacing w:after="0"/>
              <w:rPr>
                <w:sz w:val="20"/>
                <w:szCs w:val="20"/>
                <w:color w:val="auto"/>
              </w:rPr>
            </w:pPr>
          </w:p>
        </w:tc>
        <w:tc>
          <w:tcPr>
            <w:tcW w:w="9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229,848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1,728,684</w:t>
            </w:r>
          </w:p>
        </w:tc>
        <w:tc>
          <w:tcPr>
            <w:tcW w:w="1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1,695,176</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4"/>
          </w:tcPr>
          <w:p>
            <w:pPr>
              <w:jc w:val="center"/>
              <w:ind w:left="449"/>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8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b w:val="1"/>
                <w:bCs w:val="1"/>
                <w:color w:val="auto"/>
              </w:rPr>
              <w:t>Fee Revenue and Other Income:</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Information services payment and processing revenue</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26,852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25,221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53,309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98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Bank service fees</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8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301</w:t>
            </w:r>
          </w:p>
        </w:tc>
        <w:tc>
          <w:tcPr>
            <w:tcW w:w="2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359</w:t>
            </w: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gridSpan w:val="2"/>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677</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Gains (losses) on sales of securities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98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8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gridSpan w:val="2"/>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380</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fee revenue and other income</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27,372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54,385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6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8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fees on loans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9,387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18,016</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98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Interest and dividends on securities:</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Taxable</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980" w:type="dxa"/>
            <w:vAlign w:val="bottom"/>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Exempt from federal income taxes</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8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1,994</w:t>
            </w:r>
          </w:p>
        </w:tc>
        <w:tc>
          <w:tcPr>
            <w:tcW w:w="2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2,332</w:t>
            </w: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gridSpan w:val="2"/>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4,031</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Interest on federal funds sold and other short-term investments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2,896</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80" w:type="dxa"/>
            <w:vAlign w:val="bottom"/>
            <w:tcBorders>
              <w:top w:val="single" w:sz="8" w:color="C0C0C0"/>
              <w:bottom w:val="single" w:sz="8" w:color="C0C0C0"/>
            </w:tcBorders>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Total interest income</w:t>
            </w:r>
          </w:p>
        </w:tc>
        <w:tc>
          <w:tcPr>
            <w:tcW w:w="260" w:type="dxa"/>
            <w:vAlign w:val="bottom"/>
            <w:tcBorders>
              <w:top w:val="single" w:sz="8" w:color="C0C0C0"/>
              <w:bottom w:val="single" w:sz="8" w:color="C0C0C0"/>
            </w:tcBorders>
            <w:shd w:val="clear" w:color="auto" w:fill="C0C0C0"/>
          </w:tcPr>
          <w:p>
            <w:pPr>
              <w:spacing w:after="0"/>
              <w:rPr>
                <w:sz w:val="20"/>
                <w:szCs w:val="20"/>
                <w:color w:val="auto"/>
              </w:rPr>
            </w:pPr>
          </w:p>
        </w:tc>
        <w:tc>
          <w:tcPr>
            <w:tcW w:w="100" w:type="dxa"/>
            <w:vAlign w:val="bottom"/>
            <w:tcBorders>
              <w:top w:val="single" w:sz="8" w:color="C0C0C0"/>
              <w:bottom w:val="single" w:sz="8" w:color="C0C0C0"/>
            </w:tcBorders>
            <w:shd w:val="clear" w:color="auto" w:fill="C0C0C0"/>
          </w:tcPr>
          <w:p>
            <w:pPr>
              <w:spacing w:after="0"/>
              <w:rPr>
                <w:sz w:val="20"/>
                <w:szCs w:val="20"/>
                <w:color w:val="auto"/>
              </w:rPr>
            </w:pPr>
          </w:p>
        </w:tc>
        <w:tc>
          <w:tcPr>
            <w:tcW w:w="7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13,327</w:t>
            </w:r>
          </w:p>
        </w:tc>
        <w:tc>
          <w:tcPr>
            <w:tcW w:w="140" w:type="dxa"/>
            <w:vAlign w:val="bottom"/>
            <w:tcBorders>
              <w:top w:val="single" w:sz="8" w:color="C0C0C0"/>
              <w:bottom w:val="single" w:sz="8" w:color="C0C0C0"/>
            </w:tcBorders>
            <w:shd w:val="clear" w:color="auto" w:fill="C0C0C0"/>
          </w:tcPr>
          <w:p>
            <w:pPr>
              <w:spacing w:after="0"/>
              <w:rPr>
                <w:sz w:val="20"/>
                <w:szCs w:val="20"/>
                <w:color w:val="auto"/>
              </w:rPr>
            </w:pPr>
          </w:p>
        </w:tc>
        <w:tc>
          <w:tcPr>
            <w:tcW w:w="240" w:type="dxa"/>
            <w:vAlign w:val="bottom"/>
            <w:tcBorders>
              <w:top w:val="single" w:sz="8" w:color="C0C0C0"/>
              <w:bottom w:val="single" w:sz="8" w:color="C0C0C0"/>
            </w:tcBorders>
            <w:shd w:val="clear" w:color="auto" w:fill="C0C0C0"/>
          </w:tcPr>
          <w:p>
            <w:pPr>
              <w:spacing w:after="0"/>
              <w:rPr>
                <w:sz w:val="20"/>
                <w:szCs w:val="20"/>
                <w:color w:val="auto"/>
              </w:rPr>
            </w:pPr>
          </w:p>
        </w:tc>
        <w:tc>
          <w:tcPr>
            <w:tcW w:w="100" w:type="dxa"/>
            <w:vAlign w:val="bottom"/>
            <w:tcBorders>
              <w:top w:val="single" w:sz="8" w:color="auto"/>
              <w:bottom w:val="single" w:sz="8" w:color="auto"/>
            </w:tcBorders>
            <w:shd w:val="clear" w:color="auto" w:fill="C0C0C0"/>
          </w:tcPr>
          <w:p>
            <w:pPr>
              <w:spacing w:after="0"/>
              <w:rPr>
                <w:sz w:val="20"/>
                <w:szCs w:val="20"/>
                <w:color w:val="auto"/>
              </w:rPr>
            </w:pPr>
          </w:p>
        </w:tc>
        <w:tc>
          <w:tcPr>
            <w:tcW w:w="6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11,513</w:t>
            </w:r>
          </w:p>
        </w:tc>
        <w:tc>
          <w:tcPr>
            <w:tcW w:w="140" w:type="dxa"/>
            <w:vAlign w:val="bottom"/>
            <w:tcBorders>
              <w:top w:val="single" w:sz="8" w:color="C0C0C0"/>
              <w:bottom w:val="single" w:sz="8" w:color="C0C0C0"/>
            </w:tcBorders>
            <w:shd w:val="clear" w:color="auto" w:fill="C0C0C0"/>
          </w:tcPr>
          <w:p>
            <w:pPr>
              <w:spacing w:after="0"/>
              <w:rPr>
                <w:sz w:val="20"/>
                <w:szCs w:val="20"/>
                <w:color w:val="auto"/>
              </w:rPr>
            </w:pPr>
          </w:p>
        </w:tc>
        <w:tc>
          <w:tcPr>
            <w:tcW w:w="140" w:type="dxa"/>
            <w:vAlign w:val="bottom"/>
            <w:tcBorders>
              <w:top w:val="single" w:sz="8" w:color="C0C0C0"/>
              <w:bottom w:val="single" w:sz="8" w:color="C0C0C0"/>
            </w:tcBorders>
            <w:shd w:val="clear" w:color="auto" w:fill="C0C0C0"/>
          </w:tcPr>
          <w:p>
            <w:pPr>
              <w:spacing w:after="0"/>
              <w:rPr>
                <w:sz w:val="20"/>
                <w:szCs w:val="20"/>
                <w:color w:val="auto"/>
              </w:rPr>
            </w:pPr>
          </w:p>
        </w:tc>
        <w:tc>
          <w:tcPr>
            <w:tcW w:w="100" w:type="dxa"/>
            <w:vAlign w:val="bottom"/>
            <w:tcBorders>
              <w:top w:val="single" w:sz="8" w:color="C0C0C0"/>
              <w:bottom w:val="single" w:sz="8" w:color="C0C0C0"/>
            </w:tcBorders>
            <w:shd w:val="clear" w:color="auto" w:fill="C0C0C0"/>
          </w:tcPr>
          <w:p>
            <w:pPr>
              <w:spacing w:after="0"/>
              <w:rPr>
                <w:sz w:val="20"/>
                <w:szCs w:val="20"/>
                <w:color w:val="auto"/>
              </w:rPr>
            </w:pPr>
          </w:p>
        </w:tc>
        <w:tc>
          <w:tcPr>
            <w:tcW w:w="7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26,224</w:t>
            </w:r>
          </w:p>
        </w:tc>
        <w:tc>
          <w:tcPr>
            <w:tcW w:w="120" w:type="dxa"/>
            <w:vAlign w:val="bottom"/>
            <w:tcBorders>
              <w:top w:val="single" w:sz="8" w:color="C0C0C0"/>
              <w:bottom w:val="single" w:sz="8" w:color="C0C0C0"/>
            </w:tcBorders>
            <w:shd w:val="clear" w:color="auto" w:fill="C0C0C0"/>
          </w:tcPr>
          <w:p>
            <w:pPr>
              <w:spacing w:after="0"/>
              <w:rPr>
                <w:sz w:val="20"/>
                <w:szCs w:val="20"/>
                <w:color w:val="auto"/>
              </w:rPr>
            </w:pPr>
          </w:p>
        </w:tc>
        <w:tc>
          <w:tcPr>
            <w:tcW w:w="260" w:type="dxa"/>
            <w:vAlign w:val="bottom"/>
            <w:tcBorders>
              <w:top w:val="single" w:sz="8" w:color="C0C0C0"/>
              <w:bottom w:val="single" w:sz="8" w:color="C0C0C0"/>
            </w:tcBorders>
            <w:shd w:val="clear" w:color="auto" w:fill="C0C0C0"/>
          </w:tcPr>
          <w:p>
            <w:pPr>
              <w:spacing w:after="0"/>
              <w:rPr>
                <w:sz w:val="20"/>
                <w:szCs w:val="20"/>
                <w:color w:val="auto"/>
              </w:rPr>
            </w:pPr>
          </w:p>
        </w:tc>
        <w:tc>
          <w:tcPr>
            <w:tcW w:w="100" w:type="dxa"/>
            <w:vAlign w:val="bottom"/>
            <w:tcBorders>
              <w:top w:val="single" w:sz="8" w:color="auto"/>
              <w:bottom w:val="single" w:sz="8" w:color="auto"/>
            </w:tcBorders>
            <w:shd w:val="clear" w:color="auto" w:fill="C0C0C0"/>
          </w:tcPr>
          <w:p>
            <w:pPr>
              <w:spacing w:after="0"/>
              <w:rPr>
                <w:sz w:val="20"/>
                <w:szCs w:val="20"/>
                <w:color w:val="auto"/>
              </w:rPr>
            </w:pPr>
          </w:p>
        </w:tc>
        <w:tc>
          <w:tcPr>
            <w:tcW w:w="6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22,801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698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74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7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2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vMerge w:val="continue"/>
          </w:tcPr>
          <w:p>
            <w:pPr>
              <w:spacing w:after="0"/>
              <w:rPr>
                <w:sz w:val="20"/>
                <w:szCs w:val="20"/>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98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Interest on deposits</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8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1,305</w:t>
            </w:r>
          </w:p>
        </w:tc>
        <w:tc>
          <w:tcPr>
            <w:tcW w:w="2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794</w:t>
            </w: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gridSpan w:val="2"/>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2,595</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Net interest income</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98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80" w:type="dxa"/>
            <w:vAlign w:val="bottom"/>
            <w:gridSpan w:val="2"/>
            <w:shd w:val="clear" w:color="auto" w:fill="C0C0C0"/>
          </w:tcPr>
          <w:p>
            <w:pPr>
              <w:jc w:val="right"/>
              <w:ind w:right="140"/>
              <w:spacing w:after="0" w:line="251" w:lineRule="exact"/>
              <w:rPr>
                <w:sz w:val="20"/>
                <w:szCs w:val="20"/>
                <w:color w:val="auto"/>
              </w:rPr>
            </w:pPr>
            <w:r>
              <w:rPr>
                <w:rFonts w:ascii="Times New Roman" w:cs="Times New Roman" w:eastAsia="Times New Roman" w:hAnsi="Times New Roman"/>
                <w:sz w:val="22"/>
                <w:szCs w:val="22"/>
                <w:color w:val="auto"/>
              </w:rPr>
              <w:t>—</w:t>
            </w:r>
          </w:p>
        </w:tc>
        <w:tc>
          <w:tcPr>
            <w:tcW w:w="2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140"/>
              <w:spacing w:after="0" w:line="251" w:lineRule="exact"/>
              <w:rPr>
                <w:sz w:val="20"/>
                <w:szCs w:val="20"/>
                <w:color w:val="auto"/>
              </w:rPr>
            </w:pPr>
            <w:r>
              <w:rPr>
                <w:rFonts w:ascii="Times New Roman" w:cs="Times New Roman" w:eastAsia="Times New Roman" w:hAnsi="Times New Roman"/>
                <w:sz w:val="22"/>
                <w:szCs w:val="22"/>
                <w:color w:val="auto"/>
              </w:rPr>
              <w:t>—</w:t>
            </w: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gridSpan w:val="2"/>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250</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20" w:type="dxa"/>
            <w:vAlign w:val="bottom"/>
            <w:shd w:val="clear" w:color="auto" w:fill="C0C0C0"/>
          </w:tcPr>
          <w:p>
            <w:pPr>
              <w:jc w:val="right"/>
              <w:spacing w:after="0" w:line="251" w:lineRule="exact"/>
              <w:rPr>
                <w:sz w:val="20"/>
                <w:szCs w:val="20"/>
                <w:color w:val="auto"/>
              </w:rPr>
            </w:pPr>
            <w:r>
              <w:rPr>
                <w:rFonts w:ascii="Times New Roman" w:cs="Times New Roman" w:eastAsia="Times New Roman" w:hAnsi="Times New Roman"/>
                <w:sz w:val="22"/>
                <w:szCs w:val="22"/>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980" w:type="dxa"/>
            <w:vAlign w:val="bottom"/>
            <w:tcBorders>
              <w:bottom w:val="single" w:sz="8" w:color="C0C0C0"/>
            </w:tcBorders>
          </w:tcPr>
          <w:p>
            <w:pPr>
              <w:ind w:left="800"/>
              <w:spacing w:after="0"/>
              <w:rPr>
                <w:sz w:val="20"/>
                <w:szCs w:val="20"/>
                <w:color w:val="auto"/>
              </w:rPr>
            </w:pPr>
            <w:r>
              <w:rPr>
                <w:rFonts w:ascii="Times New Roman" w:cs="Times New Roman" w:eastAsia="Times New Roman" w:hAnsi="Times New Roman"/>
                <w:sz w:val="18"/>
                <w:szCs w:val="18"/>
                <w:color w:val="auto"/>
              </w:rPr>
              <w:t>Net interest income after provision for loan losses</w:t>
            </w:r>
          </w:p>
        </w:tc>
        <w:tc>
          <w:tcPr>
            <w:tcW w:w="26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12,022</w:t>
            </w:r>
          </w:p>
        </w:tc>
        <w:tc>
          <w:tcPr>
            <w:tcW w:w="14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10,719</w:t>
            </w:r>
          </w:p>
        </w:tc>
        <w:tc>
          <w:tcPr>
            <w:tcW w:w="14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23,379</w:t>
            </w:r>
          </w:p>
        </w:tc>
        <w:tc>
          <w:tcPr>
            <w:tcW w:w="12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980" w:type="dxa"/>
            <w:vAlign w:val="bottom"/>
            <w:shd w:val="clear" w:color="auto" w:fill="C0C0C0"/>
          </w:tcPr>
          <w:p>
            <w:pPr>
              <w:ind w:left="800"/>
              <w:spacing w:after="0"/>
              <w:rPr>
                <w:sz w:val="20"/>
                <w:szCs w:val="20"/>
                <w:color w:val="auto"/>
              </w:rPr>
            </w:pPr>
            <w:r>
              <w:rPr>
                <w:rFonts w:ascii="Times New Roman" w:cs="Times New Roman" w:eastAsia="Times New Roman" w:hAnsi="Times New Roman"/>
                <w:sz w:val="18"/>
                <w:szCs w:val="18"/>
                <w:color w:val="auto"/>
              </w:rPr>
              <w:t>Total net revenue</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39,394</w:t>
            </w:r>
          </w:p>
        </w:tc>
        <w:tc>
          <w:tcPr>
            <w:tcW w:w="14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36,359</w:t>
            </w:r>
          </w:p>
        </w:tc>
        <w:tc>
          <w:tcPr>
            <w:tcW w:w="14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77,764</w:t>
            </w:r>
          </w:p>
        </w:tc>
        <w:tc>
          <w:tcPr>
            <w:tcW w:w="12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72,342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98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Personnel</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8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22,803</w:t>
            </w:r>
          </w:p>
        </w:tc>
        <w:tc>
          <w:tcPr>
            <w:tcW w:w="2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21,589</w:t>
            </w: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gridSpan w:val="2"/>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45,080</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41,971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Occupancy</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1,957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98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Equipment</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8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1,552</w:t>
            </w:r>
          </w:p>
        </w:tc>
        <w:tc>
          <w:tcPr>
            <w:tcW w:w="2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1,408</w:t>
            </w: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gridSpan w:val="2"/>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3,021</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98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Other operating expense</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8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4,516</w:t>
            </w:r>
          </w:p>
        </w:tc>
        <w:tc>
          <w:tcPr>
            <w:tcW w:w="2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3,430</w:t>
            </w: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gridSpan w:val="2"/>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8,166</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6,958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980" w:type="dxa"/>
            <w:vAlign w:val="bottom"/>
            <w:tcBorders>
              <w:bottom w:val="single" w:sz="8" w:color="C0C0C0"/>
            </w:tcBorders>
          </w:tcPr>
          <w:p>
            <w:pPr>
              <w:ind w:left="520"/>
              <w:spacing w:after="0"/>
              <w:rPr>
                <w:sz w:val="20"/>
                <w:szCs w:val="20"/>
                <w:color w:val="auto"/>
              </w:rPr>
            </w:pPr>
            <w:r>
              <w:rPr>
                <w:rFonts w:ascii="Times New Roman" w:cs="Times New Roman" w:eastAsia="Times New Roman" w:hAnsi="Times New Roman"/>
                <w:sz w:val="18"/>
                <w:szCs w:val="18"/>
                <w:color w:val="auto"/>
              </w:rPr>
              <w:t>Total operating expense</w:t>
            </w:r>
          </w:p>
        </w:tc>
        <w:tc>
          <w:tcPr>
            <w:tcW w:w="26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29,971</w:t>
            </w:r>
          </w:p>
        </w:tc>
        <w:tc>
          <w:tcPr>
            <w:tcW w:w="14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27,463</w:t>
            </w:r>
          </w:p>
        </w:tc>
        <w:tc>
          <w:tcPr>
            <w:tcW w:w="14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58,433</w:t>
            </w:r>
          </w:p>
        </w:tc>
        <w:tc>
          <w:tcPr>
            <w:tcW w:w="12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980" w:type="dxa"/>
            <w:vAlign w:val="bottom"/>
            <w:shd w:val="clear" w:color="auto" w:fill="C0C0C0"/>
          </w:tcPr>
          <w:p>
            <w:pPr>
              <w:ind w:left="80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9,423</w:t>
            </w:r>
          </w:p>
        </w:tc>
        <w:tc>
          <w:tcPr>
            <w:tcW w:w="14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8,896</w:t>
            </w:r>
          </w:p>
        </w:tc>
        <w:tc>
          <w:tcPr>
            <w:tcW w:w="14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19,331</w:t>
            </w:r>
          </w:p>
        </w:tc>
        <w:tc>
          <w:tcPr>
            <w:tcW w:w="12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18,697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1,739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3,484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980" w:type="dxa"/>
            <w:vAlign w:val="bottom"/>
            <w:tcBorders>
              <w:top w:val="single" w:sz="8" w:color="C0C0C0"/>
              <w:bottom w:val="single" w:sz="8" w:color="C0C0C0"/>
            </w:tcBorders>
            <w:shd w:val="clear" w:color="auto" w:fill="C0C0C0"/>
          </w:tcPr>
          <w:p>
            <w:pPr>
              <w:ind w:left="80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top w:val="single" w:sz="8" w:color="C0C0C0"/>
              <w:bottom w:val="single" w:sz="8" w:color="C0C0C0"/>
            </w:tcBorders>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140" w:type="dxa"/>
            <w:vAlign w:val="bottom"/>
            <w:tcBorders>
              <w:top w:val="single" w:sz="8" w:color="C0C0C0"/>
              <w:bottom w:val="single" w:sz="8" w:color="C0C0C0"/>
            </w:tcBorders>
            <w:shd w:val="clear" w:color="auto" w:fill="C0C0C0"/>
          </w:tcPr>
          <w:p>
            <w:pPr>
              <w:spacing w:after="0"/>
              <w:rPr>
                <w:sz w:val="21"/>
                <w:szCs w:val="21"/>
                <w:color w:val="auto"/>
              </w:rPr>
            </w:pPr>
          </w:p>
        </w:tc>
        <w:tc>
          <w:tcPr>
            <w:tcW w:w="240" w:type="dxa"/>
            <w:vAlign w:val="bottom"/>
            <w:tcBorders>
              <w:top w:val="single" w:sz="8" w:color="C0C0C0"/>
              <w:bottom w:val="single" w:sz="8" w:color="C0C0C0"/>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shd w:val="clear" w:color="auto" w:fill="C0C0C0"/>
          </w:tcPr>
          <w:p>
            <w:pPr>
              <w:spacing w:after="0"/>
              <w:rPr>
                <w:sz w:val="21"/>
                <w:szCs w:val="21"/>
                <w:color w:val="auto"/>
              </w:rPr>
            </w:pPr>
          </w:p>
        </w:tc>
        <w:tc>
          <w:tcPr>
            <w:tcW w:w="6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140" w:type="dxa"/>
            <w:vAlign w:val="bottom"/>
            <w:tcBorders>
              <w:top w:val="single" w:sz="8" w:color="C0C0C0"/>
              <w:bottom w:val="single" w:sz="8" w:color="C0C0C0"/>
            </w:tcBorders>
            <w:shd w:val="clear" w:color="auto" w:fill="C0C0C0"/>
          </w:tcPr>
          <w:p>
            <w:pPr>
              <w:spacing w:after="0"/>
              <w:rPr>
                <w:sz w:val="21"/>
                <w:szCs w:val="21"/>
                <w:color w:val="auto"/>
              </w:rPr>
            </w:pPr>
          </w:p>
        </w:tc>
        <w:tc>
          <w:tcPr>
            <w:tcW w:w="240" w:type="dxa"/>
            <w:vAlign w:val="bottom"/>
            <w:tcBorders>
              <w:top w:val="single" w:sz="8" w:color="C0C0C0"/>
              <w:bottom w:val="single" w:sz="8" w:color="C0C0C0"/>
            </w:tcBorders>
            <w:gridSpan w:val="2"/>
            <w:shd w:val="clear" w:color="auto" w:fill="C0C0C0"/>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15,847</w:t>
            </w:r>
          </w:p>
        </w:tc>
        <w:tc>
          <w:tcPr>
            <w:tcW w:w="120" w:type="dxa"/>
            <w:vAlign w:val="bottom"/>
            <w:tcBorders>
              <w:top w:val="single" w:sz="8" w:color="C0C0C0"/>
              <w:bottom w:val="single" w:sz="8" w:color="C0C0C0"/>
            </w:tcBorders>
            <w:shd w:val="clear" w:color="auto" w:fill="C0C0C0"/>
          </w:tcPr>
          <w:p>
            <w:pPr>
              <w:spacing w:after="0"/>
              <w:rPr>
                <w:sz w:val="21"/>
                <w:szCs w:val="21"/>
                <w:color w:val="auto"/>
              </w:rPr>
            </w:pPr>
          </w:p>
        </w:tc>
        <w:tc>
          <w:tcPr>
            <w:tcW w:w="260" w:type="dxa"/>
            <w:vAlign w:val="bottom"/>
            <w:tcBorders>
              <w:top w:val="single" w:sz="8" w:color="C0C0C0"/>
              <w:bottom w:val="single" w:sz="8" w:color="C0C0C0"/>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shd w:val="clear" w:color="auto" w:fill="C0C0C0"/>
          </w:tcPr>
          <w:p>
            <w:pPr>
              <w:spacing w:after="0"/>
              <w:rPr>
                <w:sz w:val="21"/>
                <w:szCs w:val="21"/>
                <w:color w:val="auto"/>
              </w:rPr>
            </w:pPr>
          </w:p>
        </w:tc>
        <w:tc>
          <w:tcPr>
            <w:tcW w:w="6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15,601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98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8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gridSpan w:val="2"/>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1.08</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20"/>
                <w:szCs w:val="20"/>
                <w:color w:val="auto"/>
              </w:rPr>
            </w:pPr>
          </w:p>
        </w:tc>
        <w:tc>
          <w:tcPr>
            <w:tcW w:w="194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64"/>
        </w:trPr>
        <w:tc>
          <w:tcPr>
            <w:tcW w:w="6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4"/>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58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80" w:type="dxa"/>
            <w:vAlign w:val="bottom"/>
            <w:tcBorders>
              <w:bottom w:val="single" w:sz="8" w:color="auto"/>
            </w:tcBorders>
          </w:tcPr>
          <w:p>
            <w:pPr>
              <w:spacing w:after="0"/>
              <w:rPr>
                <w:sz w:val="22"/>
                <w:szCs w:val="22"/>
                <w:color w:val="auto"/>
              </w:rPr>
            </w:pPr>
          </w:p>
        </w:tc>
      </w:tr>
      <w:tr>
        <w:trPr>
          <w:trHeight w:val="250"/>
        </w:trPr>
        <w:tc>
          <w:tcPr>
            <w:tcW w:w="6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2018</w:t>
            </w:r>
          </w:p>
        </w:tc>
      </w:tr>
      <w:tr>
        <w:trPr>
          <w:trHeight w:val="243"/>
        </w:trPr>
        <w:tc>
          <w:tcPr>
            <w:tcW w:w="62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r>
              <w:rPr>
                <w:rFonts w:ascii="Times New Roman" w:cs="Times New Roman" w:eastAsia="Times New Roman" w:hAnsi="Times New Roman"/>
                <w:sz w:val="18"/>
                <w:szCs w:val="18"/>
                <w:color w:val="auto"/>
              </w:rPr>
              <w:t>:</w:t>
            </w:r>
          </w:p>
        </w:tc>
        <w:tc>
          <w:tcPr>
            <w:tcW w:w="9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7,684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7,509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15,847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15,601</w:t>
            </w:r>
          </w:p>
        </w:tc>
      </w:tr>
      <w:tr>
        <w:trPr>
          <w:trHeight w:val="252"/>
        </w:trPr>
        <w:tc>
          <w:tcPr>
            <w:tcW w:w="62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4"/>
        </w:trPr>
        <w:tc>
          <w:tcPr>
            <w:tcW w:w="6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unrealized gain (loss) on securities available-for-sale</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4,609</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11,746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(10,194)</w:t>
            </w:r>
          </w:p>
        </w:tc>
      </w:tr>
      <w:tr>
        <w:trPr>
          <w:trHeight w:val="252"/>
        </w:trPr>
        <w:tc>
          <w:tcPr>
            <w:tcW w:w="6260" w:type="dxa"/>
            <w:vAlign w:val="bottom"/>
            <w:shd w:val="clear" w:color="auto" w:fill="C0C0C0"/>
          </w:tcPr>
          <w:p>
            <w:pPr>
              <w:ind w:left="540"/>
              <w:spacing w:after="0"/>
              <w:rPr>
                <w:sz w:val="20"/>
                <w:szCs w:val="20"/>
                <w:color w:val="auto"/>
              </w:rPr>
            </w:pPr>
            <w:r>
              <w:rPr>
                <w:rFonts w:ascii="Times New Roman" w:cs="Times New Roman" w:eastAsia="Times New Roman" w:hAnsi="Times New Roman"/>
                <w:sz w:val="18"/>
                <w:szCs w:val="18"/>
                <w:color w:val="auto"/>
              </w:rPr>
              <w:t>Tax effect</w:t>
            </w:r>
          </w:p>
        </w:tc>
        <w:tc>
          <w:tcPr>
            <w:tcW w:w="9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0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(1,097)</w:t>
            </w:r>
          </w:p>
        </w:tc>
        <w:tc>
          <w:tcPr>
            <w:tcW w:w="24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0C0C0"/>
          </w:tcPr>
          <w:p>
            <w:pPr>
              <w:spacing w:after="0"/>
              <w:rPr>
                <w:sz w:val="21"/>
                <w:szCs w:val="21"/>
                <w:color w:val="auto"/>
              </w:rPr>
            </w:pPr>
          </w:p>
        </w:tc>
        <w:tc>
          <w:tcPr>
            <w:tcW w:w="86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(2,796)</w:t>
            </w:r>
          </w:p>
        </w:tc>
        <w:tc>
          <w:tcPr>
            <w:tcW w:w="2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2,426</w:t>
            </w:r>
          </w:p>
        </w:tc>
      </w:tr>
      <w:tr>
        <w:trPr>
          <w:trHeight w:val="234"/>
        </w:trPr>
        <w:tc>
          <w:tcPr>
            <w:tcW w:w="6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Reclassification adjustments for (gains) losses included in net income</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52"/>
        </w:trPr>
        <w:tc>
          <w:tcPr>
            <w:tcW w:w="6260" w:type="dxa"/>
            <w:vAlign w:val="bottom"/>
            <w:shd w:val="clear" w:color="auto" w:fill="C0C0C0"/>
          </w:tcPr>
          <w:p>
            <w:pPr>
              <w:ind w:left="540"/>
              <w:spacing w:after="0"/>
              <w:rPr>
                <w:sz w:val="20"/>
                <w:szCs w:val="20"/>
                <w:color w:val="auto"/>
              </w:rPr>
            </w:pPr>
            <w:r>
              <w:rPr>
                <w:rFonts w:ascii="Times New Roman" w:cs="Times New Roman" w:eastAsia="Times New Roman" w:hAnsi="Times New Roman"/>
                <w:sz w:val="18"/>
                <w:szCs w:val="18"/>
                <w:color w:val="auto"/>
              </w:rPr>
              <w:t>Tax effect</w:t>
            </w:r>
          </w:p>
        </w:tc>
        <w:tc>
          <w:tcPr>
            <w:tcW w:w="9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0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6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9"/>
        </w:trPr>
        <w:tc>
          <w:tcPr>
            <w:tcW w:w="6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48"/>
        </w:trPr>
        <w:tc>
          <w:tcPr>
            <w:tcW w:w="6260" w:type="dxa"/>
            <w:vAlign w:val="bottom"/>
            <w:tcBorders>
              <w:top w:val="single" w:sz="8" w:color="C0C0C0"/>
              <w:bottom w:val="single" w:sz="8" w:color="C0C0C0"/>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060" w:type="dxa"/>
            <w:vAlign w:val="bottom"/>
            <w:tcBorders>
              <w:top w:val="single" w:sz="8" w:color="C0C0C0"/>
              <w:bottom w:val="single" w:sz="8" w:color="C0C0C0"/>
            </w:tcBorders>
            <w:gridSpan w:val="2"/>
            <w:shd w:val="clear" w:color="auto" w:fill="C0C0C0"/>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11,208</w:t>
            </w:r>
          </w:p>
        </w:tc>
        <w:tc>
          <w:tcPr>
            <w:tcW w:w="140" w:type="dxa"/>
            <w:vAlign w:val="bottom"/>
            <w:tcBorders>
              <w:top w:val="single" w:sz="8" w:color="C0C0C0"/>
              <w:bottom w:val="single" w:sz="8" w:color="C0C0C0"/>
            </w:tcBorders>
            <w:shd w:val="clear" w:color="auto" w:fill="C0C0C0"/>
          </w:tcPr>
          <w:p>
            <w:pPr>
              <w:spacing w:after="0"/>
              <w:rPr>
                <w:sz w:val="21"/>
                <w:szCs w:val="21"/>
                <w:color w:val="auto"/>
              </w:rPr>
            </w:pPr>
          </w:p>
        </w:tc>
        <w:tc>
          <w:tcPr>
            <w:tcW w:w="240" w:type="dxa"/>
            <w:vAlign w:val="bottom"/>
            <w:tcBorders>
              <w:top w:val="single" w:sz="8" w:color="C0C0C0"/>
              <w:bottom w:val="single" w:sz="8" w:color="C0C0C0"/>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shd w:val="clear" w:color="auto" w:fill="C0C0C0"/>
          </w:tcPr>
          <w:p>
            <w:pPr>
              <w:spacing w:after="0"/>
              <w:rPr>
                <w:sz w:val="21"/>
                <w:szCs w:val="21"/>
                <w:color w:val="auto"/>
              </w:rPr>
            </w:pPr>
          </w:p>
        </w:tc>
        <w:tc>
          <w:tcPr>
            <w:tcW w:w="5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7,122</w:t>
            </w:r>
          </w:p>
        </w:tc>
        <w:tc>
          <w:tcPr>
            <w:tcW w:w="260" w:type="dxa"/>
            <w:vAlign w:val="bottom"/>
            <w:tcBorders>
              <w:top w:val="single" w:sz="8" w:color="C0C0C0"/>
              <w:bottom w:val="single" w:sz="8" w:color="C0C0C0"/>
            </w:tcBorders>
            <w:shd w:val="clear" w:color="auto" w:fill="C0C0C0"/>
          </w:tcPr>
          <w:p>
            <w:pPr>
              <w:spacing w:after="0"/>
              <w:rPr>
                <w:sz w:val="21"/>
                <w:szCs w:val="21"/>
                <w:color w:val="auto"/>
              </w:rPr>
            </w:pPr>
          </w:p>
        </w:tc>
        <w:tc>
          <w:tcPr>
            <w:tcW w:w="120" w:type="dxa"/>
            <w:vAlign w:val="bottom"/>
            <w:tcBorders>
              <w:top w:val="single" w:sz="8" w:color="C0C0C0"/>
              <w:bottom w:val="single" w:sz="8" w:color="C0C0C0"/>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24,787</w:t>
            </w:r>
          </w:p>
        </w:tc>
        <w:tc>
          <w:tcPr>
            <w:tcW w:w="140" w:type="dxa"/>
            <w:vAlign w:val="bottom"/>
            <w:tcBorders>
              <w:top w:val="single" w:sz="8" w:color="C0C0C0"/>
              <w:bottom w:val="single" w:sz="8" w:color="C0C0C0"/>
            </w:tcBorders>
            <w:shd w:val="clear" w:color="auto" w:fill="C0C0C0"/>
          </w:tcPr>
          <w:p>
            <w:pPr>
              <w:spacing w:after="0"/>
              <w:rPr>
                <w:sz w:val="21"/>
                <w:szCs w:val="21"/>
                <w:color w:val="auto"/>
              </w:rPr>
            </w:pPr>
          </w:p>
        </w:tc>
        <w:tc>
          <w:tcPr>
            <w:tcW w:w="220" w:type="dxa"/>
            <w:vAlign w:val="bottom"/>
            <w:tcBorders>
              <w:top w:val="single" w:sz="8" w:color="C0C0C0"/>
              <w:bottom w:val="single" w:sz="8" w:color="C0C0C0"/>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shd w:val="clear" w:color="auto" w:fill="C0C0C0"/>
          </w:tcPr>
          <w:p>
            <w:pPr>
              <w:spacing w:after="0"/>
              <w:rPr>
                <w:sz w:val="21"/>
                <w:szCs w:val="21"/>
                <w:color w:val="auto"/>
              </w:rPr>
            </w:pPr>
          </w:p>
        </w:tc>
        <w:tc>
          <w:tcPr>
            <w:tcW w:w="6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7,795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4"/>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8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15,847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8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6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5,366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80" w:type="dxa"/>
            <w:vAlign w:val="bottom"/>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Net (gains) losses on sales of securities</w:t>
            </w:r>
          </w:p>
        </w:tc>
        <w:tc>
          <w:tcPr>
            <w:tcW w:w="16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80" w:type="dxa"/>
            <w:vAlign w:val="bottom"/>
            <w:gridSpan w:val="2"/>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80" w:type="dxa"/>
            <w:vAlign w:val="bottom"/>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6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80" w:type="dxa"/>
            <w:vAlign w:val="bottom"/>
            <w:gridSpan w:val="2"/>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(Decrease) increase in income tax liability</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80" w:type="dxa"/>
            <w:vAlign w:val="bottom"/>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Increase in pension liability</w:t>
            </w:r>
          </w:p>
        </w:tc>
        <w:tc>
          <w:tcPr>
            <w:tcW w:w="16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80" w:type="dxa"/>
            <w:vAlign w:val="bottom"/>
            <w:gridSpan w:val="2"/>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2,590</w:t>
            </w:r>
          </w:p>
        </w:tc>
        <w:tc>
          <w:tcPr>
            <w:tcW w:w="2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(Increase) decrease in accounts receivable</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80" w:type="dxa"/>
            <w:vAlign w:val="bottom"/>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Other operating activities, net</w:t>
            </w:r>
          </w:p>
        </w:tc>
        <w:tc>
          <w:tcPr>
            <w:tcW w:w="16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80" w:type="dxa"/>
            <w:vAlign w:val="bottom"/>
            <w:gridSpan w:val="2"/>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3,327</w:t>
            </w:r>
          </w:p>
        </w:tc>
        <w:tc>
          <w:tcPr>
            <w:tcW w:w="2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(5,419)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4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26,373</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vMerge w:val="restart"/>
          </w:tcPr>
          <w:p>
            <w:pPr>
              <w:spacing w:after="0"/>
              <w:rPr>
                <w:sz w:val="20"/>
                <w:szCs w:val="20"/>
                <w:color w:val="auto"/>
              </w:rPr>
            </w:pPr>
          </w:p>
        </w:tc>
        <w:tc>
          <w:tcPr>
            <w:tcW w:w="74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8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sales of securities available-for-sale</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4,648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8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Proceeds from maturities of securities available-for-sale</w:t>
            </w:r>
          </w:p>
        </w:tc>
        <w:tc>
          <w:tcPr>
            <w:tcW w:w="16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80" w:type="dxa"/>
            <w:vAlign w:val="bottom"/>
            <w:gridSpan w:val="2"/>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10,161</w:t>
            </w:r>
          </w:p>
        </w:tc>
        <w:tc>
          <w:tcPr>
            <w:tcW w:w="2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17,374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securities available-for-sale</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8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Net increase in loans</w:t>
            </w:r>
          </w:p>
        </w:tc>
        <w:tc>
          <w:tcPr>
            <w:tcW w:w="16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80" w:type="dxa"/>
            <w:vAlign w:val="bottom"/>
            <w:gridSpan w:val="2"/>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(68,934)</w:t>
            </w:r>
          </w:p>
        </w:tc>
        <w:tc>
          <w:tcPr>
            <w:tcW w:w="2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(28,620)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payments in excess of funding</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(13,571)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8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Purchases of premises and equipment, net</w:t>
            </w:r>
          </w:p>
        </w:tc>
        <w:tc>
          <w:tcPr>
            <w:tcW w:w="16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80" w:type="dxa"/>
            <w:vAlign w:val="bottom"/>
            <w:gridSpan w:val="2"/>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(1,202)</w:t>
            </w:r>
          </w:p>
        </w:tc>
        <w:tc>
          <w:tcPr>
            <w:tcW w:w="2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(68,898)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vMerge w:val="restart"/>
          </w:tcPr>
          <w:p>
            <w:pPr>
              <w:spacing w:after="0"/>
              <w:rPr>
                <w:sz w:val="20"/>
                <w:szCs w:val="20"/>
                <w:color w:val="auto"/>
              </w:rPr>
            </w:pPr>
          </w:p>
        </w:tc>
        <w:tc>
          <w:tcPr>
            <w:tcW w:w="74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8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noninterest-bearing demand deposits</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(54,176)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8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Net decrease in interest-bearing demand and savings deposits</w:t>
            </w:r>
          </w:p>
        </w:tc>
        <w:tc>
          <w:tcPr>
            <w:tcW w:w="16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80" w:type="dxa"/>
            <w:vAlign w:val="bottom"/>
            <w:gridSpan w:val="2"/>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(32,058)</w:t>
            </w:r>
          </w:p>
        </w:tc>
        <w:tc>
          <w:tcPr>
            <w:tcW w:w="2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(40,588)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time deposits</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8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Net increase (decrease) in accounts and drafts payable</w:t>
            </w:r>
          </w:p>
        </w:tc>
        <w:tc>
          <w:tcPr>
            <w:tcW w:w="16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80" w:type="dxa"/>
            <w:vAlign w:val="bottom"/>
            <w:gridSpan w:val="2"/>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96,033</w:t>
            </w:r>
          </w:p>
        </w:tc>
        <w:tc>
          <w:tcPr>
            <w:tcW w:w="2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(36,538)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paid</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(7,548)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8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Purchase of common shares for treasury</w:t>
            </w:r>
          </w:p>
        </w:tc>
        <w:tc>
          <w:tcPr>
            <w:tcW w:w="16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80" w:type="dxa"/>
            <w:vAlign w:val="bottom"/>
            <w:gridSpan w:val="2"/>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(7,799)</w:t>
            </w:r>
          </w:p>
        </w:tc>
        <w:tc>
          <w:tcPr>
            <w:tcW w:w="2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80" w:type="dxa"/>
            <w:vAlign w:val="bottom"/>
            <w:tcBorders>
              <w:top w:val="single" w:sz="8" w:color="C0C0C0"/>
            </w:tcBorders>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60" w:type="dxa"/>
            <w:vAlign w:val="bottom"/>
            <w:tcBorders>
              <w:top w:val="single" w:sz="8" w:color="C0C0C0"/>
            </w:tcBorders>
            <w:shd w:val="clear" w:color="auto" w:fill="C0C0C0"/>
          </w:tcPr>
          <w:p>
            <w:pPr>
              <w:spacing w:after="0"/>
              <w:rPr>
                <w:sz w:val="20"/>
                <w:szCs w:val="20"/>
                <w:color w:val="auto"/>
              </w:rPr>
            </w:pPr>
          </w:p>
        </w:tc>
        <w:tc>
          <w:tcPr>
            <w:tcW w:w="100" w:type="dxa"/>
            <w:vAlign w:val="bottom"/>
            <w:tcBorders>
              <w:top w:val="single" w:sz="8" w:color="C0C0C0"/>
            </w:tcBorders>
            <w:shd w:val="clear" w:color="auto" w:fill="C0C0C0"/>
          </w:tcPr>
          <w:p>
            <w:pPr>
              <w:spacing w:after="0"/>
              <w:rPr>
                <w:sz w:val="20"/>
                <w:szCs w:val="20"/>
                <w:color w:val="auto"/>
              </w:rPr>
            </w:pPr>
          </w:p>
        </w:tc>
        <w:tc>
          <w:tcPr>
            <w:tcW w:w="8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140" w:type="dxa"/>
            <w:vAlign w:val="bottom"/>
            <w:tcBorders>
              <w:top w:val="single" w:sz="8" w:color="C0C0C0"/>
            </w:tcBorders>
            <w:shd w:val="clear" w:color="auto" w:fill="C0C0C0"/>
          </w:tcPr>
          <w:p>
            <w:pPr>
              <w:spacing w:after="0"/>
              <w:rPr>
                <w:sz w:val="20"/>
                <w:szCs w:val="20"/>
                <w:color w:val="auto"/>
              </w:rPr>
            </w:pPr>
          </w:p>
        </w:tc>
        <w:tc>
          <w:tcPr>
            <w:tcW w:w="240" w:type="dxa"/>
            <w:vAlign w:val="bottom"/>
            <w:tcBorders>
              <w:top w:val="single" w:sz="8" w:color="C0C0C0"/>
            </w:tcBorders>
            <w:shd w:val="clear" w:color="auto" w:fill="C0C0C0"/>
          </w:tcPr>
          <w:p>
            <w:pPr>
              <w:spacing w:after="0"/>
              <w:rPr>
                <w:sz w:val="20"/>
                <w:szCs w:val="20"/>
                <w:color w:val="auto"/>
              </w:rPr>
            </w:pPr>
          </w:p>
        </w:tc>
        <w:tc>
          <w:tcPr>
            <w:tcW w:w="180" w:type="dxa"/>
            <w:vAlign w:val="bottom"/>
            <w:tcBorders>
              <w:top w:val="single" w:sz="8" w:color="auto"/>
              <w:bottom w:val="single" w:sz="8" w:color="auto"/>
            </w:tcBorders>
            <w:shd w:val="clear" w:color="auto" w:fill="C0C0C0"/>
          </w:tcPr>
          <w:p>
            <w:pPr>
              <w:spacing w:after="0"/>
              <w:rPr>
                <w:sz w:val="20"/>
                <w:szCs w:val="20"/>
                <w:color w:val="auto"/>
              </w:rPr>
            </w:pPr>
          </w:p>
        </w:tc>
        <w:tc>
          <w:tcPr>
            <w:tcW w:w="7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(96,636)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8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80" w:type="dxa"/>
            <w:vAlign w:val="bottom"/>
            <w:gridSpan w:val="2"/>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230,933</w:t>
            </w:r>
          </w:p>
        </w:tc>
        <w:tc>
          <w:tcPr>
            <w:tcW w:w="2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228,110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183,513</w:t>
            </w:r>
          </w:p>
        </w:tc>
        <w:tc>
          <w:tcPr>
            <w:tcW w:w="14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4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8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Supplemental information:</w:t>
            </w:r>
          </w:p>
        </w:tc>
        <w:tc>
          <w:tcPr>
            <w:tcW w:w="16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paid for interest</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2,496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8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6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80" w:type="dxa"/>
            <w:vAlign w:val="bottom"/>
            <w:gridSpan w:val="2"/>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4,545</w:t>
            </w:r>
          </w:p>
        </w:tc>
        <w:tc>
          <w:tcPr>
            <w:tcW w:w="2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2018 AND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Common</w:t>
            </w:r>
          </w:p>
        </w:tc>
        <w:tc>
          <w:tcPr>
            <w:tcW w:w="140" w:type="dxa"/>
            <w:vAlign w:val="bottom"/>
          </w:tcPr>
          <w:p>
            <w:pPr>
              <w:spacing w:after="0"/>
              <w:rPr>
                <w:sz w:val="21"/>
                <w:szCs w:val="21"/>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Paid-in</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21"/>
                <w:szCs w:val="21"/>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Treasury</w:t>
            </w:r>
          </w:p>
        </w:tc>
        <w:tc>
          <w:tcPr>
            <w:tcW w:w="120" w:type="dxa"/>
            <w:vAlign w:val="bottom"/>
          </w:tcPr>
          <w:p>
            <w:pPr>
              <w:spacing w:after="0"/>
              <w:rPr>
                <w:sz w:val="21"/>
                <w:szCs w:val="21"/>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40" w:type="dxa"/>
            <w:vAlign w:val="bottom"/>
          </w:tcPr>
          <w:p>
            <w:pPr>
              <w:spacing w:after="0"/>
              <w:rPr>
                <w:sz w:val="21"/>
                <w:szCs w:val="21"/>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21"/>
                <w:szCs w:val="21"/>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(Loss) Income</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0" w:type="dxa"/>
            <w:vAlign w:val="bottom"/>
          </w:tcPr>
          <w:p>
            <w:pPr>
              <w:spacing w:after="0"/>
              <w:rPr>
                <w:sz w:val="1"/>
                <w:szCs w:val="1"/>
                <w:color w:val="auto"/>
              </w:rPr>
            </w:pPr>
          </w:p>
        </w:tc>
      </w:tr>
      <w:tr>
        <w:trPr>
          <w:trHeight w:val="48"/>
        </w:trPr>
        <w:tc>
          <w:tcPr>
            <w:tcW w:w="446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tcBorders>
              <w:top w:val="single" w:sz="8" w:color="C0C0C0"/>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Balance, March 31, 2018</w:t>
            </w:r>
          </w:p>
        </w:tc>
        <w:tc>
          <w:tcPr>
            <w:tcW w:w="260" w:type="dxa"/>
            <w:vAlign w:val="bottom"/>
            <w:tcBorders>
              <w:top w:val="single" w:sz="8" w:color="C0C0C0"/>
            </w:tcBorders>
            <w:shd w:val="clear" w:color="auto" w:fill="C0C0C0"/>
          </w:tcPr>
          <w:p>
            <w:pPr>
              <w:spacing w:after="0"/>
              <w:rPr>
                <w:sz w:val="20"/>
                <w:szCs w:val="20"/>
                <w:color w:val="auto"/>
              </w:rPr>
            </w:pPr>
          </w:p>
        </w:tc>
        <w:tc>
          <w:tcPr>
            <w:tcW w:w="10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260" w:type="dxa"/>
            <w:vAlign w:val="bottom"/>
            <w:tcBorders>
              <w:top w:val="single" w:sz="8" w:color="C0C0C0"/>
            </w:tcBorders>
            <w:shd w:val="clear" w:color="auto" w:fill="C0C0C0"/>
          </w:tcPr>
          <w:p>
            <w:pPr>
              <w:spacing w:after="0"/>
              <w:rPr>
                <w:sz w:val="20"/>
                <w:szCs w:val="20"/>
                <w:color w:val="auto"/>
              </w:rPr>
            </w:pPr>
          </w:p>
        </w:tc>
        <w:tc>
          <w:tcPr>
            <w:tcW w:w="14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204,479</w:t>
            </w:r>
          </w:p>
        </w:tc>
        <w:tc>
          <w:tcPr>
            <w:tcW w:w="140" w:type="dxa"/>
            <w:vAlign w:val="bottom"/>
            <w:tcBorders>
              <w:top w:val="single" w:sz="8" w:color="C0C0C0"/>
            </w:tcBorders>
            <w:shd w:val="clear" w:color="auto" w:fill="C0C0C0"/>
          </w:tcPr>
          <w:p>
            <w:pPr>
              <w:spacing w:after="0"/>
              <w:rPr>
                <w:sz w:val="20"/>
                <w:szCs w:val="20"/>
                <w:color w:val="auto"/>
              </w:rPr>
            </w:pPr>
          </w:p>
        </w:tc>
        <w:tc>
          <w:tcPr>
            <w:tcW w:w="120" w:type="dxa"/>
            <w:vAlign w:val="bottom"/>
            <w:tcBorders>
              <w:top w:val="single" w:sz="8" w:color="C0C0C0"/>
            </w:tcBorders>
            <w:shd w:val="clear" w:color="auto" w:fill="C0C0C0"/>
          </w:tcPr>
          <w:p>
            <w:pPr>
              <w:spacing w:after="0"/>
              <w:rPr>
                <w:sz w:val="20"/>
                <w:szCs w:val="20"/>
                <w:color w:val="auto"/>
              </w:rPr>
            </w:pPr>
          </w:p>
        </w:tc>
        <w:tc>
          <w:tcPr>
            <w:tcW w:w="14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64,458</w:t>
            </w:r>
          </w:p>
        </w:tc>
        <w:tc>
          <w:tcPr>
            <w:tcW w:w="280" w:type="dxa"/>
            <w:vAlign w:val="bottom"/>
            <w:tcBorders>
              <w:top w:val="single" w:sz="8" w:color="C0C0C0"/>
            </w:tcBorders>
            <w:shd w:val="clear" w:color="auto" w:fill="C0C0C0"/>
          </w:tcPr>
          <w:p>
            <w:pPr>
              <w:spacing w:after="0"/>
              <w:rPr>
                <w:sz w:val="20"/>
                <w:szCs w:val="20"/>
                <w:color w:val="auto"/>
              </w:rPr>
            </w:pPr>
          </w:p>
        </w:tc>
        <w:tc>
          <w:tcPr>
            <w:tcW w:w="14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(32,301)</w:t>
            </w:r>
          </w:p>
        </w:tc>
        <w:tc>
          <w:tcPr>
            <w:tcW w:w="140" w:type="dxa"/>
            <w:vAlign w:val="bottom"/>
            <w:tcBorders>
              <w:top w:val="single" w:sz="8" w:color="C0C0C0"/>
            </w:tcBorders>
            <w:shd w:val="clear" w:color="auto" w:fill="C0C0C0"/>
          </w:tcPr>
          <w:p>
            <w:pPr>
              <w:spacing w:after="0"/>
              <w:rPr>
                <w:sz w:val="20"/>
                <w:szCs w:val="20"/>
                <w:color w:val="auto"/>
              </w:rPr>
            </w:pPr>
          </w:p>
        </w:tc>
        <w:tc>
          <w:tcPr>
            <w:tcW w:w="120" w:type="dxa"/>
            <w:vAlign w:val="bottom"/>
            <w:tcBorders>
              <w:top w:val="single" w:sz="8" w:color="C0C0C0"/>
            </w:tcBorders>
            <w:shd w:val="clear" w:color="auto" w:fill="C0C0C0"/>
          </w:tcPr>
          <w:p>
            <w:pPr>
              <w:spacing w:after="0"/>
              <w:rPr>
                <w:sz w:val="20"/>
                <w:szCs w:val="20"/>
                <w:color w:val="auto"/>
              </w:rPr>
            </w:pPr>
          </w:p>
        </w:tc>
        <w:tc>
          <w:tcPr>
            <w:tcW w:w="10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(20,738)</w:t>
            </w:r>
          </w:p>
        </w:tc>
        <w:tc>
          <w:tcPr>
            <w:tcW w:w="120" w:type="dxa"/>
            <w:vAlign w:val="bottom"/>
            <w:tcBorders>
              <w:top w:val="single" w:sz="8" w:color="C0C0C0"/>
            </w:tcBorders>
            <w:shd w:val="clear" w:color="auto" w:fill="C0C0C0"/>
          </w:tcPr>
          <w:p>
            <w:pPr>
              <w:spacing w:after="0"/>
              <w:rPr>
                <w:sz w:val="20"/>
                <w:szCs w:val="20"/>
                <w:color w:val="auto"/>
              </w:rPr>
            </w:pPr>
          </w:p>
        </w:tc>
        <w:tc>
          <w:tcPr>
            <w:tcW w:w="140" w:type="dxa"/>
            <w:vAlign w:val="bottom"/>
            <w:tcBorders>
              <w:top w:val="single" w:sz="8" w:color="C0C0C0"/>
            </w:tcBorders>
            <w:shd w:val="clear" w:color="auto" w:fill="C0C0C0"/>
          </w:tcPr>
          <w:p>
            <w:pPr>
              <w:spacing w:after="0"/>
              <w:rPr>
                <w:sz w:val="20"/>
                <w:szCs w:val="20"/>
                <w:color w:val="auto"/>
              </w:rPr>
            </w:pPr>
          </w:p>
        </w:tc>
        <w:tc>
          <w:tcPr>
            <w:tcW w:w="320" w:type="dxa"/>
            <w:vAlign w:val="bottom"/>
            <w:tcBorders>
              <w:top w:val="single" w:sz="8" w:color="auto"/>
            </w:tcBorders>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99"/>
              </w:rPr>
              <w:t>222,422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vMerge w:val="restart"/>
          </w:tcPr>
          <w:p>
            <w:pPr>
              <w:spacing w:after="0"/>
              <w:rPr>
                <w:sz w:val="21"/>
                <w:szCs w:val="21"/>
                <w:color w:val="auto"/>
              </w:rPr>
            </w:pPr>
          </w:p>
        </w:tc>
        <w:tc>
          <w:tcPr>
            <w:tcW w:w="44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7,509</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44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Cash dividends ($.20 per share)</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00" w:type="dxa"/>
            <w:vAlign w:val="bottom"/>
            <w:gridSpan w:val="2"/>
            <w:shd w:val="clear" w:color="auto" w:fill="C0C0C0"/>
          </w:tcPr>
          <w:p>
            <w:pPr>
              <w:jc w:val="right"/>
              <w:ind w:right="280"/>
              <w:spacing w:after="0"/>
              <w:rPr>
                <w:sz w:val="20"/>
                <w:szCs w:val="20"/>
                <w:color w:val="auto"/>
              </w:rPr>
            </w:pPr>
            <w:r>
              <w:rPr>
                <w:rFonts w:ascii="Times New Roman" w:cs="Times New Roman" w:eastAsia="Times New Roman" w:hAnsi="Times New Roman"/>
                <w:sz w:val="18"/>
                <w:szCs w:val="18"/>
                <w:color w:val="auto"/>
              </w:rPr>
              <w:t>(3,196)</w:t>
            </w:r>
          </w:p>
        </w:tc>
        <w:tc>
          <w:tcPr>
            <w:tcW w:w="14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6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8,972 common shares pursuant to stock-based</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compensation plan, net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4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Exercise of SARs</w:t>
            </w:r>
          </w:p>
        </w:tc>
        <w:tc>
          <w:tcPr>
            <w:tcW w:w="2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64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92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72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94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90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320" w:type="dxa"/>
            <w:vAlign w:val="bottom"/>
            <w:shd w:val="clear" w:color="auto" w:fill="C0C0C0"/>
          </w:tcPr>
          <w:p>
            <w:pPr>
              <w:spacing w:after="0"/>
              <w:rPr>
                <w:sz w:val="22"/>
                <w:szCs w:val="22"/>
                <w:color w:val="auto"/>
              </w:rPr>
            </w:pPr>
          </w:p>
        </w:tc>
        <w:tc>
          <w:tcPr>
            <w:tcW w:w="6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44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Purchase of 720 common shares</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94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6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(388)</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440" w:type="dxa"/>
            <w:vAlign w:val="bottom"/>
            <w:tcBorders>
              <w:top w:val="single" w:sz="8" w:color="C0C0C0"/>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Balance, June 30, 2018</w:t>
            </w:r>
          </w:p>
        </w:tc>
        <w:tc>
          <w:tcPr>
            <w:tcW w:w="260" w:type="dxa"/>
            <w:vAlign w:val="bottom"/>
            <w:tcBorders>
              <w:top w:val="single" w:sz="8" w:color="C0C0C0"/>
              <w:bottom w:val="single" w:sz="8" w:color="auto"/>
            </w:tcBorders>
            <w:shd w:val="clear" w:color="auto" w:fill="C0C0C0"/>
          </w:tcPr>
          <w:p>
            <w:pPr>
              <w:spacing w:after="0"/>
              <w:rPr>
                <w:sz w:val="21"/>
                <w:szCs w:val="21"/>
                <w:color w:val="auto"/>
              </w:rPr>
            </w:pPr>
          </w:p>
        </w:tc>
        <w:tc>
          <w:tcPr>
            <w:tcW w:w="1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260" w:type="dxa"/>
            <w:vAlign w:val="bottom"/>
            <w:tcBorders>
              <w:top w:val="single" w:sz="8" w:color="C0C0C0"/>
              <w:bottom w:val="single" w:sz="8" w:color="auto"/>
            </w:tcBorders>
            <w:shd w:val="clear" w:color="auto" w:fill="C0C0C0"/>
          </w:tcPr>
          <w:p>
            <w:pPr>
              <w:spacing w:after="0"/>
              <w:rPr>
                <w:sz w:val="21"/>
                <w:szCs w:val="21"/>
                <w:color w:val="auto"/>
              </w:rPr>
            </w:pPr>
          </w:p>
        </w:tc>
        <w:tc>
          <w:tcPr>
            <w:tcW w:w="1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204,687</w:t>
            </w:r>
          </w:p>
        </w:tc>
        <w:tc>
          <w:tcPr>
            <w:tcW w:w="140" w:type="dxa"/>
            <w:vAlign w:val="bottom"/>
            <w:tcBorders>
              <w:top w:val="single" w:sz="8" w:color="C0C0C0"/>
              <w:bottom w:val="single" w:sz="8" w:color="auto"/>
            </w:tcBorders>
            <w:shd w:val="clear" w:color="auto" w:fill="C0C0C0"/>
          </w:tcPr>
          <w:p>
            <w:pPr>
              <w:spacing w:after="0"/>
              <w:rPr>
                <w:sz w:val="21"/>
                <w:szCs w:val="21"/>
                <w:color w:val="auto"/>
              </w:rPr>
            </w:pPr>
          </w:p>
        </w:tc>
        <w:tc>
          <w:tcPr>
            <w:tcW w:w="120" w:type="dxa"/>
            <w:vAlign w:val="bottom"/>
            <w:tcBorders>
              <w:top w:val="single" w:sz="8" w:color="C0C0C0"/>
              <w:bottom w:val="single" w:sz="8" w:color="auto"/>
            </w:tcBorders>
            <w:shd w:val="clear" w:color="auto" w:fill="C0C0C0"/>
          </w:tcPr>
          <w:p>
            <w:pPr>
              <w:spacing w:after="0"/>
              <w:rPr>
                <w:sz w:val="21"/>
                <w:szCs w:val="21"/>
                <w:color w:val="auto"/>
              </w:rPr>
            </w:pPr>
          </w:p>
        </w:tc>
        <w:tc>
          <w:tcPr>
            <w:tcW w:w="1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68,771</w:t>
            </w:r>
          </w:p>
        </w:tc>
        <w:tc>
          <w:tcPr>
            <w:tcW w:w="280" w:type="dxa"/>
            <w:vAlign w:val="bottom"/>
            <w:tcBorders>
              <w:top w:val="single" w:sz="8" w:color="C0C0C0"/>
              <w:bottom w:val="single" w:sz="8" w:color="auto"/>
            </w:tcBorders>
            <w:shd w:val="clear" w:color="auto" w:fill="C0C0C0"/>
          </w:tcPr>
          <w:p>
            <w:pPr>
              <w:spacing w:after="0"/>
              <w:rPr>
                <w:sz w:val="21"/>
                <w:szCs w:val="21"/>
                <w:color w:val="auto"/>
              </w:rPr>
            </w:pPr>
          </w:p>
        </w:tc>
        <w:tc>
          <w:tcPr>
            <w:tcW w:w="1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(32,243)</w:t>
            </w:r>
          </w:p>
        </w:tc>
        <w:tc>
          <w:tcPr>
            <w:tcW w:w="140" w:type="dxa"/>
            <w:vAlign w:val="bottom"/>
            <w:tcBorders>
              <w:top w:val="single" w:sz="8" w:color="C0C0C0"/>
              <w:bottom w:val="single" w:sz="8" w:color="auto"/>
            </w:tcBorders>
            <w:shd w:val="clear" w:color="auto" w:fill="C0C0C0"/>
          </w:tcPr>
          <w:p>
            <w:pPr>
              <w:spacing w:after="0"/>
              <w:rPr>
                <w:sz w:val="21"/>
                <w:szCs w:val="21"/>
                <w:color w:val="auto"/>
              </w:rPr>
            </w:pPr>
          </w:p>
        </w:tc>
        <w:tc>
          <w:tcPr>
            <w:tcW w:w="120" w:type="dxa"/>
            <w:vAlign w:val="bottom"/>
            <w:tcBorders>
              <w:top w:val="single" w:sz="8" w:color="C0C0C0"/>
              <w:bottom w:val="single" w:sz="8" w:color="auto"/>
            </w:tcBorders>
            <w:shd w:val="clear" w:color="auto" w:fill="C0C0C0"/>
          </w:tcPr>
          <w:p>
            <w:pPr>
              <w:spacing w:after="0"/>
              <w:rPr>
                <w:sz w:val="21"/>
                <w:szCs w:val="21"/>
                <w:color w:val="auto"/>
              </w:rPr>
            </w:pPr>
          </w:p>
        </w:tc>
        <w:tc>
          <w:tcPr>
            <w:tcW w:w="1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(21,126)</w:t>
            </w:r>
          </w:p>
        </w:tc>
        <w:tc>
          <w:tcPr>
            <w:tcW w:w="120" w:type="dxa"/>
            <w:vAlign w:val="bottom"/>
            <w:tcBorders>
              <w:top w:val="single" w:sz="8" w:color="C0C0C0"/>
              <w:bottom w:val="single" w:sz="8" w:color="auto"/>
            </w:tcBorders>
            <w:shd w:val="clear" w:color="auto" w:fill="C0C0C0"/>
          </w:tcPr>
          <w:p>
            <w:pPr>
              <w:spacing w:after="0"/>
              <w:rPr>
                <w:sz w:val="21"/>
                <w:szCs w:val="21"/>
                <w:color w:val="auto"/>
              </w:rPr>
            </w:pPr>
          </w:p>
        </w:tc>
        <w:tc>
          <w:tcPr>
            <w:tcW w:w="140" w:type="dxa"/>
            <w:vAlign w:val="bottom"/>
            <w:tcBorders>
              <w:top w:val="single" w:sz="8" w:color="C0C0C0"/>
              <w:bottom w:val="single" w:sz="8" w:color="auto"/>
            </w:tcBorders>
            <w:shd w:val="clear" w:color="auto" w:fill="C0C0C0"/>
          </w:tcPr>
          <w:p>
            <w:pPr>
              <w:spacing w:after="0"/>
              <w:rPr>
                <w:sz w:val="21"/>
                <w:szCs w:val="21"/>
                <w:color w:val="auto"/>
              </w:rPr>
            </w:pPr>
          </w:p>
        </w:tc>
        <w:tc>
          <w:tcPr>
            <w:tcW w:w="320" w:type="dxa"/>
            <w:vAlign w:val="bottom"/>
            <w:tcBorders>
              <w:top w:val="single" w:sz="8" w:color="auto"/>
              <w:bottom w:val="single" w:sz="8" w:color="auto"/>
            </w:tcBorders>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99"/>
              </w:rPr>
              <w:t>226,613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44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Balance, March 31, 2019</w:t>
            </w:r>
          </w:p>
        </w:tc>
        <w:tc>
          <w:tcPr>
            <w:tcW w:w="36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0C0C0"/>
          </w:tcPr>
          <w:p>
            <w:pPr>
              <w:jc w:val="right"/>
              <w:ind w:right="260"/>
              <w:spacing w:after="0"/>
              <w:rPr>
                <w:sz w:val="20"/>
                <w:szCs w:val="20"/>
                <w:color w:val="auto"/>
              </w:rPr>
            </w:pPr>
            <w:r>
              <w:rPr>
                <w:rFonts w:ascii="Times New Roman" w:cs="Times New Roman" w:eastAsia="Times New Roman" w:hAnsi="Times New Roman"/>
                <w:sz w:val="18"/>
                <w:szCs w:val="18"/>
                <w:color w:val="auto"/>
              </w:rPr>
              <w:t>7,753</w:t>
            </w:r>
          </w:p>
        </w:tc>
        <w:tc>
          <w:tcPr>
            <w:tcW w:w="1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205,310</w:t>
            </w:r>
          </w:p>
        </w:tc>
        <w:tc>
          <w:tcPr>
            <w:tcW w:w="26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0C0C0"/>
          </w:tcPr>
          <w:p>
            <w:pPr>
              <w:jc w:val="right"/>
              <w:ind w:right="280"/>
              <w:spacing w:after="0"/>
              <w:rPr>
                <w:sz w:val="20"/>
                <w:szCs w:val="20"/>
                <w:color w:val="auto"/>
              </w:rPr>
            </w:pPr>
            <w:r>
              <w:rPr>
                <w:rFonts w:ascii="Times New Roman" w:cs="Times New Roman" w:eastAsia="Times New Roman" w:hAnsi="Times New Roman"/>
                <w:sz w:val="18"/>
                <w:szCs w:val="18"/>
                <w:color w:val="auto"/>
              </w:rPr>
              <w:t>79,558</w:t>
            </w:r>
          </w:p>
        </w:tc>
        <w:tc>
          <w:tcPr>
            <w:tcW w:w="1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(44,685)</w:t>
            </w:r>
          </w:p>
        </w:tc>
        <w:tc>
          <w:tcPr>
            <w:tcW w:w="22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(13,456)</w:t>
            </w:r>
          </w:p>
        </w:tc>
        <w:tc>
          <w:tcPr>
            <w:tcW w:w="460" w:type="dxa"/>
            <w:vAlign w:val="bottom"/>
            <w:gridSpan w:val="2"/>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99"/>
              </w:rPr>
              <w:t>234,480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vMerge w:val="restart"/>
          </w:tcPr>
          <w:p>
            <w:pPr>
              <w:spacing w:after="0"/>
              <w:rPr>
                <w:sz w:val="21"/>
                <w:szCs w:val="21"/>
                <w:color w:val="auto"/>
              </w:rPr>
            </w:pPr>
          </w:p>
        </w:tc>
        <w:tc>
          <w:tcPr>
            <w:tcW w:w="44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7,684</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44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Cash dividends ($.26 per share)</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00" w:type="dxa"/>
            <w:vAlign w:val="bottom"/>
            <w:gridSpan w:val="2"/>
            <w:shd w:val="clear" w:color="auto" w:fill="C0C0C0"/>
          </w:tcPr>
          <w:p>
            <w:pPr>
              <w:jc w:val="right"/>
              <w:ind w:right="280"/>
              <w:spacing w:after="0"/>
              <w:rPr>
                <w:sz w:val="20"/>
                <w:szCs w:val="20"/>
                <w:color w:val="auto"/>
              </w:rPr>
            </w:pPr>
            <w:r>
              <w:rPr>
                <w:rFonts w:ascii="Times New Roman" w:cs="Times New Roman" w:eastAsia="Times New Roman" w:hAnsi="Times New Roman"/>
                <w:sz w:val="18"/>
                <w:szCs w:val="18"/>
                <w:color w:val="auto"/>
              </w:rPr>
              <w:t>(3,772)</w:t>
            </w:r>
          </w:p>
        </w:tc>
        <w:tc>
          <w:tcPr>
            <w:tcW w:w="14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6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8,968 common shares pursuant to stock-based</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compensation plan, net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4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Exercise of SARs</w:t>
            </w:r>
          </w:p>
        </w:tc>
        <w:tc>
          <w:tcPr>
            <w:tcW w:w="2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64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78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72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80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90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320" w:type="dxa"/>
            <w:vAlign w:val="bottom"/>
            <w:shd w:val="clear" w:color="auto" w:fill="C0C0C0"/>
          </w:tcPr>
          <w:p>
            <w:pPr>
              <w:spacing w:after="0"/>
              <w:rPr>
                <w:sz w:val="22"/>
                <w:szCs w:val="22"/>
                <w:color w:val="auto"/>
              </w:rPr>
            </w:pPr>
          </w:p>
        </w:tc>
        <w:tc>
          <w:tcPr>
            <w:tcW w:w="6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44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Purchase of 46,778 common shares</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94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(2,098)</w:t>
            </w: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6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3,524</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tcBorders>
              <w:top w:val="single" w:sz="8" w:color="C0C0C0"/>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Balance, June 30, 2019</w:t>
            </w:r>
          </w:p>
        </w:tc>
        <w:tc>
          <w:tcPr>
            <w:tcW w:w="260" w:type="dxa"/>
            <w:vAlign w:val="bottom"/>
            <w:tcBorders>
              <w:top w:val="single" w:sz="8" w:color="C0C0C0"/>
            </w:tcBorders>
            <w:shd w:val="clear" w:color="auto" w:fill="C0C0C0"/>
          </w:tcPr>
          <w:p>
            <w:pPr>
              <w:spacing w:after="0"/>
              <w:rPr>
                <w:sz w:val="20"/>
                <w:szCs w:val="20"/>
                <w:color w:val="auto"/>
              </w:rPr>
            </w:pPr>
          </w:p>
        </w:tc>
        <w:tc>
          <w:tcPr>
            <w:tcW w:w="1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260" w:type="dxa"/>
            <w:vAlign w:val="bottom"/>
            <w:tcBorders>
              <w:top w:val="single" w:sz="8" w:color="C0C0C0"/>
            </w:tcBorders>
            <w:shd w:val="clear" w:color="auto" w:fill="C0C0C0"/>
          </w:tcPr>
          <w:p>
            <w:pPr>
              <w:spacing w:after="0"/>
              <w:rPr>
                <w:sz w:val="20"/>
                <w:szCs w:val="20"/>
                <w:color w:val="auto"/>
              </w:rPr>
            </w:pPr>
          </w:p>
        </w:tc>
        <w:tc>
          <w:tcPr>
            <w:tcW w:w="1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205,463</w:t>
            </w:r>
          </w:p>
        </w:tc>
        <w:tc>
          <w:tcPr>
            <w:tcW w:w="140" w:type="dxa"/>
            <w:vAlign w:val="bottom"/>
            <w:tcBorders>
              <w:top w:val="single" w:sz="8" w:color="C0C0C0"/>
            </w:tcBorders>
            <w:shd w:val="clear" w:color="auto" w:fill="C0C0C0"/>
          </w:tcPr>
          <w:p>
            <w:pPr>
              <w:spacing w:after="0"/>
              <w:rPr>
                <w:sz w:val="20"/>
                <w:szCs w:val="20"/>
                <w:color w:val="auto"/>
              </w:rPr>
            </w:pPr>
          </w:p>
        </w:tc>
        <w:tc>
          <w:tcPr>
            <w:tcW w:w="120" w:type="dxa"/>
            <w:vAlign w:val="bottom"/>
            <w:tcBorders>
              <w:top w:val="single" w:sz="8" w:color="C0C0C0"/>
            </w:tcBorders>
            <w:shd w:val="clear" w:color="auto" w:fill="C0C0C0"/>
          </w:tcPr>
          <w:p>
            <w:pPr>
              <w:spacing w:after="0"/>
              <w:rPr>
                <w:sz w:val="20"/>
                <w:szCs w:val="20"/>
                <w:color w:val="auto"/>
              </w:rPr>
            </w:pPr>
          </w:p>
        </w:tc>
        <w:tc>
          <w:tcPr>
            <w:tcW w:w="1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83,470</w:t>
            </w:r>
          </w:p>
        </w:tc>
        <w:tc>
          <w:tcPr>
            <w:tcW w:w="280" w:type="dxa"/>
            <w:vAlign w:val="bottom"/>
            <w:tcBorders>
              <w:top w:val="single" w:sz="8" w:color="C0C0C0"/>
            </w:tcBorders>
            <w:shd w:val="clear" w:color="auto" w:fill="C0C0C0"/>
          </w:tcPr>
          <w:p>
            <w:pPr>
              <w:spacing w:after="0"/>
              <w:rPr>
                <w:sz w:val="20"/>
                <w:szCs w:val="20"/>
                <w:color w:val="auto"/>
              </w:rPr>
            </w:pPr>
          </w:p>
        </w:tc>
        <w:tc>
          <w:tcPr>
            <w:tcW w:w="1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(46,333)</w:t>
            </w:r>
          </w:p>
        </w:tc>
        <w:tc>
          <w:tcPr>
            <w:tcW w:w="140" w:type="dxa"/>
            <w:vAlign w:val="bottom"/>
            <w:tcBorders>
              <w:top w:val="single" w:sz="8" w:color="C0C0C0"/>
            </w:tcBorders>
            <w:shd w:val="clear" w:color="auto" w:fill="C0C0C0"/>
          </w:tcPr>
          <w:p>
            <w:pPr>
              <w:spacing w:after="0"/>
              <w:rPr>
                <w:sz w:val="20"/>
                <w:szCs w:val="20"/>
                <w:color w:val="auto"/>
              </w:rPr>
            </w:pPr>
          </w:p>
        </w:tc>
        <w:tc>
          <w:tcPr>
            <w:tcW w:w="120" w:type="dxa"/>
            <w:vAlign w:val="bottom"/>
            <w:tcBorders>
              <w:top w:val="single" w:sz="8" w:color="C0C0C0"/>
            </w:tcBorders>
            <w:shd w:val="clear" w:color="auto" w:fill="C0C0C0"/>
          </w:tcPr>
          <w:p>
            <w:pPr>
              <w:spacing w:after="0"/>
              <w:rPr>
                <w:sz w:val="20"/>
                <w:szCs w:val="20"/>
                <w:color w:val="auto"/>
              </w:rPr>
            </w:pPr>
          </w:p>
        </w:tc>
        <w:tc>
          <w:tcPr>
            <w:tcW w:w="1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(9,932)</w:t>
            </w:r>
          </w:p>
        </w:tc>
        <w:tc>
          <w:tcPr>
            <w:tcW w:w="120" w:type="dxa"/>
            <w:vAlign w:val="bottom"/>
            <w:tcBorders>
              <w:top w:val="single" w:sz="8" w:color="C0C0C0"/>
            </w:tcBorders>
            <w:shd w:val="clear" w:color="auto" w:fill="C0C0C0"/>
          </w:tcPr>
          <w:p>
            <w:pPr>
              <w:spacing w:after="0"/>
              <w:rPr>
                <w:sz w:val="20"/>
                <w:szCs w:val="20"/>
                <w:color w:val="auto"/>
              </w:rPr>
            </w:pPr>
          </w:p>
        </w:tc>
        <w:tc>
          <w:tcPr>
            <w:tcW w:w="140" w:type="dxa"/>
            <w:vAlign w:val="bottom"/>
            <w:tcBorders>
              <w:top w:val="single" w:sz="8" w:color="C0C0C0"/>
            </w:tcBorders>
            <w:shd w:val="clear" w:color="auto" w:fill="C0C0C0"/>
          </w:tcPr>
          <w:p>
            <w:pPr>
              <w:spacing w:after="0"/>
              <w:rPr>
                <w:sz w:val="20"/>
                <w:szCs w:val="20"/>
                <w:color w:val="auto"/>
              </w:rPr>
            </w:pPr>
          </w:p>
        </w:tc>
        <w:tc>
          <w:tcPr>
            <w:tcW w:w="320" w:type="dxa"/>
            <w:vAlign w:val="bottom"/>
            <w:tcBorders>
              <w:top w:val="single" w:sz="8" w:color="auto"/>
              <w:bottom w:val="single" w:sz="8" w:color="auto"/>
            </w:tcBorders>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99"/>
              </w:rPr>
              <w:t>240,421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3"/>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Common</w:t>
            </w:r>
          </w:p>
        </w:tc>
        <w:tc>
          <w:tcPr>
            <w:tcW w:w="140" w:type="dxa"/>
            <w:vAlign w:val="bottom"/>
          </w:tcPr>
          <w:p>
            <w:pPr>
              <w:spacing w:after="0"/>
              <w:rPr>
                <w:sz w:val="21"/>
                <w:szCs w:val="21"/>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Paid-in</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21"/>
                <w:szCs w:val="21"/>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Treasury</w:t>
            </w:r>
          </w:p>
        </w:tc>
        <w:tc>
          <w:tcPr>
            <w:tcW w:w="120" w:type="dxa"/>
            <w:vAlign w:val="bottom"/>
          </w:tcPr>
          <w:p>
            <w:pPr>
              <w:spacing w:after="0"/>
              <w:rPr>
                <w:sz w:val="21"/>
                <w:szCs w:val="21"/>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40" w:type="dxa"/>
            <w:vAlign w:val="bottom"/>
          </w:tcPr>
          <w:p>
            <w:pPr>
              <w:spacing w:after="0"/>
              <w:rPr>
                <w:sz w:val="21"/>
                <w:szCs w:val="21"/>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21"/>
                <w:szCs w:val="21"/>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(Loss) Income</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0" w:type="dxa"/>
            <w:vAlign w:val="bottom"/>
          </w:tcPr>
          <w:p>
            <w:pPr>
              <w:spacing w:after="0"/>
              <w:rPr>
                <w:sz w:val="1"/>
                <w:szCs w:val="1"/>
                <w:color w:val="auto"/>
              </w:rPr>
            </w:pPr>
          </w:p>
        </w:tc>
      </w:tr>
      <w:tr>
        <w:trPr>
          <w:trHeight w:val="48"/>
        </w:trPr>
        <w:tc>
          <w:tcPr>
            <w:tcW w:w="446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tcBorders>
              <w:top w:val="single" w:sz="8" w:color="C0C0C0"/>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Balance, December 31, 2017</w:t>
            </w:r>
          </w:p>
        </w:tc>
        <w:tc>
          <w:tcPr>
            <w:tcW w:w="260" w:type="dxa"/>
            <w:vAlign w:val="bottom"/>
            <w:tcBorders>
              <w:top w:val="single" w:sz="8" w:color="C0C0C0"/>
            </w:tcBorders>
            <w:shd w:val="clear" w:color="auto" w:fill="C0C0C0"/>
          </w:tcPr>
          <w:p>
            <w:pPr>
              <w:spacing w:after="0"/>
              <w:rPr>
                <w:sz w:val="20"/>
                <w:szCs w:val="20"/>
                <w:color w:val="auto"/>
              </w:rPr>
            </w:pPr>
          </w:p>
        </w:tc>
        <w:tc>
          <w:tcPr>
            <w:tcW w:w="10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260" w:type="dxa"/>
            <w:vAlign w:val="bottom"/>
            <w:tcBorders>
              <w:top w:val="single" w:sz="8" w:color="C0C0C0"/>
            </w:tcBorders>
            <w:shd w:val="clear" w:color="auto" w:fill="C0C0C0"/>
          </w:tcPr>
          <w:p>
            <w:pPr>
              <w:spacing w:after="0"/>
              <w:rPr>
                <w:sz w:val="20"/>
                <w:szCs w:val="20"/>
                <w:color w:val="auto"/>
              </w:rPr>
            </w:pPr>
          </w:p>
        </w:tc>
        <w:tc>
          <w:tcPr>
            <w:tcW w:w="14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204,631</w:t>
            </w:r>
          </w:p>
        </w:tc>
        <w:tc>
          <w:tcPr>
            <w:tcW w:w="140" w:type="dxa"/>
            <w:vAlign w:val="bottom"/>
            <w:tcBorders>
              <w:top w:val="single" w:sz="8" w:color="C0C0C0"/>
            </w:tcBorders>
            <w:shd w:val="clear" w:color="auto" w:fill="C0C0C0"/>
          </w:tcPr>
          <w:p>
            <w:pPr>
              <w:spacing w:after="0"/>
              <w:rPr>
                <w:sz w:val="20"/>
                <w:szCs w:val="20"/>
                <w:color w:val="auto"/>
              </w:rPr>
            </w:pPr>
          </w:p>
        </w:tc>
        <w:tc>
          <w:tcPr>
            <w:tcW w:w="120" w:type="dxa"/>
            <w:vAlign w:val="bottom"/>
            <w:tcBorders>
              <w:top w:val="single" w:sz="8" w:color="C0C0C0"/>
            </w:tcBorders>
            <w:shd w:val="clear" w:color="auto" w:fill="C0C0C0"/>
          </w:tcPr>
          <w:p>
            <w:pPr>
              <w:spacing w:after="0"/>
              <w:rPr>
                <w:sz w:val="20"/>
                <w:szCs w:val="20"/>
                <w:color w:val="auto"/>
              </w:rPr>
            </w:pPr>
          </w:p>
        </w:tc>
        <w:tc>
          <w:tcPr>
            <w:tcW w:w="14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59,314</w:t>
            </w:r>
          </w:p>
        </w:tc>
        <w:tc>
          <w:tcPr>
            <w:tcW w:w="280" w:type="dxa"/>
            <w:vAlign w:val="bottom"/>
            <w:tcBorders>
              <w:top w:val="single" w:sz="8" w:color="C0C0C0"/>
            </w:tcBorders>
            <w:shd w:val="clear" w:color="auto" w:fill="C0C0C0"/>
          </w:tcPr>
          <w:p>
            <w:pPr>
              <w:spacing w:after="0"/>
              <w:rPr>
                <w:sz w:val="20"/>
                <w:szCs w:val="20"/>
                <w:color w:val="auto"/>
              </w:rPr>
            </w:pPr>
          </w:p>
        </w:tc>
        <w:tc>
          <w:tcPr>
            <w:tcW w:w="14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(32,061)</w:t>
            </w:r>
          </w:p>
        </w:tc>
        <w:tc>
          <w:tcPr>
            <w:tcW w:w="140" w:type="dxa"/>
            <w:vAlign w:val="bottom"/>
            <w:tcBorders>
              <w:top w:val="single" w:sz="8" w:color="C0C0C0"/>
            </w:tcBorders>
            <w:shd w:val="clear" w:color="auto" w:fill="C0C0C0"/>
          </w:tcPr>
          <w:p>
            <w:pPr>
              <w:spacing w:after="0"/>
              <w:rPr>
                <w:sz w:val="20"/>
                <w:szCs w:val="20"/>
                <w:color w:val="auto"/>
              </w:rPr>
            </w:pPr>
          </w:p>
        </w:tc>
        <w:tc>
          <w:tcPr>
            <w:tcW w:w="120" w:type="dxa"/>
            <w:vAlign w:val="bottom"/>
            <w:tcBorders>
              <w:top w:val="single" w:sz="8" w:color="C0C0C0"/>
            </w:tcBorders>
            <w:shd w:val="clear" w:color="auto" w:fill="C0C0C0"/>
          </w:tcPr>
          <w:p>
            <w:pPr>
              <w:spacing w:after="0"/>
              <w:rPr>
                <w:sz w:val="20"/>
                <w:szCs w:val="20"/>
                <w:color w:val="auto"/>
              </w:rPr>
            </w:pPr>
          </w:p>
        </w:tc>
        <w:tc>
          <w:tcPr>
            <w:tcW w:w="10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(13,320)</w:t>
            </w:r>
          </w:p>
        </w:tc>
        <w:tc>
          <w:tcPr>
            <w:tcW w:w="120" w:type="dxa"/>
            <w:vAlign w:val="bottom"/>
            <w:tcBorders>
              <w:top w:val="single" w:sz="8" w:color="C0C0C0"/>
            </w:tcBorders>
            <w:shd w:val="clear" w:color="auto" w:fill="C0C0C0"/>
          </w:tcPr>
          <w:p>
            <w:pPr>
              <w:spacing w:after="0"/>
              <w:rPr>
                <w:sz w:val="20"/>
                <w:szCs w:val="20"/>
                <w:color w:val="auto"/>
              </w:rPr>
            </w:pPr>
          </w:p>
        </w:tc>
        <w:tc>
          <w:tcPr>
            <w:tcW w:w="140" w:type="dxa"/>
            <w:vAlign w:val="bottom"/>
            <w:tcBorders>
              <w:top w:val="single" w:sz="8" w:color="C0C0C0"/>
            </w:tcBorders>
            <w:shd w:val="clear" w:color="auto" w:fill="C0C0C0"/>
          </w:tcPr>
          <w:p>
            <w:pPr>
              <w:spacing w:after="0"/>
              <w:rPr>
                <w:sz w:val="20"/>
                <w:szCs w:val="20"/>
                <w:color w:val="auto"/>
              </w:rPr>
            </w:pPr>
          </w:p>
        </w:tc>
        <w:tc>
          <w:tcPr>
            <w:tcW w:w="320" w:type="dxa"/>
            <w:vAlign w:val="bottom"/>
            <w:tcBorders>
              <w:top w:val="single" w:sz="8" w:color="auto"/>
            </w:tcBorders>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99"/>
              </w:rPr>
              <w:t>225,088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vMerge w:val="restart"/>
          </w:tcPr>
          <w:p>
            <w:pPr>
              <w:spacing w:after="0"/>
              <w:rPr>
                <w:sz w:val="21"/>
                <w:szCs w:val="21"/>
                <w:color w:val="auto"/>
              </w:rPr>
            </w:pPr>
          </w:p>
        </w:tc>
        <w:tc>
          <w:tcPr>
            <w:tcW w:w="44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15,601</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44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Cash dividends ($.20 per share)</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00" w:type="dxa"/>
            <w:vAlign w:val="bottom"/>
            <w:gridSpan w:val="2"/>
            <w:shd w:val="clear" w:color="auto" w:fill="C0C0C0"/>
          </w:tcPr>
          <w:p>
            <w:pPr>
              <w:jc w:val="right"/>
              <w:ind w:right="280"/>
              <w:spacing w:after="0"/>
              <w:rPr>
                <w:sz w:val="20"/>
                <w:szCs w:val="20"/>
                <w:color w:val="auto"/>
              </w:rPr>
            </w:pPr>
            <w:r>
              <w:rPr>
                <w:rFonts w:ascii="Times New Roman" w:cs="Times New Roman" w:eastAsia="Times New Roman" w:hAnsi="Times New Roman"/>
                <w:sz w:val="18"/>
                <w:szCs w:val="18"/>
                <w:color w:val="auto"/>
              </w:rPr>
              <w:t>(6,144)</w:t>
            </w:r>
          </w:p>
        </w:tc>
        <w:tc>
          <w:tcPr>
            <w:tcW w:w="14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6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32,428 common shares pursuant to stock-based</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compensation plan, net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4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Exercise of SARs</w:t>
            </w:r>
          </w:p>
        </w:tc>
        <w:tc>
          <w:tcPr>
            <w:tcW w:w="2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64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92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72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94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90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320" w:type="dxa"/>
            <w:vAlign w:val="bottom"/>
            <w:shd w:val="clear" w:color="auto" w:fill="C0C0C0"/>
          </w:tcPr>
          <w:p>
            <w:pPr>
              <w:spacing w:after="0"/>
              <w:rPr>
                <w:sz w:val="22"/>
                <w:szCs w:val="22"/>
                <w:color w:val="auto"/>
              </w:rPr>
            </w:pPr>
          </w:p>
        </w:tc>
        <w:tc>
          <w:tcPr>
            <w:tcW w:w="6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44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Purchase of 12,176 common shares</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94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(883)</w:t>
            </w: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6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(7,806)</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tcBorders>
              <w:top w:val="single" w:sz="8" w:color="C0C0C0"/>
              <w:bottom w:val="single" w:sz="8" w:color="C0C0C0"/>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Balance, June 30, 2018</w:t>
            </w:r>
          </w:p>
        </w:tc>
        <w:tc>
          <w:tcPr>
            <w:tcW w:w="260" w:type="dxa"/>
            <w:vAlign w:val="bottom"/>
            <w:tcBorders>
              <w:top w:val="single" w:sz="8" w:color="C0C0C0"/>
              <w:bottom w:val="single" w:sz="8" w:color="C0C0C0"/>
            </w:tcBorders>
            <w:shd w:val="clear" w:color="auto" w:fill="C0C0C0"/>
          </w:tcPr>
          <w:p>
            <w:pPr>
              <w:spacing w:after="0"/>
              <w:rPr>
                <w:sz w:val="20"/>
                <w:szCs w:val="20"/>
                <w:color w:val="auto"/>
              </w:rPr>
            </w:pPr>
          </w:p>
        </w:tc>
        <w:tc>
          <w:tcPr>
            <w:tcW w:w="1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260" w:type="dxa"/>
            <w:vAlign w:val="bottom"/>
            <w:tcBorders>
              <w:top w:val="single" w:sz="8" w:color="C0C0C0"/>
              <w:bottom w:val="single" w:sz="8" w:color="C0C0C0"/>
            </w:tcBorders>
            <w:shd w:val="clear" w:color="auto" w:fill="C0C0C0"/>
          </w:tcPr>
          <w:p>
            <w:pPr>
              <w:spacing w:after="0"/>
              <w:rPr>
                <w:sz w:val="20"/>
                <w:szCs w:val="20"/>
                <w:color w:val="auto"/>
              </w:rPr>
            </w:pPr>
          </w:p>
        </w:tc>
        <w:tc>
          <w:tcPr>
            <w:tcW w:w="1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204,687</w:t>
            </w:r>
          </w:p>
        </w:tc>
        <w:tc>
          <w:tcPr>
            <w:tcW w:w="140" w:type="dxa"/>
            <w:vAlign w:val="bottom"/>
            <w:tcBorders>
              <w:top w:val="single" w:sz="8" w:color="C0C0C0"/>
              <w:bottom w:val="single" w:sz="8" w:color="C0C0C0"/>
            </w:tcBorders>
            <w:shd w:val="clear" w:color="auto" w:fill="C0C0C0"/>
          </w:tcPr>
          <w:p>
            <w:pPr>
              <w:spacing w:after="0"/>
              <w:rPr>
                <w:sz w:val="20"/>
                <w:szCs w:val="20"/>
                <w:color w:val="auto"/>
              </w:rPr>
            </w:pPr>
          </w:p>
        </w:tc>
        <w:tc>
          <w:tcPr>
            <w:tcW w:w="120" w:type="dxa"/>
            <w:vAlign w:val="bottom"/>
            <w:tcBorders>
              <w:top w:val="single" w:sz="8" w:color="C0C0C0"/>
              <w:bottom w:val="single" w:sz="8" w:color="C0C0C0"/>
            </w:tcBorders>
            <w:shd w:val="clear" w:color="auto" w:fill="C0C0C0"/>
          </w:tcPr>
          <w:p>
            <w:pPr>
              <w:spacing w:after="0"/>
              <w:rPr>
                <w:sz w:val="20"/>
                <w:szCs w:val="20"/>
                <w:color w:val="auto"/>
              </w:rPr>
            </w:pPr>
          </w:p>
        </w:tc>
        <w:tc>
          <w:tcPr>
            <w:tcW w:w="1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68,771</w:t>
            </w:r>
          </w:p>
        </w:tc>
        <w:tc>
          <w:tcPr>
            <w:tcW w:w="280" w:type="dxa"/>
            <w:vAlign w:val="bottom"/>
            <w:tcBorders>
              <w:top w:val="single" w:sz="8" w:color="C0C0C0"/>
              <w:bottom w:val="single" w:sz="8" w:color="C0C0C0"/>
            </w:tcBorders>
            <w:shd w:val="clear" w:color="auto" w:fill="C0C0C0"/>
          </w:tcPr>
          <w:p>
            <w:pPr>
              <w:spacing w:after="0"/>
              <w:rPr>
                <w:sz w:val="20"/>
                <w:szCs w:val="20"/>
                <w:color w:val="auto"/>
              </w:rPr>
            </w:pPr>
          </w:p>
        </w:tc>
        <w:tc>
          <w:tcPr>
            <w:tcW w:w="1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(32,243)</w:t>
            </w:r>
          </w:p>
        </w:tc>
        <w:tc>
          <w:tcPr>
            <w:tcW w:w="140" w:type="dxa"/>
            <w:vAlign w:val="bottom"/>
            <w:tcBorders>
              <w:top w:val="single" w:sz="8" w:color="C0C0C0"/>
              <w:bottom w:val="single" w:sz="8" w:color="C0C0C0"/>
            </w:tcBorders>
            <w:shd w:val="clear" w:color="auto" w:fill="C0C0C0"/>
          </w:tcPr>
          <w:p>
            <w:pPr>
              <w:spacing w:after="0"/>
              <w:rPr>
                <w:sz w:val="20"/>
                <w:szCs w:val="20"/>
                <w:color w:val="auto"/>
              </w:rPr>
            </w:pPr>
          </w:p>
        </w:tc>
        <w:tc>
          <w:tcPr>
            <w:tcW w:w="120" w:type="dxa"/>
            <w:vAlign w:val="bottom"/>
            <w:tcBorders>
              <w:top w:val="single" w:sz="8" w:color="C0C0C0"/>
              <w:bottom w:val="single" w:sz="8" w:color="C0C0C0"/>
            </w:tcBorders>
            <w:shd w:val="clear" w:color="auto" w:fill="C0C0C0"/>
          </w:tcPr>
          <w:p>
            <w:pPr>
              <w:spacing w:after="0"/>
              <w:rPr>
                <w:sz w:val="20"/>
                <w:szCs w:val="20"/>
                <w:color w:val="auto"/>
              </w:rPr>
            </w:pPr>
          </w:p>
        </w:tc>
        <w:tc>
          <w:tcPr>
            <w:tcW w:w="1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(21,126)</w:t>
            </w:r>
          </w:p>
        </w:tc>
        <w:tc>
          <w:tcPr>
            <w:tcW w:w="120" w:type="dxa"/>
            <w:vAlign w:val="bottom"/>
            <w:tcBorders>
              <w:top w:val="single" w:sz="8" w:color="C0C0C0"/>
              <w:bottom w:val="single" w:sz="8" w:color="C0C0C0"/>
            </w:tcBorders>
            <w:shd w:val="clear" w:color="auto" w:fill="C0C0C0"/>
          </w:tcPr>
          <w:p>
            <w:pPr>
              <w:spacing w:after="0"/>
              <w:rPr>
                <w:sz w:val="20"/>
                <w:szCs w:val="20"/>
                <w:color w:val="auto"/>
              </w:rPr>
            </w:pPr>
          </w:p>
        </w:tc>
        <w:tc>
          <w:tcPr>
            <w:tcW w:w="140" w:type="dxa"/>
            <w:vAlign w:val="bottom"/>
            <w:tcBorders>
              <w:top w:val="single" w:sz="8" w:color="C0C0C0"/>
              <w:bottom w:val="single" w:sz="8" w:color="C0C0C0"/>
            </w:tcBorders>
            <w:shd w:val="clear" w:color="auto" w:fill="C0C0C0"/>
          </w:tcPr>
          <w:p>
            <w:pPr>
              <w:spacing w:after="0"/>
              <w:rPr>
                <w:sz w:val="20"/>
                <w:szCs w:val="20"/>
                <w:color w:val="auto"/>
              </w:rPr>
            </w:pPr>
          </w:p>
        </w:tc>
        <w:tc>
          <w:tcPr>
            <w:tcW w:w="320" w:type="dxa"/>
            <w:vAlign w:val="bottom"/>
            <w:tcBorders>
              <w:top w:val="single" w:sz="8" w:color="auto"/>
              <w:bottom w:val="single" w:sz="8" w:color="auto"/>
            </w:tcBorders>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99"/>
              </w:rPr>
              <w:t>226,613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40" w:type="dxa"/>
            <w:vAlign w:val="bottom"/>
            <w:tcBorders>
              <w:bottom w:val="single" w:sz="8" w:color="auto"/>
            </w:tcBorders>
            <w:shd w:val="clear" w:color="auto" w:fill="C0C0C0"/>
          </w:tcPr>
          <w:p>
            <w:pPr>
              <w:spacing w:after="0"/>
              <w:rPr>
                <w:sz w:val="20"/>
                <w:szCs w:val="20"/>
                <w:color w:val="auto"/>
              </w:rPr>
            </w:pPr>
          </w:p>
        </w:tc>
        <w:tc>
          <w:tcPr>
            <w:tcW w:w="260" w:type="dxa"/>
            <w:vAlign w:val="bottom"/>
            <w:tcBorders>
              <w:bottom w:val="single" w:sz="8" w:color="auto"/>
            </w:tcBorders>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640" w:type="dxa"/>
            <w:vAlign w:val="bottom"/>
            <w:tcBorders>
              <w:bottom w:val="single" w:sz="8" w:color="auto"/>
            </w:tcBorders>
            <w:shd w:val="clear" w:color="auto" w:fill="C0C0C0"/>
          </w:tcPr>
          <w:p>
            <w:pPr>
              <w:spacing w:after="0"/>
              <w:rPr>
                <w:sz w:val="20"/>
                <w:szCs w:val="20"/>
                <w:color w:val="auto"/>
              </w:rPr>
            </w:pPr>
          </w:p>
        </w:tc>
        <w:tc>
          <w:tcPr>
            <w:tcW w:w="260" w:type="dxa"/>
            <w:vAlign w:val="bottom"/>
            <w:tcBorders>
              <w:bottom w:val="single" w:sz="8" w:color="auto"/>
            </w:tcBorders>
            <w:shd w:val="clear" w:color="auto" w:fill="C0C0C0"/>
          </w:tcPr>
          <w:p>
            <w:pPr>
              <w:spacing w:after="0"/>
              <w:rPr>
                <w:sz w:val="20"/>
                <w:szCs w:val="20"/>
                <w:color w:val="auto"/>
              </w:rPr>
            </w:pPr>
          </w:p>
        </w:tc>
        <w:tc>
          <w:tcPr>
            <w:tcW w:w="140" w:type="dxa"/>
            <w:vAlign w:val="bottom"/>
            <w:tcBorders>
              <w:bottom w:val="single" w:sz="8" w:color="auto"/>
            </w:tcBorders>
            <w:shd w:val="clear" w:color="auto" w:fill="C0C0C0"/>
          </w:tcPr>
          <w:p>
            <w:pPr>
              <w:spacing w:after="0"/>
              <w:rPr>
                <w:sz w:val="20"/>
                <w:szCs w:val="20"/>
                <w:color w:val="auto"/>
              </w:rPr>
            </w:pPr>
          </w:p>
        </w:tc>
        <w:tc>
          <w:tcPr>
            <w:tcW w:w="780" w:type="dxa"/>
            <w:vAlign w:val="bottom"/>
            <w:tcBorders>
              <w:bottom w:val="single" w:sz="8" w:color="auto"/>
            </w:tcBorders>
            <w:shd w:val="clear" w:color="auto" w:fill="C0C0C0"/>
          </w:tcPr>
          <w:p>
            <w:pPr>
              <w:spacing w:after="0"/>
              <w:rPr>
                <w:sz w:val="20"/>
                <w:szCs w:val="20"/>
                <w:color w:val="auto"/>
              </w:rPr>
            </w:pPr>
          </w:p>
        </w:tc>
        <w:tc>
          <w:tcPr>
            <w:tcW w:w="140" w:type="dxa"/>
            <w:vAlign w:val="bottom"/>
            <w:tcBorders>
              <w:bottom w:val="single" w:sz="8" w:color="auto"/>
            </w:tcBorders>
            <w:shd w:val="clear" w:color="auto" w:fill="C0C0C0"/>
          </w:tcPr>
          <w:p>
            <w:pPr>
              <w:spacing w:after="0"/>
              <w:rPr>
                <w:sz w:val="20"/>
                <w:szCs w:val="20"/>
                <w:color w:val="auto"/>
              </w:rPr>
            </w:pPr>
          </w:p>
        </w:tc>
        <w:tc>
          <w:tcPr>
            <w:tcW w:w="120" w:type="dxa"/>
            <w:vAlign w:val="bottom"/>
            <w:tcBorders>
              <w:bottom w:val="single" w:sz="8" w:color="auto"/>
            </w:tcBorders>
            <w:shd w:val="clear" w:color="auto" w:fill="C0C0C0"/>
          </w:tcPr>
          <w:p>
            <w:pPr>
              <w:spacing w:after="0"/>
              <w:rPr>
                <w:sz w:val="20"/>
                <w:szCs w:val="20"/>
                <w:color w:val="auto"/>
              </w:rPr>
            </w:pPr>
          </w:p>
        </w:tc>
        <w:tc>
          <w:tcPr>
            <w:tcW w:w="140" w:type="dxa"/>
            <w:vAlign w:val="bottom"/>
            <w:tcBorders>
              <w:bottom w:val="single" w:sz="8" w:color="auto"/>
            </w:tcBorders>
            <w:shd w:val="clear" w:color="auto" w:fill="C0C0C0"/>
          </w:tcPr>
          <w:p>
            <w:pPr>
              <w:spacing w:after="0"/>
              <w:rPr>
                <w:sz w:val="20"/>
                <w:szCs w:val="20"/>
                <w:color w:val="auto"/>
              </w:rPr>
            </w:pPr>
          </w:p>
        </w:tc>
        <w:tc>
          <w:tcPr>
            <w:tcW w:w="720" w:type="dxa"/>
            <w:vAlign w:val="bottom"/>
            <w:tcBorders>
              <w:bottom w:val="single" w:sz="8" w:color="auto"/>
            </w:tcBorders>
            <w:shd w:val="clear" w:color="auto" w:fill="C0C0C0"/>
          </w:tcPr>
          <w:p>
            <w:pPr>
              <w:spacing w:after="0"/>
              <w:rPr>
                <w:sz w:val="20"/>
                <w:szCs w:val="20"/>
                <w:color w:val="auto"/>
              </w:rPr>
            </w:pPr>
          </w:p>
        </w:tc>
        <w:tc>
          <w:tcPr>
            <w:tcW w:w="280" w:type="dxa"/>
            <w:vAlign w:val="bottom"/>
            <w:tcBorders>
              <w:bottom w:val="single" w:sz="8" w:color="auto"/>
            </w:tcBorders>
            <w:shd w:val="clear" w:color="auto" w:fill="C0C0C0"/>
          </w:tcPr>
          <w:p>
            <w:pPr>
              <w:spacing w:after="0"/>
              <w:rPr>
                <w:sz w:val="20"/>
                <w:szCs w:val="20"/>
                <w:color w:val="auto"/>
              </w:rPr>
            </w:pPr>
          </w:p>
        </w:tc>
        <w:tc>
          <w:tcPr>
            <w:tcW w:w="140" w:type="dxa"/>
            <w:vAlign w:val="bottom"/>
            <w:tcBorders>
              <w:bottom w:val="single" w:sz="8" w:color="auto"/>
            </w:tcBorders>
            <w:shd w:val="clear" w:color="auto" w:fill="C0C0C0"/>
          </w:tcPr>
          <w:p>
            <w:pPr>
              <w:spacing w:after="0"/>
              <w:rPr>
                <w:sz w:val="20"/>
                <w:szCs w:val="20"/>
                <w:color w:val="auto"/>
              </w:rPr>
            </w:pPr>
          </w:p>
        </w:tc>
        <w:tc>
          <w:tcPr>
            <w:tcW w:w="800" w:type="dxa"/>
            <w:vAlign w:val="bottom"/>
            <w:tcBorders>
              <w:bottom w:val="single" w:sz="8" w:color="auto"/>
            </w:tcBorders>
            <w:shd w:val="clear" w:color="auto" w:fill="C0C0C0"/>
          </w:tcPr>
          <w:p>
            <w:pPr>
              <w:spacing w:after="0"/>
              <w:rPr>
                <w:sz w:val="20"/>
                <w:szCs w:val="20"/>
                <w:color w:val="auto"/>
              </w:rPr>
            </w:pPr>
          </w:p>
        </w:tc>
        <w:tc>
          <w:tcPr>
            <w:tcW w:w="140" w:type="dxa"/>
            <w:vAlign w:val="bottom"/>
            <w:tcBorders>
              <w:bottom w:val="single" w:sz="8" w:color="auto"/>
            </w:tcBorders>
            <w:shd w:val="clear" w:color="auto" w:fill="C0C0C0"/>
          </w:tcPr>
          <w:p>
            <w:pPr>
              <w:spacing w:after="0"/>
              <w:rPr>
                <w:sz w:val="20"/>
                <w:szCs w:val="20"/>
                <w:color w:val="auto"/>
              </w:rPr>
            </w:pPr>
          </w:p>
        </w:tc>
        <w:tc>
          <w:tcPr>
            <w:tcW w:w="120" w:type="dxa"/>
            <w:vAlign w:val="bottom"/>
            <w:tcBorders>
              <w:bottom w:val="single" w:sz="8" w:color="auto"/>
            </w:tcBorders>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900" w:type="dxa"/>
            <w:vAlign w:val="bottom"/>
            <w:tcBorders>
              <w:bottom w:val="single" w:sz="8" w:color="auto"/>
            </w:tcBorders>
            <w:shd w:val="clear" w:color="auto" w:fill="C0C0C0"/>
          </w:tcPr>
          <w:p>
            <w:pPr>
              <w:spacing w:after="0"/>
              <w:rPr>
                <w:sz w:val="20"/>
                <w:szCs w:val="20"/>
                <w:color w:val="auto"/>
              </w:rPr>
            </w:pPr>
          </w:p>
        </w:tc>
        <w:tc>
          <w:tcPr>
            <w:tcW w:w="120" w:type="dxa"/>
            <w:vAlign w:val="bottom"/>
            <w:tcBorders>
              <w:bottom w:val="single" w:sz="8" w:color="auto"/>
            </w:tcBorders>
            <w:shd w:val="clear" w:color="auto" w:fill="C0C0C0"/>
          </w:tcPr>
          <w:p>
            <w:pPr>
              <w:spacing w:after="0"/>
              <w:rPr>
                <w:sz w:val="20"/>
                <w:szCs w:val="20"/>
                <w:color w:val="auto"/>
              </w:rPr>
            </w:pPr>
          </w:p>
        </w:tc>
        <w:tc>
          <w:tcPr>
            <w:tcW w:w="140" w:type="dxa"/>
            <w:vAlign w:val="bottom"/>
            <w:tcBorders>
              <w:bottom w:val="single" w:sz="8" w:color="auto"/>
            </w:tcBorders>
            <w:shd w:val="clear" w:color="auto" w:fill="C0C0C0"/>
          </w:tcPr>
          <w:p>
            <w:pPr>
              <w:spacing w:after="0"/>
              <w:rPr>
                <w:sz w:val="20"/>
                <w:szCs w:val="20"/>
                <w:color w:val="auto"/>
              </w:rPr>
            </w:pPr>
          </w:p>
        </w:tc>
        <w:tc>
          <w:tcPr>
            <w:tcW w:w="320" w:type="dxa"/>
            <w:vAlign w:val="bottom"/>
            <w:tcBorders>
              <w:bottom w:val="single" w:sz="8" w:color="auto"/>
            </w:tcBorders>
            <w:shd w:val="clear" w:color="auto" w:fill="C0C0C0"/>
          </w:tcPr>
          <w:p>
            <w:pPr>
              <w:spacing w:after="0"/>
              <w:rPr>
                <w:sz w:val="20"/>
                <w:szCs w:val="20"/>
                <w:color w:val="auto"/>
              </w:rPr>
            </w:pPr>
          </w:p>
        </w:tc>
        <w:tc>
          <w:tcPr>
            <w:tcW w:w="600" w:type="dxa"/>
            <w:vAlign w:val="bottom"/>
            <w:tcBorders>
              <w:bottom w:val="single" w:sz="8" w:color="auto"/>
            </w:tcBorders>
            <w:shd w:val="clear" w:color="auto" w:fill="C0C0C0"/>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0" w:gutter="0" w:footer="0" w:header="0"/>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444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Balance, December 31, 2018</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7,753</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20" w:type="dxa"/>
            <w:vAlign w:val="bottom"/>
            <w:vMerge w:val="restart"/>
          </w:tcPr>
          <w:p>
            <w:pPr>
              <w:spacing w:after="0"/>
              <w:rPr>
                <w:sz w:val="20"/>
                <w:szCs w:val="20"/>
                <w:color w:val="auto"/>
              </w:rPr>
            </w:pPr>
          </w:p>
        </w:tc>
        <w:tc>
          <w:tcPr>
            <w:tcW w:w="4440" w:type="dxa"/>
            <w:vAlign w:val="bottom"/>
            <w:shd w:val="clear" w:color="auto" w:fill="C0C0C0"/>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dividends ($.26 per share)</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34,092 common shares pursuant to stock-based</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compensation plan, net</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SARs</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154,593 common shares</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June 30, 2019</w:t>
            </w:r>
          </w:p>
        </w:tc>
        <w:tc>
          <w:tcPr>
            <w:tcW w:w="26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20" w:type="dxa"/>
            <w:vAlign w:val="bottom"/>
            <w:tcBorders>
              <w:bottom w:val="single" w:sz="8" w:color="auto"/>
            </w:tcBorders>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-1714500</wp:posOffset>
            </wp:positionV>
            <wp:extent cx="72466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-1251585</wp:posOffset>
            </wp:positionV>
            <wp:extent cx="72466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-788035</wp:posOffset>
            </wp:positionV>
            <wp:extent cx="72466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2466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205,770</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75,171</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(39,974)</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(18,872)</w:t>
            </w:r>
          </w:p>
        </w:tc>
        <w:tc>
          <w:tcPr>
            <w:tcW w:w="2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229,848</w:t>
            </w:r>
          </w:p>
        </w:tc>
      </w:tr>
      <w:tr>
        <w:trPr>
          <w:trHeight w:val="486"/>
        </w:trPr>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15,847</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15,847</w:t>
            </w:r>
          </w:p>
        </w:tc>
      </w:tr>
      <w:tr>
        <w:trPr>
          <w:trHeight w:val="243"/>
        </w:trPr>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(7,548)</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(7,548)</w:t>
            </w:r>
          </w:p>
        </w:tc>
      </w:tr>
      <w:tr>
        <w:trPr>
          <w:trHeight w:val="486"/>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(1,421)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43"/>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43"/>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r>
      <w:tr>
        <w:trPr>
          <w:trHeight w:val="243"/>
        </w:trPr>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(7,799)</w:t>
            </w:r>
          </w:p>
        </w:tc>
      </w:tr>
      <w:tr>
        <w:trPr>
          <w:trHeight w:val="250"/>
        </w:trPr>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8,940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8,940</w:t>
            </w:r>
          </w:p>
        </w:tc>
      </w:tr>
      <w:tr>
        <w:trPr>
          <w:trHeight w:val="239"/>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205,463</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83,470</w:t>
            </w:r>
          </w:p>
        </w:tc>
        <w:tc>
          <w:tcPr>
            <w:tcW w:w="2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(46,333)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(9,932)</w:t>
            </w: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-1021080</wp:posOffset>
            </wp:positionH>
            <wp:positionV relativeFrom="paragraph">
              <wp:posOffset>-1560195</wp:posOffset>
            </wp:positionV>
            <wp:extent cx="442531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425315" cy="154305"/>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-8255</wp:posOffset>
            </wp:positionV>
            <wp:extent cx="5829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ectPr>
          <w:pgSz w:w="11900" w:h="16838" w:orient="portrait"/>
          <w:cols w:equalWidth="0" w:num="2">
            <w:col w:w="5820" w:space="240"/>
            <w:col w:w="5360"/>
          </w:cols>
          <w:pgMar w:left="240" w:top="576" w:right="239" w:bottom="0" w:gutter="0" w:footer="0" w:header="0"/>
          <w:type w:val="continuous"/>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Basis of Presentation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U.S. generally accepted accounting principles for interim financial information and with the instructions to Form 10-Q and Rule 10-01 of Regulation S-X. Accordingly, they do not include all of the information and footnotes required by U.S. generally accepted accounting principles for complete financial statements. In the opinion of management, all adjustments, consisting of normal recurring accruals, considered necessary for a fair presentation have been included. All share and per share data have been restated to give effect to the 20% stock dividend paid on December 14, 2018. Certain amounts in prior-period financial statements have been reclassified to conform to the current period’s presentation. For further information, refer to the audited consolidated financial statements and related footnotes included in Cass Information System, Inc.’s (the “Company” or “Cass”) Annual Report on Form 10-K for the year ended December 31, 2018</w:t>
      </w:r>
      <w:r>
        <w:rPr>
          <w:rFonts w:ascii="Times New Roman" w:cs="Times New Roman" w:eastAsia="Times New Roman" w:hAnsi="Times New Roman"/>
          <w:sz w:val="13"/>
          <w:szCs w:val="13"/>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Intangible Assets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intangible assets in accordance with Financial Accounting Standards Board (“FASB”) Accounting Standards Codification (“ASC”) 350, “Goodwill and Other Intangible Assets,” (“FASB ASC 350”), which requires that intangibles with indefinite useful lives be tested annually for impairment and those with finite useful lives be amortized over their useful lives.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Details of the Company’s intangible assets are as follows:</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66"/>
        </w:trPr>
        <w:tc>
          <w:tcPr>
            <w:tcW w:w="5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8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34"/>
        </w:trPr>
        <w:tc>
          <w:tcPr>
            <w:tcW w:w="5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Carrying</w:t>
            </w:r>
          </w:p>
        </w:tc>
        <w:tc>
          <w:tcPr>
            <w:tcW w:w="12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Gross Carrying</w:t>
            </w:r>
          </w:p>
        </w:tc>
        <w:tc>
          <w:tcPr>
            <w:tcW w:w="11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20" w:type="dxa"/>
            <w:vAlign w:val="bottom"/>
          </w:tcPr>
          <w:p>
            <w:pPr>
              <w:spacing w:after="0"/>
              <w:rPr>
                <w:sz w:val="20"/>
                <w:szCs w:val="20"/>
                <w:color w:val="auto"/>
              </w:rPr>
            </w:pPr>
          </w:p>
        </w:tc>
      </w:tr>
      <w:tr>
        <w:trPr>
          <w:trHeight w:val="259"/>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20" w:type="dxa"/>
            <w:vAlign w:val="bottom"/>
          </w:tcPr>
          <w:p>
            <w:pPr>
              <w:spacing w:after="0"/>
              <w:rPr>
                <w:sz w:val="22"/>
                <w:szCs w:val="22"/>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r>
      <w:tr>
        <w:trPr>
          <w:trHeight w:val="243"/>
        </w:trPr>
        <w:tc>
          <w:tcPr>
            <w:tcW w:w="5200" w:type="dxa"/>
            <w:vAlign w:val="bottom"/>
            <w:tcBorders>
              <w:top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Assets eligible for amortization:</w:t>
            </w:r>
          </w:p>
        </w:tc>
        <w:tc>
          <w:tcPr>
            <w:tcW w:w="1020" w:type="dxa"/>
            <w:vAlign w:val="bottom"/>
            <w:tcBorders>
              <w:top w:val="single" w:sz="8" w:color="auto"/>
            </w:tcBorders>
            <w:shd w:val="clear" w:color="auto" w:fill="C0C0C0"/>
          </w:tcPr>
          <w:p>
            <w:pPr>
              <w:spacing w:after="0"/>
              <w:rPr>
                <w:sz w:val="21"/>
                <w:szCs w:val="21"/>
                <w:color w:val="auto"/>
              </w:rPr>
            </w:pPr>
          </w:p>
        </w:tc>
        <w:tc>
          <w:tcPr>
            <w:tcW w:w="180" w:type="dxa"/>
            <w:vAlign w:val="bottom"/>
            <w:tcBorders>
              <w:top w:val="single" w:sz="8" w:color="auto"/>
            </w:tcBorders>
            <w:shd w:val="clear" w:color="auto" w:fill="C0C0C0"/>
          </w:tcPr>
          <w:p>
            <w:pPr>
              <w:spacing w:after="0"/>
              <w:rPr>
                <w:sz w:val="21"/>
                <w:szCs w:val="21"/>
                <w:color w:val="auto"/>
              </w:rPr>
            </w:pPr>
          </w:p>
        </w:tc>
        <w:tc>
          <w:tcPr>
            <w:tcW w:w="1160" w:type="dxa"/>
            <w:vAlign w:val="bottom"/>
            <w:tcBorders>
              <w:top w:val="single" w:sz="8" w:color="auto"/>
            </w:tcBorders>
            <w:shd w:val="clear" w:color="auto" w:fill="C0C0C0"/>
          </w:tcPr>
          <w:p>
            <w:pPr>
              <w:spacing w:after="0"/>
              <w:rPr>
                <w:sz w:val="21"/>
                <w:szCs w:val="21"/>
                <w:color w:val="auto"/>
              </w:rPr>
            </w:pPr>
          </w:p>
        </w:tc>
        <w:tc>
          <w:tcPr>
            <w:tcW w:w="520" w:type="dxa"/>
            <w:vAlign w:val="bottom"/>
            <w:tcBorders>
              <w:top w:val="single" w:sz="8" w:color="auto"/>
            </w:tcBorders>
            <w:shd w:val="clear" w:color="auto" w:fill="C0C0C0"/>
          </w:tcPr>
          <w:p>
            <w:pPr>
              <w:spacing w:after="0"/>
              <w:rPr>
                <w:sz w:val="21"/>
                <w:szCs w:val="21"/>
                <w:color w:val="auto"/>
              </w:rPr>
            </w:pPr>
          </w:p>
        </w:tc>
        <w:tc>
          <w:tcPr>
            <w:tcW w:w="760" w:type="dxa"/>
            <w:vAlign w:val="bottom"/>
            <w:tcBorders>
              <w:top w:val="single" w:sz="8" w:color="auto"/>
            </w:tcBorders>
            <w:shd w:val="clear" w:color="auto" w:fill="C0C0C0"/>
          </w:tcPr>
          <w:p>
            <w:pPr>
              <w:spacing w:after="0"/>
              <w:rPr>
                <w:sz w:val="21"/>
                <w:szCs w:val="21"/>
                <w:color w:val="auto"/>
              </w:rPr>
            </w:pPr>
          </w:p>
        </w:tc>
        <w:tc>
          <w:tcPr>
            <w:tcW w:w="320" w:type="dxa"/>
            <w:vAlign w:val="bottom"/>
            <w:tcBorders>
              <w:top w:val="single" w:sz="8" w:color="auto"/>
            </w:tcBorders>
            <w:shd w:val="clear" w:color="auto" w:fill="C0C0C0"/>
          </w:tcPr>
          <w:p>
            <w:pPr>
              <w:spacing w:after="0"/>
              <w:rPr>
                <w:sz w:val="21"/>
                <w:szCs w:val="21"/>
                <w:color w:val="auto"/>
              </w:rPr>
            </w:pPr>
          </w:p>
        </w:tc>
        <w:tc>
          <w:tcPr>
            <w:tcW w:w="1120" w:type="dxa"/>
            <w:vAlign w:val="bottom"/>
            <w:tcBorders>
              <w:top w:val="single" w:sz="8" w:color="auto"/>
            </w:tcBorders>
            <w:shd w:val="clear" w:color="auto" w:fill="C0C0C0"/>
          </w:tcPr>
          <w:p>
            <w:pPr>
              <w:spacing w:after="0"/>
              <w:rPr>
                <w:sz w:val="21"/>
                <w:szCs w:val="21"/>
                <w:color w:val="auto"/>
              </w:rPr>
            </w:pPr>
          </w:p>
        </w:tc>
        <w:tc>
          <w:tcPr>
            <w:tcW w:w="400" w:type="dxa"/>
            <w:vAlign w:val="bottom"/>
            <w:tcBorders>
              <w:top w:val="single" w:sz="8" w:color="auto"/>
            </w:tcBorders>
            <w:shd w:val="clear" w:color="auto" w:fill="C0C0C0"/>
          </w:tcPr>
          <w:p>
            <w:pPr>
              <w:spacing w:after="0"/>
              <w:rPr>
                <w:sz w:val="21"/>
                <w:szCs w:val="21"/>
                <w:color w:val="auto"/>
              </w:rPr>
            </w:pPr>
          </w:p>
        </w:tc>
        <w:tc>
          <w:tcPr>
            <w:tcW w:w="740" w:type="dxa"/>
            <w:vAlign w:val="bottom"/>
            <w:tcBorders>
              <w:top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4"/>
        </w:trPr>
        <w:tc>
          <w:tcPr>
            <w:tcW w:w="5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Customer lists</w:t>
            </w:r>
          </w:p>
        </w:tc>
        <w:tc>
          <w:tcPr>
            <w:tcW w:w="12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4,288</w:t>
            </w: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(3,256)</w:t>
            </w: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4,288</w:t>
            </w: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20" w:type="dxa"/>
            <w:vAlign w:val="bottom"/>
          </w:tcPr>
          <w:p>
            <w:pPr>
              <w:spacing w:after="0"/>
              <w:rPr>
                <w:sz w:val="20"/>
                <w:szCs w:val="20"/>
                <w:color w:val="auto"/>
              </w:rPr>
            </w:pPr>
          </w:p>
        </w:tc>
      </w:tr>
      <w:tr>
        <w:trPr>
          <w:trHeight w:val="252"/>
        </w:trPr>
        <w:tc>
          <w:tcPr>
            <w:tcW w:w="520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Patents</w:t>
            </w:r>
          </w:p>
        </w:tc>
        <w:tc>
          <w:tcPr>
            <w:tcW w:w="10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160" w:type="dxa"/>
            <w:vAlign w:val="bottom"/>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72</w:t>
            </w:r>
          </w:p>
        </w:tc>
        <w:tc>
          <w:tcPr>
            <w:tcW w:w="52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shd w:val="clear" w:color="auto" w:fill="C0C0C0"/>
          </w:tcPr>
          <w:p>
            <w:pPr>
              <w:spacing w:after="0"/>
              <w:rPr>
                <w:sz w:val="21"/>
                <w:szCs w:val="21"/>
                <w:color w:val="auto"/>
              </w:rPr>
            </w:pPr>
          </w:p>
        </w:tc>
        <w:tc>
          <w:tcPr>
            <w:tcW w:w="112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40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1"/>
                <w:szCs w:val="21"/>
                <w:color w:val="auto"/>
              </w:rPr>
            </w:pPr>
          </w:p>
        </w:tc>
      </w:tr>
      <w:tr>
        <w:trPr>
          <w:trHeight w:val="234"/>
        </w:trPr>
        <w:tc>
          <w:tcPr>
            <w:tcW w:w="5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Non-compete agreements</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332</w:t>
            </w:r>
          </w:p>
        </w:tc>
        <w:tc>
          <w:tcPr>
            <w:tcW w:w="520" w:type="dxa"/>
            <w:vAlign w:val="bottom"/>
          </w:tcPr>
          <w:p>
            <w:pPr>
              <w:spacing w:after="0"/>
              <w:rPr>
                <w:sz w:val="20"/>
                <w:szCs w:val="20"/>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(332)</w:t>
            </w:r>
          </w:p>
        </w:tc>
        <w:tc>
          <w:tcPr>
            <w:tcW w:w="32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332</w:t>
            </w: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0" w:type="dxa"/>
            <w:vAlign w:val="bottom"/>
          </w:tcPr>
          <w:p>
            <w:pPr>
              <w:spacing w:after="0"/>
              <w:rPr>
                <w:sz w:val="20"/>
                <w:szCs w:val="20"/>
                <w:color w:val="auto"/>
              </w:rPr>
            </w:pPr>
          </w:p>
        </w:tc>
      </w:tr>
      <w:tr>
        <w:trPr>
          <w:trHeight w:val="252"/>
        </w:trPr>
        <w:tc>
          <w:tcPr>
            <w:tcW w:w="520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Software</w:t>
            </w:r>
          </w:p>
        </w:tc>
        <w:tc>
          <w:tcPr>
            <w:tcW w:w="10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160" w:type="dxa"/>
            <w:vAlign w:val="bottom"/>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234</w:t>
            </w:r>
          </w:p>
        </w:tc>
        <w:tc>
          <w:tcPr>
            <w:tcW w:w="52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(234)</w:t>
            </w:r>
          </w:p>
        </w:tc>
        <w:tc>
          <w:tcPr>
            <w:tcW w:w="320" w:type="dxa"/>
            <w:vAlign w:val="bottom"/>
            <w:shd w:val="clear" w:color="auto" w:fill="C0C0C0"/>
          </w:tcPr>
          <w:p>
            <w:pPr>
              <w:spacing w:after="0"/>
              <w:rPr>
                <w:sz w:val="21"/>
                <w:szCs w:val="21"/>
                <w:color w:val="auto"/>
              </w:rPr>
            </w:pPr>
          </w:p>
        </w:tc>
        <w:tc>
          <w:tcPr>
            <w:tcW w:w="112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234</w:t>
            </w:r>
          </w:p>
        </w:tc>
        <w:tc>
          <w:tcPr>
            <w:tcW w:w="40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 w:type="dxa"/>
            <w:vAlign w:val="bottom"/>
          </w:tcPr>
          <w:p>
            <w:pPr>
              <w:spacing w:after="0"/>
              <w:rPr>
                <w:sz w:val="21"/>
                <w:szCs w:val="21"/>
                <w:color w:val="auto"/>
              </w:rPr>
            </w:pPr>
          </w:p>
        </w:tc>
      </w:tr>
      <w:tr>
        <w:trPr>
          <w:trHeight w:val="234"/>
        </w:trPr>
        <w:tc>
          <w:tcPr>
            <w:tcW w:w="5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500</w:t>
            </w:r>
          </w:p>
        </w:tc>
        <w:tc>
          <w:tcPr>
            <w:tcW w:w="520" w:type="dxa"/>
            <w:vAlign w:val="bottom"/>
          </w:tcPr>
          <w:p>
            <w:pPr>
              <w:spacing w:after="0"/>
              <w:rPr>
                <w:sz w:val="20"/>
                <w:szCs w:val="20"/>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(241)</w:t>
            </w:r>
          </w:p>
        </w:tc>
        <w:tc>
          <w:tcPr>
            <w:tcW w:w="32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tcPr>
          <w:p>
            <w:pPr>
              <w:spacing w:after="0"/>
              <w:rPr>
                <w:sz w:val="20"/>
                <w:szCs w:val="20"/>
                <w:color w:val="auto"/>
              </w:rPr>
            </w:pPr>
          </w:p>
        </w:tc>
      </w:tr>
      <w:tr>
        <w:trPr>
          <w:trHeight w:val="252"/>
        </w:trPr>
        <w:tc>
          <w:tcPr>
            <w:tcW w:w="520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Unamortized intangible assets:</w:t>
            </w:r>
          </w:p>
        </w:tc>
        <w:tc>
          <w:tcPr>
            <w:tcW w:w="10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16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12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311"/>
        </w:trPr>
        <w:tc>
          <w:tcPr>
            <w:tcW w:w="5200" w:type="dxa"/>
            <w:vAlign w:val="bottom"/>
          </w:tcPr>
          <w:p>
            <w:pPr>
              <w:ind w:left="280"/>
              <w:spacing w:after="0" w:line="311" w:lineRule="exact"/>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30"/>
                <w:szCs w:val="30"/>
                <w:color w:val="auto"/>
                <w:vertAlign w:val="superscript"/>
              </w:rPr>
              <w:t>1</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12,796</w:t>
            </w:r>
          </w:p>
        </w:tc>
        <w:tc>
          <w:tcPr>
            <w:tcW w:w="520" w:type="dxa"/>
            <w:vAlign w:val="bottom"/>
          </w:tcPr>
          <w:p>
            <w:pPr>
              <w:spacing w:after="0"/>
              <w:rPr>
                <w:sz w:val="24"/>
                <w:szCs w:val="24"/>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(227)</w:t>
            </w:r>
          </w:p>
        </w:tc>
        <w:tc>
          <w:tcPr>
            <w:tcW w:w="32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12,796</w:t>
            </w:r>
          </w:p>
        </w:tc>
        <w:tc>
          <w:tcPr>
            <w:tcW w:w="40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w:t>
            </w:r>
          </w:p>
        </w:tc>
      </w:tr>
      <w:tr>
        <w:trPr>
          <w:trHeight w:val="228"/>
        </w:trPr>
        <w:tc>
          <w:tcPr>
            <w:tcW w:w="5200" w:type="dxa"/>
            <w:vAlign w:val="bottom"/>
            <w:tcBorders>
              <w:top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200" w:type="dxa"/>
            <w:vAlign w:val="bottom"/>
            <w:tcBorders>
              <w:top w:val="single" w:sz="8" w:color="auto"/>
            </w:tcBorders>
            <w:gridSpan w:val="2"/>
            <w:shd w:val="clear" w:color="auto" w:fill="C0C0C0"/>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18,222</w:t>
            </w:r>
          </w:p>
        </w:tc>
        <w:tc>
          <w:tcPr>
            <w:tcW w:w="520" w:type="dxa"/>
            <w:vAlign w:val="bottom"/>
            <w:tcBorders>
              <w:top w:val="single" w:sz="8" w:color="auto"/>
            </w:tcBorders>
            <w:shd w:val="clear" w:color="auto" w:fill="C0C0C0"/>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(4,308)</w:t>
            </w:r>
          </w:p>
        </w:tc>
        <w:tc>
          <w:tcPr>
            <w:tcW w:w="320" w:type="dxa"/>
            <w:vAlign w:val="bottom"/>
            <w:tcBorders>
              <w:top w:val="single" w:sz="8" w:color="auto"/>
            </w:tcBorders>
            <w:shd w:val="clear" w:color="auto" w:fill="C0C0C0"/>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18,222</w:t>
            </w:r>
          </w:p>
        </w:tc>
        <w:tc>
          <w:tcPr>
            <w:tcW w:w="400" w:type="dxa"/>
            <w:vAlign w:val="bottom"/>
            <w:tcBorders>
              <w:top w:val="single" w:sz="8" w:color="auto"/>
            </w:tcBorders>
            <w:shd w:val="clear" w:color="auto" w:fill="C0C0C0"/>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20" w:type="dxa"/>
            <w:vAlign w:val="bottom"/>
          </w:tcPr>
          <w:p>
            <w:pPr>
              <w:spacing w:after="0"/>
              <w:rPr>
                <w:sz w:val="19"/>
                <w:szCs w:val="19"/>
                <w:color w:val="auto"/>
              </w:rPr>
            </w:pPr>
          </w:p>
        </w:tc>
      </w:tr>
      <w:tr>
        <w:trPr>
          <w:trHeight w:val="22"/>
        </w:trPr>
        <w:tc>
          <w:tcPr>
            <w:tcW w:w="5200" w:type="dxa"/>
            <w:vAlign w:val="bottom"/>
            <w:shd w:val="clear" w:color="auto" w:fill="C0C0C0"/>
          </w:tcPr>
          <w:p>
            <w:pPr>
              <w:spacing w:after="0" w:line="20" w:lineRule="exact"/>
              <w:rPr>
                <w:sz w:val="1"/>
                <w:szCs w:val="1"/>
                <w:color w:val="auto"/>
              </w:rPr>
            </w:pPr>
          </w:p>
        </w:tc>
        <w:tc>
          <w:tcPr>
            <w:tcW w:w="1020" w:type="dxa"/>
            <w:vAlign w:val="bottom"/>
            <w:shd w:val="clear" w:color="auto" w:fill="C0C0C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1160" w:type="dxa"/>
            <w:vAlign w:val="bottom"/>
            <w:shd w:val="clear" w:color="auto" w:fill="C0C0C0"/>
          </w:tcPr>
          <w:p>
            <w:pPr>
              <w:spacing w:after="0" w:line="20" w:lineRule="exact"/>
              <w:rPr>
                <w:sz w:val="1"/>
                <w:szCs w:val="1"/>
                <w:color w:val="auto"/>
              </w:rPr>
            </w:pPr>
          </w:p>
        </w:tc>
        <w:tc>
          <w:tcPr>
            <w:tcW w:w="520" w:type="dxa"/>
            <w:vAlign w:val="bottom"/>
            <w:shd w:val="clear" w:color="auto" w:fill="C0C0C0"/>
          </w:tcPr>
          <w:p>
            <w:pPr>
              <w:spacing w:after="0" w:line="20" w:lineRule="exact"/>
              <w:rPr>
                <w:sz w:val="1"/>
                <w:szCs w:val="1"/>
                <w:color w:val="auto"/>
              </w:rPr>
            </w:pPr>
          </w:p>
        </w:tc>
        <w:tc>
          <w:tcPr>
            <w:tcW w:w="760" w:type="dxa"/>
            <w:vAlign w:val="bottom"/>
            <w:shd w:val="clear" w:color="auto" w:fill="C0C0C0"/>
          </w:tcPr>
          <w:p>
            <w:pPr>
              <w:spacing w:after="0" w:line="20" w:lineRule="exact"/>
              <w:rPr>
                <w:sz w:val="1"/>
                <w:szCs w:val="1"/>
                <w:color w:val="auto"/>
              </w:rPr>
            </w:pPr>
          </w:p>
        </w:tc>
        <w:tc>
          <w:tcPr>
            <w:tcW w:w="320" w:type="dxa"/>
            <w:vAlign w:val="bottom"/>
            <w:shd w:val="clear" w:color="auto" w:fill="C0C0C0"/>
          </w:tcPr>
          <w:p>
            <w:pPr>
              <w:spacing w:after="0" w:line="20" w:lineRule="exact"/>
              <w:rPr>
                <w:sz w:val="1"/>
                <w:szCs w:val="1"/>
                <w:color w:val="auto"/>
              </w:rPr>
            </w:pPr>
          </w:p>
        </w:tc>
        <w:tc>
          <w:tcPr>
            <w:tcW w:w="1120" w:type="dxa"/>
            <w:vAlign w:val="bottom"/>
            <w:shd w:val="clear" w:color="auto" w:fill="C0C0C0"/>
          </w:tcPr>
          <w:p>
            <w:pPr>
              <w:spacing w:after="0" w:line="20" w:lineRule="exact"/>
              <w:rPr>
                <w:sz w:val="1"/>
                <w:szCs w:val="1"/>
                <w:color w:val="auto"/>
              </w:rPr>
            </w:pPr>
          </w:p>
        </w:tc>
        <w:tc>
          <w:tcPr>
            <w:tcW w:w="400" w:type="dxa"/>
            <w:vAlign w:val="bottom"/>
            <w:shd w:val="clear" w:color="auto" w:fill="C0C0C0"/>
          </w:tcPr>
          <w:p>
            <w:pPr>
              <w:spacing w:after="0" w:line="20" w:lineRule="exact"/>
              <w:rPr>
                <w:sz w:val="1"/>
                <w:szCs w:val="1"/>
                <w:color w:val="auto"/>
              </w:rPr>
            </w:pPr>
          </w:p>
        </w:tc>
        <w:tc>
          <w:tcPr>
            <w:tcW w:w="740" w:type="dxa"/>
            <w:vAlign w:val="bottom"/>
            <w:shd w:val="clear" w:color="auto" w:fill="C0C0C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20" w:hanging="112"/>
        <w:spacing w:after="0"/>
        <w:tabs>
          <w:tab w:leader="none" w:pos="1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Amortization through December 31, 2001 prior to adoption of FASB ASC 350.</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customer lists are amortized over seven and ten years; the patents over 18 years; the non-compete agreements over two and five years; software over three years; and other intangible assets over 15 years. Amortization of intangible assets amounted to $209,000 and $221,000 for the six-month periods ended June 30, 2019 and 2018, respectively. Estimated annual amortization of intangibles is as follows: $412,000 in 2019, $406,000 in each of 2020 and 2021, and $88,000 in each of 2022 and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Note 3 – Earnings Per Share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weighted-average number of common shares outstanding. Diluted earnings per share is computed by dividing net income by the sum of the weighted-average number of common shares outstanding and the weighted-average number of potential common shares outstanding. There were no anti-dilutive shares in the three and six months ended June 30, 2019 and 2018. The calculations of basic and diluted earnings per share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20"/>
                <w:szCs w:val="20"/>
                <w:color w:val="auto"/>
              </w:rPr>
            </w:pPr>
          </w:p>
        </w:tc>
        <w:tc>
          <w:tcPr>
            <w:tcW w:w="236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64"/>
        </w:trPr>
        <w:tc>
          <w:tcPr>
            <w:tcW w:w="20" w:type="dxa"/>
            <w:vAlign w:val="bottom"/>
          </w:tcPr>
          <w:p>
            <w:pPr>
              <w:spacing w:after="0"/>
              <w:rPr>
                <w:sz w:val="22"/>
                <w:szCs w:val="22"/>
                <w:color w:val="auto"/>
              </w:rPr>
            </w:pPr>
          </w:p>
        </w:tc>
        <w:tc>
          <w:tcPr>
            <w:tcW w:w="55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5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00" w:type="dxa"/>
            <w:vAlign w:val="bottom"/>
          </w:tcPr>
          <w:p>
            <w:pPr>
              <w:spacing w:after="0"/>
              <w:rPr>
                <w:sz w:val="21"/>
                <w:szCs w:val="21"/>
                <w:color w:val="auto"/>
              </w:rPr>
            </w:pPr>
          </w:p>
        </w:tc>
        <w:tc>
          <w:tcPr>
            <w:tcW w:w="10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40" w:type="dxa"/>
            <w:vAlign w:val="bottom"/>
          </w:tcPr>
          <w:p>
            <w:pPr>
              <w:spacing w:after="0"/>
              <w:rPr>
                <w:sz w:val="21"/>
                <w:szCs w:val="21"/>
                <w:color w:val="auto"/>
              </w:rPr>
            </w:pPr>
          </w:p>
        </w:tc>
        <w:tc>
          <w:tcPr>
            <w:tcW w:w="10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40" w:type="dxa"/>
            <w:vAlign w:val="bottom"/>
          </w:tcPr>
          <w:p>
            <w:pPr>
              <w:spacing w:after="0"/>
              <w:rPr>
                <w:sz w:val="21"/>
                <w:szCs w:val="21"/>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500" w:type="dxa"/>
            <w:vAlign w:val="bottom"/>
            <w:tcBorders>
              <w:top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Basic</w:t>
            </w:r>
          </w:p>
        </w:tc>
        <w:tc>
          <w:tcPr>
            <w:tcW w:w="560" w:type="dxa"/>
            <w:vAlign w:val="bottom"/>
            <w:tcBorders>
              <w:top w:val="single" w:sz="8" w:color="auto"/>
            </w:tcBorders>
            <w:shd w:val="clear" w:color="auto" w:fill="C0C0C0"/>
          </w:tcPr>
          <w:p>
            <w:pPr>
              <w:spacing w:after="0"/>
              <w:rPr>
                <w:sz w:val="21"/>
                <w:szCs w:val="21"/>
                <w:color w:val="auto"/>
              </w:rPr>
            </w:pPr>
          </w:p>
        </w:tc>
        <w:tc>
          <w:tcPr>
            <w:tcW w:w="200" w:type="dxa"/>
            <w:vAlign w:val="bottom"/>
            <w:tcBorders>
              <w:top w:val="single" w:sz="8" w:color="auto"/>
            </w:tcBorders>
            <w:shd w:val="clear" w:color="auto" w:fill="C0C0C0"/>
          </w:tcPr>
          <w:p>
            <w:pPr>
              <w:spacing w:after="0"/>
              <w:rPr>
                <w:sz w:val="21"/>
                <w:szCs w:val="21"/>
                <w:color w:val="auto"/>
              </w:rPr>
            </w:pPr>
          </w:p>
        </w:tc>
        <w:tc>
          <w:tcPr>
            <w:tcW w:w="1060" w:type="dxa"/>
            <w:vAlign w:val="bottom"/>
            <w:tcBorders>
              <w:top w:val="single" w:sz="8" w:color="auto"/>
            </w:tcBorders>
            <w:shd w:val="clear" w:color="auto" w:fill="C0C0C0"/>
          </w:tcPr>
          <w:p>
            <w:pPr>
              <w:spacing w:after="0"/>
              <w:rPr>
                <w:sz w:val="21"/>
                <w:szCs w:val="21"/>
                <w:color w:val="auto"/>
              </w:rPr>
            </w:pPr>
          </w:p>
        </w:tc>
        <w:tc>
          <w:tcPr>
            <w:tcW w:w="400" w:type="dxa"/>
            <w:vAlign w:val="bottom"/>
            <w:tcBorders>
              <w:top w:val="single" w:sz="8" w:color="auto"/>
            </w:tcBorders>
            <w:shd w:val="clear" w:color="auto" w:fill="C0C0C0"/>
          </w:tcPr>
          <w:p>
            <w:pPr>
              <w:spacing w:after="0"/>
              <w:rPr>
                <w:sz w:val="21"/>
                <w:szCs w:val="21"/>
                <w:color w:val="auto"/>
              </w:rPr>
            </w:pPr>
          </w:p>
        </w:tc>
        <w:tc>
          <w:tcPr>
            <w:tcW w:w="1000" w:type="dxa"/>
            <w:vAlign w:val="bottom"/>
            <w:tcBorders>
              <w:top w:val="single" w:sz="8" w:color="auto"/>
            </w:tcBorders>
            <w:shd w:val="clear" w:color="auto" w:fill="C0C0C0"/>
          </w:tcPr>
          <w:p>
            <w:pPr>
              <w:spacing w:after="0"/>
              <w:rPr>
                <w:sz w:val="21"/>
                <w:szCs w:val="21"/>
                <w:color w:val="auto"/>
              </w:rPr>
            </w:pPr>
          </w:p>
        </w:tc>
        <w:tc>
          <w:tcPr>
            <w:tcW w:w="340" w:type="dxa"/>
            <w:vAlign w:val="bottom"/>
            <w:tcBorders>
              <w:top w:val="single" w:sz="8" w:color="auto"/>
            </w:tcBorders>
            <w:shd w:val="clear" w:color="auto" w:fill="C0C0C0"/>
          </w:tcPr>
          <w:p>
            <w:pPr>
              <w:spacing w:after="0"/>
              <w:rPr>
                <w:sz w:val="21"/>
                <w:szCs w:val="21"/>
                <w:color w:val="auto"/>
              </w:rPr>
            </w:pPr>
          </w:p>
        </w:tc>
        <w:tc>
          <w:tcPr>
            <w:tcW w:w="1080" w:type="dxa"/>
            <w:vAlign w:val="bottom"/>
            <w:tcBorders>
              <w:top w:val="single" w:sz="8" w:color="auto"/>
            </w:tcBorders>
            <w:shd w:val="clear" w:color="auto" w:fill="C0C0C0"/>
          </w:tcPr>
          <w:p>
            <w:pPr>
              <w:spacing w:after="0"/>
              <w:rPr>
                <w:sz w:val="21"/>
                <w:szCs w:val="21"/>
                <w:color w:val="auto"/>
              </w:rPr>
            </w:pPr>
          </w:p>
        </w:tc>
        <w:tc>
          <w:tcPr>
            <w:tcW w:w="440" w:type="dxa"/>
            <w:vAlign w:val="bottom"/>
            <w:tcBorders>
              <w:top w:val="single" w:sz="8" w:color="auto"/>
            </w:tcBorders>
            <w:shd w:val="clear" w:color="auto" w:fill="C0C0C0"/>
          </w:tcPr>
          <w:p>
            <w:pPr>
              <w:spacing w:after="0"/>
              <w:rPr>
                <w:sz w:val="21"/>
                <w:szCs w:val="21"/>
                <w:color w:val="auto"/>
              </w:rPr>
            </w:pPr>
          </w:p>
        </w:tc>
        <w:tc>
          <w:tcPr>
            <w:tcW w:w="820" w:type="dxa"/>
            <w:vAlign w:val="bottom"/>
            <w:tcBorders>
              <w:top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7,684</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7,509</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15,847</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15,601</w:t>
            </w:r>
          </w:p>
        </w:tc>
        <w:tc>
          <w:tcPr>
            <w:tcW w:w="20" w:type="dxa"/>
            <w:vAlign w:val="bottom"/>
          </w:tcPr>
          <w:p>
            <w:pPr>
              <w:spacing w:after="0"/>
              <w:rPr>
                <w:sz w:val="20"/>
                <w:szCs w:val="20"/>
                <w:color w:val="auto"/>
              </w:rPr>
            </w:pPr>
          </w:p>
        </w:tc>
      </w:tr>
      <w:tr>
        <w:trPr>
          <w:trHeight w:val="252"/>
        </w:trPr>
        <w:tc>
          <w:tcPr>
            <w:tcW w:w="20" w:type="dxa"/>
            <w:vAlign w:val="bottom"/>
          </w:tcPr>
          <w:p>
            <w:pPr>
              <w:spacing w:after="0"/>
              <w:rPr>
                <w:sz w:val="21"/>
                <w:szCs w:val="21"/>
                <w:color w:val="auto"/>
              </w:rPr>
            </w:pPr>
          </w:p>
        </w:tc>
        <w:tc>
          <w:tcPr>
            <w:tcW w:w="550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5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14,434,232</w:t>
            </w:r>
          </w:p>
        </w:tc>
        <w:tc>
          <w:tcPr>
            <w:tcW w:w="40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14,687,882</w:t>
            </w:r>
          </w:p>
        </w:tc>
        <w:tc>
          <w:tcPr>
            <w:tcW w:w="34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14,444,821</w:t>
            </w:r>
          </w:p>
        </w:tc>
        <w:tc>
          <w:tcPr>
            <w:tcW w:w="44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98"/>
              </w:rPr>
              <w:t>14,683,773</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7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.53</w:t>
            </w:r>
          </w:p>
        </w:tc>
        <w:tc>
          <w:tcPr>
            <w:tcW w:w="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1.10</w:t>
            </w:r>
          </w:p>
        </w:tc>
        <w:tc>
          <w:tcPr>
            <w:tcW w:w="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2"/>
        </w:trPr>
        <w:tc>
          <w:tcPr>
            <w:tcW w:w="20" w:type="dxa"/>
            <w:vAlign w:val="bottom"/>
          </w:tcPr>
          <w:p>
            <w:pPr>
              <w:spacing w:after="0"/>
              <w:rPr>
                <w:sz w:val="21"/>
                <w:szCs w:val="21"/>
                <w:color w:val="auto"/>
              </w:rPr>
            </w:pPr>
          </w:p>
        </w:tc>
        <w:tc>
          <w:tcPr>
            <w:tcW w:w="550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gridSpan w:val="2"/>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7,684</w:t>
            </w:r>
          </w:p>
        </w:tc>
        <w:tc>
          <w:tcPr>
            <w:tcW w:w="400" w:type="dxa"/>
            <w:vAlign w:val="bottom"/>
            <w:shd w:val="clear" w:color="auto" w:fill="C0C0C0"/>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7,509</w:t>
            </w:r>
          </w:p>
        </w:tc>
        <w:tc>
          <w:tcPr>
            <w:tcW w:w="340" w:type="dxa"/>
            <w:vAlign w:val="bottom"/>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15,847</w:t>
            </w:r>
          </w:p>
        </w:tc>
        <w:tc>
          <w:tcPr>
            <w:tcW w:w="440" w:type="dxa"/>
            <w:vAlign w:val="bottom"/>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15,601</w:t>
            </w:r>
          </w:p>
        </w:tc>
        <w:tc>
          <w:tcPr>
            <w:tcW w:w="20" w:type="dxa"/>
            <w:vAlign w:val="bottom"/>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14,434,232</w:t>
            </w:r>
          </w:p>
        </w:tc>
        <w:tc>
          <w:tcPr>
            <w:tcW w:w="4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14,687,882</w:t>
            </w:r>
          </w:p>
        </w:tc>
        <w:tc>
          <w:tcPr>
            <w:tcW w:w="34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14,444,821</w:t>
            </w: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14,683,773</w:t>
            </w:r>
          </w:p>
        </w:tc>
        <w:tc>
          <w:tcPr>
            <w:tcW w:w="2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5500" w:type="dxa"/>
            <w:vAlign w:val="bottom"/>
            <w:tcBorders>
              <w:bottom w:val="single" w:sz="8" w:color="auto"/>
            </w:tcBorders>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Effect of dilutive restricted stock and stock appreciation rights</w:t>
            </w:r>
          </w:p>
        </w:tc>
        <w:tc>
          <w:tcPr>
            <w:tcW w:w="560" w:type="dxa"/>
            <w:vAlign w:val="bottom"/>
            <w:tcBorders>
              <w:bottom w:val="single" w:sz="8" w:color="auto"/>
            </w:tcBorders>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258,032</w:t>
            </w:r>
          </w:p>
        </w:tc>
        <w:tc>
          <w:tcPr>
            <w:tcW w:w="400" w:type="dxa"/>
            <w:vAlign w:val="bottom"/>
            <w:tcBorders>
              <w:bottom w:val="single" w:sz="8" w:color="auto"/>
            </w:tcBorders>
            <w:shd w:val="clear" w:color="auto" w:fill="C0C0C0"/>
          </w:tcPr>
          <w:p>
            <w:pPr>
              <w:spacing w:after="0"/>
              <w:rPr>
                <w:sz w:val="21"/>
                <w:szCs w:val="21"/>
                <w:color w:val="auto"/>
              </w:rPr>
            </w:pPr>
          </w:p>
        </w:tc>
        <w:tc>
          <w:tcPr>
            <w:tcW w:w="1000" w:type="dxa"/>
            <w:vAlign w:val="bottom"/>
            <w:tcBorders>
              <w:bottom w:val="single" w:sz="8" w:color="auto"/>
            </w:tcBorders>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246,330</w:t>
            </w:r>
          </w:p>
        </w:tc>
        <w:tc>
          <w:tcPr>
            <w:tcW w:w="340" w:type="dxa"/>
            <w:vAlign w:val="bottom"/>
            <w:tcBorders>
              <w:bottom w:val="single" w:sz="8" w:color="auto"/>
            </w:tcBorders>
            <w:shd w:val="clear" w:color="auto" w:fill="C0C0C0"/>
          </w:tcPr>
          <w:p>
            <w:pPr>
              <w:spacing w:after="0"/>
              <w:rPr>
                <w:sz w:val="21"/>
                <w:szCs w:val="21"/>
                <w:color w:val="auto"/>
              </w:rPr>
            </w:pPr>
          </w:p>
        </w:tc>
        <w:tc>
          <w:tcPr>
            <w:tcW w:w="1080" w:type="dxa"/>
            <w:vAlign w:val="bottom"/>
            <w:tcBorders>
              <w:bottom w:val="single" w:sz="8" w:color="auto"/>
            </w:tcBorders>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255,613</w:t>
            </w:r>
          </w:p>
        </w:tc>
        <w:tc>
          <w:tcPr>
            <w:tcW w:w="44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236,666</w:t>
            </w:r>
          </w:p>
        </w:tc>
        <w:tc>
          <w:tcPr>
            <w:tcW w:w="20" w:type="dxa"/>
            <w:vAlign w:val="bottom"/>
          </w:tcPr>
          <w:p>
            <w:pPr>
              <w:spacing w:after="0"/>
              <w:rPr>
                <w:sz w:val="21"/>
                <w:szCs w:val="21"/>
                <w:color w:val="auto"/>
              </w:rPr>
            </w:pPr>
          </w:p>
        </w:tc>
      </w:tr>
      <w:tr>
        <w:trPr>
          <w:trHeight w:val="232"/>
        </w:trPr>
        <w:tc>
          <w:tcPr>
            <w:tcW w:w="20" w:type="dxa"/>
            <w:vAlign w:val="bottom"/>
          </w:tcPr>
          <w:p>
            <w:pPr>
              <w:spacing w:after="0"/>
              <w:rPr>
                <w:sz w:val="20"/>
                <w:szCs w:val="20"/>
                <w:color w:val="auto"/>
              </w:rPr>
            </w:pPr>
          </w:p>
        </w:tc>
        <w:tc>
          <w:tcPr>
            <w:tcW w:w="5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Weighted-average common shares outstanding assuming dilution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14,692,264</w:t>
            </w:r>
          </w:p>
        </w:tc>
        <w:tc>
          <w:tcPr>
            <w:tcW w:w="4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14,934,212</w:t>
            </w:r>
          </w:p>
        </w:tc>
        <w:tc>
          <w:tcPr>
            <w:tcW w:w="34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14,700,434</w:t>
            </w: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14,920,439</w:t>
            </w:r>
          </w:p>
        </w:tc>
        <w:tc>
          <w:tcPr>
            <w:tcW w:w="20" w:type="dxa"/>
            <w:vAlign w:val="bottom"/>
          </w:tcPr>
          <w:p>
            <w:pPr>
              <w:spacing w:after="0"/>
              <w:rPr>
                <w:sz w:val="20"/>
                <w:szCs w:val="20"/>
                <w:color w:val="auto"/>
              </w:rPr>
            </w:pPr>
          </w:p>
        </w:tc>
      </w:tr>
      <w:tr>
        <w:trPr>
          <w:trHeight w:val="259"/>
        </w:trPr>
        <w:tc>
          <w:tcPr>
            <w:tcW w:w="20" w:type="dxa"/>
            <w:vAlign w:val="bottom"/>
          </w:tcPr>
          <w:p>
            <w:pPr>
              <w:spacing w:after="0"/>
              <w:rPr>
                <w:sz w:val="22"/>
                <w:szCs w:val="22"/>
                <w:color w:val="auto"/>
              </w:rPr>
            </w:pPr>
          </w:p>
        </w:tc>
        <w:tc>
          <w:tcPr>
            <w:tcW w:w="5500" w:type="dxa"/>
            <w:vAlign w:val="bottom"/>
            <w:tcBorders>
              <w:bottom w:val="single" w:sz="8" w:color="auto"/>
            </w:tcBorders>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760" w:type="dxa"/>
            <w:vAlign w:val="bottom"/>
            <w:tcBorders>
              <w:bottom w:val="single" w:sz="8" w:color="auto"/>
            </w:tcBorders>
            <w:gridSpan w:val="2"/>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.52</w:t>
            </w:r>
          </w:p>
        </w:tc>
        <w:tc>
          <w:tcPr>
            <w:tcW w:w="400" w:type="dxa"/>
            <w:vAlign w:val="bottom"/>
            <w:tcBorders>
              <w:bottom w:val="single" w:sz="8" w:color="auto"/>
            </w:tcBorders>
            <w:shd w:val="clear" w:color="auto" w:fill="C0C0C0"/>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tcBorders>
              <w:bottom w:val="single" w:sz="8" w:color="auto"/>
            </w:tcBorders>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1.08</w:t>
            </w:r>
          </w:p>
        </w:tc>
        <w:tc>
          <w:tcPr>
            <w:tcW w:w="440" w:type="dxa"/>
            <w:vAlign w:val="bottom"/>
            <w:tcBorders>
              <w:bottom w:val="single" w:sz="8" w:color="auto"/>
            </w:tcBorders>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 Stock Repurchases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maintains a treasury stock buyback program pursuant to which the Board of Directors has authorized the repurchase of up to 500,000 shares of the Company’s common stock. As restored by the Board of Directors on January 29, 2019, the program provides that the Company may repurchase up to an aggregate of 500,000 shares of common stock and has no expiration date. The Company repurchased 46,778 and 7,200 shares during the three-month periods ended June 30, 2019 and 2018 and 154,593 and 18,656 shares for the six-month periods ended June 30, 2019 and 2018, respectively. As of June 30, 2019, 450,222 shares remained available for repurchase under the program. Repurchases may be made in the open market or through negotiated transactions from time to time depending on market conditions.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5 – Industry Segment Information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services provided by the Company are classified into two reportable segments: Information Services and Banking Services. Each of these segments provides distinct services that are marketed through different channels. They are managed separately due to their unique service and processing requirements.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Services segment provides transportation, energy, telecommunication, and environmental invoice processing and payment services to large corporations. The Banking Services segment provides banking services primarily to privately held businesses and faith-based ministries as well as supporting the banking needs of the Information Services segment.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accounting policies for segments are the same as those described in the summary of significant accounting policies in the Company’s Annual Report on Form 10-K for the year ended December 31, 2018. Management evaluates segment performance based on tax-equivalized* pre-tax income after allocations for corporate expenses. Transactions between segments are accounted for at what management believes to be fair value.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Substantially all revenue originates from, and all long-lived assets are located within the United States, and no revenue from any customer of any segment exceeds 10% of the Company’s consolidated revenue.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Funding sources represent average balances and deposits generated by Information Services and Banking Services and there is no allocation methodology used. Segment interest income is a function of the relative share of average funding sources generated by each segment multiplied by the following rates:</w:t>
      </w:r>
    </w:p>
    <w:p>
      <w:pPr>
        <w:spacing w:after="0" w:line="162" w:lineRule="exact"/>
        <w:rPr>
          <w:sz w:val="20"/>
          <w:szCs w:val="20"/>
          <w:color w:val="auto"/>
        </w:rPr>
      </w:pPr>
    </w:p>
    <w:p>
      <w:pPr>
        <w:ind w:left="540" w:hanging="262"/>
        <w:spacing w:after="0"/>
        <w:tabs>
          <w:tab w:leader="none" w:pos="5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Information Services – fixed or variable rates depending upon the specific characteristics of the funding source, and</w:t>
      </w:r>
    </w:p>
    <w:p>
      <w:pPr>
        <w:spacing w:after="0" w:line="27" w:lineRule="exact"/>
        <w:rPr>
          <w:rFonts w:ascii="Times New Roman" w:cs="Times New Roman" w:eastAsia="Times New Roman" w:hAnsi="Times New Roman"/>
          <w:sz w:val="17"/>
          <w:szCs w:val="17"/>
          <w:color w:val="auto"/>
        </w:rPr>
      </w:pPr>
    </w:p>
    <w:p>
      <w:pPr>
        <w:ind w:left="540" w:hanging="262"/>
        <w:spacing w:after="0"/>
        <w:tabs>
          <w:tab w:leader="none" w:pos="5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Banking Services – a variable rate that is based upon the overall performance of Banking Services’ earning assets.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difference between total segment interest income and overall total Company interest income is included in Corporate, Eliminations, and Other.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Summarized information about the Company’s operations in each industry segment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43"/>
        </w:trPr>
        <w:tc>
          <w:tcPr>
            <w:tcW w:w="4700" w:type="dxa"/>
            <w:vAlign w:val="bottom"/>
          </w:tcPr>
          <w:p>
            <w:pPr>
              <w:spacing w:after="0"/>
              <w:rPr>
                <w:sz w:val="21"/>
                <w:szCs w:val="21"/>
                <w:color w:val="auto"/>
              </w:rPr>
            </w:pPr>
          </w:p>
        </w:tc>
        <w:tc>
          <w:tcPr>
            <w:tcW w:w="310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Information</w:t>
            </w:r>
          </w:p>
        </w:tc>
        <w:tc>
          <w:tcPr>
            <w:tcW w:w="24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Banking</w:t>
            </w: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64"/>
        </w:trPr>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5"/>
              </w:rPr>
              <w:t>and Other</w:t>
            </w: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3"/>
        </w:trPr>
        <w:tc>
          <w:tcPr>
            <w:tcW w:w="470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2019:</w:t>
            </w:r>
          </w:p>
        </w:tc>
        <w:tc>
          <w:tcPr>
            <w:tcW w:w="216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r>
      <w:tr>
        <w:trPr>
          <w:trHeight w:val="234"/>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Fee income from customers</w:t>
            </w:r>
          </w:p>
        </w:tc>
        <w:tc>
          <w:tcPr>
            <w:tcW w:w="21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27,227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392</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(247)</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27,372</w:t>
            </w:r>
          </w:p>
        </w:tc>
      </w:tr>
      <w:tr>
        <w:trPr>
          <w:trHeight w:val="252"/>
        </w:trPr>
        <w:tc>
          <w:tcPr>
            <w:tcW w:w="470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216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49"/>
              <w:spacing w:after="0"/>
              <w:rPr>
                <w:sz w:val="20"/>
                <w:szCs w:val="20"/>
                <w:color w:val="auto"/>
              </w:rPr>
            </w:pPr>
            <w:r>
              <w:rPr>
                <w:rFonts w:ascii="Times New Roman" w:cs="Times New Roman" w:eastAsia="Times New Roman" w:hAnsi="Times New Roman"/>
                <w:sz w:val="18"/>
                <w:szCs w:val="18"/>
                <w:color w:val="auto"/>
              </w:rPr>
              <w:t>6,336</w:t>
            </w: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7,666</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(144)</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13,858</w:t>
            </w:r>
          </w:p>
        </w:tc>
      </w:tr>
      <w:tr>
        <w:trPr>
          <w:trHeight w:val="234"/>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160" w:type="dxa"/>
            <w:vAlign w:val="bottom"/>
          </w:tcPr>
          <w:p>
            <w:pPr>
              <w:spacing w:after="0"/>
              <w:rPr>
                <w:sz w:val="20"/>
                <w:szCs w:val="20"/>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1,305</w:t>
            </w:r>
          </w:p>
        </w:tc>
        <w:tc>
          <w:tcPr>
            <w:tcW w:w="2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r>
      <w:tr>
        <w:trPr>
          <w:trHeight w:val="252"/>
        </w:trPr>
        <w:tc>
          <w:tcPr>
            <w:tcW w:w="470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Intersegment income (expense)</w:t>
            </w:r>
          </w:p>
        </w:tc>
        <w:tc>
          <w:tcPr>
            <w:tcW w:w="216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535</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(535)</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Tax-equivalized pre-tax income*</w:t>
            </w:r>
          </w:p>
        </w:tc>
        <w:tc>
          <w:tcPr>
            <w:tcW w:w="2160" w:type="dxa"/>
            <w:vAlign w:val="bottom"/>
          </w:tcPr>
          <w:p>
            <w:pPr>
              <w:spacing w:after="0"/>
              <w:rPr>
                <w:sz w:val="20"/>
                <w:szCs w:val="20"/>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6,791</w:t>
            </w:r>
          </w:p>
        </w:tc>
        <w:tc>
          <w:tcPr>
            <w:tcW w:w="2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3,555</w:t>
            </w:r>
          </w:p>
        </w:tc>
        <w:tc>
          <w:tcPr>
            <w:tcW w:w="2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(392)</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9,954</w:t>
            </w:r>
          </w:p>
        </w:tc>
      </w:tr>
      <w:tr>
        <w:trPr>
          <w:trHeight w:val="252"/>
        </w:trPr>
        <w:tc>
          <w:tcPr>
            <w:tcW w:w="470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Goodwill</w:t>
            </w:r>
          </w:p>
        </w:tc>
        <w:tc>
          <w:tcPr>
            <w:tcW w:w="216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49"/>
              <w:spacing w:after="0"/>
              <w:rPr>
                <w:sz w:val="20"/>
                <w:szCs w:val="20"/>
                <w:color w:val="auto"/>
              </w:rPr>
            </w:pPr>
            <w:r>
              <w:rPr>
                <w:rFonts w:ascii="Times New Roman" w:cs="Times New Roman" w:eastAsia="Times New Roman" w:hAnsi="Times New Roman"/>
                <w:sz w:val="18"/>
                <w:szCs w:val="18"/>
                <w:color w:val="auto"/>
              </w:rPr>
              <w:t>12,433</w:t>
            </w: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12,569</w:t>
            </w:r>
          </w:p>
        </w:tc>
      </w:tr>
      <w:tr>
        <w:trPr>
          <w:trHeight w:val="234"/>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160" w:type="dxa"/>
            <w:vAlign w:val="bottom"/>
          </w:tcPr>
          <w:p>
            <w:pPr>
              <w:spacing w:after="0"/>
              <w:rPr>
                <w:sz w:val="20"/>
                <w:szCs w:val="20"/>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1,345</w:t>
            </w:r>
          </w:p>
        </w:tc>
        <w:tc>
          <w:tcPr>
            <w:tcW w:w="2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r>
      <w:tr>
        <w:trPr>
          <w:trHeight w:val="252"/>
        </w:trPr>
        <w:tc>
          <w:tcPr>
            <w:tcW w:w="470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16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49"/>
              <w:spacing w:after="0"/>
              <w:rPr>
                <w:sz w:val="20"/>
                <w:szCs w:val="20"/>
                <w:color w:val="auto"/>
              </w:rPr>
            </w:pPr>
            <w:r>
              <w:rPr>
                <w:rFonts w:ascii="Times New Roman" w:cs="Times New Roman" w:eastAsia="Times New Roman" w:hAnsi="Times New Roman"/>
                <w:sz w:val="18"/>
                <w:szCs w:val="18"/>
                <w:color w:val="auto"/>
              </w:rPr>
              <w:t>934,620</w:t>
            </w: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816,661</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(22,597)</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1,728,684</w:t>
            </w:r>
          </w:p>
        </w:tc>
      </w:tr>
      <w:tr>
        <w:trPr>
          <w:trHeight w:val="234"/>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Average funding sources</w:t>
            </w:r>
          </w:p>
        </w:tc>
        <w:tc>
          <w:tcPr>
            <w:tcW w:w="2160" w:type="dxa"/>
            <w:vAlign w:val="bottom"/>
          </w:tcPr>
          <w:p>
            <w:pPr>
              <w:spacing w:after="0"/>
              <w:rPr>
                <w:sz w:val="20"/>
                <w:szCs w:val="20"/>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650,231</w:t>
            </w:r>
          </w:p>
        </w:tc>
        <w:tc>
          <w:tcPr>
            <w:tcW w:w="2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570,980</w:t>
            </w:r>
          </w:p>
        </w:tc>
        <w:tc>
          <w:tcPr>
            <w:tcW w:w="2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1,221,211</w:t>
            </w:r>
          </w:p>
        </w:tc>
      </w:tr>
      <w:tr>
        <w:trPr>
          <w:trHeight w:val="252"/>
        </w:trPr>
        <w:tc>
          <w:tcPr>
            <w:tcW w:w="470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2018:</w:t>
            </w:r>
          </w:p>
        </w:tc>
        <w:tc>
          <w:tcPr>
            <w:tcW w:w="216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r>
      <w:tr>
        <w:trPr>
          <w:trHeight w:val="234"/>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Fee income from customers</w:t>
            </w:r>
          </w:p>
        </w:tc>
        <w:tc>
          <w:tcPr>
            <w:tcW w:w="21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25,262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318</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25,640</w:t>
            </w:r>
          </w:p>
        </w:tc>
      </w:tr>
      <w:tr>
        <w:trPr>
          <w:trHeight w:val="252"/>
        </w:trPr>
        <w:tc>
          <w:tcPr>
            <w:tcW w:w="470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216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49"/>
              <w:spacing w:after="0"/>
              <w:rPr>
                <w:sz w:val="20"/>
                <w:szCs w:val="20"/>
                <w:color w:val="auto"/>
              </w:rPr>
            </w:pPr>
            <w:r>
              <w:rPr>
                <w:rFonts w:ascii="Times New Roman" w:cs="Times New Roman" w:eastAsia="Times New Roman" w:hAnsi="Times New Roman"/>
                <w:sz w:val="18"/>
                <w:szCs w:val="18"/>
                <w:color w:val="auto"/>
              </w:rPr>
              <w:t>6,017</w:t>
            </w: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6,795</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(675)</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12,137</w:t>
            </w:r>
          </w:p>
        </w:tc>
      </w:tr>
      <w:tr>
        <w:trPr>
          <w:trHeight w:val="234"/>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160" w:type="dxa"/>
            <w:vAlign w:val="bottom"/>
          </w:tcPr>
          <w:p>
            <w:pPr>
              <w:spacing w:after="0"/>
              <w:rPr>
                <w:sz w:val="20"/>
                <w:szCs w:val="20"/>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794</w:t>
            </w:r>
          </w:p>
        </w:tc>
        <w:tc>
          <w:tcPr>
            <w:tcW w:w="2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r>
      <w:tr>
        <w:trPr>
          <w:trHeight w:val="252"/>
        </w:trPr>
        <w:tc>
          <w:tcPr>
            <w:tcW w:w="470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Intersegment income (expense)</w:t>
            </w:r>
          </w:p>
        </w:tc>
        <w:tc>
          <w:tcPr>
            <w:tcW w:w="216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486</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(486)</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Tax-equivalized pre-tax income*</w:t>
            </w:r>
          </w:p>
        </w:tc>
        <w:tc>
          <w:tcPr>
            <w:tcW w:w="2160" w:type="dxa"/>
            <w:vAlign w:val="bottom"/>
          </w:tcPr>
          <w:p>
            <w:pPr>
              <w:spacing w:after="0"/>
              <w:rPr>
                <w:sz w:val="20"/>
                <w:szCs w:val="20"/>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6,750</w:t>
            </w:r>
          </w:p>
        </w:tc>
        <w:tc>
          <w:tcPr>
            <w:tcW w:w="2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3,385</w:t>
            </w:r>
          </w:p>
        </w:tc>
        <w:tc>
          <w:tcPr>
            <w:tcW w:w="2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(615)</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9,520</w:t>
            </w:r>
          </w:p>
        </w:tc>
      </w:tr>
      <w:tr>
        <w:trPr>
          <w:trHeight w:val="252"/>
        </w:trPr>
        <w:tc>
          <w:tcPr>
            <w:tcW w:w="470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Goodwill</w:t>
            </w:r>
          </w:p>
        </w:tc>
        <w:tc>
          <w:tcPr>
            <w:tcW w:w="216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49"/>
              <w:spacing w:after="0"/>
              <w:rPr>
                <w:sz w:val="20"/>
                <w:szCs w:val="20"/>
                <w:color w:val="auto"/>
              </w:rPr>
            </w:pPr>
            <w:r>
              <w:rPr>
                <w:rFonts w:ascii="Times New Roman" w:cs="Times New Roman" w:eastAsia="Times New Roman" w:hAnsi="Times New Roman"/>
                <w:sz w:val="18"/>
                <w:szCs w:val="18"/>
                <w:color w:val="auto"/>
              </w:rPr>
              <w:t>12,433</w:t>
            </w: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12,569</w:t>
            </w:r>
          </w:p>
        </w:tc>
      </w:tr>
      <w:tr>
        <w:trPr>
          <w:trHeight w:val="234"/>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160" w:type="dxa"/>
            <w:vAlign w:val="bottom"/>
          </w:tcPr>
          <w:p>
            <w:pPr>
              <w:spacing w:after="0"/>
              <w:rPr>
                <w:sz w:val="20"/>
                <w:szCs w:val="20"/>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1,775</w:t>
            </w:r>
          </w:p>
        </w:tc>
        <w:tc>
          <w:tcPr>
            <w:tcW w:w="2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r>
      <w:tr>
        <w:trPr>
          <w:trHeight w:val="252"/>
        </w:trPr>
        <w:tc>
          <w:tcPr>
            <w:tcW w:w="470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16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49"/>
              <w:spacing w:after="0"/>
              <w:rPr>
                <w:sz w:val="20"/>
                <w:szCs w:val="20"/>
                <w:color w:val="auto"/>
              </w:rPr>
            </w:pPr>
            <w:r>
              <w:rPr>
                <w:rFonts w:ascii="Times New Roman" w:cs="Times New Roman" w:eastAsia="Times New Roman" w:hAnsi="Times New Roman"/>
                <w:sz w:val="18"/>
                <w:szCs w:val="18"/>
                <w:color w:val="auto"/>
              </w:rPr>
              <w:t>807,571</w:t>
            </w: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806,560</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(43,826)</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1,570,305</w:t>
            </w:r>
          </w:p>
        </w:tc>
      </w:tr>
      <w:tr>
        <w:trPr>
          <w:trHeight w:val="250"/>
        </w:trPr>
        <w:tc>
          <w:tcPr>
            <w:tcW w:w="47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Average funding sources</w:t>
            </w:r>
          </w:p>
        </w:tc>
        <w:tc>
          <w:tcPr>
            <w:tcW w:w="2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617,287</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553,237</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1,170,524</w:t>
            </w:r>
          </w:p>
        </w:tc>
      </w:tr>
      <w:tr>
        <w:trPr>
          <w:trHeight w:val="243"/>
        </w:trPr>
        <w:tc>
          <w:tcPr>
            <w:tcW w:w="470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i w:val="1"/>
                <w:iCs w:val="1"/>
                <w:color w:val="auto"/>
              </w:rPr>
              <w:t>Six Months Ended June 30, 2019:</w:t>
            </w:r>
          </w:p>
        </w:tc>
        <w:tc>
          <w:tcPr>
            <w:tcW w:w="216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r>
      <w:tr>
        <w:trPr>
          <w:trHeight w:val="234"/>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Fee income from customers</w:t>
            </w:r>
          </w:p>
        </w:tc>
        <w:tc>
          <w:tcPr>
            <w:tcW w:w="21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54,023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783</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(421)</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54,385</w:t>
            </w:r>
          </w:p>
        </w:tc>
      </w:tr>
      <w:tr>
        <w:trPr>
          <w:trHeight w:val="252"/>
        </w:trPr>
        <w:tc>
          <w:tcPr>
            <w:tcW w:w="470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216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49"/>
              <w:spacing w:after="0"/>
              <w:rPr>
                <w:sz w:val="20"/>
                <w:szCs w:val="20"/>
                <w:color w:val="auto"/>
              </w:rPr>
            </w:pPr>
            <w:r>
              <w:rPr>
                <w:rFonts w:ascii="Times New Roman" w:cs="Times New Roman" w:eastAsia="Times New Roman" w:hAnsi="Times New Roman"/>
                <w:sz w:val="18"/>
                <w:szCs w:val="18"/>
                <w:color w:val="auto"/>
              </w:rPr>
              <w:t>12,513</w:t>
            </w: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15,152</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(369)</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27,296</w:t>
            </w:r>
          </w:p>
        </w:tc>
      </w:tr>
      <w:tr>
        <w:trPr>
          <w:trHeight w:val="234"/>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160" w:type="dxa"/>
            <w:vAlign w:val="bottom"/>
          </w:tcPr>
          <w:p>
            <w:pPr>
              <w:spacing w:after="0"/>
              <w:rPr>
                <w:sz w:val="20"/>
                <w:szCs w:val="20"/>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2,595</w:t>
            </w:r>
          </w:p>
        </w:tc>
        <w:tc>
          <w:tcPr>
            <w:tcW w:w="2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w:t>
            </w:r>
          </w:p>
        </w:tc>
      </w:tr>
      <w:tr>
        <w:trPr>
          <w:trHeight w:val="252"/>
        </w:trPr>
        <w:tc>
          <w:tcPr>
            <w:tcW w:w="470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Intersegment income (expense)</w:t>
            </w:r>
          </w:p>
        </w:tc>
        <w:tc>
          <w:tcPr>
            <w:tcW w:w="216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1,054</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(1,054)</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Tax-equivalized pre-tax income*</w:t>
            </w:r>
          </w:p>
        </w:tc>
        <w:tc>
          <w:tcPr>
            <w:tcW w:w="2160" w:type="dxa"/>
            <w:vAlign w:val="bottom"/>
          </w:tcPr>
          <w:p>
            <w:pPr>
              <w:spacing w:after="0"/>
              <w:rPr>
                <w:sz w:val="20"/>
                <w:szCs w:val="20"/>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14,378</w:t>
            </w:r>
          </w:p>
        </w:tc>
        <w:tc>
          <w:tcPr>
            <w:tcW w:w="2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6,815</w:t>
            </w:r>
          </w:p>
        </w:tc>
        <w:tc>
          <w:tcPr>
            <w:tcW w:w="2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(790)</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20,403</w:t>
            </w:r>
          </w:p>
        </w:tc>
      </w:tr>
      <w:tr>
        <w:trPr>
          <w:trHeight w:val="252"/>
        </w:trPr>
        <w:tc>
          <w:tcPr>
            <w:tcW w:w="470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Goodwill</w:t>
            </w:r>
          </w:p>
        </w:tc>
        <w:tc>
          <w:tcPr>
            <w:tcW w:w="216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49"/>
              <w:spacing w:after="0"/>
              <w:rPr>
                <w:sz w:val="20"/>
                <w:szCs w:val="20"/>
                <w:color w:val="auto"/>
              </w:rPr>
            </w:pPr>
            <w:r>
              <w:rPr>
                <w:rFonts w:ascii="Times New Roman" w:cs="Times New Roman" w:eastAsia="Times New Roman" w:hAnsi="Times New Roman"/>
                <w:sz w:val="18"/>
                <w:szCs w:val="18"/>
                <w:color w:val="auto"/>
              </w:rPr>
              <w:t>12,433</w:t>
            </w: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12,569</w:t>
            </w:r>
          </w:p>
        </w:tc>
      </w:tr>
      <w:tr>
        <w:trPr>
          <w:trHeight w:val="234"/>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160" w:type="dxa"/>
            <w:vAlign w:val="bottom"/>
          </w:tcPr>
          <w:p>
            <w:pPr>
              <w:spacing w:after="0"/>
              <w:rPr>
                <w:sz w:val="20"/>
                <w:szCs w:val="20"/>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1,345</w:t>
            </w:r>
          </w:p>
        </w:tc>
        <w:tc>
          <w:tcPr>
            <w:tcW w:w="2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r>
      <w:tr>
        <w:trPr>
          <w:trHeight w:val="252"/>
        </w:trPr>
        <w:tc>
          <w:tcPr>
            <w:tcW w:w="470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16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49"/>
              <w:spacing w:after="0"/>
              <w:rPr>
                <w:sz w:val="20"/>
                <w:szCs w:val="20"/>
                <w:color w:val="auto"/>
              </w:rPr>
            </w:pPr>
            <w:r>
              <w:rPr>
                <w:rFonts w:ascii="Times New Roman" w:cs="Times New Roman" w:eastAsia="Times New Roman" w:hAnsi="Times New Roman"/>
                <w:sz w:val="18"/>
                <w:szCs w:val="18"/>
                <w:color w:val="auto"/>
              </w:rPr>
              <w:t>934,620</w:t>
            </w: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816,661</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(22,597)</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1,728,684</w:t>
            </w:r>
          </w:p>
        </w:tc>
      </w:tr>
      <w:tr>
        <w:trPr>
          <w:trHeight w:val="234"/>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Average funding sources</w:t>
            </w:r>
          </w:p>
        </w:tc>
        <w:tc>
          <w:tcPr>
            <w:tcW w:w="2160" w:type="dxa"/>
            <w:vAlign w:val="bottom"/>
          </w:tcPr>
          <w:p>
            <w:pPr>
              <w:spacing w:after="0"/>
              <w:rPr>
                <w:sz w:val="20"/>
                <w:szCs w:val="20"/>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648,918</w:t>
            </w:r>
          </w:p>
        </w:tc>
        <w:tc>
          <w:tcPr>
            <w:tcW w:w="2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581,034</w:t>
            </w:r>
          </w:p>
        </w:tc>
        <w:tc>
          <w:tcPr>
            <w:tcW w:w="2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1,229,952</w:t>
            </w:r>
          </w:p>
        </w:tc>
      </w:tr>
      <w:tr>
        <w:trPr>
          <w:trHeight w:val="252"/>
        </w:trPr>
        <w:tc>
          <w:tcPr>
            <w:tcW w:w="470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i w:val="1"/>
                <w:iCs w:val="1"/>
                <w:color w:val="auto"/>
              </w:rPr>
              <w:t>Six Months Ended June 30, 2018:</w:t>
            </w:r>
          </w:p>
        </w:tc>
        <w:tc>
          <w:tcPr>
            <w:tcW w:w="216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r>
      <w:tr>
        <w:trPr>
          <w:trHeight w:val="234"/>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Fee income from customers</w:t>
            </w:r>
          </w:p>
        </w:tc>
        <w:tc>
          <w:tcPr>
            <w:tcW w:w="21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50,134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694</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186</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51,014</w:t>
            </w:r>
          </w:p>
        </w:tc>
      </w:tr>
      <w:tr>
        <w:trPr>
          <w:trHeight w:val="252"/>
        </w:trPr>
        <w:tc>
          <w:tcPr>
            <w:tcW w:w="470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216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49"/>
              <w:spacing w:after="0"/>
              <w:rPr>
                <w:sz w:val="20"/>
                <w:szCs w:val="20"/>
                <w:color w:val="auto"/>
              </w:rPr>
            </w:pPr>
            <w:r>
              <w:rPr>
                <w:rFonts w:ascii="Times New Roman" w:cs="Times New Roman" w:eastAsia="Times New Roman" w:hAnsi="Times New Roman"/>
                <w:sz w:val="18"/>
                <w:szCs w:val="18"/>
                <w:color w:val="auto"/>
              </w:rPr>
              <w:t>12,175</w:t>
            </w: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13,690</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(1,752)</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24,113</w:t>
            </w: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160" w:type="dxa"/>
            <w:vAlign w:val="bottom"/>
          </w:tcPr>
          <w:p>
            <w:pPr>
              <w:spacing w:after="0"/>
              <w:rPr>
                <w:sz w:val="21"/>
                <w:szCs w:val="21"/>
                <w:color w:val="auto"/>
              </w:rPr>
            </w:pPr>
          </w:p>
        </w:tc>
        <w:tc>
          <w:tcPr>
            <w:tcW w:w="940" w:type="dxa"/>
            <w:vAlign w:val="bottom"/>
          </w:tcPr>
          <w:p>
            <w:pPr>
              <w:jc w:val="right"/>
              <w:ind w:right="49"/>
              <w:spacing w:after="0" w:line="243" w:lineRule="exact"/>
              <w:rPr>
                <w:sz w:val="20"/>
                <w:szCs w:val="20"/>
                <w:color w:val="auto"/>
              </w:rPr>
            </w:pPr>
            <w:r>
              <w:rPr>
                <w:rFonts w:ascii="Times New Roman" w:cs="Times New Roman" w:eastAsia="Times New Roman" w:hAnsi="Times New Roman"/>
                <w:sz w:val="22"/>
                <w:szCs w:val="22"/>
                <w:color w:val="auto"/>
              </w:rPr>
              <w:t>—</w:t>
            </w:r>
          </w:p>
        </w:tc>
        <w:tc>
          <w:tcPr>
            <w:tcW w:w="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1,473</w:t>
            </w:r>
          </w:p>
        </w:tc>
        <w:tc>
          <w:tcPr>
            <w:tcW w:w="240" w:type="dxa"/>
            <w:vAlign w:val="bottom"/>
          </w:tcPr>
          <w:p>
            <w:pPr>
              <w:spacing w:after="0"/>
              <w:rPr>
                <w:sz w:val="21"/>
                <w:szCs w:val="21"/>
                <w:color w:val="auto"/>
              </w:rPr>
            </w:pPr>
          </w:p>
        </w:tc>
        <w:tc>
          <w:tcPr>
            <w:tcW w:w="1020" w:type="dxa"/>
            <w:vAlign w:val="bottom"/>
          </w:tcPr>
          <w:p>
            <w:pPr>
              <w:jc w:val="right"/>
              <w:ind w:right="5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r>
      <w:tr>
        <w:trPr>
          <w:trHeight w:val="243"/>
        </w:trPr>
        <w:tc>
          <w:tcPr>
            <w:tcW w:w="470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Intersegment income (expense)</w:t>
            </w:r>
          </w:p>
        </w:tc>
        <w:tc>
          <w:tcPr>
            <w:tcW w:w="216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49"/>
              <w:spacing w:after="0" w:line="243" w:lineRule="exact"/>
              <w:rPr>
                <w:sz w:val="20"/>
                <w:szCs w:val="20"/>
                <w:color w:val="auto"/>
              </w:rPr>
            </w:pPr>
            <w:r>
              <w:rPr>
                <w:rFonts w:ascii="Times New Roman" w:cs="Times New Roman" w:eastAsia="Times New Roman" w:hAnsi="Times New Roman"/>
                <w:sz w:val="22"/>
                <w:szCs w:val="22"/>
                <w:color w:val="auto"/>
              </w:rPr>
              <w:t>—</w:t>
            </w: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948</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(948)</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Tax-equivalized pre-tax income*</w:t>
            </w:r>
          </w:p>
        </w:tc>
        <w:tc>
          <w:tcPr>
            <w:tcW w:w="2160" w:type="dxa"/>
            <w:vAlign w:val="bottom"/>
          </w:tcPr>
          <w:p>
            <w:pPr>
              <w:spacing w:after="0"/>
              <w:rPr>
                <w:sz w:val="20"/>
                <w:szCs w:val="20"/>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14,125</w:t>
            </w:r>
          </w:p>
        </w:tc>
        <w:tc>
          <w:tcPr>
            <w:tcW w:w="2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7,449</w:t>
            </w:r>
          </w:p>
        </w:tc>
        <w:tc>
          <w:tcPr>
            <w:tcW w:w="2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(1,566)</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20,008</w:t>
            </w:r>
          </w:p>
        </w:tc>
      </w:tr>
      <w:tr>
        <w:trPr>
          <w:trHeight w:val="252"/>
        </w:trPr>
        <w:tc>
          <w:tcPr>
            <w:tcW w:w="470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Goodwill</w:t>
            </w:r>
          </w:p>
        </w:tc>
        <w:tc>
          <w:tcPr>
            <w:tcW w:w="216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49"/>
              <w:spacing w:after="0"/>
              <w:rPr>
                <w:sz w:val="20"/>
                <w:szCs w:val="20"/>
                <w:color w:val="auto"/>
              </w:rPr>
            </w:pPr>
            <w:r>
              <w:rPr>
                <w:rFonts w:ascii="Times New Roman" w:cs="Times New Roman" w:eastAsia="Times New Roman" w:hAnsi="Times New Roman"/>
                <w:sz w:val="18"/>
                <w:szCs w:val="18"/>
                <w:color w:val="auto"/>
              </w:rPr>
              <w:t>12,433</w:t>
            </w: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12,569</w:t>
            </w:r>
          </w:p>
        </w:tc>
      </w:tr>
      <w:tr>
        <w:trPr>
          <w:trHeight w:val="234"/>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160" w:type="dxa"/>
            <w:vAlign w:val="bottom"/>
          </w:tcPr>
          <w:p>
            <w:pPr>
              <w:spacing w:after="0"/>
              <w:rPr>
                <w:sz w:val="20"/>
                <w:szCs w:val="20"/>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1,775</w:t>
            </w:r>
          </w:p>
        </w:tc>
        <w:tc>
          <w:tcPr>
            <w:tcW w:w="2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r>
      <w:tr>
        <w:trPr>
          <w:trHeight w:val="252"/>
        </w:trPr>
        <w:tc>
          <w:tcPr>
            <w:tcW w:w="470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16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49"/>
              <w:spacing w:after="0"/>
              <w:rPr>
                <w:sz w:val="20"/>
                <w:szCs w:val="20"/>
                <w:color w:val="auto"/>
              </w:rPr>
            </w:pPr>
            <w:r>
              <w:rPr>
                <w:rFonts w:ascii="Times New Roman" w:cs="Times New Roman" w:eastAsia="Times New Roman" w:hAnsi="Times New Roman"/>
                <w:sz w:val="18"/>
                <w:szCs w:val="18"/>
                <w:color w:val="auto"/>
              </w:rPr>
              <w:t>807,571</w:t>
            </w: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806,560</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(43,826)</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1,570,305</w:t>
            </w:r>
          </w:p>
        </w:tc>
      </w:tr>
      <w:tr>
        <w:trPr>
          <w:trHeight w:val="234"/>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Average funding sources</w:t>
            </w:r>
          </w:p>
        </w:tc>
        <w:tc>
          <w:tcPr>
            <w:tcW w:w="2160" w:type="dxa"/>
            <w:vAlign w:val="bottom"/>
          </w:tcPr>
          <w:p>
            <w:pPr>
              <w:spacing w:after="0"/>
              <w:rPr>
                <w:sz w:val="20"/>
                <w:szCs w:val="20"/>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631,022</w:t>
            </w:r>
          </w:p>
        </w:tc>
        <w:tc>
          <w:tcPr>
            <w:tcW w:w="2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574,419</w:t>
            </w:r>
          </w:p>
        </w:tc>
        <w:tc>
          <w:tcPr>
            <w:tcW w:w="2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1,205,441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 w:lineRule="exact"/>
        <w:rPr>
          <w:sz w:val="20"/>
          <w:szCs w:val="20"/>
          <w:color w:val="auto"/>
        </w:rPr>
      </w:pPr>
    </w:p>
    <w:p>
      <w:pPr>
        <w:ind w:left="120" w:hanging="112"/>
        <w:spacing w:after="0" w:line="241" w:lineRule="auto"/>
        <w:tabs>
          <w:tab w:leader="none" w:pos="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on a tax-equivalent basis assuming a tax rate of 21% for both 2019 and 2018. The tax-equivalent adjustment was approximately $531,000 and $624,000 for the Second Quarter of 2019 and 2018, respectively, and $1,072,000 and $1,311,000 for the First Half of 2019 and 2018, respectively.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Note 6 – Loans by Type</w:t>
            </w:r>
          </w:p>
        </w:tc>
        <w:tc>
          <w:tcPr>
            <w:tcW w:w="3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2"/>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loan categories is as follows:</w:t>
            </w:r>
          </w:p>
        </w:tc>
        <w:tc>
          <w:tcPr>
            <w:tcW w:w="3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46"/>
        </w:trPr>
        <w:tc>
          <w:tcPr>
            <w:tcW w:w="61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64"/>
        </w:trPr>
        <w:tc>
          <w:tcPr>
            <w:tcW w:w="6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43"/>
        </w:trPr>
        <w:tc>
          <w:tcPr>
            <w:tcW w:w="614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1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348,176</w:t>
            </w:r>
          </w:p>
        </w:tc>
        <w:tc>
          <w:tcPr>
            <w:tcW w:w="360" w:type="dxa"/>
            <w:vAlign w:val="bottom"/>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277,091</w:t>
            </w:r>
          </w:p>
        </w:tc>
      </w:tr>
      <w:tr>
        <w:trPr>
          <w:trHeight w:val="23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3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7"/>
        </w:trPr>
        <w:tc>
          <w:tcPr>
            <w:tcW w:w="614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Commercial:</w:t>
            </w:r>
          </w:p>
        </w:tc>
        <w:tc>
          <w:tcPr>
            <w:tcW w:w="310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r>
      <w:tr>
        <w:trPr>
          <w:trHeight w:val="234"/>
        </w:trPr>
        <w:tc>
          <w:tcPr>
            <w:tcW w:w="6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Mortgage</w:t>
            </w:r>
          </w:p>
        </w:tc>
        <w:tc>
          <w:tcPr>
            <w:tcW w:w="310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85,571</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95,605</w:t>
            </w:r>
          </w:p>
        </w:tc>
      </w:tr>
      <w:tr>
        <w:trPr>
          <w:trHeight w:val="252"/>
        </w:trPr>
        <w:tc>
          <w:tcPr>
            <w:tcW w:w="6140" w:type="dxa"/>
            <w:vAlign w:val="bottom"/>
            <w:shd w:val="clear" w:color="auto" w:fill="C0C0C0"/>
          </w:tcPr>
          <w:p>
            <w:pPr>
              <w:ind w:left="820"/>
              <w:spacing w:after="0"/>
              <w:rPr>
                <w:sz w:val="20"/>
                <w:szCs w:val="20"/>
                <w:color w:val="auto"/>
              </w:rPr>
            </w:pPr>
            <w:r>
              <w:rPr>
                <w:rFonts w:ascii="Times New Roman" w:cs="Times New Roman" w:eastAsia="Times New Roman" w:hAnsi="Times New Roman"/>
                <w:sz w:val="18"/>
                <w:szCs w:val="18"/>
                <w:color w:val="auto"/>
              </w:rPr>
              <w:t>Construction</w:t>
            </w:r>
          </w:p>
        </w:tc>
        <w:tc>
          <w:tcPr>
            <w:tcW w:w="310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18,609</w:t>
            </w:r>
          </w:p>
        </w:tc>
        <w:tc>
          <w:tcPr>
            <w:tcW w:w="36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11,858</w:t>
            </w:r>
          </w:p>
        </w:tc>
      </w:tr>
      <w:tr>
        <w:trPr>
          <w:trHeight w:val="234"/>
        </w:trPr>
        <w:tc>
          <w:tcPr>
            <w:tcW w:w="6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Faith-based:</w:t>
            </w:r>
          </w:p>
        </w:tc>
        <w:tc>
          <w:tcPr>
            <w:tcW w:w="3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2"/>
        </w:trPr>
        <w:tc>
          <w:tcPr>
            <w:tcW w:w="6140" w:type="dxa"/>
            <w:vAlign w:val="bottom"/>
            <w:shd w:val="clear" w:color="auto" w:fill="C0C0C0"/>
          </w:tcPr>
          <w:p>
            <w:pPr>
              <w:ind w:left="820"/>
              <w:spacing w:after="0"/>
              <w:rPr>
                <w:sz w:val="20"/>
                <w:szCs w:val="20"/>
                <w:color w:val="auto"/>
              </w:rPr>
            </w:pPr>
            <w:r>
              <w:rPr>
                <w:rFonts w:ascii="Times New Roman" w:cs="Times New Roman" w:eastAsia="Times New Roman" w:hAnsi="Times New Roman"/>
                <w:sz w:val="18"/>
                <w:szCs w:val="18"/>
                <w:color w:val="auto"/>
              </w:rPr>
              <w:t>Mortgage</w:t>
            </w:r>
          </w:p>
        </w:tc>
        <w:tc>
          <w:tcPr>
            <w:tcW w:w="310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319,083</w:t>
            </w:r>
          </w:p>
        </w:tc>
        <w:tc>
          <w:tcPr>
            <w:tcW w:w="36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316,147</w:t>
            </w:r>
          </w:p>
        </w:tc>
      </w:tr>
      <w:tr>
        <w:trPr>
          <w:trHeight w:val="234"/>
        </w:trPr>
        <w:tc>
          <w:tcPr>
            <w:tcW w:w="6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Construction</w:t>
            </w:r>
          </w:p>
        </w:tc>
        <w:tc>
          <w:tcPr>
            <w:tcW w:w="310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17,438</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20,576</w:t>
            </w:r>
          </w:p>
        </w:tc>
      </w:tr>
      <w:tr>
        <w:trPr>
          <w:trHeight w:val="247"/>
        </w:trPr>
        <w:tc>
          <w:tcPr>
            <w:tcW w:w="614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Other</w:t>
            </w:r>
          </w:p>
        </w:tc>
        <w:tc>
          <w:tcPr>
            <w:tcW w:w="310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1,675</w:t>
            </w:r>
          </w:p>
        </w:tc>
        <w:tc>
          <w:tcPr>
            <w:tcW w:w="360" w:type="dxa"/>
            <w:vAlign w:val="bottom"/>
            <w:tcBorders>
              <w:bottom w:val="single" w:sz="8" w:color="auto"/>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48"/>
        </w:trPr>
        <w:tc>
          <w:tcPr>
            <w:tcW w:w="61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Total loans</w:t>
            </w:r>
          </w:p>
        </w:tc>
        <w:tc>
          <w:tcPr>
            <w:tcW w:w="3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790,552</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721,587</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presents the aging of loans by loan categories at June 30, 2019 and December 31, 2018:</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Performing</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Nonperforming</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90</w:t>
            </w:r>
          </w:p>
        </w:tc>
        <w:tc>
          <w:tcPr>
            <w:tcW w:w="2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0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30-59   60-89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and</w:t>
            </w:r>
          </w:p>
        </w:tc>
        <w:tc>
          <w:tcPr>
            <w:tcW w:w="220" w:type="dxa"/>
            <w:vAlign w:val="bottom"/>
          </w:tcPr>
          <w:p>
            <w:pPr>
              <w:spacing w:after="0"/>
              <w:rPr>
                <w:sz w:val="21"/>
                <w:szCs w:val="21"/>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w:t>
            </w:r>
          </w:p>
        </w:tc>
        <w:tc>
          <w:tcPr>
            <w:tcW w:w="260" w:type="dxa"/>
            <w:vAlign w:val="bottom"/>
          </w:tcPr>
          <w:p>
            <w:pPr>
              <w:spacing w:after="0"/>
              <w:rPr>
                <w:sz w:val="21"/>
                <w:szCs w:val="21"/>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6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Days</w:t>
            </w:r>
          </w:p>
        </w:tc>
        <w:tc>
          <w:tcPr>
            <w:tcW w:w="7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Days</w:t>
            </w:r>
          </w:p>
        </w:tc>
        <w:tc>
          <w:tcPr>
            <w:tcW w:w="100" w:type="dxa"/>
            <w:vAlign w:val="bottom"/>
          </w:tcPr>
          <w:p>
            <w:pPr>
              <w:spacing w:after="0"/>
              <w:rPr>
                <w:sz w:val="22"/>
                <w:szCs w:val="22"/>
                <w:color w:val="auto"/>
              </w:rPr>
            </w:pPr>
          </w:p>
        </w:tc>
        <w:tc>
          <w:tcPr>
            <w:tcW w:w="6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Over</w:t>
            </w:r>
          </w:p>
        </w:tc>
        <w:tc>
          <w:tcPr>
            <w:tcW w:w="86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accrual</w:t>
            </w:r>
          </w:p>
        </w:tc>
        <w:tc>
          <w:tcPr>
            <w:tcW w:w="260" w:type="dxa"/>
            <w:vAlign w:val="bottom"/>
          </w:tcPr>
          <w:p>
            <w:pPr>
              <w:spacing w:after="0"/>
              <w:rPr>
                <w:sz w:val="22"/>
                <w:szCs w:val="22"/>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Loans</w:t>
            </w:r>
          </w:p>
        </w:tc>
      </w:tr>
      <w:tr>
        <w:trPr>
          <w:trHeight w:val="243"/>
        </w:trPr>
        <w:tc>
          <w:tcPr>
            <w:tcW w:w="20" w:type="dxa"/>
            <w:vAlign w:val="bottom"/>
          </w:tcPr>
          <w:p>
            <w:pPr>
              <w:spacing w:after="0"/>
              <w:rPr>
                <w:sz w:val="21"/>
                <w:szCs w:val="21"/>
                <w:color w:val="auto"/>
              </w:rPr>
            </w:pPr>
          </w:p>
        </w:tc>
        <w:tc>
          <w:tcPr>
            <w:tcW w:w="3720" w:type="dxa"/>
            <w:vAlign w:val="bottom"/>
            <w:tcBorders>
              <w:top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i w:val="1"/>
                <w:iCs w:val="1"/>
                <w:color w:val="auto"/>
              </w:rPr>
              <w:t>June 30, 2019</w:t>
            </w:r>
          </w:p>
        </w:tc>
        <w:tc>
          <w:tcPr>
            <w:tcW w:w="2760" w:type="dxa"/>
            <w:vAlign w:val="bottom"/>
            <w:tcBorders>
              <w:top w:val="single" w:sz="8" w:color="auto"/>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880" w:type="dxa"/>
            <w:vAlign w:val="bottom"/>
            <w:tcBorders>
              <w:top w:val="single" w:sz="8" w:color="auto"/>
            </w:tcBorders>
            <w:shd w:val="clear" w:color="auto" w:fill="C0C0C0"/>
          </w:tcPr>
          <w:p>
            <w:pPr>
              <w:spacing w:after="0"/>
              <w:rPr>
                <w:sz w:val="21"/>
                <w:szCs w:val="21"/>
                <w:color w:val="auto"/>
              </w:rPr>
            </w:pPr>
          </w:p>
        </w:tc>
        <w:tc>
          <w:tcPr>
            <w:tcW w:w="360" w:type="dxa"/>
            <w:vAlign w:val="bottom"/>
            <w:tcBorders>
              <w:top w:val="single" w:sz="8" w:color="auto"/>
            </w:tcBorders>
            <w:shd w:val="clear" w:color="auto" w:fill="C0C0C0"/>
          </w:tcPr>
          <w:p>
            <w:pPr>
              <w:spacing w:after="0"/>
              <w:rPr>
                <w:sz w:val="21"/>
                <w:szCs w:val="21"/>
                <w:color w:val="auto"/>
              </w:rPr>
            </w:pPr>
          </w:p>
        </w:tc>
        <w:tc>
          <w:tcPr>
            <w:tcW w:w="340" w:type="dxa"/>
            <w:vAlign w:val="bottom"/>
            <w:tcBorders>
              <w:top w:val="single" w:sz="8" w:color="auto"/>
            </w:tcBorders>
            <w:shd w:val="clear" w:color="auto" w:fill="C0C0C0"/>
          </w:tcPr>
          <w:p>
            <w:pPr>
              <w:spacing w:after="0"/>
              <w:rPr>
                <w:sz w:val="21"/>
                <w:szCs w:val="21"/>
                <w:color w:val="auto"/>
              </w:rPr>
            </w:pPr>
          </w:p>
        </w:tc>
        <w:tc>
          <w:tcPr>
            <w:tcW w:w="300" w:type="dxa"/>
            <w:vAlign w:val="bottom"/>
            <w:tcBorders>
              <w:top w:val="single" w:sz="8" w:color="auto"/>
            </w:tcBorders>
            <w:shd w:val="clear" w:color="auto" w:fill="C0C0C0"/>
          </w:tcPr>
          <w:p>
            <w:pPr>
              <w:spacing w:after="0"/>
              <w:rPr>
                <w:sz w:val="21"/>
                <w:szCs w:val="21"/>
                <w:color w:val="auto"/>
              </w:rPr>
            </w:pPr>
          </w:p>
        </w:tc>
        <w:tc>
          <w:tcPr>
            <w:tcW w:w="300" w:type="dxa"/>
            <w:vAlign w:val="bottom"/>
            <w:tcBorders>
              <w:top w:val="single" w:sz="8" w:color="auto"/>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500" w:type="dxa"/>
            <w:vAlign w:val="bottom"/>
            <w:tcBorders>
              <w:top w:val="single" w:sz="8" w:color="auto"/>
            </w:tcBorders>
            <w:shd w:val="clear" w:color="auto" w:fill="C0C0C0"/>
          </w:tcPr>
          <w:p>
            <w:pPr>
              <w:spacing w:after="0"/>
              <w:rPr>
                <w:sz w:val="21"/>
                <w:szCs w:val="21"/>
                <w:color w:val="auto"/>
              </w:rPr>
            </w:pPr>
          </w:p>
        </w:tc>
        <w:tc>
          <w:tcPr>
            <w:tcW w:w="220" w:type="dxa"/>
            <w:vAlign w:val="bottom"/>
            <w:tcBorders>
              <w:top w:val="single" w:sz="8" w:color="auto"/>
            </w:tcBorders>
            <w:shd w:val="clear" w:color="auto" w:fill="C0C0C0"/>
          </w:tcPr>
          <w:p>
            <w:pPr>
              <w:spacing w:after="0"/>
              <w:rPr>
                <w:sz w:val="21"/>
                <w:szCs w:val="21"/>
                <w:color w:val="auto"/>
              </w:rPr>
            </w:pPr>
          </w:p>
        </w:tc>
        <w:tc>
          <w:tcPr>
            <w:tcW w:w="540" w:type="dxa"/>
            <w:vAlign w:val="bottom"/>
            <w:tcBorders>
              <w:top w:val="single" w:sz="8" w:color="auto"/>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260" w:type="dxa"/>
            <w:vAlign w:val="bottom"/>
            <w:tcBorders>
              <w:top w:val="single" w:sz="8" w:color="auto"/>
            </w:tcBorders>
            <w:shd w:val="clear" w:color="auto" w:fill="C0C0C0"/>
          </w:tcPr>
          <w:p>
            <w:pPr>
              <w:spacing w:after="0"/>
              <w:rPr>
                <w:sz w:val="21"/>
                <w:szCs w:val="21"/>
                <w:color w:val="auto"/>
              </w:rPr>
            </w:pPr>
          </w:p>
        </w:tc>
        <w:tc>
          <w:tcPr>
            <w:tcW w:w="720" w:type="dxa"/>
            <w:vAlign w:val="bottom"/>
            <w:tcBorders>
              <w:top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348,176</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348,176</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72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Real estate:</w:t>
            </w:r>
          </w:p>
        </w:tc>
        <w:tc>
          <w:tcPr>
            <w:tcW w:w="27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5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2"/>
        </w:trPr>
        <w:tc>
          <w:tcPr>
            <w:tcW w:w="20" w:type="dxa"/>
            <w:vAlign w:val="bottom"/>
          </w:tcPr>
          <w:p>
            <w:pPr>
              <w:spacing w:after="0"/>
              <w:rPr>
                <w:sz w:val="21"/>
                <w:szCs w:val="21"/>
                <w:color w:val="auto"/>
              </w:rPr>
            </w:pPr>
          </w:p>
        </w:tc>
        <w:tc>
          <w:tcPr>
            <w:tcW w:w="3720" w:type="dxa"/>
            <w:vAlign w:val="bottom"/>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Mortgage</w:t>
            </w:r>
          </w:p>
        </w:tc>
        <w:tc>
          <w:tcPr>
            <w:tcW w:w="27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85,571</w:t>
            </w:r>
          </w:p>
        </w:tc>
        <w:tc>
          <w:tcPr>
            <w:tcW w:w="360" w:type="dxa"/>
            <w:vAlign w:val="bottom"/>
            <w:shd w:val="clear" w:color="auto" w:fill="C0C0C0"/>
          </w:tcPr>
          <w:p>
            <w:pPr>
              <w:spacing w:after="0"/>
              <w:rPr>
                <w:sz w:val="21"/>
                <w:szCs w:val="21"/>
                <w:color w:val="auto"/>
              </w:rPr>
            </w:pPr>
          </w:p>
        </w:tc>
        <w:tc>
          <w:tcPr>
            <w:tcW w:w="340" w:type="dxa"/>
            <w:vAlign w:val="bottom"/>
            <w:shd w:val="clear" w:color="auto" w:fill="C0C0C0"/>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0C0C0"/>
          </w:tcPr>
          <w:p>
            <w:pPr>
              <w:spacing w:after="0"/>
              <w:rPr>
                <w:sz w:val="21"/>
                <w:szCs w:val="21"/>
                <w:color w:val="auto"/>
              </w:rPr>
            </w:pPr>
          </w:p>
        </w:tc>
        <w:tc>
          <w:tcPr>
            <w:tcW w:w="400" w:type="dxa"/>
            <w:vAlign w:val="bottom"/>
            <w:gridSpan w:val="2"/>
            <w:shd w:val="clear" w:color="auto" w:fill="C0C0C0"/>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00" w:type="dxa"/>
            <w:vAlign w:val="bottom"/>
            <w:shd w:val="clear" w:color="auto" w:fill="C0C0C0"/>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0C0C0"/>
          </w:tcPr>
          <w:p>
            <w:pPr>
              <w:spacing w:after="0"/>
              <w:rPr>
                <w:sz w:val="21"/>
                <w:szCs w:val="21"/>
                <w:color w:val="auto"/>
              </w:rPr>
            </w:pPr>
          </w:p>
        </w:tc>
        <w:tc>
          <w:tcPr>
            <w:tcW w:w="640" w:type="dxa"/>
            <w:vAlign w:val="bottom"/>
            <w:gridSpan w:val="2"/>
            <w:shd w:val="clear" w:color="auto" w:fill="C0C0C0"/>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85,571</w:t>
            </w:r>
          </w:p>
        </w:tc>
        <w:tc>
          <w:tcPr>
            <w:tcW w:w="20" w:type="dxa"/>
            <w:vAlign w:val="bottom"/>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3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Construction</w:t>
            </w: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18,609</w:t>
            </w:r>
          </w:p>
        </w:tc>
        <w:tc>
          <w:tcPr>
            <w:tcW w:w="360" w:type="dxa"/>
            <w:vAlign w:val="bottom"/>
          </w:tcPr>
          <w:p>
            <w:pPr>
              <w:spacing w:after="0"/>
              <w:rPr>
                <w:sz w:val="20"/>
                <w:szCs w:val="20"/>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18,609</w:t>
            </w:r>
          </w:p>
        </w:tc>
        <w:tc>
          <w:tcPr>
            <w:tcW w:w="2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372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Faith-based:</w:t>
            </w:r>
          </w:p>
        </w:tc>
        <w:tc>
          <w:tcPr>
            <w:tcW w:w="27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5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Mortgage</w:t>
            </w:r>
          </w:p>
        </w:tc>
        <w:tc>
          <w:tcPr>
            <w:tcW w:w="2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319,083</w:t>
            </w:r>
          </w:p>
        </w:tc>
        <w:tc>
          <w:tcPr>
            <w:tcW w:w="36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6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319,083</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720" w:type="dxa"/>
            <w:vAlign w:val="bottom"/>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Construction</w:t>
            </w:r>
          </w:p>
        </w:tc>
        <w:tc>
          <w:tcPr>
            <w:tcW w:w="27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17,438</w:t>
            </w:r>
          </w:p>
        </w:tc>
        <w:tc>
          <w:tcPr>
            <w:tcW w:w="360" w:type="dxa"/>
            <w:vAlign w:val="bottom"/>
            <w:shd w:val="clear" w:color="auto" w:fill="C0C0C0"/>
          </w:tcPr>
          <w:p>
            <w:pPr>
              <w:spacing w:after="0"/>
              <w:rPr>
                <w:sz w:val="21"/>
                <w:szCs w:val="21"/>
                <w:color w:val="auto"/>
              </w:rPr>
            </w:pPr>
          </w:p>
        </w:tc>
        <w:tc>
          <w:tcPr>
            <w:tcW w:w="340" w:type="dxa"/>
            <w:vAlign w:val="bottom"/>
            <w:shd w:val="clear" w:color="auto" w:fill="C0C0C0"/>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0C0C0"/>
          </w:tcPr>
          <w:p>
            <w:pPr>
              <w:spacing w:after="0"/>
              <w:rPr>
                <w:sz w:val="21"/>
                <w:szCs w:val="21"/>
                <w:color w:val="auto"/>
              </w:rPr>
            </w:pPr>
          </w:p>
        </w:tc>
        <w:tc>
          <w:tcPr>
            <w:tcW w:w="400" w:type="dxa"/>
            <w:vAlign w:val="bottom"/>
            <w:gridSpan w:val="2"/>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00" w:type="dxa"/>
            <w:vAlign w:val="bottom"/>
            <w:shd w:val="clear" w:color="auto" w:fill="C0C0C0"/>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0C0C0"/>
          </w:tcPr>
          <w:p>
            <w:pPr>
              <w:spacing w:after="0"/>
              <w:rPr>
                <w:sz w:val="21"/>
                <w:szCs w:val="21"/>
                <w:color w:val="auto"/>
              </w:rPr>
            </w:pPr>
          </w:p>
        </w:tc>
        <w:tc>
          <w:tcPr>
            <w:tcW w:w="640" w:type="dxa"/>
            <w:vAlign w:val="bottom"/>
            <w:gridSpan w:val="2"/>
            <w:shd w:val="clear" w:color="auto" w:fill="C0C0C0"/>
          </w:tcPr>
          <w:p>
            <w:pPr>
              <w:ind w:lef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17,438</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7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1,675</w:t>
            </w:r>
          </w:p>
        </w:tc>
        <w:tc>
          <w:tcPr>
            <w:tcW w:w="3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2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72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Total</w:t>
            </w:r>
          </w:p>
        </w:tc>
        <w:tc>
          <w:tcPr>
            <w:tcW w:w="2860" w:type="dxa"/>
            <w:vAlign w:val="bottom"/>
            <w:tcBorders>
              <w:bottom w:val="single" w:sz="8" w:color="auto"/>
            </w:tcBorders>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790,552</w:t>
            </w:r>
          </w:p>
        </w:tc>
        <w:tc>
          <w:tcPr>
            <w:tcW w:w="360" w:type="dxa"/>
            <w:vAlign w:val="bottom"/>
            <w:tcBorders>
              <w:bottom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0C0C0"/>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gridSpan w:val="2"/>
            <w:shd w:val="clear" w:color="auto" w:fill="C0C0C0"/>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0C0C0"/>
          </w:tcPr>
          <w:p>
            <w:pPr>
              <w:ind w:lef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gridSpan w:val="2"/>
            <w:shd w:val="clear" w:color="auto" w:fill="C0C0C0"/>
          </w:tcPr>
          <w:p>
            <w:pPr>
              <w:ind w:lef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790,552</w:t>
            </w: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December 31, 2018</w:t>
            </w: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372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86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277,091</w:t>
            </w:r>
          </w:p>
        </w:tc>
        <w:tc>
          <w:tcPr>
            <w:tcW w:w="360" w:type="dxa"/>
            <w:vAlign w:val="bottom"/>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0C0C0"/>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0C0C0"/>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0C0C0"/>
          </w:tcPr>
          <w:p>
            <w:pPr>
              <w:ind w:lef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277,091</w:t>
            </w:r>
          </w:p>
        </w:tc>
        <w:tc>
          <w:tcPr>
            <w:tcW w:w="20" w:type="dxa"/>
            <w:vAlign w:val="bottom"/>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372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27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5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Mortgage</w:t>
            </w:r>
          </w:p>
        </w:tc>
        <w:tc>
          <w:tcPr>
            <w:tcW w:w="2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95,605</w:t>
            </w:r>
          </w:p>
        </w:tc>
        <w:tc>
          <w:tcPr>
            <w:tcW w:w="36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6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95,605</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720" w:type="dxa"/>
            <w:vAlign w:val="bottom"/>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Construction</w:t>
            </w:r>
          </w:p>
        </w:tc>
        <w:tc>
          <w:tcPr>
            <w:tcW w:w="27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11,858</w:t>
            </w:r>
          </w:p>
        </w:tc>
        <w:tc>
          <w:tcPr>
            <w:tcW w:w="360" w:type="dxa"/>
            <w:vAlign w:val="bottom"/>
            <w:shd w:val="clear" w:color="auto" w:fill="C0C0C0"/>
          </w:tcPr>
          <w:p>
            <w:pPr>
              <w:spacing w:after="0"/>
              <w:rPr>
                <w:sz w:val="21"/>
                <w:szCs w:val="21"/>
                <w:color w:val="auto"/>
              </w:rPr>
            </w:pPr>
          </w:p>
        </w:tc>
        <w:tc>
          <w:tcPr>
            <w:tcW w:w="340" w:type="dxa"/>
            <w:vAlign w:val="bottom"/>
            <w:shd w:val="clear" w:color="auto" w:fill="C0C0C0"/>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0C0C0"/>
          </w:tcPr>
          <w:p>
            <w:pPr>
              <w:spacing w:after="0"/>
              <w:rPr>
                <w:sz w:val="21"/>
                <w:szCs w:val="21"/>
                <w:color w:val="auto"/>
              </w:rPr>
            </w:pPr>
          </w:p>
        </w:tc>
        <w:tc>
          <w:tcPr>
            <w:tcW w:w="400" w:type="dxa"/>
            <w:vAlign w:val="bottom"/>
            <w:gridSpan w:val="2"/>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00" w:type="dxa"/>
            <w:vAlign w:val="bottom"/>
            <w:shd w:val="clear" w:color="auto" w:fill="C0C0C0"/>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0C0C0"/>
          </w:tcPr>
          <w:p>
            <w:pPr>
              <w:spacing w:after="0"/>
              <w:rPr>
                <w:sz w:val="21"/>
                <w:szCs w:val="21"/>
                <w:color w:val="auto"/>
              </w:rPr>
            </w:pPr>
          </w:p>
        </w:tc>
        <w:tc>
          <w:tcPr>
            <w:tcW w:w="640" w:type="dxa"/>
            <w:vAlign w:val="bottom"/>
            <w:gridSpan w:val="2"/>
            <w:shd w:val="clear" w:color="auto" w:fill="C0C0C0"/>
          </w:tcPr>
          <w:p>
            <w:pPr>
              <w:ind w:lef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11,858</w:t>
            </w:r>
          </w:p>
        </w:tc>
        <w:tc>
          <w:tcPr>
            <w:tcW w:w="20" w:type="dxa"/>
            <w:vAlign w:val="bottom"/>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Faith-based:</w:t>
            </w: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2"/>
        </w:trPr>
        <w:tc>
          <w:tcPr>
            <w:tcW w:w="20" w:type="dxa"/>
            <w:vAlign w:val="bottom"/>
          </w:tcPr>
          <w:p>
            <w:pPr>
              <w:spacing w:after="0"/>
              <w:rPr>
                <w:sz w:val="21"/>
                <w:szCs w:val="21"/>
                <w:color w:val="auto"/>
              </w:rPr>
            </w:pPr>
          </w:p>
        </w:tc>
        <w:tc>
          <w:tcPr>
            <w:tcW w:w="3720" w:type="dxa"/>
            <w:vAlign w:val="bottom"/>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Mortgage</w:t>
            </w:r>
          </w:p>
        </w:tc>
        <w:tc>
          <w:tcPr>
            <w:tcW w:w="27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316,147</w:t>
            </w:r>
          </w:p>
        </w:tc>
        <w:tc>
          <w:tcPr>
            <w:tcW w:w="360" w:type="dxa"/>
            <w:vAlign w:val="bottom"/>
            <w:shd w:val="clear" w:color="auto" w:fill="C0C0C0"/>
          </w:tcPr>
          <w:p>
            <w:pPr>
              <w:spacing w:after="0"/>
              <w:rPr>
                <w:sz w:val="21"/>
                <w:szCs w:val="21"/>
                <w:color w:val="auto"/>
              </w:rPr>
            </w:pPr>
          </w:p>
        </w:tc>
        <w:tc>
          <w:tcPr>
            <w:tcW w:w="340" w:type="dxa"/>
            <w:vAlign w:val="bottom"/>
            <w:shd w:val="clear" w:color="auto" w:fill="C0C0C0"/>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0C0C0"/>
          </w:tcPr>
          <w:p>
            <w:pPr>
              <w:spacing w:after="0"/>
              <w:rPr>
                <w:sz w:val="21"/>
                <w:szCs w:val="21"/>
                <w:color w:val="auto"/>
              </w:rPr>
            </w:pPr>
          </w:p>
        </w:tc>
        <w:tc>
          <w:tcPr>
            <w:tcW w:w="400" w:type="dxa"/>
            <w:vAlign w:val="bottom"/>
            <w:gridSpan w:val="2"/>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00" w:type="dxa"/>
            <w:vAlign w:val="bottom"/>
            <w:shd w:val="clear" w:color="auto" w:fill="C0C0C0"/>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0C0C0"/>
          </w:tcPr>
          <w:p>
            <w:pPr>
              <w:spacing w:after="0"/>
              <w:rPr>
                <w:sz w:val="21"/>
                <w:szCs w:val="21"/>
                <w:color w:val="auto"/>
              </w:rPr>
            </w:pPr>
          </w:p>
        </w:tc>
        <w:tc>
          <w:tcPr>
            <w:tcW w:w="640" w:type="dxa"/>
            <w:vAlign w:val="bottom"/>
            <w:gridSpan w:val="2"/>
            <w:shd w:val="clear" w:color="auto" w:fill="C0C0C0"/>
          </w:tcPr>
          <w:p>
            <w:pPr>
              <w:ind w:lef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316,147</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Construction</w:t>
            </w:r>
          </w:p>
        </w:tc>
        <w:tc>
          <w:tcPr>
            <w:tcW w:w="2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20,576</w:t>
            </w:r>
          </w:p>
        </w:tc>
        <w:tc>
          <w:tcPr>
            <w:tcW w:w="36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6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20,576</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72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Other</w:t>
            </w:r>
          </w:p>
        </w:tc>
        <w:tc>
          <w:tcPr>
            <w:tcW w:w="2760" w:type="dxa"/>
            <w:vAlign w:val="bottom"/>
            <w:tcBorders>
              <w:bottom w:val="single" w:sz="8" w:color="auto"/>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310</w:t>
            </w:r>
          </w:p>
        </w:tc>
        <w:tc>
          <w:tcPr>
            <w:tcW w:w="360" w:type="dxa"/>
            <w:vAlign w:val="bottom"/>
            <w:tcBorders>
              <w:bottom w:val="single" w:sz="8" w:color="auto"/>
            </w:tcBorders>
            <w:shd w:val="clear" w:color="auto" w:fill="C0C0C0"/>
          </w:tcPr>
          <w:p>
            <w:pPr>
              <w:spacing w:after="0"/>
              <w:rPr>
                <w:sz w:val="21"/>
                <w:szCs w:val="21"/>
                <w:color w:val="auto"/>
              </w:rPr>
            </w:pPr>
          </w:p>
        </w:tc>
        <w:tc>
          <w:tcPr>
            <w:tcW w:w="340" w:type="dxa"/>
            <w:vAlign w:val="bottom"/>
            <w:tcBorders>
              <w:bottom w:val="single" w:sz="8" w:color="auto"/>
            </w:tcBorders>
            <w:shd w:val="clear" w:color="auto" w:fill="C0C0C0"/>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0C0C0"/>
          </w:tcPr>
          <w:p>
            <w:pPr>
              <w:spacing w:after="0"/>
              <w:rPr>
                <w:sz w:val="21"/>
                <w:szCs w:val="21"/>
                <w:color w:val="auto"/>
              </w:rPr>
            </w:pPr>
          </w:p>
        </w:tc>
        <w:tc>
          <w:tcPr>
            <w:tcW w:w="400" w:type="dxa"/>
            <w:vAlign w:val="bottom"/>
            <w:tcBorders>
              <w:bottom w:val="single" w:sz="8" w:color="auto"/>
            </w:tcBorders>
            <w:gridSpan w:val="2"/>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500" w:type="dxa"/>
            <w:vAlign w:val="bottom"/>
            <w:tcBorders>
              <w:bottom w:val="single" w:sz="8" w:color="auto"/>
            </w:tcBorders>
            <w:shd w:val="clear" w:color="auto" w:fill="C0C0C0"/>
          </w:tcPr>
          <w:p>
            <w:pPr>
              <w:ind w:lef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gridSpan w:val="2"/>
            <w:shd w:val="clear" w:color="auto" w:fill="C0C0C0"/>
          </w:tcPr>
          <w:p>
            <w:pPr>
              <w:ind w:lef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721,587</w:t>
            </w: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721,587</w:t>
            </w:r>
          </w:p>
        </w:tc>
        <w:tc>
          <w:tcPr>
            <w:tcW w:w="20" w:type="dxa"/>
            <w:vAlign w:val="bottom"/>
          </w:tcPr>
          <w:p>
            <w:pPr>
              <w:spacing w:after="0"/>
              <w:rPr>
                <w:sz w:val="21"/>
                <w:szCs w:val="21"/>
                <w:color w:val="auto"/>
              </w:rPr>
            </w:pPr>
          </w:p>
        </w:tc>
      </w:tr>
      <w:tr>
        <w:trPr>
          <w:trHeight w:val="432"/>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3720" w:type="dxa"/>
            <w:vAlign w:val="bottom"/>
            <w:tcBorders>
              <w:bottom w:val="single" w:sz="8" w:color="9A9A9A"/>
            </w:tcBorders>
          </w:tcPr>
          <w:p>
            <w:pPr>
              <w:spacing w:after="0"/>
              <w:rPr>
                <w:sz w:val="19"/>
                <w:szCs w:val="19"/>
                <w:color w:val="auto"/>
              </w:rPr>
            </w:pPr>
          </w:p>
        </w:tc>
        <w:tc>
          <w:tcPr>
            <w:tcW w:w="27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8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50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7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80" w:right="2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 following table presents the credit exposure of the loan portfolio by internal credit grade as of June 30, 2019 and December 31,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Loans</w:t>
            </w:r>
          </w:p>
        </w:tc>
        <w:tc>
          <w:tcPr>
            <w:tcW w:w="260" w:type="dxa"/>
            <w:vAlign w:val="bottom"/>
          </w:tcPr>
          <w:p>
            <w:pPr>
              <w:spacing w:after="0"/>
              <w:rPr>
                <w:sz w:val="20"/>
                <w:szCs w:val="20"/>
                <w:color w:val="auto"/>
              </w:rPr>
            </w:pPr>
          </w:p>
        </w:tc>
        <w:tc>
          <w:tcPr>
            <w:tcW w:w="13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Performing</w:t>
            </w: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Nonperforming</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0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Subject to</w:t>
            </w: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Loans Subject to</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Loans Subject</w:t>
            </w: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0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Normal</w:t>
            </w:r>
          </w:p>
        </w:tc>
        <w:tc>
          <w:tcPr>
            <w:tcW w:w="260" w:type="dxa"/>
            <w:vAlign w:val="bottom"/>
          </w:tcPr>
          <w:p>
            <w:pPr>
              <w:spacing w:after="0"/>
              <w:rPr>
                <w:sz w:val="21"/>
                <w:szCs w:val="21"/>
                <w:color w:val="auto"/>
              </w:rPr>
            </w:pPr>
          </w:p>
        </w:tc>
        <w:tc>
          <w:tcPr>
            <w:tcW w:w="13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Special</w:t>
            </w:r>
          </w:p>
        </w:tc>
        <w:tc>
          <w:tcPr>
            <w:tcW w:w="260" w:type="dxa"/>
            <w:vAlign w:val="bottom"/>
          </w:tcPr>
          <w:p>
            <w:pPr>
              <w:spacing w:after="0"/>
              <w:rPr>
                <w:sz w:val="21"/>
                <w:szCs w:val="21"/>
                <w:color w:val="auto"/>
              </w:rPr>
            </w:pPr>
          </w:p>
        </w:tc>
        <w:tc>
          <w:tcPr>
            <w:tcW w:w="12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to Special</w:t>
            </w: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31"/>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240" w:type="dxa"/>
            <w:vAlign w:val="bottom"/>
            <w:gridSpan w:val="2"/>
          </w:tcPr>
          <w:p>
            <w:pPr>
              <w:ind w:left="2140"/>
              <w:spacing w:after="0" w:line="324" w:lineRule="exact"/>
              <w:rPr>
                <w:sz w:val="20"/>
                <w:szCs w:val="20"/>
                <w:color w:val="auto"/>
              </w:rPr>
            </w:pPr>
            <w:r>
              <w:rPr>
                <w:rFonts w:ascii="Times New Roman" w:cs="Times New Roman" w:eastAsia="Times New Roman" w:hAnsi="Times New Roman"/>
                <w:sz w:val="18"/>
                <w:szCs w:val="18"/>
                <w:b w:val="1"/>
                <w:bCs w:val="1"/>
                <w:color w:val="auto"/>
              </w:rPr>
              <w:t>Monitoring</w:t>
            </w:r>
            <w:r>
              <w:rPr>
                <w:rFonts w:ascii="Times New Roman" w:cs="Times New Roman" w:eastAsia="Times New Roman" w:hAnsi="Times New Roman"/>
                <w:sz w:val="30"/>
                <w:szCs w:val="30"/>
                <w:b w:val="1"/>
                <w:bCs w:val="1"/>
                <w:color w:val="auto"/>
                <w:vertAlign w:val="superscript"/>
              </w:rPr>
              <w:t>1</w:t>
            </w:r>
          </w:p>
        </w:tc>
        <w:tc>
          <w:tcPr>
            <w:tcW w:w="260" w:type="dxa"/>
            <w:vAlign w:val="bottom"/>
          </w:tcPr>
          <w:p>
            <w:pPr>
              <w:spacing w:after="0"/>
              <w:rPr>
                <w:sz w:val="24"/>
                <w:szCs w:val="24"/>
                <w:color w:val="auto"/>
              </w:rPr>
            </w:pPr>
          </w:p>
        </w:tc>
        <w:tc>
          <w:tcPr>
            <w:tcW w:w="1340" w:type="dxa"/>
            <w:vAlign w:val="bottom"/>
          </w:tcPr>
          <w:p>
            <w:pPr>
              <w:jc w:val="center"/>
              <w:ind w:right="210"/>
              <w:spacing w:after="0" w:line="324" w:lineRule="exact"/>
              <w:rPr>
                <w:sz w:val="20"/>
                <w:szCs w:val="20"/>
                <w:color w:val="auto"/>
              </w:rPr>
            </w:pPr>
            <w:r>
              <w:rPr>
                <w:rFonts w:ascii="Times New Roman" w:cs="Times New Roman" w:eastAsia="Times New Roman" w:hAnsi="Times New Roman"/>
                <w:sz w:val="18"/>
                <w:szCs w:val="18"/>
                <w:b w:val="1"/>
                <w:bCs w:val="1"/>
                <w:color w:val="auto"/>
                <w:w w:val="97"/>
              </w:rPr>
              <w:t>Monitoring</w:t>
            </w:r>
            <w:r>
              <w:rPr>
                <w:rFonts w:ascii="Times New Roman" w:cs="Times New Roman" w:eastAsia="Times New Roman" w:hAnsi="Times New Roman"/>
                <w:sz w:val="30"/>
                <w:szCs w:val="30"/>
                <w:b w:val="1"/>
                <w:bCs w:val="1"/>
                <w:color w:val="auto"/>
                <w:w w:val="97"/>
                <w:vertAlign w:val="superscript"/>
              </w:rPr>
              <w:t>2</w:t>
            </w:r>
          </w:p>
        </w:tc>
        <w:tc>
          <w:tcPr>
            <w:tcW w:w="260" w:type="dxa"/>
            <w:vAlign w:val="bottom"/>
          </w:tcPr>
          <w:p>
            <w:pPr>
              <w:spacing w:after="0"/>
              <w:rPr>
                <w:sz w:val="24"/>
                <w:szCs w:val="24"/>
                <w:color w:val="auto"/>
              </w:rPr>
            </w:pPr>
          </w:p>
        </w:tc>
        <w:tc>
          <w:tcPr>
            <w:tcW w:w="1220" w:type="dxa"/>
            <w:vAlign w:val="bottom"/>
          </w:tcPr>
          <w:p>
            <w:pPr>
              <w:jc w:val="center"/>
              <w:ind w:right="150"/>
              <w:spacing w:after="0" w:line="324" w:lineRule="exact"/>
              <w:rPr>
                <w:sz w:val="20"/>
                <w:szCs w:val="20"/>
                <w:color w:val="auto"/>
              </w:rPr>
            </w:pPr>
            <w:r>
              <w:rPr>
                <w:rFonts w:ascii="Times New Roman" w:cs="Times New Roman" w:eastAsia="Times New Roman" w:hAnsi="Times New Roman"/>
                <w:sz w:val="18"/>
                <w:szCs w:val="18"/>
                <w:b w:val="1"/>
                <w:bCs w:val="1"/>
                <w:color w:val="auto"/>
                <w:w w:val="95"/>
              </w:rPr>
              <w:t>Monitoring</w:t>
            </w:r>
            <w:r>
              <w:rPr>
                <w:rFonts w:ascii="Times New Roman" w:cs="Times New Roman" w:eastAsia="Times New Roman" w:hAnsi="Times New Roman"/>
                <w:sz w:val="30"/>
                <w:szCs w:val="30"/>
                <w:b w:val="1"/>
                <w:bCs w:val="1"/>
                <w:color w:val="auto"/>
                <w:w w:val="95"/>
                <w:vertAlign w:val="superscript"/>
              </w:rPr>
              <w:t>2</w:t>
            </w:r>
          </w:p>
        </w:tc>
        <w:tc>
          <w:tcPr>
            <w:tcW w:w="106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w w:val="97"/>
              </w:rPr>
              <w:t>Total Loans</w:t>
            </w:r>
          </w:p>
        </w:tc>
      </w:tr>
      <w:tr>
        <w:trPr>
          <w:trHeight w:val="243"/>
        </w:trPr>
        <w:tc>
          <w:tcPr>
            <w:tcW w:w="20" w:type="dxa"/>
            <w:vAlign w:val="bottom"/>
          </w:tcPr>
          <w:p>
            <w:pPr>
              <w:spacing w:after="0"/>
              <w:rPr>
                <w:sz w:val="21"/>
                <w:szCs w:val="21"/>
                <w:color w:val="auto"/>
              </w:rPr>
            </w:pPr>
          </w:p>
        </w:tc>
        <w:tc>
          <w:tcPr>
            <w:tcW w:w="4040" w:type="dxa"/>
            <w:vAlign w:val="bottom"/>
            <w:tcBorders>
              <w:top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i w:val="1"/>
                <w:iCs w:val="1"/>
                <w:color w:val="auto"/>
              </w:rPr>
              <w:t>June 30, 2019</w:t>
            </w:r>
          </w:p>
        </w:tc>
        <w:tc>
          <w:tcPr>
            <w:tcW w:w="2220" w:type="dxa"/>
            <w:vAlign w:val="bottom"/>
            <w:tcBorders>
              <w:top w:val="single" w:sz="8" w:color="auto"/>
            </w:tcBorders>
            <w:shd w:val="clear" w:color="auto" w:fill="C0C0C0"/>
          </w:tcPr>
          <w:p>
            <w:pPr>
              <w:spacing w:after="0"/>
              <w:rPr>
                <w:sz w:val="21"/>
                <w:szCs w:val="21"/>
                <w:color w:val="auto"/>
              </w:rPr>
            </w:pPr>
          </w:p>
        </w:tc>
        <w:tc>
          <w:tcPr>
            <w:tcW w:w="1020" w:type="dxa"/>
            <w:vAlign w:val="bottom"/>
            <w:tcBorders>
              <w:top w:val="single" w:sz="8" w:color="auto"/>
            </w:tcBorders>
            <w:shd w:val="clear" w:color="auto" w:fill="C0C0C0"/>
          </w:tcPr>
          <w:p>
            <w:pPr>
              <w:spacing w:after="0"/>
              <w:rPr>
                <w:sz w:val="21"/>
                <w:szCs w:val="21"/>
                <w:color w:val="auto"/>
              </w:rPr>
            </w:pPr>
          </w:p>
        </w:tc>
        <w:tc>
          <w:tcPr>
            <w:tcW w:w="260" w:type="dxa"/>
            <w:vAlign w:val="bottom"/>
            <w:tcBorders>
              <w:top w:val="single" w:sz="8" w:color="auto"/>
            </w:tcBorders>
            <w:shd w:val="clear" w:color="auto" w:fill="C0C0C0"/>
          </w:tcPr>
          <w:p>
            <w:pPr>
              <w:spacing w:after="0"/>
              <w:rPr>
                <w:sz w:val="21"/>
                <w:szCs w:val="21"/>
                <w:color w:val="auto"/>
              </w:rPr>
            </w:pPr>
          </w:p>
        </w:tc>
        <w:tc>
          <w:tcPr>
            <w:tcW w:w="1340" w:type="dxa"/>
            <w:vAlign w:val="bottom"/>
            <w:tcBorders>
              <w:top w:val="single" w:sz="8" w:color="auto"/>
            </w:tcBorders>
            <w:shd w:val="clear" w:color="auto" w:fill="C0C0C0"/>
          </w:tcPr>
          <w:p>
            <w:pPr>
              <w:spacing w:after="0"/>
              <w:rPr>
                <w:sz w:val="21"/>
                <w:szCs w:val="21"/>
                <w:color w:val="auto"/>
              </w:rPr>
            </w:pPr>
          </w:p>
        </w:tc>
        <w:tc>
          <w:tcPr>
            <w:tcW w:w="260" w:type="dxa"/>
            <w:vAlign w:val="bottom"/>
            <w:tcBorders>
              <w:top w:val="single" w:sz="8" w:color="auto"/>
            </w:tcBorders>
            <w:shd w:val="clear" w:color="auto" w:fill="C0C0C0"/>
          </w:tcPr>
          <w:p>
            <w:pPr>
              <w:spacing w:after="0"/>
              <w:rPr>
                <w:sz w:val="21"/>
                <w:szCs w:val="21"/>
                <w:color w:val="auto"/>
              </w:rPr>
            </w:pPr>
          </w:p>
        </w:tc>
        <w:tc>
          <w:tcPr>
            <w:tcW w:w="1220" w:type="dxa"/>
            <w:vAlign w:val="bottom"/>
            <w:tcBorders>
              <w:top w:val="single" w:sz="8" w:color="auto"/>
            </w:tcBorders>
            <w:shd w:val="clear" w:color="auto" w:fill="C0C0C0"/>
          </w:tcPr>
          <w:p>
            <w:pPr>
              <w:spacing w:after="0"/>
              <w:rPr>
                <w:sz w:val="21"/>
                <w:szCs w:val="21"/>
                <w:color w:val="auto"/>
              </w:rPr>
            </w:pPr>
          </w:p>
        </w:tc>
        <w:tc>
          <w:tcPr>
            <w:tcW w:w="340" w:type="dxa"/>
            <w:vAlign w:val="bottom"/>
            <w:tcBorders>
              <w:top w:val="single" w:sz="8" w:color="auto"/>
            </w:tcBorders>
            <w:shd w:val="clear" w:color="auto" w:fill="C0C0C0"/>
          </w:tcPr>
          <w:p>
            <w:pPr>
              <w:spacing w:after="0"/>
              <w:rPr>
                <w:sz w:val="21"/>
                <w:szCs w:val="21"/>
                <w:color w:val="auto"/>
              </w:rPr>
            </w:pPr>
          </w:p>
        </w:tc>
        <w:tc>
          <w:tcPr>
            <w:tcW w:w="700" w:type="dxa"/>
            <w:vAlign w:val="bottom"/>
            <w:tcBorders>
              <w:top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220" w:type="dxa"/>
            <w:vAlign w:val="bottom"/>
          </w:tcPr>
          <w:p>
            <w:pPr>
              <w:ind w:left="21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347,416</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760</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348,176</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04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Real estate:</w:t>
            </w:r>
          </w:p>
        </w:tc>
        <w:tc>
          <w:tcPr>
            <w:tcW w:w="222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3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2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2"/>
        </w:trPr>
        <w:tc>
          <w:tcPr>
            <w:tcW w:w="20" w:type="dxa"/>
            <w:vAlign w:val="bottom"/>
          </w:tcPr>
          <w:p>
            <w:pPr>
              <w:spacing w:after="0"/>
              <w:rPr>
                <w:sz w:val="21"/>
                <w:szCs w:val="21"/>
                <w:color w:val="auto"/>
              </w:rPr>
            </w:pPr>
          </w:p>
        </w:tc>
        <w:tc>
          <w:tcPr>
            <w:tcW w:w="4040" w:type="dxa"/>
            <w:vAlign w:val="bottom"/>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Mortgage</w:t>
            </w:r>
          </w:p>
        </w:tc>
        <w:tc>
          <w:tcPr>
            <w:tcW w:w="222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85,434</w:t>
            </w:r>
          </w:p>
        </w:tc>
        <w:tc>
          <w:tcPr>
            <w:tcW w:w="260" w:type="dxa"/>
            <w:vAlign w:val="bottom"/>
            <w:shd w:val="clear" w:color="auto" w:fill="C0C0C0"/>
          </w:tcPr>
          <w:p>
            <w:pPr>
              <w:spacing w:after="0"/>
              <w:rPr>
                <w:sz w:val="21"/>
                <w:szCs w:val="21"/>
                <w:color w:val="auto"/>
              </w:rPr>
            </w:pPr>
          </w:p>
        </w:tc>
        <w:tc>
          <w:tcPr>
            <w:tcW w:w="1340" w:type="dxa"/>
            <w:vAlign w:val="bottom"/>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137</w:t>
            </w:r>
          </w:p>
        </w:tc>
        <w:tc>
          <w:tcPr>
            <w:tcW w:w="260" w:type="dxa"/>
            <w:vAlign w:val="bottom"/>
            <w:shd w:val="clear" w:color="auto" w:fill="C0C0C0"/>
          </w:tcPr>
          <w:p>
            <w:pPr>
              <w:spacing w:after="0"/>
              <w:rPr>
                <w:sz w:val="21"/>
                <w:szCs w:val="21"/>
                <w:color w:val="auto"/>
              </w:rPr>
            </w:pPr>
          </w:p>
        </w:tc>
        <w:tc>
          <w:tcPr>
            <w:tcW w:w="1220" w:type="dxa"/>
            <w:vAlign w:val="bottom"/>
            <w:shd w:val="clear" w:color="auto" w:fill="C0C0C0"/>
          </w:tcPr>
          <w:p>
            <w:pPr>
              <w:ind w:left="9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85,571</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Construction</w:t>
            </w:r>
          </w:p>
        </w:tc>
        <w:tc>
          <w:tcPr>
            <w:tcW w:w="222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18,609</w:t>
            </w:r>
          </w:p>
        </w:tc>
        <w:tc>
          <w:tcPr>
            <w:tcW w:w="26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18,609</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04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Faith-based:</w:t>
            </w:r>
          </w:p>
        </w:tc>
        <w:tc>
          <w:tcPr>
            <w:tcW w:w="222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3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Mortgage</w:t>
            </w:r>
          </w:p>
        </w:tc>
        <w:tc>
          <w:tcPr>
            <w:tcW w:w="222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317,917</w:t>
            </w:r>
          </w:p>
        </w:tc>
        <w:tc>
          <w:tcPr>
            <w:tcW w:w="26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1,166</w:t>
            </w:r>
          </w:p>
        </w:tc>
        <w:tc>
          <w:tcPr>
            <w:tcW w:w="260" w:type="dxa"/>
            <w:vAlign w:val="bottom"/>
          </w:tcPr>
          <w:p>
            <w:pPr>
              <w:spacing w:after="0"/>
              <w:rPr>
                <w:sz w:val="21"/>
                <w:szCs w:val="21"/>
                <w:color w:val="auto"/>
              </w:rPr>
            </w:pPr>
          </w:p>
        </w:tc>
        <w:tc>
          <w:tcPr>
            <w:tcW w:w="1220" w:type="dxa"/>
            <w:vAlign w:val="bottom"/>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319,083</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040" w:type="dxa"/>
            <w:vAlign w:val="bottom"/>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Construction</w:t>
            </w:r>
          </w:p>
        </w:tc>
        <w:tc>
          <w:tcPr>
            <w:tcW w:w="222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17,438</w:t>
            </w:r>
          </w:p>
        </w:tc>
        <w:tc>
          <w:tcPr>
            <w:tcW w:w="260" w:type="dxa"/>
            <w:vAlign w:val="bottom"/>
            <w:shd w:val="clear" w:color="auto" w:fill="C0C0C0"/>
          </w:tcPr>
          <w:p>
            <w:pPr>
              <w:spacing w:after="0"/>
              <w:rPr>
                <w:sz w:val="21"/>
                <w:szCs w:val="21"/>
                <w:color w:val="auto"/>
              </w:rPr>
            </w:pPr>
          </w:p>
        </w:tc>
        <w:tc>
          <w:tcPr>
            <w:tcW w:w="1340" w:type="dxa"/>
            <w:vAlign w:val="bottom"/>
            <w:shd w:val="clear" w:color="auto" w:fill="C0C0C0"/>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1220" w:type="dxa"/>
            <w:vAlign w:val="bottom"/>
            <w:shd w:val="clear" w:color="auto" w:fill="C0C0C0"/>
          </w:tcPr>
          <w:p>
            <w:pPr>
              <w:ind w:left="9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17,438</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1,675</w:t>
            </w: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2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04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Total</w:t>
            </w:r>
          </w:p>
        </w:tc>
        <w:tc>
          <w:tcPr>
            <w:tcW w:w="2220" w:type="dxa"/>
            <w:vAlign w:val="bottom"/>
            <w:tcBorders>
              <w:bottom w:val="single" w:sz="8" w:color="auto"/>
            </w:tcBorders>
            <w:shd w:val="clear" w:color="auto" w:fill="C0C0C0"/>
          </w:tcPr>
          <w:p>
            <w:pPr>
              <w:ind w:left="21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788,489</w:t>
            </w:r>
          </w:p>
        </w:tc>
        <w:tc>
          <w:tcPr>
            <w:tcW w:w="260" w:type="dxa"/>
            <w:vAlign w:val="bottom"/>
            <w:tcBorders>
              <w:bottom w:val="single" w:sz="8" w:color="auto"/>
            </w:tcBorders>
            <w:shd w:val="clear" w:color="auto" w:fill="C0C0C0"/>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2,063</w:t>
            </w:r>
          </w:p>
        </w:tc>
        <w:tc>
          <w:tcPr>
            <w:tcW w:w="260" w:type="dxa"/>
            <w:vAlign w:val="bottom"/>
            <w:tcBorders>
              <w:bottom w:val="single" w:sz="8" w:color="auto"/>
            </w:tcBorders>
            <w:shd w:val="clear" w:color="auto" w:fill="C0C0C0"/>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0C0C0"/>
          </w:tcPr>
          <w:p>
            <w:pPr>
              <w:ind w:left="9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0C0C0"/>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790,552</w:t>
            </w: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December 31, 2018</w:t>
            </w:r>
          </w:p>
        </w:tc>
        <w:tc>
          <w:tcPr>
            <w:tcW w:w="2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404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220" w:type="dxa"/>
            <w:vAlign w:val="bottom"/>
            <w:shd w:val="clear" w:color="auto" w:fill="C0C0C0"/>
          </w:tcPr>
          <w:p>
            <w:pPr>
              <w:ind w:left="21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275,308</w:t>
            </w:r>
          </w:p>
        </w:tc>
        <w:tc>
          <w:tcPr>
            <w:tcW w:w="260" w:type="dxa"/>
            <w:vAlign w:val="bottom"/>
            <w:shd w:val="clear" w:color="auto" w:fill="C0C0C0"/>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1,783</w:t>
            </w:r>
          </w:p>
        </w:tc>
        <w:tc>
          <w:tcPr>
            <w:tcW w:w="260" w:type="dxa"/>
            <w:vAlign w:val="bottom"/>
            <w:shd w:val="clear" w:color="auto" w:fill="C0C0C0"/>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0C0C0"/>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0C0C0"/>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277,091</w:t>
            </w:r>
          </w:p>
        </w:tc>
        <w:tc>
          <w:tcPr>
            <w:tcW w:w="20" w:type="dxa"/>
            <w:vAlign w:val="bottom"/>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2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404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222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3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4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Mortgage</w:t>
            </w:r>
          </w:p>
        </w:tc>
        <w:tc>
          <w:tcPr>
            <w:tcW w:w="222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95,447</w:t>
            </w:r>
          </w:p>
        </w:tc>
        <w:tc>
          <w:tcPr>
            <w:tcW w:w="26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158</w:t>
            </w:r>
          </w:p>
        </w:tc>
        <w:tc>
          <w:tcPr>
            <w:tcW w:w="260" w:type="dxa"/>
            <w:vAlign w:val="bottom"/>
          </w:tcPr>
          <w:p>
            <w:pPr>
              <w:spacing w:after="0"/>
              <w:rPr>
                <w:sz w:val="20"/>
                <w:szCs w:val="20"/>
                <w:color w:val="auto"/>
              </w:rPr>
            </w:pPr>
          </w:p>
        </w:tc>
        <w:tc>
          <w:tcPr>
            <w:tcW w:w="12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95,605</w:t>
            </w:r>
          </w:p>
        </w:tc>
        <w:tc>
          <w:tcPr>
            <w:tcW w:w="20" w:type="dxa"/>
            <w:vAlign w:val="bottom"/>
          </w:tcPr>
          <w:p>
            <w:pPr>
              <w:spacing w:after="0"/>
              <w:rPr>
                <w:sz w:val="20"/>
                <w:szCs w:val="20"/>
                <w:color w:val="auto"/>
              </w:rPr>
            </w:pPr>
          </w:p>
        </w:tc>
      </w:tr>
      <w:tr>
        <w:trPr>
          <w:trHeight w:val="252"/>
        </w:trPr>
        <w:tc>
          <w:tcPr>
            <w:tcW w:w="20" w:type="dxa"/>
            <w:vAlign w:val="bottom"/>
          </w:tcPr>
          <w:p>
            <w:pPr>
              <w:spacing w:after="0"/>
              <w:rPr>
                <w:sz w:val="21"/>
                <w:szCs w:val="21"/>
                <w:color w:val="auto"/>
              </w:rPr>
            </w:pPr>
          </w:p>
        </w:tc>
        <w:tc>
          <w:tcPr>
            <w:tcW w:w="4040" w:type="dxa"/>
            <w:vAlign w:val="bottom"/>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Construction</w:t>
            </w:r>
          </w:p>
        </w:tc>
        <w:tc>
          <w:tcPr>
            <w:tcW w:w="222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11,858</w:t>
            </w:r>
          </w:p>
        </w:tc>
        <w:tc>
          <w:tcPr>
            <w:tcW w:w="260" w:type="dxa"/>
            <w:vAlign w:val="bottom"/>
            <w:shd w:val="clear" w:color="auto" w:fill="C0C0C0"/>
          </w:tcPr>
          <w:p>
            <w:pPr>
              <w:spacing w:after="0"/>
              <w:rPr>
                <w:sz w:val="21"/>
                <w:szCs w:val="21"/>
                <w:color w:val="auto"/>
              </w:rPr>
            </w:pPr>
          </w:p>
        </w:tc>
        <w:tc>
          <w:tcPr>
            <w:tcW w:w="1340" w:type="dxa"/>
            <w:vAlign w:val="bottom"/>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0C0C0"/>
          </w:tcPr>
          <w:p>
            <w:pPr>
              <w:spacing w:after="0"/>
              <w:rPr>
                <w:sz w:val="21"/>
                <w:szCs w:val="21"/>
                <w:color w:val="auto"/>
              </w:rPr>
            </w:pPr>
          </w:p>
        </w:tc>
        <w:tc>
          <w:tcPr>
            <w:tcW w:w="1220" w:type="dxa"/>
            <w:vAlign w:val="bottom"/>
            <w:shd w:val="clear" w:color="auto" w:fill="C0C0C0"/>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11,858</w:t>
            </w:r>
          </w:p>
        </w:tc>
        <w:tc>
          <w:tcPr>
            <w:tcW w:w="20" w:type="dxa"/>
            <w:vAlign w:val="bottom"/>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Faith-based:</w:t>
            </w:r>
          </w:p>
        </w:tc>
        <w:tc>
          <w:tcPr>
            <w:tcW w:w="2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2"/>
        </w:trPr>
        <w:tc>
          <w:tcPr>
            <w:tcW w:w="20" w:type="dxa"/>
            <w:vAlign w:val="bottom"/>
          </w:tcPr>
          <w:p>
            <w:pPr>
              <w:spacing w:after="0"/>
              <w:rPr>
                <w:sz w:val="21"/>
                <w:szCs w:val="21"/>
                <w:color w:val="auto"/>
              </w:rPr>
            </w:pPr>
          </w:p>
        </w:tc>
        <w:tc>
          <w:tcPr>
            <w:tcW w:w="4040" w:type="dxa"/>
            <w:vAlign w:val="bottom"/>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Mortgage</w:t>
            </w:r>
          </w:p>
        </w:tc>
        <w:tc>
          <w:tcPr>
            <w:tcW w:w="222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314,940</w:t>
            </w:r>
          </w:p>
        </w:tc>
        <w:tc>
          <w:tcPr>
            <w:tcW w:w="260" w:type="dxa"/>
            <w:vAlign w:val="bottom"/>
            <w:shd w:val="clear" w:color="auto" w:fill="C0C0C0"/>
          </w:tcPr>
          <w:p>
            <w:pPr>
              <w:spacing w:after="0"/>
              <w:rPr>
                <w:sz w:val="21"/>
                <w:szCs w:val="21"/>
                <w:color w:val="auto"/>
              </w:rPr>
            </w:pPr>
          </w:p>
        </w:tc>
        <w:tc>
          <w:tcPr>
            <w:tcW w:w="1340" w:type="dxa"/>
            <w:vAlign w:val="bottom"/>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1,207</w:t>
            </w:r>
          </w:p>
        </w:tc>
        <w:tc>
          <w:tcPr>
            <w:tcW w:w="260" w:type="dxa"/>
            <w:vAlign w:val="bottom"/>
            <w:shd w:val="clear" w:color="auto" w:fill="C0C0C0"/>
          </w:tcPr>
          <w:p>
            <w:pPr>
              <w:spacing w:after="0"/>
              <w:rPr>
                <w:sz w:val="21"/>
                <w:szCs w:val="21"/>
                <w:color w:val="auto"/>
              </w:rPr>
            </w:pPr>
          </w:p>
        </w:tc>
        <w:tc>
          <w:tcPr>
            <w:tcW w:w="1220" w:type="dxa"/>
            <w:vAlign w:val="bottom"/>
            <w:shd w:val="clear" w:color="auto" w:fill="C0C0C0"/>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316,147</w:t>
            </w:r>
          </w:p>
        </w:tc>
        <w:tc>
          <w:tcPr>
            <w:tcW w:w="20" w:type="dxa"/>
            <w:vAlign w:val="bottom"/>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4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Construction</w:t>
            </w:r>
          </w:p>
        </w:tc>
        <w:tc>
          <w:tcPr>
            <w:tcW w:w="222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20,576</w:t>
            </w:r>
          </w:p>
        </w:tc>
        <w:tc>
          <w:tcPr>
            <w:tcW w:w="26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20,576</w:t>
            </w:r>
          </w:p>
        </w:tc>
        <w:tc>
          <w:tcPr>
            <w:tcW w:w="2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404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Other</w:t>
            </w:r>
          </w:p>
        </w:tc>
        <w:tc>
          <w:tcPr>
            <w:tcW w:w="2220" w:type="dxa"/>
            <w:vAlign w:val="bottom"/>
            <w:tcBorders>
              <w:bottom w:val="single" w:sz="8" w:color="auto"/>
            </w:tcBorders>
            <w:shd w:val="clear" w:color="auto" w:fill="C0C0C0"/>
          </w:tcPr>
          <w:p>
            <w:pPr>
              <w:spacing w:after="0"/>
              <w:rPr>
                <w:sz w:val="21"/>
                <w:szCs w:val="21"/>
                <w:color w:val="auto"/>
              </w:rPr>
            </w:pPr>
          </w:p>
        </w:tc>
        <w:tc>
          <w:tcPr>
            <w:tcW w:w="1020" w:type="dxa"/>
            <w:vAlign w:val="bottom"/>
            <w:tcBorders>
              <w:bottom w:val="single" w:sz="8" w:color="auto"/>
            </w:tcBorders>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310</w:t>
            </w:r>
          </w:p>
        </w:tc>
        <w:tc>
          <w:tcPr>
            <w:tcW w:w="260" w:type="dxa"/>
            <w:vAlign w:val="bottom"/>
            <w:tcBorders>
              <w:bottom w:val="single" w:sz="8" w:color="auto"/>
            </w:tcBorders>
            <w:shd w:val="clear" w:color="auto" w:fill="C0C0C0"/>
          </w:tcPr>
          <w:p>
            <w:pPr>
              <w:spacing w:after="0"/>
              <w:rPr>
                <w:sz w:val="21"/>
                <w:szCs w:val="21"/>
                <w:color w:val="auto"/>
              </w:rPr>
            </w:pPr>
          </w:p>
        </w:tc>
        <w:tc>
          <w:tcPr>
            <w:tcW w:w="1340" w:type="dxa"/>
            <w:vAlign w:val="bottom"/>
            <w:tcBorders>
              <w:bottom w:val="single" w:sz="8" w:color="auto"/>
            </w:tcBorders>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0C0C0"/>
          </w:tcPr>
          <w:p>
            <w:pPr>
              <w:spacing w:after="0"/>
              <w:rPr>
                <w:sz w:val="21"/>
                <w:szCs w:val="21"/>
                <w:color w:val="auto"/>
              </w:rPr>
            </w:pPr>
          </w:p>
        </w:tc>
        <w:tc>
          <w:tcPr>
            <w:tcW w:w="1220" w:type="dxa"/>
            <w:vAlign w:val="bottom"/>
            <w:tcBorders>
              <w:bottom w:val="single" w:sz="8" w:color="auto"/>
            </w:tcBorders>
            <w:shd w:val="clear" w:color="auto" w:fill="C0C0C0"/>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0" w:type="dxa"/>
            <w:vAlign w:val="bottom"/>
          </w:tcPr>
          <w:p>
            <w:pPr>
              <w:spacing w:after="0"/>
              <w:rPr>
                <w:sz w:val="21"/>
                <w:szCs w:val="21"/>
                <w:color w:val="auto"/>
              </w:rPr>
            </w:pPr>
          </w:p>
        </w:tc>
      </w:tr>
      <w:tr>
        <w:trPr>
          <w:trHeight w:val="232"/>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20" w:type="dxa"/>
            <w:vAlign w:val="bottom"/>
          </w:tcPr>
          <w:p>
            <w:pPr>
              <w:ind w:left="21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718,439</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3,148</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721,587</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20" w:hanging="112"/>
        <w:spacing w:after="0" w:line="184" w:lineRule="auto"/>
        <w:tabs>
          <w:tab w:leader="none" w:pos="12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Loans subject to normal monitoring involve borrowers of acceptable-to-strong credit quality and risk, who have the apparent ability to satisfy their loan obligations.</w:t>
      </w:r>
    </w:p>
    <w:p>
      <w:pPr>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4"/>
          <w:szCs w:val="14"/>
          <w:color w:val="auto"/>
        </w:rPr>
        <w:t xml:space="preserve"> Loans subject to special monitoring possess some credit deficiency or potential weakness which requires a high level of management attention.</w:t>
      </w:r>
    </w:p>
    <w:p>
      <w:pPr>
        <w:spacing w:after="0" w:line="9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Impaired loans consist primarily of nonaccrual loans, loans greater than 90 days past due and still accruing interest and troubled debt restructurings, both performing and nonperforming. Troubled debt restructuring involves the granting of a concession to a borrower experiencing financial difficulty resulting in the modification of terms of the loan, such as changes in payment schedule or interest rate. Management measures impairment in accordance with FASB ASC 310, “Allowance for Credit Losses.” There were no impaired loans, loans delinquent 90 days or more and still accruing, or loans classified as troubled debt restructurings at June 30, 2019 and December 31, 2018.</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foreclosed loans recorded as other real estate owned as of June 30, 2019 and December 31,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activity in the allowance for loan losses from December 31, 2018 to June 30, 2019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660" w:type="dxa"/>
            <w:vAlign w:val="bottom"/>
            <w:gridSpan w:val="2"/>
          </w:tcPr>
          <w:p>
            <w:pPr>
              <w:ind w:left="25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Charge-</w:t>
            </w: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64"/>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720" w:type="dxa"/>
            <w:vAlign w:val="bottom"/>
          </w:tcPr>
          <w:p>
            <w:pPr>
              <w:spacing w:after="0"/>
              <w:rPr>
                <w:sz w:val="22"/>
                <w:szCs w:val="22"/>
                <w:color w:val="auto"/>
              </w:rPr>
            </w:pPr>
          </w:p>
        </w:tc>
        <w:tc>
          <w:tcPr>
            <w:tcW w:w="9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60" w:type="dxa"/>
            <w:vAlign w:val="bottom"/>
          </w:tcPr>
          <w:p>
            <w:pPr>
              <w:spacing w:after="0"/>
              <w:rPr>
                <w:sz w:val="22"/>
                <w:szCs w:val="22"/>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Offs</w:t>
            </w: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Provision</w:t>
            </w:r>
          </w:p>
        </w:tc>
        <w:tc>
          <w:tcPr>
            <w:tcW w:w="260" w:type="dxa"/>
            <w:vAlign w:val="bottom"/>
          </w:tcPr>
          <w:p>
            <w:pPr>
              <w:spacing w:after="0"/>
              <w:rPr>
                <w:sz w:val="22"/>
                <w:szCs w:val="22"/>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3760" w:type="dxa"/>
            <w:vAlign w:val="bottom"/>
            <w:tcBorders>
              <w:top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720" w:type="dxa"/>
            <w:vAlign w:val="bottom"/>
            <w:tcBorders>
              <w:top w:val="single" w:sz="8" w:color="auto"/>
            </w:tcBorders>
            <w:shd w:val="clear" w:color="auto" w:fill="C0C0C0"/>
          </w:tcPr>
          <w:p>
            <w:pPr>
              <w:ind w:left="25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4,179</w:t>
            </w:r>
          </w:p>
        </w:tc>
        <w:tc>
          <w:tcPr>
            <w:tcW w:w="26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0C0C0"/>
          </w:tcPr>
          <w:p>
            <w:pPr>
              <w:ind w:left="4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0C0C0"/>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tcBorders>
              <w:top w:val="single" w:sz="8" w:color="auto"/>
            </w:tcBorders>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1,058</w:t>
            </w:r>
          </w:p>
        </w:tc>
        <w:tc>
          <w:tcPr>
            <w:tcW w:w="26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5,268</w:t>
            </w:r>
          </w:p>
        </w:tc>
        <w:tc>
          <w:tcPr>
            <w:tcW w:w="20" w:type="dxa"/>
            <w:vAlign w:val="bottom"/>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2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376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272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Mortgage</w:t>
            </w:r>
          </w:p>
        </w:tc>
        <w:tc>
          <w:tcPr>
            <w:tcW w:w="27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1,417</w:t>
            </w:r>
          </w:p>
        </w:tc>
        <w:tc>
          <w:tcPr>
            <w:tcW w:w="260" w:type="dxa"/>
            <w:vAlign w:val="bottom"/>
          </w:tcPr>
          <w:p>
            <w:pPr>
              <w:spacing w:after="0"/>
              <w:rPr>
                <w:sz w:val="21"/>
                <w:szCs w:val="21"/>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760" w:type="dxa"/>
            <w:vAlign w:val="bottom"/>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Construction</w:t>
            </w:r>
          </w:p>
        </w:tc>
        <w:tc>
          <w:tcPr>
            <w:tcW w:w="27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shd w:val="clear" w:color="auto" w:fill="C0C0C0"/>
          </w:tcPr>
          <w:p>
            <w:pPr>
              <w:spacing w:after="0"/>
              <w:rPr>
                <w:sz w:val="21"/>
                <w:szCs w:val="21"/>
                <w:color w:val="auto"/>
              </w:rPr>
            </w:pPr>
          </w:p>
        </w:tc>
        <w:tc>
          <w:tcPr>
            <w:tcW w:w="700" w:type="dxa"/>
            <w:vAlign w:val="bottom"/>
            <w:shd w:val="clear" w:color="auto" w:fill="C0C0C0"/>
          </w:tcPr>
          <w:p>
            <w:pPr>
              <w:ind w:left="4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shd w:val="clear" w:color="auto" w:fill="C0C0C0"/>
          </w:tcPr>
          <w:p>
            <w:pPr>
              <w:spacing w:after="0"/>
              <w:rPr>
                <w:sz w:val="21"/>
                <w:szCs w:val="21"/>
                <w:color w:val="auto"/>
              </w:rPr>
            </w:pPr>
          </w:p>
        </w:tc>
        <w:tc>
          <w:tcPr>
            <w:tcW w:w="6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3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Church, church-related:</w:t>
            </w:r>
          </w:p>
        </w:tc>
        <w:tc>
          <w:tcPr>
            <w:tcW w:w="2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2"/>
        </w:trPr>
        <w:tc>
          <w:tcPr>
            <w:tcW w:w="20" w:type="dxa"/>
            <w:vAlign w:val="bottom"/>
          </w:tcPr>
          <w:p>
            <w:pPr>
              <w:spacing w:after="0"/>
              <w:rPr>
                <w:sz w:val="21"/>
                <w:szCs w:val="21"/>
                <w:color w:val="auto"/>
              </w:rPr>
            </w:pPr>
          </w:p>
        </w:tc>
        <w:tc>
          <w:tcPr>
            <w:tcW w:w="3760" w:type="dxa"/>
            <w:vAlign w:val="bottom"/>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Mortgage</w:t>
            </w:r>
          </w:p>
        </w:tc>
        <w:tc>
          <w:tcPr>
            <w:tcW w:w="27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3,961</w:t>
            </w:r>
          </w:p>
        </w:tc>
        <w:tc>
          <w:tcPr>
            <w:tcW w:w="260" w:type="dxa"/>
            <w:vAlign w:val="bottom"/>
            <w:shd w:val="clear" w:color="auto" w:fill="C0C0C0"/>
          </w:tcPr>
          <w:p>
            <w:pPr>
              <w:spacing w:after="0"/>
              <w:rPr>
                <w:sz w:val="21"/>
                <w:szCs w:val="21"/>
                <w:color w:val="auto"/>
              </w:rPr>
            </w:pPr>
          </w:p>
        </w:tc>
        <w:tc>
          <w:tcPr>
            <w:tcW w:w="700" w:type="dxa"/>
            <w:vAlign w:val="bottom"/>
            <w:shd w:val="clear" w:color="auto" w:fill="C0C0C0"/>
          </w:tcPr>
          <w:p>
            <w:pPr>
              <w:ind w:left="4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shd w:val="clear" w:color="auto" w:fill="C0C0C0"/>
          </w:tcPr>
          <w:p>
            <w:pPr>
              <w:spacing w:after="0"/>
              <w:rPr>
                <w:sz w:val="21"/>
                <w:szCs w:val="21"/>
                <w:color w:val="auto"/>
              </w:rPr>
            </w:pPr>
          </w:p>
        </w:tc>
        <w:tc>
          <w:tcPr>
            <w:tcW w:w="6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Construction</w:t>
            </w:r>
          </w:p>
        </w:tc>
        <w:tc>
          <w:tcPr>
            <w:tcW w:w="27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w:t>
            </w:r>
          </w:p>
        </w:tc>
        <w:tc>
          <w:tcPr>
            <w:tcW w:w="260" w:type="dxa"/>
            <w:vAlign w:val="bottom"/>
          </w:tcPr>
          <w:p>
            <w:pPr>
              <w:spacing w:after="0"/>
              <w:rPr>
                <w:sz w:val="21"/>
                <w:szCs w:val="21"/>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76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Other</w:t>
            </w:r>
          </w:p>
        </w:tc>
        <w:tc>
          <w:tcPr>
            <w:tcW w:w="272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424</w:t>
            </w:r>
          </w:p>
        </w:tc>
        <w:tc>
          <w:tcPr>
            <w:tcW w:w="26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ind w:left="4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0C0C0"/>
          </w:tcPr>
          <w:p>
            <w:pPr>
              <w:spacing w:after="0"/>
              <w:rPr>
                <w:sz w:val="21"/>
                <w:szCs w:val="21"/>
                <w:color w:val="auto"/>
              </w:rPr>
            </w:pPr>
          </w:p>
        </w:tc>
        <w:tc>
          <w:tcPr>
            <w:tcW w:w="600" w:type="dxa"/>
            <w:vAlign w:val="bottom"/>
            <w:tcBorders>
              <w:bottom w:val="single" w:sz="8" w:color="auto"/>
            </w:tcBorders>
            <w:shd w:val="clear" w:color="auto" w:fill="C0C0C0"/>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(723)</w:t>
            </w:r>
          </w:p>
        </w:tc>
        <w:tc>
          <w:tcPr>
            <w:tcW w:w="260" w:type="dxa"/>
            <w:vAlign w:val="bottom"/>
            <w:tcBorders>
              <w:bottom w:val="single" w:sz="8" w:color="auto"/>
            </w:tcBorders>
            <w:shd w:val="clear" w:color="auto" w:fill="C0C0C0"/>
          </w:tcPr>
          <w:p>
            <w:pPr>
              <w:spacing w:after="0"/>
              <w:rPr>
                <w:sz w:val="21"/>
                <w:szCs w:val="21"/>
                <w:color w:val="auto"/>
              </w:rPr>
            </w:pPr>
          </w:p>
        </w:tc>
        <w:tc>
          <w:tcPr>
            <w:tcW w:w="62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72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10,225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10,506</w:t>
            </w:r>
          </w:p>
        </w:tc>
        <w:tc>
          <w:tcPr>
            <w:tcW w:w="20" w:type="dxa"/>
            <w:vAlign w:val="bottom"/>
          </w:tcPr>
          <w:p>
            <w:pPr>
              <w:spacing w:after="0"/>
              <w:rPr>
                <w:sz w:val="21"/>
                <w:szCs w:val="21"/>
                <w:color w:val="auto"/>
              </w:rPr>
            </w:pPr>
          </w:p>
        </w:tc>
      </w:tr>
      <w:tr>
        <w:trPr>
          <w:trHeight w:val="432"/>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7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3760" w:type="dxa"/>
            <w:vAlign w:val="bottom"/>
            <w:tcBorders>
              <w:bottom w:val="single" w:sz="8" w:color="9A9A9A"/>
            </w:tcBorders>
          </w:tcPr>
          <w:p>
            <w:pPr>
              <w:spacing w:after="0"/>
              <w:rPr>
                <w:sz w:val="19"/>
                <w:szCs w:val="19"/>
                <w:color w:val="auto"/>
              </w:rPr>
            </w:pPr>
          </w:p>
        </w:tc>
        <w:tc>
          <w:tcPr>
            <w:tcW w:w="272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700" w:type="dxa"/>
            <w:vAlign w:val="bottom"/>
            <w:tcBorders>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60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66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6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80" w:right="2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A summary of the activity in the allowance for loan losses from December 31, 2017 to June 30, 2018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p>
        </w:tc>
        <w:tc>
          <w:tcPr>
            <w:tcW w:w="330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Charge-</w:t>
            </w: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64"/>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Offs</w:t>
            </w:r>
          </w:p>
        </w:tc>
        <w:tc>
          <w:tcPr>
            <w:tcW w:w="11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10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Provision</w:t>
            </w: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43"/>
        </w:trPr>
        <w:tc>
          <w:tcPr>
            <w:tcW w:w="414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360" w:type="dxa"/>
            <w:vAlign w:val="bottom"/>
            <w:shd w:val="clear" w:color="auto" w:fill="C0C0C0"/>
          </w:tcPr>
          <w:p>
            <w:pPr>
              <w:ind w:left="2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3,652</w:t>
            </w:r>
          </w:p>
        </w:tc>
        <w:tc>
          <w:tcPr>
            <w:tcW w:w="2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0C0C0"/>
          </w:tcPr>
          <w:p>
            <w:pPr>
              <w:ind w:left="4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0C0C0"/>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311</w:t>
            </w:r>
          </w:p>
        </w:tc>
        <w:tc>
          <w:tcPr>
            <w:tcW w:w="2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3,973</w:t>
            </w:r>
          </w:p>
        </w:tc>
      </w:tr>
      <w:tr>
        <w:trPr>
          <w:trHeight w:val="23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2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47"/>
        </w:trPr>
        <w:tc>
          <w:tcPr>
            <w:tcW w:w="414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Commercial:</w:t>
            </w:r>
          </w:p>
        </w:tc>
        <w:tc>
          <w:tcPr>
            <w:tcW w:w="236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r>
      <w:tr>
        <w:trPr>
          <w:trHeight w:val="243"/>
        </w:trPr>
        <w:tc>
          <w:tcPr>
            <w:tcW w:w="4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Mortgage</w:t>
            </w:r>
          </w:p>
        </w:tc>
        <w:tc>
          <w:tcPr>
            <w:tcW w:w="2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1,394</w:t>
            </w:r>
          </w:p>
        </w:tc>
        <w:tc>
          <w:tcPr>
            <w:tcW w:w="260" w:type="dxa"/>
            <w:vAlign w:val="bottom"/>
          </w:tcPr>
          <w:p>
            <w:pPr>
              <w:spacing w:after="0"/>
              <w:rPr>
                <w:sz w:val="21"/>
                <w:szCs w:val="21"/>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r>
      <w:tr>
        <w:trPr>
          <w:trHeight w:val="243"/>
        </w:trPr>
        <w:tc>
          <w:tcPr>
            <w:tcW w:w="4140" w:type="dxa"/>
            <w:vAlign w:val="bottom"/>
            <w:shd w:val="clear" w:color="auto" w:fill="C0C0C0"/>
          </w:tcPr>
          <w:p>
            <w:pPr>
              <w:ind w:left="540"/>
              <w:spacing w:after="0"/>
              <w:rPr>
                <w:sz w:val="20"/>
                <w:szCs w:val="20"/>
                <w:color w:val="auto"/>
              </w:rPr>
            </w:pPr>
            <w:r>
              <w:rPr>
                <w:rFonts w:ascii="Times New Roman" w:cs="Times New Roman" w:eastAsia="Times New Roman" w:hAnsi="Times New Roman"/>
                <w:sz w:val="18"/>
                <w:szCs w:val="18"/>
                <w:color w:val="auto"/>
              </w:rPr>
              <w:t>Construction</w:t>
            </w:r>
          </w:p>
        </w:tc>
        <w:tc>
          <w:tcPr>
            <w:tcW w:w="236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shd w:val="clear" w:color="auto" w:fill="C0C0C0"/>
          </w:tcPr>
          <w:p>
            <w:pPr>
              <w:spacing w:after="0"/>
              <w:rPr>
                <w:sz w:val="21"/>
                <w:szCs w:val="21"/>
                <w:color w:val="auto"/>
              </w:rPr>
            </w:pPr>
          </w:p>
        </w:tc>
        <w:tc>
          <w:tcPr>
            <w:tcW w:w="700" w:type="dxa"/>
            <w:vAlign w:val="bottom"/>
            <w:shd w:val="clear" w:color="auto" w:fill="C0C0C0"/>
          </w:tcPr>
          <w:p>
            <w:pPr>
              <w:ind w:left="4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shd w:val="clear" w:color="auto" w:fill="C0C0C0"/>
          </w:tcPr>
          <w:p>
            <w:pPr>
              <w:spacing w:after="0"/>
              <w:rPr>
                <w:sz w:val="21"/>
                <w:szCs w:val="21"/>
                <w:color w:val="auto"/>
              </w:rPr>
            </w:pPr>
          </w:p>
        </w:tc>
        <w:tc>
          <w:tcPr>
            <w:tcW w:w="6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34"/>
        </w:trPr>
        <w:tc>
          <w:tcPr>
            <w:tcW w:w="4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Church, church-related:</w:t>
            </w:r>
          </w:p>
        </w:tc>
        <w:tc>
          <w:tcPr>
            <w:tcW w:w="2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52"/>
        </w:trPr>
        <w:tc>
          <w:tcPr>
            <w:tcW w:w="4140" w:type="dxa"/>
            <w:vAlign w:val="bottom"/>
            <w:shd w:val="clear" w:color="auto" w:fill="C0C0C0"/>
          </w:tcPr>
          <w:p>
            <w:pPr>
              <w:ind w:left="540"/>
              <w:spacing w:after="0"/>
              <w:rPr>
                <w:sz w:val="20"/>
                <w:szCs w:val="20"/>
                <w:color w:val="auto"/>
              </w:rPr>
            </w:pPr>
            <w:r>
              <w:rPr>
                <w:rFonts w:ascii="Times New Roman" w:cs="Times New Roman" w:eastAsia="Times New Roman" w:hAnsi="Times New Roman"/>
                <w:sz w:val="18"/>
                <w:szCs w:val="18"/>
                <w:color w:val="auto"/>
              </w:rPr>
              <w:t>Mortgage</w:t>
            </w:r>
          </w:p>
        </w:tc>
        <w:tc>
          <w:tcPr>
            <w:tcW w:w="236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3,962</w:t>
            </w:r>
          </w:p>
        </w:tc>
        <w:tc>
          <w:tcPr>
            <w:tcW w:w="260" w:type="dxa"/>
            <w:vAlign w:val="bottom"/>
            <w:shd w:val="clear" w:color="auto" w:fill="C0C0C0"/>
          </w:tcPr>
          <w:p>
            <w:pPr>
              <w:spacing w:after="0"/>
              <w:rPr>
                <w:sz w:val="21"/>
                <w:szCs w:val="21"/>
                <w:color w:val="auto"/>
              </w:rPr>
            </w:pPr>
          </w:p>
        </w:tc>
        <w:tc>
          <w:tcPr>
            <w:tcW w:w="700" w:type="dxa"/>
            <w:vAlign w:val="bottom"/>
            <w:shd w:val="clear" w:color="auto" w:fill="C0C0C0"/>
          </w:tcPr>
          <w:p>
            <w:pPr>
              <w:ind w:left="4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shd w:val="clear" w:color="auto" w:fill="C0C0C0"/>
          </w:tcPr>
          <w:p>
            <w:pPr>
              <w:spacing w:after="0"/>
              <w:rPr>
                <w:sz w:val="21"/>
                <w:szCs w:val="21"/>
                <w:color w:val="auto"/>
              </w:rPr>
            </w:pPr>
          </w:p>
        </w:tc>
        <w:tc>
          <w:tcPr>
            <w:tcW w:w="6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3,891</w:t>
            </w:r>
          </w:p>
        </w:tc>
      </w:tr>
      <w:tr>
        <w:trPr>
          <w:trHeight w:val="243"/>
        </w:trPr>
        <w:tc>
          <w:tcPr>
            <w:tcW w:w="4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Construction</w:t>
            </w:r>
          </w:p>
        </w:tc>
        <w:tc>
          <w:tcPr>
            <w:tcW w:w="2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w:t>
            </w:r>
          </w:p>
        </w:tc>
        <w:tc>
          <w:tcPr>
            <w:tcW w:w="260" w:type="dxa"/>
            <w:vAlign w:val="bottom"/>
          </w:tcPr>
          <w:p>
            <w:pPr>
              <w:spacing w:after="0"/>
              <w:rPr>
                <w:sz w:val="21"/>
                <w:szCs w:val="21"/>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43"/>
        </w:trPr>
        <w:tc>
          <w:tcPr>
            <w:tcW w:w="414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Industrial revenue bonds</w:t>
            </w:r>
          </w:p>
        </w:tc>
        <w:tc>
          <w:tcPr>
            <w:tcW w:w="236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shd w:val="clear" w:color="auto" w:fill="C0C0C0"/>
          </w:tcPr>
          <w:p>
            <w:pPr>
              <w:spacing w:after="0"/>
              <w:rPr>
                <w:sz w:val="21"/>
                <w:szCs w:val="21"/>
                <w:color w:val="auto"/>
              </w:rPr>
            </w:pPr>
          </w:p>
        </w:tc>
        <w:tc>
          <w:tcPr>
            <w:tcW w:w="700" w:type="dxa"/>
            <w:vAlign w:val="bottom"/>
            <w:shd w:val="clear" w:color="auto" w:fill="C0C0C0"/>
          </w:tcPr>
          <w:p>
            <w:pPr>
              <w:ind w:left="4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shd w:val="clear" w:color="auto" w:fill="C0C0C0"/>
          </w:tcPr>
          <w:p>
            <w:pPr>
              <w:spacing w:after="0"/>
              <w:rPr>
                <w:sz w:val="21"/>
                <w:szCs w:val="21"/>
                <w:color w:val="auto"/>
              </w:rPr>
            </w:pPr>
          </w:p>
        </w:tc>
        <w:tc>
          <w:tcPr>
            <w:tcW w:w="6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3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879</w:t>
            </w:r>
          </w:p>
        </w:tc>
        <w:tc>
          <w:tcPr>
            <w:tcW w:w="2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(293)</w:t>
            </w:r>
          </w:p>
        </w:tc>
        <w:tc>
          <w:tcPr>
            <w:tcW w:w="2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44"/>
        </w:trPr>
        <w:tc>
          <w:tcPr>
            <w:tcW w:w="414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tcBorders>
              <w:bottom w:val="single" w:sz="8" w:color="auto"/>
            </w:tcBorders>
            <w:shd w:val="clear" w:color="auto" w:fill="C0C0C0"/>
          </w:tcPr>
          <w:p>
            <w:pPr>
              <w:ind w:left="2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10,205</w:t>
            </w:r>
          </w:p>
        </w:tc>
        <w:tc>
          <w:tcPr>
            <w:tcW w:w="26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0C0C0"/>
          </w:tcPr>
          <w:p>
            <w:pPr>
              <w:ind w:left="4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0C0C0"/>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Borders>
              <w:bottom w:val="single" w:sz="8" w:color="auto"/>
            </w:tcBorders>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0C0C0"/>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10,215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7 – Commitments and Contingencies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is party to activities that contain credit, market and operational risks that are not reflected in whole or in part in the Company’s consolidated financial statements. Such activities include traditional off-balance sheet credit-related financial instruments and commitments under operating leases.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At June 30, 2019 and December 31, 2018, no amounts have been accrued for any estimated losses for these instruments.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Commitments to extend credit are agreements to lend to a customer as long as there is no violation of any condition established in the contract. Commercial and standby letters of credit are conditional commitments issued by the Company or its subsidiaries to guarantee the performance of a customer to a third party. These off-balance sheet financial instruments generally have fixed expiration dates or other termination clauses and may require payment of a fee. At June 30, 2019, the balances of unused loan commitments, standby and commercial letters of credit were $145,871,000, $9,927,000, and $2,908,000, respectively. Since some of the financial instruments may expire without being drawn upon, the total amounts do not necessarily represent future cash requirements. Commitments to extend credit and letters of credit are subject to the same underwriting standards as those financial instruments included on the consolidated balance sheets. The Company evaluates each customer’s credit worthiness on a case-by-case basis. The amount of collateral obtained, if deemed necessary upon extension of the credit, is based on management’s credit evaluation of the borrower. Collateral held varies, but is generally accounts receivable, inventory, residential or income-producing commercial property or equipment. In the event of nonperformance, the Company or its subsidiaries may obtain and liquidate the collateral to recover amounts paid under guarantees on these financial instruments.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contractual cash obligations of the Company related to time deposits at June 30,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760" w:type="dxa"/>
            <w:vAlign w:val="bottom"/>
          </w:tcPr>
          <w:p>
            <w:pPr>
              <w:spacing w:after="0"/>
              <w:rPr>
                <w:sz w:val="20"/>
                <w:szCs w:val="20"/>
                <w:color w:val="auto"/>
              </w:rPr>
            </w:pPr>
          </w:p>
        </w:tc>
        <w:tc>
          <w:tcPr>
            <w:tcW w:w="7040" w:type="dxa"/>
            <w:vAlign w:val="bottom"/>
            <w:gridSpan w:val="7"/>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Amount of Commitment Expiration per Period</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37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108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1-3</w:t>
            </w:r>
          </w:p>
        </w:tc>
        <w:tc>
          <w:tcPr>
            <w:tcW w:w="10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3-5</w:t>
            </w:r>
          </w:p>
        </w:tc>
        <w:tc>
          <w:tcPr>
            <w:tcW w:w="1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Over 5</w:t>
            </w:r>
          </w:p>
        </w:tc>
      </w:tr>
      <w:tr>
        <w:trPr>
          <w:trHeight w:val="259"/>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Years</w:t>
            </w:r>
          </w:p>
        </w:tc>
      </w:tr>
      <w:tr>
        <w:trPr>
          <w:trHeight w:val="243"/>
        </w:trPr>
        <w:tc>
          <w:tcPr>
            <w:tcW w:w="3760" w:type="dxa"/>
            <w:vAlign w:val="bottom"/>
            <w:tcBorders>
              <w:top w:val="single" w:sz="8" w:color="auto"/>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3620" w:type="dxa"/>
            <w:vAlign w:val="bottom"/>
            <w:tcBorders>
              <w:top w:val="single" w:sz="8" w:color="auto"/>
              <w:bottom w:val="single" w:sz="8" w:color="auto"/>
            </w:tcBorders>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73,394</w:t>
            </w:r>
          </w:p>
        </w:tc>
        <w:tc>
          <w:tcPr>
            <w:tcW w:w="1100" w:type="dxa"/>
            <w:vAlign w:val="bottom"/>
            <w:tcBorders>
              <w:top w:val="single" w:sz="8" w:color="auto"/>
              <w:bottom w:val="single" w:sz="8" w:color="auto"/>
            </w:tcBorders>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49,165</w:t>
            </w:r>
          </w:p>
        </w:tc>
        <w:tc>
          <w:tcPr>
            <w:tcW w:w="1080" w:type="dxa"/>
            <w:vAlign w:val="bottom"/>
            <w:tcBorders>
              <w:top w:val="single" w:sz="8" w:color="auto"/>
              <w:bottom w:val="single" w:sz="8" w:color="auto"/>
            </w:tcBorders>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21,812</w:t>
            </w:r>
          </w:p>
        </w:tc>
        <w:tc>
          <w:tcPr>
            <w:tcW w:w="1000" w:type="dxa"/>
            <w:vAlign w:val="bottom"/>
            <w:tcBorders>
              <w:top w:val="single" w:sz="8" w:color="auto"/>
              <w:bottom w:val="single" w:sz="8" w:color="auto"/>
            </w:tcBorders>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2,417</w:t>
            </w:r>
          </w:p>
        </w:tc>
        <w:tc>
          <w:tcPr>
            <w:tcW w:w="180" w:type="dxa"/>
            <w:vAlign w:val="bottom"/>
            <w:tcBorders>
              <w:top w:val="single" w:sz="8" w:color="auto"/>
              <w:bottom w:val="single" w:sz="8" w:color="auto"/>
            </w:tcBorders>
            <w:shd w:val="clear" w:color="auto" w:fill="C0C0C0"/>
          </w:tcPr>
          <w:p>
            <w:pPr>
              <w:spacing w:after="0"/>
              <w:rPr>
                <w:sz w:val="21"/>
                <w:szCs w:val="21"/>
                <w:color w:val="auto"/>
              </w:rPr>
            </w:pPr>
          </w:p>
        </w:tc>
        <w:tc>
          <w:tcPr>
            <w:tcW w:w="60" w:type="dxa"/>
            <w:vAlign w:val="bottom"/>
            <w:tcBorders>
              <w:top w:val="single" w:sz="8" w:color="auto"/>
              <w:bottom w:val="single" w:sz="8" w:color="auto"/>
            </w:tcBorders>
            <w:shd w:val="clear" w:color="auto" w:fill="C0C0C0"/>
          </w:tcPr>
          <w:p>
            <w:pPr>
              <w:spacing w:after="0"/>
              <w:rPr>
                <w:sz w:val="21"/>
                <w:szCs w:val="21"/>
                <w:color w:val="auto"/>
              </w:rPr>
            </w:pPr>
          </w:p>
        </w:tc>
        <w:tc>
          <w:tcPr>
            <w:tcW w:w="620" w:type="dxa"/>
            <w:vAlign w:val="bottom"/>
            <w:tcBorders>
              <w:top w:val="single" w:sz="8" w:color="auto"/>
              <w:bottom w:val="single" w:sz="8" w:color="auto"/>
            </w:tcBorders>
            <w:shd w:val="clear" w:color="auto" w:fill="C0C0C0"/>
          </w:tcPr>
          <w:p>
            <w:pPr>
              <w:ind w:left="4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21"/>
                <w:szCs w:val="21"/>
                <w:color w:val="auto"/>
              </w:rPr>
            </w:pPr>
          </w:p>
        </w:tc>
      </w:tr>
      <w:tr>
        <w:trPr>
          <w:trHeight w:val="244"/>
        </w:trPr>
        <w:tc>
          <w:tcPr>
            <w:tcW w:w="37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6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73,394</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49,165</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21,812</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2,417</w:t>
            </w: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88"/>
              </w:rPr>
              <w:t>—</w:t>
            </w:r>
          </w:p>
        </w:tc>
        <w:tc>
          <w:tcPr>
            <w:tcW w:w="20" w:type="dxa"/>
            <w:vAlign w:val="bottom"/>
            <w:tcBorders>
              <w:bottom w:val="single" w:sz="8" w:color="auto"/>
            </w:tcBorders>
          </w:tcPr>
          <w:p>
            <w:pPr>
              <w:spacing w:after="0"/>
              <w:rPr>
                <w:sz w:val="21"/>
                <w:szCs w:val="2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its subsidiaries are involved in various pending legal actions and proceedings in which claims for damages are asserted. Management, after discussion with legal counsel, believes the ultimate resolution of these legal actions and proceedings will not have a material effect upon the Company’s consolidated financial position or results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Note 8 – Stock-Based Compensation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Amended and Restated Omnibus Stock and Performance Compensation Plan (the “Omnibus Plan”) permits the issuance of up to 1,500,000 shares of the Company’s common stock in the form of stock options, stock appreciation rights (“SARs”), restricted stock, restricted stock units and performance awards. The Company may issue shares out of treasury stock for these awards. During the six months ended June 30, 2019, 35,002 restricted shares, 36,403 performance-based restricted shares, and 0 SARs were granted under the Omnibus Plan.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Beginning on April 16, 2013, restricted shares granted to Company employees are amortized to expense over a three-year vesting period whereas restricted shares granted to members of the Board of Directors are amortized to expense over a one-year service period, with the exception of those shares granted in lieu of cash payments for retainer fees which are expensed in the period earned. Beginning on February 2, 2017, restricted shares granted to Company employees are amortized to expense over the three-year cliff vesting period.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2019, the total unrecognized compensation expense related to non-vested restricted shares was $2,204,000, and the related weighted-average period over which it is expected to be recognized is approximately 0.99 years.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Following is a summary of the activity of the restricted stock:</w:t>
            </w:r>
          </w:p>
        </w:tc>
        <w:tc>
          <w:tcPr>
            <w:tcW w:w="20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46"/>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7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64"/>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76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30, 2019</w:t>
            </w:r>
          </w:p>
        </w:tc>
      </w:tr>
      <w:tr>
        <w:trPr>
          <w:trHeight w:val="250"/>
        </w:trPr>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3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43"/>
        </w:trPr>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32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2780" w:type="dxa"/>
            <w:vAlign w:val="bottom"/>
            <w:gridSpan w:val="2"/>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99,724</w:t>
            </w:r>
          </w:p>
        </w:tc>
        <w:tc>
          <w:tcPr>
            <w:tcW w:w="420" w:type="dxa"/>
            <w:vAlign w:val="bottom"/>
            <w:shd w:val="clear" w:color="auto" w:fill="C0C0C0"/>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45.48</w:t>
            </w:r>
          </w:p>
        </w:tc>
      </w:tr>
      <w:tr>
        <w:trPr>
          <w:trHeight w:val="234"/>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35,002</w:t>
            </w:r>
          </w:p>
        </w:tc>
        <w:tc>
          <w:tcPr>
            <w:tcW w:w="4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w:t>
            </w:r>
          </w:p>
        </w:tc>
      </w:tr>
      <w:tr>
        <w:trPr>
          <w:trHeight w:val="247"/>
        </w:trPr>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32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Vested</w:t>
            </w:r>
          </w:p>
        </w:tc>
        <w:tc>
          <w:tcPr>
            <w:tcW w:w="2780" w:type="dxa"/>
            <w:vAlign w:val="bottom"/>
            <w:tcBorders>
              <w:bottom w:val="single" w:sz="8" w:color="auto"/>
            </w:tcBorders>
            <w:gridSpan w:val="2"/>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(13,264)</w:t>
            </w:r>
          </w:p>
        </w:tc>
        <w:tc>
          <w:tcPr>
            <w:tcW w:w="420" w:type="dxa"/>
            <w:vAlign w:val="bottom"/>
            <w:tcBorders>
              <w:bottom w:val="single" w:sz="8" w:color="auto"/>
            </w:tcBorders>
            <w:shd w:val="clear" w:color="auto" w:fill="C0C0C0"/>
          </w:tcPr>
          <w:p>
            <w:pPr>
              <w:spacing w:after="0"/>
              <w:rPr>
                <w:sz w:val="21"/>
                <w:szCs w:val="21"/>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39.76</w:t>
            </w:r>
          </w:p>
        </w:tc>
      </w:tr>
      <w:tr>
        <w:trPr>
          <w:trHeight w:val="248"/>
        </w:trPr>
        <w:tc>
          <w:tcPr>
            <w:tcW w:w="1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at June 30, 2019</w:t>
            </w:r>
          </w:p>
        </w:tc>
        <w:tc>
          <w:tcPr>
            <w:tcW w:w="27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121,462</w:t>
            </w:r>
          </w:p>
        </w:tc>
        <w:tc>
          <w:tcPr>
            <w:tcW w:w="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Restricted Stock</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of 2017, the Company granted three-year performance based restricted stock (“PBRS”) awards which are contingent upon the Company’s achievement of pre-established financial goals over the period from January 1, 2017 through December 31, 2019. The PBRS awards cliff vest on the three year anniversary of their grant date at levels ranging from 0% to 150% of the target opportunity based on the actual achievement of financial goals for the three-year performance period. The aggregate target number of PBRS shares outstanding at June 30, 2019 was 30,057 with a grant date fair value of $49.33 per share. The 2019 expense related to these grants is currently estimated to be $595,000 and is based on the grant date fair value of the awards and the Company’s achievement of 120% of the target financial goals. The estimated expense for 2019 and each future period through the vesting date is subject to prospective adjustment based upon changes in the expected achievement of the financial goals.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and July of 2018, the Company granted three-year PBRS awards which are contingent upon the Company’s achievement of pre-established financial goals over the period from January 1, 2018 through December 31, 2020. The PBRS awards cliff vest on the three year anniversary of their grant date at levels ranging from 0% to 150% of the target opportunity based on the actual achievement of financial goals for the three-year performance period. The aggregate target number of PBRS shares outstanding at June 30, 2019 was 35,258 with an average grant date fair value of $49.04 per share. The 2019 expense related to these grants is currently estimated to be $674,000 and is based on the grant date fair value of the awards and the Company’s achievement of 117% of the target financial goals. The estimated expense for 2019 and each future period through the vesting date is subject to prospective adjustment based upon changes in the expected achievement of the financial goals.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of 2019, the Company granted three-year PBRS awards which are contingent upon the Company’s achievement of pre-established financial goals over the period from January 1, 2019 through December 31, 2021. The PBRS awards cliff vest on the three year anniversary of their grant date at levels ranging from 0% to 150% of the target opportunity based on the actual achievement of financial goals for the three-year performance period. The aggregate target number of PBRS shares outstanding at June 30, 2019 was 36,403 with an average grant date fair value of $49.10 per share. The 2019 expense related to these grants is currently estimated to be $590,000 and is based on the grant date fair value of the awards and the Company’s achievement of 108% of the target financial goals. The estimated expense for 2019 and each future period through the vesting date is subject to prospective adjustment based upon changes in the expected achievement of the financial goals.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SARs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SARs granted and no expense recognized during the six months ended June 30, 2019. Following is a summary of the activity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SARs program for the six-month period ended June 30, 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4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43"/>
        </w:trPr>
        <w:tc>
          <w:tcPr>
            <w:tcW w:w="7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40" w:type="dxa"/>
            <w:vAlign w:val="bottom"/>
          </w:tcPr>
          <w:p>
            <w:pPr>
              <w:spacing w:after="0"/>
              <w:rPr>
                <w:sz w:val="21"/>
                <w:szCs w:val="21"/>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3"/>
        </w:trPr>
        <w:tc>
          <w:tcPr>
            <w:tcW w:w="7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240" w:type="dxa"/>
            <w:vAlign w:val="bottom"/>
          </w:tcPr>
          <w:p>
            <w:pPr>
              <w:spacing w:after="0"/>
              <w:rPr>
                <w:sz w:val="21"/>
                <w:szCs w:val="21"/>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64"/>
        </w:trPr>
        <w:tc>
          <w:tcPr>
            <w:tcW w:w="7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 Years</w:t>
            </w:r>
          </w:p>
        </w:tc>
        <w:tc>
          <w:tcPr>
            <w:tcW w:w="122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r>
      <w:tr>
        <w:trPr>
          <w:trHeight w:val="243"/>
        </w:trPr>
        <w:tc>
          <w:tcPr>
            <w:tcW w:w="710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760" w:type="dxa"/>
            <w:vAlign w:val="bottom"/>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237,121</w:t>
            </w:r>
          </w:p>
        </w:tc>
        <w:tc>
          <w:tcPr>
            <w:tcW w:w="2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29.86</w:t>
            </w:r>
          </w:p>
        </w:tc>
        <w:tc>
          <w:tcPr>
            <w:tcW w:w="1220" w:type="dxa"/>
            <w:vAlign w:val="bottom"/>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5,468</w:t>
            </w:r>
          </w:p>
        </w:tc>
      </w:tr>
      <w:tr>
        <w:trPr>
          <w:trHeight w:val="239"/>
        </w:trPr>
        <w:tc>
          <w:tcPr>
            <w:tcW w:w="7100" w:type="dxa"/>
            <w:vAlign w:val="bottom"/>
            <w:tcBorders>
              <w:bottom w:val="single" w:sz="8" w:color="C0C0C0"/>
            </w:tcBorders>
          </w:tcPr>
          <w:p>
            <w:pPr>
              <w:spacing w:after="0"/>
              <w:rPr>
                <w:sz w:val="20"/>
                <w:szCs w:val="20"/>
                <w:color w:val="auto"/>
              </w:rPr>
            </w:pPr>
            <w:r>
              <w:rPr>
                <w:rFonts w:ascii="Times New Roman" w:cs="Times New Roman" w:eastAsia="Times New Roman" w:hAnsi="Times New Roman"/>
                <w:sz w:val="18"/>
                <w:szCs w:val="18"/>
                <w:color w:val="auto"/>
              </w:rPr>
              <w:t>Exercised</w:t>
            </w: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7"/>
              </w:rPr>
              <w:t>(11,335)</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21.95</w:t>
            </w: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10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Exercisable at June 30, 2019</w:t>
            </w:r>
          </w:p>
        </w:tc>
        <w:tc>
          <w:tcPr>
            <w:tcW w:w="760" w:type="dxa"/>
            <w:vAlign w:val="bottom"/>
            <w:tcBorders>
              <w:bottom w:val="single" w:sz="8" w:color="auto"/>
            </w:tcBorders>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225,786</w:t>
            </w:r>
          </w:p>
        </w:tc>
        <w:tc>
          <w:tcPr>
            <w:tcW w:w="22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30.26</w:t>
            </w:r>
          </w:p>
        </w:tc>
        <w:tc>
          <w:tcPr>
            <w:tcW w:w="1220" w:type="dxa"/>
            <w:vAlign w:val="bottom"/>
            <w:tcBorders>
              <w:bottom w:val="single" w:sz="8" w:color="auto"/>
            </w:tcBorders>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3.08</w:t>
            </w:r>
          </w:p>
        </w:tc>
        <w:tc>
          <w:tcPr>
            <w:tcW w:w="24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4,114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non-vested SARs at June 30,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9 – Defined Pension Plans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 noncontributory defined-benefit pension plan, which covers most of its employees. Effective December 31, 2016, the Plan was closed to all new participants. The Company accrues and makes contributions designed to fund normal service costs on a current basis using the projected unit credit with service proration method to amortize prior service costs arising from improvements in pension benefits and qualifying service prior to the establishment of the plan over a period of approximately 30 years. Disclosure information is based on a measurement date of December 31 of the corresponding year. The following table represents the components of the net periodic pension costs: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4060" w:type="dxa"/>
            <w:vAlign w:val="bottom"/>
            <w:gridSpan w:val="2"/>
          </w:tcPr>
          <w:p>
            <w:pPr>
              <w:ind w:left="314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260" w:type="dxa"/>
            <w:vAlign w:val="bottom"/>
          </w:tcPr>
          <w:p>
            <w:pPr>
              <w:spacing w:after="0"/>
              <w:rPr>
                <w:sz w:val="20"/>
                <w:szCs w:val="20"/>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Actual</w:t>
            </w:r>
          </w:p>
        </w:tc>
      </w:tr>
      <w:tr>
        <w:trPr>
          <w:trHeight w:val="264"/>
        </w:trPr>
        <w:tc>
          <w:tcPr>
            <w:tcW w:w="6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43"/>
        </w:trPr>
        <w:tc>
          <w:tcPr>
            <w:tcW w:w="642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Service cost – benefits earned during the year</w:t>
            </w:r>
          </w:p>
        </w:tc>
        <w:tc>
          <w:tcPr>
            <w:tcW w:w="3300" w:type="dxa"/>
            <w:vAlign w:val="bottom"/>
            <w:shd w:val="clear" w:color="auto" w:fill="C0C0C0"/>
          </w:tcPr>
          <w:p>
            <w:pPr>
              <w:ind w:left="3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3,708</w:t>
            </w:r>
          </w:p>
        </w:tc>
        <w:tc>
          <w:tcPr>
            <w:tcW w:w="2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4,017</w:t>
            </w:r>
          </w:p>
        </w:tc>
      </w:tr>
      <w:tr>
        <w:trPr>
          <w:trHeight w:val="234"/>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 on projected benefit obligations</w:t>
            </w:r>
          </w:p>
        </w:tc>
        <w:tc>
          <w:tcPr>
            <w:tcW w:w="330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4,083</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w:t>
            </w:r>
          </w:p>
        </w:tc>
      </w:tr>
      <w:tr>
        <w:trPr>
          <w:trHeight w:val="252"/>
        </w:trPr>
        <w:tc>
          <w:tcPr>
            <w:tcW w:w="642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30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(4,754)</w:t>
            </w:r>
          </w:p>
        </w:tc>
        <w:tc>
          <w:tcPr>
            <w:tcW w:w="26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(5,202)</w:t>
            </w:r>
          </w:p>
        </w:tc>
      </w:tr>
      <w:tr>
        <w:trPr>
          <w:trHeight w:val="239"/>
        </w:trPr>
        <w:tc>
          <w:tcPr>
            <w:tcW w:w="6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amortization and deferral</w:t>
            </w:r>
          </w:p>
        </w:tc>
        <w:tc>
          <w:tcPr>
            <w:tcW w:w="3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1,634</w:t>
            </w: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w:t>
            </w:r>
          </w:p>
        </w:tc>
      </w:tr>
      <w:tr>
        <w:trPr>
          <w:trHeight w:val="248"/>
        </w:trPr>
        <w:tc>
          <w:tcPr>
            <w:tcW w:w="6420" w:type="dxa"/>
            <w:vAlign w:val="bottom"/>
            <w:tcBorders>
              <w:bottom w:val="single" w:sz="8" w:color="auto"/>
            </w:tcBorders>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3300" w:type="dxa"/>
            <w:vAlign w:val="bottom"/>
            <w:tcBorders>
              <w:bottom w:val="single" w:sz="8" w:color="auto"/>
            </w:tcBorders>
            <w:shd w:val="clear" w:color="auto" w:fill="C0C0C0"/>
          </w:tcPr>
          <w:p>
            <w:pPr>
              <w:ind w:left="3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4,671</w:t>
            </w:r>
          </w:p>
        </w:tc>
        <w:tc>
          <w:tcPr>
            <w:tcW w:w="26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4,040</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Pension costs recorded to expense were $1,186,000 and $1,049,000 for the three-month periods ended June 30, 2019 and 2018, respectively and $2,365,000 and $2,098,000 for the six-month periods ended June 30, 2019 and 2018, respectively. Pension costs increased in 2019 primarily due to a decrease in the discount rate. The Company made no contribution to the plan during the six-month period ended June 30, 2019 and is evaluating the amount of additional contributions, if any, in the remainder of 2019.</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above funded benefit plan, the Company has an unfunded supplemental executive retirement plan which covers key executives of the Company. This is a noncontributory plan in which the Company and its subsidiaries make accruals designed to fund normal service costs on a current basis using the same method and criteria as its defined benefit plan. The following table represents the components of the net periodic pension costs for 2018 and an estimate for 2019: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60" w:type="dxa"/>
            <w:vAlign w:val="bottom"/>
          </w:tcPr>
          <w:p>
            <w:pPr>
              <w:spacing w:after="0"/>
              <w:rPr>
                <w:sz w:val="20"/>
                <w:szCs w:val="20"/>
                <w:color w:val="auto"/>
              </w:rPr>
            </w:pPr>
          </w:p>
        </w:tc>
        <w:tc>
          <w:tcPr>
            <w:tcW w:w="4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8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Actual</w:t>
            </w:r>
          </w:p>
        </w:tc>
      </w:tr>
      <w:tr>
        <w:trPr>
          <w:trHeight w:val="264"/>
        </w:trPr>
        <w:tc>
          <w:tcPr>
            <w:tcW w:w="6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22"/>
                <w:szCs w:val="22"/>
                <w:color w:val="auto"/>
              </w:rPr>
            </w:pPr>
          </w:p>
        </w:tc>
      </w:tr>
      <w:tr>
        <w:trPr>
          <w:trHeight w:val="243"/>
        </w:trPr>
        <w:tc>
          <w:tcPr>
            <w:tcW w:w="64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Service cost – benefits earned during the year</w:t>
            </w:r>
          </w:p>
        </w:tc>
        <w:tc>
          <w:tcPr>
            <w:tcW w:w="33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21"/>
                <w:szCs w:val="21"/>
                <w:color w:val="auto"/>
              </w:rPr>
            </w:pPr>
          </w:p>
        </w:tc>
      </w:tr>
      <w:tr>
        <w:trPr>
          <w:trHeight w:val="234"/>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334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408</w:t>
            </w: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0" w:type="dxa"/>
            <w:vAlign w:val="bottom"/>
          </w:tcPr>
          <w:p>
            <w:pPr>
              <w:spacing w:after="0"/>
              <w:rPr>
                <w:sz w:val="20"/>
                <w:szCs w:val="20"/>
                <w:color w:val="auto"/>
              </w:rPr>
            </w:pPr>
          </w:p>
        </w:tc>
      </w:tr>
      <w:tr>
        <w:trPr>
          <w:trHeight w:val="247"/>
        </w:trPr>
        <w:tc>
          <w:tcPr>
            <w:tcW w:w="646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Net amortization</w:t>
            </w:r>
          </w:p>
        </w:tc>
        <w:tc>
          <w:tcPr>
            <w:tcW w:w="334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276</w:t>
            </w:r>
          </w:p>
        </w:tc>
        <w:tc>
          <w:tcPr>
            <w:tcW w:w="260" w:type="dxa"/>
            <w:vAlign w:val="bottom"/>
            <w:tcBorders>
              <w:bottom w:val="single" w:sz="8" w:color="auto"/>
            </w:tcBorders>
            <w:shd w:val="clear" w:color="auto" w:fill="C0C0C0"/>
          </w:tcPr>
          <w:p>
            <w:pPr>
              <w:spacing w:after="0"/>
              <w:rPr>
                <w:sz w:val="21"/>
                <w:szCs w:val="21"/>
                <w:color w:val="auto"/>
              </w:rPr>
            </w:pPr>
          </w:p>
        </w:tc>
        <w:tc>
          <w:tcPr>
            <w:tcW w:w="56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0" w:type="dxa"/>
            <w:vAlign w:val="bottom"/>
          </w:tcPr>
          <w:p>
            <w:pPr>
              <w:spacing w:after="0"/>
              <w:rPr>
                <w:sz w:val="21"/>
                <w:szCs w:val="21"/>
                <w:color w:val="auto"/>
              </w:rPr>
            </w:pPr>
          </w:p>
        </w:tc>
      </w:tr>
      <w:tr>
        <w:trPr>
          <w:trHeight w:val="248"/>
        </w:trPr>
        <w:tc>
          <w:tcPr>
            <w:tcW w:w="64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3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20" w:type="dxa"/>
            <w:vAlign w:val="bottom"/>
            <w:tcBorders>
              <w:bottom w:val="single" w:sz="8" w:color="auto"/>
            </w:tcBorders>
          </w:tcPr>
          <w:p>
            <w:pPr>
              <w:spacing w:after="0"/>
              <w:rPr>
                <w:sz w:val="21"/>
                <w:szCs w:val="2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Pension costs recorded to expense were $196,000 and $256,000 for the three-month periods ended June 30, 2019 and 2018, respectively, and were $391,000 and $511,000 for the six-month periods ended June 30, 2019 and 2018,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 – Income Taxes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2019, the Company’s unrecognized tax benefits were approximately $1,499,000, of which $1,380,000 would, if recognized, affect the Company’s effective tax rate. As of December 31, 2018, the Company’s unrecognized tax benefits were approximately $1,403,000, of which $1,272,000 would, if recognized, affect the Company’s effective tax rate. During the next 12 months, the Company may realize a reduction of its unrecognized tax benefits of approximately $317,000 due to the lapse of federal and state statutes of limitations.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16" w:name="page17"/>
    <w:bookmarkEnd w:id="16"/>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uncertain tax positions in income tax expense. The Company had $173,000 and $136,000 of gross interest accrued as of June 30, 2019 and December 31, 2018, respectively. There were no penalties for unrecognized tax benefits accrued at June 30, 2019 and December 31, 2018.</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income tax in the U.S. federal jurisdiction and numerous state jurisdictions. U.S. federal income tax returns for tax years 2015 through 2017 remain subject to examination by the Internal Revenue Service. In addition, the Company is subject to state tax examinations for the tax years 2014 through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11 – Investment in Securities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Investment securities available-for-sale are recorded at fair value on a recurring basis. The Company’s investment securities available-for-sale are measured at fair value using Level 2 valuations. The market evaluation utilizes several sources which include “observable inputs” rather than “significant unobservable inputs” and therefore falls into the Level 2 category. The amortized cost, gross unrealized gains, gross unrealized losses and fair value of investment securities are summarized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2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34"/>
        </w:trPr>
        <w:tc>
          <w:tcPr>
            <w:tcW w:w="7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40" w:type="dxa"/>
            <w:vAlign w:val="bottom"/>
          </w:tcPr>
          <w:p>
            <w:pPr>
              <w:spacing w:after="0"/>
              <w:rPr>
                <w:sz w:val="20"/>
                <w:szCs w:val="20"/>
                <w:color w:val="auto"/>
              </w:rPr>
            </w:pPr>
          </w:p>
        </w:tc>
        <w:tc>
          <w:tcPr>
            <w:tcW w:w="8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728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4"/>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80" w:type="dxa"/>
            <w:vAlign w:val="bottom"/>
          </w:tcPr>
          <w:p>
            <w:pPr>
              <w:spacing w:after="0"/>
              <w:rPr>
                <w:sz w:val="22"/>
                <w:szCs w:val="22"/>
                <w:color w:val="auto"/>
              </w:rPr>
            </w:pPr>
          </w:p>
        </w:tc>
        <w:tc>
          <w:tcPr>
            <w:tcW w:w="8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60" w:type="dxa"/>
            <w:vAlign w:val="bottom"/>
          </w:tcPr>
          <w:p>
            <w:pPr>
              <w:spacing w:after="0"/>
              <w:rPr>
                <w:sz w:val="22"/>
                <w:szCs w:val="22"/>
                <w:color w:val="auto"/>
              </w:rPr>
            </w:pPr>
          </w:p>
        </w:tc>
        <w:tc>
          <w:tcPr>
            <w:tcW w:w="8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40" w:type="dxa"/>
            <w:vAlign w:val="bottom"/>
          </w:tcPr>
          <w:p>
            <w:pPr>
              <w:spacing w:after="0"/>
              <w:rPr>
                <w:sz w:val="22"/>
                <w:szCs w:val="22"/>
                <w:color w:val="auto"/>
              </w:rPr>
            </w:pPr>
          </w:p>
        </w:tc>
        <w:tc>
          <w:tcPr>
            <w:tcW w:w="8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43"/>
        </w:trPr>
        <w:tc>
          <w:tcPr>
            <w:tcW w:w="7280" w:type="dxa"/>
            <w:vAlign w:val="bottom"/>
            <w:tcBorders>
              <w:top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80" w:type="dxa"/>
            <w:vAlign w:val="bottom"/>
            <w:tcBorders>
              <w:top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318,924</w:t>
            </w:r>
          </w:p>
        </w:tc>
        <w:tc>
          <w:tcPr>
            <w:tcW w:w="26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12,181</w:t>
            </w:r>
          </w:p>
        </w:tc>
        <w:tc>
          <w:tcPr>
            <w:tcW w:w="240" w:type="dxa"/>
            <w:vAlign w:val="bottom"/>
            <w:tcBorders>
              <w:top w:val="single" w:sz="8" w:color="auto"/>
            </w:tcBorders>
            <w:shd w:val="clear" w:color="auto" w:fill="C0C0C0"/>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Borders>
              <w:top w:val="single" w:sz="8" w:color="auto"/>
            </w:tcBorders>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331,098</w:t>
            </w:r>
          </w:p>
        </w:tc>
        <w:tc>
          <w:tcPr>
            <w:tcW w:w="20" w:type="dxa"/>
            <w:vAlign w:val="bottom"/>
          </w:tcPr>
          <w:p>
            <w:pPr>
              <w:spacing w:after="0"/>
              <w:rPr>
                <w:sz w:val="21"/>
                <w:szCs w:val="21"/>
                <w:color w:val="auto"/>
              </w:rPr>
            </w:pPr>
          </w:p>
        </w:tc>
      </w:tr>
      <w:tr>
        <w:trPr>
          <w:trHeight w:val="234"/>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8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102,091</w:t>
            </w: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554</w:t>
            </w:r>
          </w:p>
        </w:tc>
        <w:tc>
          <w:tcPr>
            <w:tcW w:w="2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347</w:t>
            </w: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102,298</w:t>
            </w:r>
          </w:p>
        </w:tc>
        <w:tc>
          <w:tcPr>
            <w:tcW w:w="20" w:type="dxa"/>
            <w:vAlign w:val="bottom"/>
          </w:tcPr>
          <w:p>
            <w:pPr>
              <w:spacing w:after="0"/>
              <w:rPr>
                <w:sz w:val="20"/>
                <w:szCs w:val="20"/>
                <w:color w:val="auto"/>
              </w:rPr>
            </w:pPr>
          </w:p>
        </w:tc>
      </w:tr>
      <w:tr>
        <w:trPr>
          <w:trHeight w:val="247"/>
        </w:trPr>
        <w:tc>
          <w:tcPr>
            <w:tcW w:w="728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1,995</w:t>
            </w:r>
          </w:p>
        </w:tc>
        <w:tc>
          <w:tcPr>
            <w:tcW w:w="260" w:type="dxa"/>
            <w:vAlign w:val="bottom"/>
            <w:tcBorders>
              <w:bottom w:val="single" w:sz="8" w:color="auto"/>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20" w:type="dxa"/>
            <w:vAlign w:val="bottom"/>
          </w:tcPr>
          <w:p>
            <w:pPr>
              <w:spacing w:after="0"/>
              <w:rPr>
                <w:sz w:val="21"/>
                <w:szCs w:val="21"/>
                <w:color w:val="auto"/>
              </w:rPr>
            </w:pPr>
          </w:p>
        </w:tc>
      </w:tr>
      <w:tr>
        <w:trPr>
          <w:trHeight w:val="248"/>
        </w:trPr>
        <w:tc>
          <w:tcPr>
            <w:tcW w:w="72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423,010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12,735</w:t>
            </w:r>
          </w:p>
        </w:tc>
        <w:tc>
          <w:tcPr>
            <w:tcW w:w="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354</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435,391</w:t>
            </w:r>
          </w:p>
        </w:tc>
        <w:tc>
          <w:tcPr>
            <w:tcW w:w="20" w:type="dxa"/>
            <w:vAlign w:val="bottom"/>
          </w:tcPr>
          <w:p>
            <w:pPr>
              <w:spacing w:after="0"/>
              <w:rPr>
                <w:sz w:val="21"/>
                <w:szCs w:val="21"/>
                <w:color w:val="auto"/>
              </w:rPr>
            </w:pPr>
          </w:p>
        </w:tc>
      </w:tr>
      <w:tr>
        <w:trPr>
          <w:trHeight w:val="507"/>
        </w:trPr>
        <w:tc>
          <w:tcPr>
            <w:tcW w:w="7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7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40" w:type="dxa"/>
            <w:vAlign w:val="bottom"/>
          </w:tcPr>
          <w:p>
            <w:pPr>
              <w:spacing w:after="0"/>
              <w:rPr>
                <w:sz w:val="20"/>
                <w:szCs w:val="20"/>
                <w:color w:val="auto"/>
              </w:rPr>
            </w:pPr>
          </w:p>
        </w:tc>
        <w:tc>
          <w:tcPr>
            <w:tcW w:w="8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728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4"/>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80" w:type="dxa"/>
            <w:vAlign w:val="bottom"/>
          </w:tcPr>
          <w:p>
            <w:pPr>
              <w:spacing w:after="0"/>
              <w:rPr>
                <w:sz w:val="22"/>
                <w:szCs w:val="22"/>
                <w:color w:val="auto"/>
              </w:rPr>
            </w:pPr>
          </w:p>
        </w:tc>
        <w:tc>
          <w:tcPr>
            <w:tcW w:w="8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60" w:type="dxa"/>
            <w:vAlign w:val="bottom"/>
          </w:tcPr>
          <w:p>
            <w:pPr>
              <w:spacing w:after="0"/>
              <w:rPr>
                <w:sz w:val="22"/>
                <w:szCs w:val="22"/>
                <w:color w:val="auto"/>
              </w:rPr>
            </w:pPr>
          </w:p>
        </w:tc>
        <w:tc>
          <w:tcPr>
            <w:tcW w:w="8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40" w:type="dxa"/>
            <w:vAlign w:val="bottom"/>
          </w:tcPr>
          <w:p>
            <w:pPr>
              <w:spacing w:after="0"/>
              <w:rPr>
                <w:sz w:val="22"/>
                <w:szCs w:val="22"/>
                <w:color w:val="auto"/>
              </w:rPr>
            </w:pPr>
          </w:p>
        </w:tc>
        <w:tc>
          <w:tcPr>
            <w:tcW w:w="8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43"/>
        </w:trPr>
        <w:tc>
          <w:tcPr>
            <w:tcW w:w="7280" w:type="dxa"/>
            <w:vAlign w:val="bottom"/>
            <w:tcBorders>
              <w:top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80" w:type="dxa"/>
            <w:vAlign w:val="bottom"/>
            <w:tcBorders>
              <w:top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332,732</w:t>
            </w:r>
          </w:p>
        </w:tc>
        <w:tc>
          <w:tcPr>
            <w:tcW w:w="26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3,791</w:t>
            </w:r>
          </w:p>
        </w:tc>
        <w:tc>
          <w:tcPr>
            <w:tcW w:w="240" w:type="dxa"/>
            <w:vAlign w:val="bottom"/>
            <w:tcBorders>
              <w:top w:val="single" w:sz="8" w:color="auto"/>
            </w:tcBorders>
            <w:shd w:val="clear" w:color="auto" w:fill="C0C0C0"/>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1,806</w:t>
            </w:r>
          </w:p>
        </w:tc>
        <w:tc>
          <w:tcPr>
            <w:tcW w:w="300" w:type="dxa"/>
            <w:vAlign w:val="bottom"/>
            <w:tcBorders>
              <w:top w:val="single" w:sz="8" w:color="auto"/>
            </w:tcBorders>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334,717</w:t>
            </w:r>
          </w:p>
        </w:tc>
        <w:tc>
          <w:tcPr>
            <w:tcW w:w="20" w:type="dxa"/>
            <w:vAlign w:val="bottom"/>
          </w:tcPr>
          <w:p>
            <w:pPr>
              <w:spacing w:after="0"/>
              <w:rPr>
                <w:sz w:val="21"/>
                <w:szCs w:val="21"/>
                <w:color w:val="auto"/>
              </w:rPr>
            </w:pPr>
          </w:p>
        </w:tc>
      </w:tr>
      <w:tr>
        <w:trPr>
          <w:trHeight w:val="234"/>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8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106,153</w:t>
            </w: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1,417</w:t>
            </w: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104,822</w:t>
            </w:r>
          </w:p>
        </w:tc>
        <w:tc>
          <w:tcPr>
            <w:tcW w:w="20" w:type="dxa"/>
            <w:vAlign w:val="bottom"/>
          </w:tcPr>
          <w:p>
            <w:pPr>
              <w:spacing w:after="0"/>
              <w:rPr>
                <w:sz w:val="20"/>
                <w:szCs w:val="20"/>
                <w:color w:val="auto"/>
              </w:rPr>
            </w:pPr>
          </w:p>
        </w:tc>
      </w:tr>
      <w:tr>
        <w:trPr>
          <w:trHeight w:val="247"/>
        </w:trPr>
        <w:tc>
          <w:tcPr>
            <w:tcW w:w="728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1,995</w:t>
            </w:r>
          </w:p>
        </w:tc>
        <w:tc>
          <w:tcPr>
            <w:tcW w:w="260" w:type="dxa"/>
            <w:vAlign w:val="bottom"/>
            <w:tcBorders>
              <w:bottom w:val="single" w:sz="8" w:color="auto"/>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20" w:type="dxa"/>
            <w:vAlign w:val="bottom"/>
          </w:tcPr>
          <w:p>
            <w:pPr>
              <w:spacing w:after="0"/>
              <w:rPr>
                <w:sz w:val="21"/>
                <w:szCs w:val="21"/>
                <w:color w:val="auto"/>
              </w:rPr>
            </w:pPr>
          </w:p>
        </w:tc>
      </w:tr>
      <w:tr>
        <w:trPr>
          <w:trHeight w:val="248"/>
        </w:trPr>
        <w:tc>
          <w:tcPr>
            <w:tcW w:w="72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440,880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3,877</w:t>
            </w:r>
          </w:p>
        </w:tc>
        <w:tc>
          <w:tcPr>
            <w:tcW w:w="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3,223</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441,534</w:t>
            </w:r>
          </w:p>
        </w:tc>
        <w:tc>
          <w:tcPr>
            <w:tcW w:w="20" w:type="dxa"/>
            <w:vAlign w:val="bottom"/>
            <w:tcBorders>
              <w:bottom w:val="single" w:sz="8" w:color="auto"/>
            </w:tcBorders>
          </w:tcPr>
          <w:p>
            <w:pPr>
              <w:spacing w:after="0"/>
              <w:rPr>
                <w:sz w:val="21"/>
                <w:szCs w:val="2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The fair values of securities with unrealized losses are as follows: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80"/>
        </w:trPr>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250"/>
        </w:trPr>
        <w:tc>
          <w:tcPr>
            <w:tcW w:w="4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jc w:val="right"/>
              <w:ind w:right="188"/>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bottom w:val="single" w:sz="8" w:color="auto"/>
            </w:tcBorders>
          </w:tcPr>
          <w:p>
            <w:pPr>
              <w:spacing w:after="0"/>
              <w:rPr>
                <w:sz w:val="21"/>
                <w:szCs w:val="21"/>
                <w:color w:val="auto"/>
              </w:rPr>
            </w:pPr>
          </w:p>
        </w:tc>
      </w:tr>
      <w:tr>
        <w:trPr>
          <w:trHeight w:val="243"/>
        </w:trPr>
        <w:tc>
          <w:tcPr>
            <w:tcW w:w="4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r>
      <w:tr>
        <w:trPr>
          <w:trHeight w:val="277"/>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1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Losses</w:t>
            </w:r>
          </w:p>
        </w:tc>
      </w:tr>
      <w:tr>
        <w:trPr>
          <w:trHeight w:val="243"/>
        </w:trPr>
        <w:tc>
          <w:tcPr>
            <w:tcW w:w="49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34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1,007</w:t>
            </w:r>
          </w:p>
        </w:tc>
        <w:tc>
          <w:tcPr>
            <w:tcW w:w="240" w:type="dxa"/>
            <w:vAlign w:val="bottom"/>
            <w:shd w:val="clear" w:color="auto" w:fill="C0C0C0"/>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0C0C0"/>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2,976</w:t>
            </w:r>
          </w:p>
        </w:tc>
        <w:tc>
          <w:tcPr>
            <w:tcW w:w="240" w:type="dxa"/>
            <w:vAlign w:val="bottom"/>
            <w:shd w:val="clear" w:color="auto" w:fill="C0C0C0"/>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3,983</w:t>
            </w:r>
          </w:p>
        </w:tc>
        <w:tc>
          <w:tcPr>
            <w:tcW w:w="240" w:type="dxa"/>
            <w:vAlign w:val="bottom"/>
            <w:shd w:val="clear" w:color="auto" w:fill="C0C0C0"/>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9"/>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33,472</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347</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33,472</w:t>
            </w: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48"/>
        </w:trPr>
        <w:tc>
          <w:tcPr>
            <w:tcW w:w="4960" w:type="dxa"/>
            <w:vAlign w:val="bottom"/>
            <w:tcBorders>
              <w:bottom w:val="single" w:sz="8" w:color="auto"/>
            </w:tcBorders>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1,007</w:t>
            </w:r>
          </w:p>
        </w:tc>
        <w:tc>
          <w:tcPr>
            <w:tcW w:w="240" w:type="dxa"/>
            <w:vAlign w:val="bottom"/>
            <w:tcBorders>
              <w:bottom w:val="single" w:sz="8" w:color="auto"/>
            </w:tcBorders>
            <w:shd w:val="clear" w:color="auto" w:fill="C0C0C0"/>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shd w:val="clear" w:color="auto" w:fill="C0C0C0"/>
          </w:tcPr>
          <w:p>
            <w:pPr>
              <w:jc w:val="right"/>
              <w:spacing w:after="0" w:line="241"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36,448</w:t>
            </w:r>
          </w:p>
        </w:tc>
        <w:tc>
          <w:tcPr>
            <w:tcW w:w="240" w:type="dxa"/>
            <w:vAlign w:val="bottom"/>
            <w:tcBorders>
              <w:bottom w:val="single" w:sz="8" w:color="auto"/>
            </w:tcBorders>
            <w:shd w:val="clear" w:color="auto" w:fill="C0C0C0"/>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354</w:t>
            </w:r>
          </w:p>
        </w:tc>
        <w:tc>
          <w:tcPr>
            <w:tcW w:w="28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37,455</w:t>
            </w:r>
          </w:p>
        </w:tc>
        <w:tc>
          <w:tcPr>
            <w:tcW w:w="240" w:type="dxa"/>
            <w:vAlign w:val="bottom"/>
            <w:tcBorders>
              <w:bottom w:val="single" w:sz="8" w:color="auto"/>
            </w:tcBorders>
            <w:shd w:val="clear" w:color="auto" w:fill="C0C0C0"/>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507"/>
        </w:trPr>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264"/>
        </w:trPr>
        <w:tc>
          <w:tcPr>
            <w:tcW w:w="4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jc w:val="right"/>
              <w:ind w:right="248"/>
              <w:spacing w:after="0"/>
              <w:rPr>
                <w:sz w:val="20"/>
                <w:szCs w:val="20"/>
                <w:color w:val="auto"/>
              </w:rPr>
            </w:pPr>
            <w:r>
              <w:rPr>
                <w:rFonts w:ascii="Times New Roman" w:cs="Times New Roman" w:eastAsia="Times New Roman" w:hAnsi="Times New Roman"/>
                <w:sz w:val="18"/>
                <w:szCs w:val="18"/>
                <w:b w:val="1"/>
                <w:bCs w:val="1"/>
                <w:color w:val="auto"/>
                <w:w w:val="99"/>
              </w:rPr>
              <w:t>Less than 12 months</w:t>
            </w:r>
          </w:p>
        </w:tc>
        <w:tc>
          <w:tcPr>
            <w:tcW w:w="2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bottom w:val="single" w:sz="8" w:color="auto"/>
            </w:tcBorders>
          </w:tcPr>
          <w:p>
            <w:pPr>
              <w:spacing w:after="0"/>
              <w:rPr>
                <w:sz w:val="22"/>
                <w:szCs w:val="22"/>
                <w:color w:val="auto"/>
              </w:rPr>
            </w:pPr>
          </w:p>
        </w:tc>
      </w:tr>
      <w:tr>
        <w:trPr>
          <w:trHeight w:val="243"/>
        </w:trPr>
        <w:tc>
          <w:tcPr>
            <w:tcW w:w="4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r>
      <w:tr>
        <w:trPr>
          <w:trHeight w:val="277"/>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1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Losses</w:t>
            </w:r>
          </w:p>
        </w:tc>
      </w:tr>
      <w:tr>
        <w:trPr>
          <w:trHeight w:val="243"/>
        </w:trPr>
        <w:tc>
          <w:tcPr>
            <w:tcW w:w="49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340" w:type="dxa"/>
            <w:vAlign w:val="bottom"/>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91,248</w:t>
            </w:r>
          </w:p>
        </w:tc>
        <w:tc>
          <w:tcPr>
            <w:tcW w:w="240" w:type="dxa"/>
            <w:vAlign w:val="bottom"/>
            <w:shd w:val="clear" w:color="auto" w:fill="C0C0C0"/>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0C0C0"/>
          </w:tcPr>
          <w:p>
            <w:pPr>
              <w:jc w:val="right"/>
              <w:ind w:right="8"/>
              <w:spacing w:after="0"/>
              <w:rPr>
                <w:sz w:val="20"/>
                <w:szCs w:val="20"/>
                <w:color w:val="auto"/>
              </w:rPr>
            </w:pPr>
            <w:r>
              <w:rPr>
                <w:rFonts w:ascii="Times New Roman" w:cs="Times New Roman" w:eastAsia="Times New Roman" w:hAnsi="Times New Roman"/>
                <w:sz w:val="18"/>
                <w:szCs w:val="18"/>
                <w:color w:val="auto"/>
              </w:rPr>
              <w:t>556</w:t>
            </w:r>
          </w:p>
        </w:tc>
        <w:tc>
          <w:tcPr>
            <w:tcW w:w="2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60,546</w:t>
            </w:r>
          </w:p>
        </w:tc>
        <w:tc>
          <w:tcPr>
            <w:tcW w:w="240" w:type="dxa"/>
            <w:vAlign w:val="bottom"/>
            <w:shd w:val="clear" w:color="auto" w:fill="C0C0C0"/>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1,250</w:t>
            </w:r>
          </w:p>
        </w:tc>
        <w:tc>
          <w:tcPr>
            <w:tcW w:w="2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151,794</w:t>
            </w:r>
          </w:p>
        </w:tc>
        <w:tc>
          <w:tcPr>
            <w:tcW w:w="240" w:type="dxa"/>
            <w:vAlign w:val="bottom"/>
            <w:shd w:val="clear" w:color="auto" w:fill="C0C0C0"/>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1,806</w:t>
            </w:r>
          </w:p>
        </w:tc>
      </w:tr>
      <w:tr>
        <w:trPr>
          <w:trHeight w:val="239"/>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30,409</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38,005</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1,287</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68,414</w:t>
            </w: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w:t>
            </w:r>
          </w:p>
        </w:tc>
      </w:tr>
      <w:tr>
        <w:trPr>
          <w:trHeight w:val="248"/>
        </w:trPr>
        <w:tc>
          <w:tcPr>
            <w:tcW w:w="4960" w:type="dxa"/>
            <w:vAlign w:val="bottom"/>
            <w:tcBorders>
              <w:bottom w:val="single" w:sz="8" w:color="auto"/>
            </w:tcBorders>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121,657</w:t>
            </w:r>
          </w:p>
        </w:tc>
        <w:tc>
          <w:tcPr>
            <w:tcW w:w="240" w:type="dxa"/>
            <w:vAlign w:val="bottom"/>
            <w:tcBorders>
              <w:bottom w:val="single" w:sz="8" w:color="auto"/>
            </w:tcBorders>
            <w:shd w:val="clear" w:color="auto" w:fill="C0C0C0"/>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0C0C0"/>
          </w:tcPr>
          <w:p>
            <w:pPr>
              <w:jc w:val="right"/>
              <w:ind w:right="8"/>
              <w:spacing w:after="0"/>
              <w:rPr>
                <w:sz w:val="20"/>
                <w:szCs w:val="20"/>
                <w:color w:val="auto"/>
              </w:rPr>
            </w:pPr>
            <w:r>
              <w:rPr>
                <w:rFonts w:ascii="Times New Roman" w:cs="Times New Roman" w:eastAsia="Times New Roman" w:hAnsi="Times New Roman"/>
                <w:sz w:val="18"/>
                <w:szCs w:val="18"/>
                <w:color w:val="auto"/>
              </w:rPr>
              <w:t>686</w:t>
            </w:r>
          </w:p>
        </w:tc>
        <w:tc>
          <w:tcPr>
            <w:tcW w:w="26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98,551</w:t>
            </w:r>
          </w:p>
        </w:tc>
        <w:tc>
          <w:tcPr>
            <w:tcW w:w="240" w:type="dxa"/>
            <w:vAlign w:val="bottom"/>
            <w:tcBorders>
              <w:bottom w:val="single" w:sz="8" w:color="auto"/>
            </w:tcBorders>
            <w:shd w:val="clear" w:color="auto" w:fill="C0C0C0"/>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2,537</w:t>
            </w:r>
          </w:p>
        </w:tc>
        <w:tc>
          <w:tcPr>
            <w:tcW w:w="28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220,208</w:t>
            </w:r>
          </w:p>
        </w:tc>
        <w:tc>
          <w:tcPr>
            <w:tcW w:w="240" w:type="dxa"/>
            <w:vAlign w:val="bottom"/>
            <w:tcBorders>
              <w:bottom w:val="single" w:sz="8" w:color="auto"/>
            </w:tcBorders>
            <w:shd w:val="clear" w:color="auto" w:fill="C0C0C0"/>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3,223</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were 17 securities, or 6% of the total (15 greater than 12 months), in an unrealized loss position as of June 30, 2019. There were 136 securities, or 43% of the total (61 greater than 12 months), in an unrealized loss position as of December 31, 2018. All unrealized losses were reviewed to determine whether the losses were other than temporary. Management believes that all unrealized losses are temporary since they were market driven, and it is more likely than not that the Company will not be required to sell prior to recovery of the amortized basis.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investment securities by contractual maturity are shown in the following table. Expected maturities may differ from contractual maturities because borrowers have the right to prepay obligations with or without prepayment penalties.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82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6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50"/>
        </w:trPr>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 w:type="dxa"/>
            <w:vAlign w:val="bottom"/>
          </w:tcPr>
          <w:p>
            <w:pPr>
              <w:spacing w:after="0"/>
              <w:rPr>
                <w:sz w:val="21"/>
                <w:szCs w:val="21"/>
                <w:color w:val="auto"/>
              </w:rPr>
            </w:pPr>
          </w:p>
        </w:tc>
      </w:tr>
      <w:tr>
        <w:trPr>
          <w:trHeight w:val="243"/>
        </w:trPr>
        <w:tc>
          <w:tcPr>
            <w:tcW w:w="582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Due in 1 year or less</w:t>
            </w:r>
          </w:p>
        </w:tc>
        <w:tc>
          <w:tcPr>
            <w:tcW w:w="3660" w:type="dxa"/>
            <w:vAlign w:val="bottom"/>
            <w:gridSpan w:val="2"/>
            <w:shd w:val="clear" w:color="auto" w:fill="C0C0C0"/>
          </w:tcPr>
          <w:p>
            <w:pPr>
              <w:ind w:left="3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25,149</w:t>
            </w:r>
          </w:p>
        </w:tc>
        <w:tc>
          <w:tcPr>
            <w:tcW w:w="380" w:type="dxa"/>
            <w:vAlign w:val="bottom"/>
            <w:shd w:val="clear" w:color="auto" w:fill="C0C0C0"/>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25,232</w:t>
            </w:r>
          </w:p>
        </w:tc>
        <w:tc>
          <w:tcPr>
            <w:tcW w:w="20" w:type="dxa"/>
            <w:vAlign w:val="bottom"/>
          </w:tcPr>
          <w:p>
            <w:pPr>
              <w:spacing w:after="0"/>
              <w:rPr>
                <w:sz w:val="21"/>
                <w:szCs w:val="21"/>
                <w:color w:val="auto"/>
              </w:rPr>
            </w:pP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Due after 1 year through 5 years</w:t>
            </w:r>
          </w:p>
        </w:tc>
        <w:tc>
          <w:tcPr>
            <w:tcW w:w="3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114,928</w:t>
            </w:r>
          </w:p>
        </w:tc>
        <w:tc>
          <w:tcPr>
            <w:tcW w:w="3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116,965</w:t>
            </w:r>
          </w:p>
        </w:tc>
        <w:tc>
          <w:tcPr>
            <w:tcW w:w="20" w:type="dxa"/>
            <w:vAlign w:val="bottom"/>
          </w:tcPr>
          <w:p>
            <w:pPr>
              <w:spacing w:after="0"/>
              <w:rPr>
                <w:sz w:val="20"/>
                <w:szCs w:val="20"/>
                <w:color w:val="auto"/>
              </w:rPr>
            </w:pPr>
          </w:p>
        </w:tc>
      </w:tr>
      <w:tr>
        <w:trPr>
          <w:trHeight w:val="252"/>
        </w:trPr>
        <w:tc>
          <w:tcPr>
            <w:tcW w:w="582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Due after 5 years through 10 years</w:t>
            </w:r>
          </w:p>
        </w:tc>
        <w:tc>
          <w:tcPr>
            <w:tcW w:w="330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236,912</w:t>
            </w:r>
          </w:p>
        </w:tc>
        <w:tc>
          <w:tcPr>
            <w:tcW w:w="380" w:type="dxa"/>
            <w:vAlign w:val="bottom"/>
            <w:shd w:val="clear" w:color="auto" w:fill="C0C0C0"/>
          </w:tcPr>
          <w:p>
            <w:pPr>
              <w:spacing w:after="0"/>
              <w:rPr>
                <w:sz w:val="21"/>
                <w:szCs w:val="21"/>
                <w:color w:val="auto"/>
              </w:rPr>
            </w:pPr>
          </w:p>
        </w:tc>
        <w:tc>
          <w:tcPr>
            <w:tcW w:w="6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99"/>
              </w:rPr>
              <w:t>247,152</w:t>
            </w:r>
          </w:p>
        </w:tc>
        <w:tc>
          <w:tcPr>
            <w:tcW w:w="20" w:type="dxa"/>
            <w:vAlign w:val="bottom"/>
          </w:tcPr>
          <w:p>
            <w:pPr>
              <w:spacing w:after="0"/>
              <w:rPr>
                <w:sz w:val="21"/>
                <w:szCs w:val="21"/>
                <w:color w:val="auto"/>
              </w:rPr>
            </w:pPr>
          </w:p>
        </w:tc>
      </w:tr>
      <w:tr>
        <w:trPr>
          <w:trHeight w:val="239"/>
        </w:trPr>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Due after 10 years</w:t>
            </w:r>
          </w:p>
        </w:tc>
        <w:tc>
          <w:tcPr>
            <w:tcW w:w="33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46,021</w:t>
            </w:r>
          </w:p>
        </w:tc>
        <w:tc>
          <w:tcPr>
            <w:tcW w:w="3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46,042</w:t>
            </w:r>
          </w:p>
        </w:tc>
        <w:tc>
          <w:tcPr>
            <w:tcW w:w="20" w:type="dxa"/>
            <w:vAlign w:val="bottom"/>
          </w:tcPr>
          <w:p>
            <w:pPr>
              <w:spacing w:after="0"/>
              <w:rPr>
                <w:sz w:val="20"/>
                <w:szCs w:val="20"/>
                <w:color w:val="auto"/>
              </w:rPr>
            </w:pPr>
          </w:p>
        </w:tc>
      </w:tr>
      <w:tr>
        <w:trPr>
          <w:trHeight w:val="248"/>
        </w:trPr>
        <w:tc>
          <w:tcPr>
            <w:tcW w:w="5820" w:type="dxa"/>
            <w:vAlign w:val="bottom"/>
            <w:tcBorders>
              <w:bottom w:val="single" w:sz="8" w:color="auto"/>
            </w:tcBorders>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660" w:type="dxa"/>
            <w:vAlign w:val="bottom"/>
            <w:tcBorders>
              <w:bottom w:val="single" w:sz="8" w:color="auto"/>
            </w:tcBorders>
            <w:gridSpan w:val="2"/>
            <w:shd w:val="clear" w:color="auto" w:fill="C0C0C0"/>
          </w:tcPr>
          <w:p>
            <w:pPr>
              <w:ind w:left="3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423,010</w:t>
            </w:r>
          </w:p>
        </w:tc>
        <w:tc>
          <w:tcPr>
            <w:tcW w:w="380" w:type="dxa"/>
            <w:vAlign w:val="bottom"/>
            <w:tcBorders>
              <w:bottom w:val="single" w:sz="8" w:color="auto"/>
            </w:tcBorders>
            <w:shd w:val="clear" w:color="auto" w:fill="C0C0C0"/>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99"/>
              </w:rPr>
              <w:t>435,391</w:t>
            </w:r>
          </w:p>
        </w:tc>
        <w:tc>
          <w:tcPr>
            <w:tcW w:w="20" w:type="dxa"/>
            <w:vAlign w:val="bottom"/>
          </w:tcPr>
          <w:p>
            <w:pPr>
              <w:spacing w:after="0"/>
              <w:rPr>
                <w:sz w:val="21"/>
                <w:szCs w:val="2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Proceeds from sales of investment securities classified as available-for-sale were $3,547,000 and $48,977,000 for the three months ended June 30, 2019 and 2018, respectively, and were $4,648,000 and $58,520,000 for the six months ended June 30, 2019 and 2018, respectively. Gross realized gains were $8,000 for the three months ended June 30, 2019 compared to gross realized losses of $55,000 for the three months ended June 30, 2018. Gross realized gains were $19,000 for the six months ended June 30, 2019 compared to gross realized losses of $42,000 for the six months ended June 30, 2018. There were no securities pledged to secure public deposits and for other purposes at June 30, 2019.</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12 – Fair Value of Financial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the carrying amounts and fair values of the Company’s financial instruments: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0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120" w:type="dxa"/>
            <w:vAlign w:val="bottom"/>
          </w:tcPr>
          <w:p>
            <w:pPr>
              <w:spacing w:after="0"/>
              <w:rPr>
                <w:sz w:val="22"/>
                <w:szCs w:val="22"/>
                <w:color w:val="auto"/>
              </w:rPr>
            </w:pPr>
          </w:p>
        </w:tc>
        <w:tc>
          <w:tcPr>
            <w:tcW w:w="212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34"/>
        </w:trPr>
        <w:tc>
          <w:tcPr>
            <w:tcW w:w="67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59"/>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Pr>
          <w:p>
            <w:pPr>
              <w:spacing w:after="0"/>
              <w:rPr>
                <w:sz w:val="22"/>
                <w:szCs w:val="22"/>
                <w:color w:val="auto"/>
              </w:rPr>
            </w:pP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2"/>
                <w:szCs w:val="22"/>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20" w:type="dxa"/>
            <w:vAlign w:val="bottom"/>
          </w:tcPr>
          <w:p>
            <w:pPr>
              <w:spacing w:after="0"/>
              <w:rPr>
                <w:sz w:val="22"/>
                <w:szCs w:val="22"/>
                <w:color w:val="auto"/>
              </w:rPr>
            </w:pP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2"/>
                <w:szCs w:val="22"/>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43"/>
        </w:trPr>
        <w:tc>
          <w:tcPr>
            <w:tcW w:w="6780" w:type="dxa"/>
            <w:vAlign w:val="bottom"/>
            <w:tcBorders>
              <w:top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Balance sheet assets:</w:t>
            </w:r>
          </w:p>
        </w:tc>
        <w:tc>
          <w:tcPr>
            <w:tcW w:w="120" w:type="dxa"/>
            <w:vAlign w:val="bottom"/>
            <w:tcBorders>
              <w:top w:val="single" w:sz="8" w:color="auto"/>
            </w:tcBorders>
            <w:shd w:val="clear" w:color="auto" w:fill="C0C0C0"/>
          </w:tcPr>
          <w:p>
            <w:pPr>
              <w:spacing w:after="0"/>
              <w:rPr>
                <w:sz w:val="21"/>
                <w:szCs w:val="21"/>
                <w:color w:val="auto"/>
              </w:rPr>
            </w:pPr>
          </w:p>
        </w:tc>
        <w:tc>
          <w:tcPr>
            <w:tcW w:w="980" w:type="dxa"/>
            <w:vAlign w:val="bottom"/>
            <w:tcBorders>
              <w:top w:val="single" w:sz="8" w:color="auto"/>
            </w:tcBorders>
            <w:shd w:val="clear" w:color="auto" w:fill="C0C0C0"/>
          </w:tcPr>
          <w:p>
            <w:pPr>
              <w:spacing w:after="0"/>
              <w:rPr>
                <w:sz w:val="21"/>
                <w:szCs w:val="21"/>
                <w:color w:val="auto"/>
              </w:rPr>
            </w:pPr>
          </w:p>
        </w:tc>
        <w:tc>
          <w:tcPr>
            <w:tcW w:w="200" w:type="dxa"/>
            <w:vAlign w:val="bottom"/>
            <w:tcBorders>
              <w:top w:val="single" w:sz="8" w:color="auto"/>
            </w:tcBorders>
            <w:shd w:val="clear" w:color="auto" w:fill="C0C0C0"/>
          </w:tcPr>
          <w:p>
            <w:pPr>
              <w:spacing w:after="0"/>
              <w:rPr>
                <w:sz w:val="21"/>
                <w:szCs w:val="21"/>
                <w:color w:val="auto"/>
              </w:rPr>
            </w:pPr>
          </w:p>
        </w:tc>
        <w:tc>
          <w:tcPr>
            <w:tcW w:w="900" w:type="dxa"/>
            <w:vAlign w:val="bottom"/>
            <w:tcBorders>
              <w:top w:val="single" w:sz="8" w:color="auto"/>
            </w:tcBorders>
            <w:shd w:val="clear" w:color="auto" w:fill="C0C0C0"/>
          </w:tcPr>
          <w:p>
            <w:pPr>
              <w:spacing w:after="0"/>
              <w:rPr>
                <w:sz w:val="21"/>
                <w:szCs w:val="21"/>
                <w:color w:val="auto"/>
              </w:rPr>
            </w:pPr>
          </w:p>
        </w:tc>
        <w:tc>
          <w:tcPr>
            <w:tcW w:w="220" w:type="dxa"/>
            <w:vAlign w:val="bottom"/>
            <w:tcBorders>
              <w:top w:val="single" w:sz="8" w:color="auto"/>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1000" w:type="dxa"/>
            <w:vAlign w:val="bottom"/>
            <w:tcBorders>
              <w:top w:val="single" w:sz="8" w:color="auto"/>
            </w:tcBorders>
            <w:shd w:val="clear" w:color="auto" w:fill="C0C0C0"/>
          </w:tcPr>
          <w:p>
            <w:pPr>
              <w:spacing w:after="0"/>
              <w:rPr>
                <w:sz w:val="21"/>
                <w:szCs w:val="21"/>
                <w:color w:val="auto"/>
              </w:rPr>
            </w:pPr>
          </w:p>
        </w:tc>
        <w:tc>
          <w:tcPr>
            <w:tcW w:w="200" w:type="dxa"/>
            <w:vAlign w:val="bottom"/>
            <w:tcBorders>
              <w:top w:val="single" w:sz="8" w:color="auto"/>
            </w:tcBorders>
            <w:shd w:val="clear" w:color="auto" w:fill="C0C0C0"/>
          </w:tcPr>
          <w:p>
            <w:pPr>
              <w:spacing w:after="0"/>
              <w:rPr>
                <w:sz w:val="21"/>
                <w:szCs w:val="21"/>
                <w:color w:val="auto"/>
              </w:rPr>
            </w:pPr>
          </w:p>
        </w:tc>
        <w:tc>
          <w:tcPr>
            <w:tcW w:w="900" w:type="dxa"/>
            <w:vAlign w:val="bottom"/>
            <w:tcBorders>
              <w:top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4"/>
        </w:trPr>
        <w:tc>
          <w:tcPr>
            <w:tcW w:w="6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183,513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183,513</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230,933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230,933</w:t>
            </w:r>
          </w:p>
        </w:tc>
        <w:tc>
          <w:tcPr>
            <w:tcW w:w="20" w:type="dxa"/>
            <w:vAlign w:val="bottom"/>
          </w:tcPr>
          <w:p>
            <w:pPr>
              <w:spacing w:after="0"/>
              <w:rPr>
                <w:sz w:val="20"/>
                <w:szCs w:val="20"/>
                <w:color w:val="auto"/>
              </w:rPr>
            </w:pPr>
          </w:p>
        </w:tc>
      </w:tr>
      <w:tr>
        <w:trPr>
          <w:trHeight w:val="252"/>
        </w:trPr>
        <w:tc>
          <w:tcPr>
            <w:tcW w:w="678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Investment securities</w:t>
            </w:r>
          </w:p>
        </w:tc>
        <w:tc>
          <w:tcPr>
            <w:tcW w:w="12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435,391</w:t>
            </w:r>
          </w:p>
        </w:tc>
        <w:tc>
          <w:tcPr>
            <w:tcW w:w="20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435,391</w:t>
            </w:r>
          </w:p>
        </w:tc>
        <w:tc>
          <w:tcPr>
            <w:tcW w:w="2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441,534</w:t>
            </w:r>
          </w:p>
        </w:tc>
        <w:tc>
          <w:tcPr>
            <w:tcW w:w="20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441,534</w:t>
            </w:r>
          </w:p>
        </w:tc>
        <w:tc>
          <w:tcPr>
            <w:tcW w:w="20" w:type="dxa"/>
            <w:vAlign w:val="bottom"/>
          </w:tcPr>
          <w:p>
            <w:pPr>
              <w:spacing w:after="0"/>
              <w:rPr>
                <w:sz w:val="21"/>
                <w:szCs w:val="21"/>
                <w:color w:val="auto"/>
              </w:rPr>
            </w:pPr>
          </w:p>
        </w:tc>
      </w:tr>
      <w:tr>
        <w:trPr>
          <w:trHeight w:val="234"/>
        </w:trPr>
        <w:tc>
          <w:tcPr>
            <w:tcW w:w="6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Loans, net</w:t>
            </w:r>
          </w:p>
        </w:tc>
        <w:tc>
          <w:tcPr>
            <w:tcW w:w="12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780,046</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782,301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711,362</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711,090</w:t>
            </w:r>
          </w:p>
        </w:tc>
        <w:tc>
          <w:tcPr>
            <w:tcW w:w="20" w:type="dxa"/>
            <w:vAlign w:val="bottom"/>
          </w:tcPr>
          <w:p>
            <w:pPr>
              <w:spacing w:after="0"/>
              <w:rPr>
                <w:sz w:val="20"/>
                <w:szCs w:val="20"/>
                <w:color w:val="auto"/>
              </w:rPr>
            </w:pPr>
          </w:p>
        </w:tc>
      </w:tr>
      <w:tr>
        <w:trPr>
          <w:trHeight w:val="247"/>
        </w:trPr>
        <w:tc>
          <w:tcPr>
            <w:tcW w:w="6780" w:type="dxa"/>
            <w:vAlign w:val="bottom"/>
            <w:tcBorders>
              <w:bottom w:val="single" w:sz="8" w:color="auto"/>
            </w:tcBorders>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20" w:type="dxa"/>
            <w:vAlign w:val="bottom"/>
            <w:tcBorders>
              <w:bottom w:val="single" w:sz="8" w:color="auto"/>
            </w:tcBorders>
            <w:shd w:val="clear" w:color="auto" w:fill="C0C0C0"/>
          </w:tcPr>
          <w:p>
            <w:pPr>
              <w:spacing w:after="0"/>
              <w:rPr>
                <w:sz w:val="21"/>
                <w:szCs w:val="21"/>
                <w:color w:val="auto"/>
              </w:rPr>
            </w:pPr>
          </w:p>
        </w:tc>
        <w:tc>
          <w:tcPr>
            <w:tcW w:w="980" w:type="dxa"/>
            <w:vAlign w:val="bottom"/>
            <w:tcBorders>
              <w:bottom w:val="single" w:sz="8" w:color="auto"/>
            </w:tcBorders>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7,180</w:t>
            </w:r>
          </w:p>
        </w:tc>
        <w:tc>
          <w:tcPr>
            <w:tcW w:w="20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220" w:type="dxa"/>
            <w:vAlign w:val="bottom"/>
            <w:tcBorders>
              <w:bottom w:val="single" w:sz="8" w:color="auto"/>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1000" w:type="dxa"/>
            <w:vAlign w:val="bottom"/>
            <w:tcBorders>
              <w:bottom w:val="single" w:sz="8" w:color="auto"/>
            </w:tcBorders>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7,069</w:t>
            </w:r>
          </w:p>
        </w:tc>
        <w:tc>
          <w:tcPr>
            <w:tcW w:w="20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7,069</w:t>
            </w:r>
          </w:p>
        </w:tc>
        <w:tc>
          <w:tcPr>
            <w:tcW w:w="20" w:type="dxa"/>
            <w:vAlign w:val="bottom"/>
          </w:tcPr>
          <w:p>
            <w:pPr>
              <w:spacing w:after="0"/>
              <w:rPr>
                <w:sz w:val="21"/>
                <w:szCs w:val="21"/>
                <w:color w:val="auto"/>
              </w:rPr>
            </w:pPr>
          </w:p>
        </w:tc>
      </w:tr>
      <w:tr>
        <w:trPr>
          <w:trHeight w:val="237"/>
        </w:trPr>
        <w:tc>
          <w:tcPr>
            <w:tcW w:w="6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1,406,130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1,408,385</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1,390,898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1,390,626</w:t>
            </w:r>
          </w:p>
        </w:tc>
        <w:tc>
          <w:tcPr>
            <w:tcW w:w="20" w:type="dxa"/>
            <w:vAlign w:val="bottom"/>
          </w:tcPr>
          <w:p>
            <w:pPr>
              <w:spacing w:after="0"/>
              <w:rPr>
                <w:sz w:val="20"/>
                <w:szCs w:val="20"/>
                <w:color w:val="auto"/>
              </w:rPr>
            </w:pPr>
          </w:p>
        </w:tc>
      </w:tr>
      <w:tr>
        <w:trPr>
          <w:trHeight w:val="241"/>
        </w:trPr>
        <w:tc>
          <w:tcPr>
            <w:tcW w:w="678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Balance sheet liabilities:</w:t>
            </w:r>
          </w:p>
        </w:tc>
        <w:tc>
          <w:tcPr>
            <w:tcW w:w="120" w:type="dxa"/>
            <w:vAlign w:val="bottom"/>
            <w:shd w:val="clear" w:color="auto" w:fill="C0C0C0"/>
          </w:tcPr>
          <w:p>
            <w:pPr>
              <w:spacing w:after="0"/>
              <w:rPr>
                <w:sz w:val="20"/>
                <w:szCs w:val="20"/>
                <w:color w:val="auto"/>
              </w:rPr>
            </w:pPr>
          </w:p>
        </w:tc>
        <w:tc>
          <w:tcPr>
            <w:tcW w:w="98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90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0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90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6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Deposits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636,629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637,586</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721,926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722,018</w:t>
            </w:r>
          </w:p>
        </w:tc>
        <w:tc>
          <w:tcPr>
            <w:tcW w:w="20" w:type="dxa"/>
            <w:vAlign w:val="bottom"/>
          </w:tcPr>
          <w:p>
            <w:pPr>
              <w:spacing w:after="0"/>
              <w:rPr>
                <w:sz w:val="20"/>
                <w:szCs w:val="20"/>
                <w:color w:val="auto"/>
              </w:rPr>
            </w:pPr>
          </w:p>
        </w:tc>
      </w:tr>
      <w:tr>
        <w:trPr>
          <w:trHeight w:val="252"/>
        </w:trPr>
        <w:tc>
          <w:tcPr>
            <w:tcW w:w="678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12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794,871</w:t>
            </w:r>
          </w:p>
        </w:tc>
        <w:tc>
          <w:tcPr>
            <w:tcW w:w="20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794,871</w:t>
            </w:r>
          </w:p>
        </w:tc>
        <w:tc>
          <w:tcPr>
            <w:tcW w:w="2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694,360</w:t>
            </w:r>
          </w:p>
        </w:tc>
        <w:tc>
          <w:tcPr>
            <w:tcW w:w="20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694,360</w:t>
            </w:r>
          </w:p>
        </w:tc>
        <w:tc>
          <w:tcPr>
            <w:tcW w:w="20" w:type="dxa"/>
            <w:vAlign w:val="bottom"/>
          </w:tcPr>
          <w:p>
            <w:pPr>
              <w:spacing w:after="0"/>
              <w:rPr>
                <w:sz w:val="21"/>
                <w:szCs w:val="21"/>
                <w:color w:val="auto"/>
              </w:rPr>
            </w:pPr>
          </w:p>
        </w:tc>
      </w:tr>
      <w:tr>
        <w:trPr>
          <w:trHeight w:val="239"/>
        </w:trPr>
        <w:tc>
          <w:tcPr>
            <w:tcW w:w="67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20"/>
                <w:szCs w:val="20"/>
                <w:color w:val="auto"/>
              </w:rPr>
            </w:pPr>
          </w:p>
        </w:tc>
      </w:tr>
      <w:tr>
        <w:trPr>
          <w:trHeight w:val="248"/>
        </w:trPr>
        <w:tc>
          <w:tcPr>
            <w:tcW w:w="6780" w:type="dxa"/>
            <w:vAlign w:val="bottom"/>
            <w:tcBorders>
              <w:bottom w:val="single" w:sz="8" w:color="auto"/>
            </w:tcBorders>
            <w:shd w:val="clear" w:color="auto" w:fill="C0C0C0"/>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1,431,691</w:t>
            </w:r>
          </w:p>
        </w:tc>
        <w:tc>
          <w:tcPr>
            <w:tcW w:w="20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1,432,648</w:t>
            </w:r>
          </w:p>
        </w:tc>
        <w:tc>
          <w:tcPr>
            <w:tcW w:w="220" w:type="dxa"/>
            <w:vAlign w:val="bottom"/>
            <w:tcBorders>
              <w:bottom w:val="single" w:sz="8" w:color="auto"/>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1,416,377</w:t>
            </w:r>
          </w:p>
        </w:tc>
        <w:tc>
          <w:tcPr>
            <w:tcW w:w="20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1,416,469</w:t>
            </w:r>
          </w:p>
        </w:tc>
        <w:tc>
          <w:tcPr>
            <w:tcW w:w="20" w:type="dxa"/>
            <w:vAlign w:val="bottom"/>
          </w:tcPr>
          <w:p>
            <w:pPr>
              <w:spacing w:after="0"/>
              <w:rPr>
                <w:sz w:val="21"/>
                <w:szCs w:val="2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instruments for which it is practicable to estimate that value: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Cash and Cash Equivalents – </w:t>
      </w:r>
      <w:r>
        <w:rPr>
          <w:rFonts w:ascii="Times New Roman" w:cs="Times New Roman" w:eastAsia="Times New Roman" w:hAnsi="Times New Roman"/>
          <w:sz w:val="18"/>
          <w:szCs w:val="18"/>
          <w:color w:val="auto"/>
        </w:rPr>
        <w:t>The carrying amount approximates fair value.</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Investment in Securities – </w:t>
      </w:r>
      <w:r>
        <w:rPr>
          <w:rFonts w:ascii="Times New Roman" w:cs="Times New Roman" w:eastAsia="Times New Roman" w:hAnsi="Times New Roman"/>
          <w:sz w:val="18"/>
          <w:szCs w:val="18"/>
          <w:color w:val="auto"/>
        </w:rPr>
        <w:t>The fair value is measured on a recurring basis using Level 2 valuations. Refer to Note 11, “Investment in Securities,” for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unrealized gains and losses by investment type.</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Loans – </w:t>
      </w:r>
      <w:r>
        <w:rPr>
          <w:rFonts w:ascii="Times New Roman" w:cs="Times New Roman" w:eastAsia="Times New Roman" w:hAnsi="Times New Roman"/>
          <w:sz w:val="18"/>
          <w:szCs w:val="18"/>
          <w:color w:val="auto"/>
        </w:rPr>
        <w:t>The fair value is estimated using present values of future cash flows discounted at risk-adjusted interest rates for each loan category designated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and is therefore a Level 3 valuation. Management believes that the risk factor embedded in the interest rates along with the allowance for loan losses result in a fair valuation.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Accrued Interest Receivable – </w:t>
      </w:r>
      <w:r>
        <w:rPr>
          <w:rFonts w:ascii="Times New Roman" w:cs="Times New Roman" w:eastAsia="Times New Roman" w:hAnsi="Times New Roman"/>
          <w:sz w:val="18"/>
          <w:szCs w:val="18"/>
          <w:color w:val="auto"/>
        </w:rPr>
        <w:t>The carrying amount approximates fair value.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Deposits – </w:t>
      </w:r>
      <w:r>
        <w:rPr>
          <w:rFonts w:ascii="Times New Roman" w:cs="Times New Roman" w:eastAsia="Times New Roman" w:hAnsi="Times New Roman"/>
          <w:sz w:val="18"/>
          <w:szCs w:val="18"/>
          <w:color w:val="auto"/>
        </w:rPr>
        <w:t>The fair value of demand deposits, savings deposits and certain money market deposits is the amount payable on demand at the reporting date.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of fixed-maturity certificates of deposit is estimated using the rates currently offered for deposits of similar remaining maturities and therefore, is a Level 2 valuation. The fair value estimates above do not include the benefit that results from the low-cost funding provided by the deposit liabilities compared to the cost of borrowing funds in the market or the benefit derived from the customer relationship inherent in existing deposits.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Accounts and Drafts Payable – </w:t>
      </w:r>
      <w:r>
        <w:rPr>
          <w:rFonts w:ascii="Times New Roman" w:cs="Times New Roman" w:eastAsia="Times New Roman" w:hAnsi="Times New Roman"/>
          <w:sz w:val="18"/>
          <w:szCs w:val="18"/>
          <w:color w:val="auto"/>
        </w:rPr>
        <w:t>The carrying amount approximates fair value.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 xml:space="preserve">Accrued Interest – </w:t>
      </w:r>
      <w:r>
        <w:rPr>
          <w:rFonts w:ascii="Times New Roman" w:cs="Times New Roman" w:eastAsia="Times New Roman" w:hAnsi="Times New Roman"/>
          <w:sz w:val="18"/>
          <w:szCs w:val="18"/>
          <w:color w:val="auto"/>
        </w:rPr>
        <w:t>The carrying amount approximates fair value.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transfers between Levels 1 and 2 of the fair value hierarchy for the six months ended June 30, 2019 and 2018. No financial instruments are measured using Level 3 inputs for the six months ended June 30, 2019 and 2018.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13 – Revenue from Contracts with Customers</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January 1, 2018, the Company adopted FASB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(“FASB ASC 606”) and selected the modified retrospective transition method. The adoption of this new standard did not impact the Company’s results of operations or balance sheet and there was no cumulative effect of initially applying this new revenue standard to the opening balance of retained earnings. Since interest income on loans and securities are both excluded from this topic, a significant portion of the Company’s revenues are not subject to the new guidance. The services that fall within the scope of FASB ASC 606 are presented within fee revenue and other income in the Consolidated Statements of Income and are recognized as revenue as the obligation to the customer is satisfied. Services within the scope of FASB ASC 606 include invoice processing and payment fees, bank service fees, and other real estate owned (“OREO”).</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Invoice processing fees </w:t>
      </w:r>
      <w:r>
        <w:rPr>
          <w:rFonts w:ascii="Times New Roman" w:cs="Times New Roman" w:eastAsia="Times New Roman" w:hAnsi="Times New Roman"/>
          <w:sz w:val="18"/>
          <w:szCs w:val="18"/>
          <w:color w:val="auto"/>
        </w:rPr>
        <w:t>– The Company earns fees on a per-item or monthly basis for the invoice processing services rendered on behalf of customers. Per-item fees are recognized at the point in time when the performance obligation is satisfied. Monthly fees are earned over the course of a month, representing the period over which the performance obligation is satisfied. The contracts have no significant impact of variable consideration and no significant financing components.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Invoice payment fees </w:t>
      </w:r>
      <w:r>
        <w:rPr>
          <w:rFonts w:ascii="Times New Roman" w:cs="Times New Roman" w:eastAsia="Times New Roman" w:hAnsi="Times New Roman"/>
          <w:sz w:val="18"/>
          <w:szCs w:val="18"/>
          <w:color w:val="auto"/>
        </w:rPr>
        <w:t>– The Company earns fees on a transaction level basis for invoice payment services when making customer payments. Fees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at the point in time when the payment transactions are made, which is when the performance obligation is satisfied. The contracts have no significant impact of variable consideration and no significant financing components.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Bank service fees </w:t>
      </w:r>
      <w:r>
        <w:rPr>
          <w:rFonts w:ascii="Times New Roman" w:cs="Times New Roman" w:eastAsia="Times New Roman" w:hAnsi="Times New Roman"/>
          <w:sz w:val="18"/>
          <w:szCs w:val="18"/>
          <w:color w:val="auto"/>
        </w:rPr>
        <w:t>– Revenue from service fees consists of service charges and fees on deposit accounts under depository agreements with customers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access to deposited funds. Service charges on deposit accounts are transaction based fees that are recognized at the point in time when the performance obligation is satisfied. Service charges are recognized on a monthly basis representing the period over which the performance obligation is satisfied. The contracts have no significant impact of variable consideration and no significant financing components.</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OREO </w:t>
      </w:r>
      <w:r>
        <w:rPr>
          <w:rFonts w:ascii="Times New Roman" w:cs="Times New Roman" w:eastAsia="Times New Roman" w:hAnsi="Times New Roman"/>
          <w:sz w:val="18"/>
          <w:szCs w:val="18"/>
          <w:color w:val="auto"/>
        </w:rPr>
        <w:t>– The Company currently does not have any OREO and has not in recent years. Net gains or losses would be recorded when other real estate is sold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third party and substantially all of the consideration for the transfer of property is received.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For the Six Months</w:t>
            </w:r>
          </w:p>
        </w:tc>
      </w:tr>
      <w:tr>
        <w:trPr>
          <w:trHeight w:val="264"/>
        </w:trPr>
        <w:tc>
          <w:tcPr>
            <w:tcW w:w="7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2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Ended June 30,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8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Ended June 30,</w:t>
            </w:r>
          </w:p>
        </w:tc>
      </w:tr>
      <w:tr>
        <w:trPr>
          <w:trHeight w:val="250"/>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Borders>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43"/>
        </w:trPr>
        <w:tc>
          <w:tcPr>
            <w:tcW w:w="720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Fee revenue and other income</w:t>
            </w:r>
          </w:p>
        </w:tc>
        <w:tc>
          <w:tcPr>
            <w:tcW w:w="2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r>
      <w:tr>
        <w:trPr>
          <w:trHeight w:val="236"/>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In-scope of FASB ASC 606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50"/>
        </w:trPr>
        <w:tc>
          <w:tcPr>
            <w:tcW w:w="7200" w:type="dxa"/>
            <w:vAlign w:val="bottom"/>
            <w:shd w:val="clear" w:color="auto" w:fill="C0C0C0"/>
          </w:tcPr>
          <w:p>
            <w:pPr>
              <w:ind w:left="540"/>
              <w:spacing w:after="0"/>
              <w:rPr>
                <w:sz w:val="20"/>
                <w:szCs w:val="20"/>
                <w:color w:val="auto"/>
              </w:rPr>
            </w:pPr>
            <w:r>
              <w:rPr>
                <w:rFonts w:ascii="Times New Roman" w:cs="Times New Roman" w:eastAsia="Times New Roman" w:hAnsi="Times New Roman"/>
                <w:sz w:val="18"/>
                <w:szCs w:val="18"/>
                <w:color w:val="auto"/>
              </w:rPr>
              <w:t>Invoice processing fees</w:t>
            </w:r>
          </w:p>
        </w:tc>
        <w:tc>
          <w:tcPr>
            <w:tcW w:w="400" w:type="dxa"/>
            <w:vAlign w:val="bottom"/>
            <w:gridSpan w:val="3"/>
            <w:shd w:val="clear" w:color="auto" w:fill="C0C0C0"/>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0C0C0"/>
          </w:tcPr>
          <w:p>
            <w:pPr>
              <w:jc w:val="right"/>
              <w:ind w:right="100"/>
              <w:spacing w:after="0"/>
              <w:rPr>
                <w:sz w:val="20"/>
                <w:szCs w:val="20"/>
                <w:color w:val="auto"/>
              </w:rPr>
            </w:pPr>
            <w:r>
              <w:rPr>
                <w:rFonts w:ascii="Times New Roman" w:cs="Times New Roman" w:eastAsia="Times New Roman" w:hAnsi="Times New Roman"/>
                <w:sz w:val="18"/>
                <w:szCs w:val="18"/>
                <w:color w:val="auto"/>
              </w:rPr>
              <w:t>20,447</w:t>
            </w:r>
          </w:p>
        </w:tc>
        <w:tc>
          <w:tcPr>
            <w:tcW w:w="2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0C0C0"/>
          </w:tcPr>
          <w:p>
            <w:pPr>
              <w:jc w:val="right"/>
              <w:ind w:right="100"/>
              <w:spacing w:after="0"/>
              <w:rPr>
                <w:sz w:val="20"/>
                <w:szCs w:val="20"/>
                <w:color w:val="auto"/>
              </w:rPr>
            </w:pPr>
            <w:r>
              <w:rPr>
                <w:rFonts w:ascii="Times New Roman" w:cs="Times New Roman" w:eastAsia="Times New Roman" w:hAnsi="Times New Roman"/>
                <w:sz w:val="18"/>
                <w:szCs w:val="18"/>
                <w:color w:val="auto"/>
              </w:rPr>
              <w:t>19,467</w:t>
            </w:r>
          </w:p>
        </w:tc>
        <w:tc>
          <w:tcPr>
            <w:tcW w:w="220" w:type="dxa"/>
            <w:vAlign w:val="bottom"/>
            <w:gridSpan w:val="2"/>
            <w:shd w:val="clear" w:color="auto" w:fill="C0C0C0"/>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0C0C0"/>
          </w:tcPr>
          <w:p>
            <w:pPr>
              <w:jc w:val="right"/>
              <w:ind w:right="120"/>
              <w:spacing w:after="0"/>
              <w:rPr>
                <w:sz w:val="20"/>
                <w:szCs w:val="20"/>
                <w:color w:val="auto"/>
              </w:rPr>
            </w:pPr>
            <w:r>
              <w:rPr>
                <w:rFonts w:ascii="Times New Roman" w:cs="Times New Roman" w:eastAsia="Times New Roman" w:hAnsi="Times New Roman"/>
                <w:sz w:val="18"/>
                <w:szCs w:val="18"/>
                <w:color w:val="auto"/>
              </w:rPr>
              <w:t>40,989</w:t>
            </w:r>
          </w:p>
        </w:tc>
        <w:tc>
          <w:tcPr>
            <w:tcW w:w="2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38,616</w:t>
            </w:r>
          </w:p>
        </w:tc>
      </w:tr>
      <w:tr>
        <w:trPr>
          <w:trHeight w:val="239"/>
        </w:trPr>
        <w:tc>
          <w:tcPr>
            <w:tcW w:w="7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Invoice payment fees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6,405</w:t>
            </w:r>
          </w:p>
        </w:tc>
        <w:tc>
          <w:tcPr>
            <w:tcW w:w="2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12,320</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11,432</w:t>
            </w:r>
          </w:p>
        </w:tc>
      </w:tr>
      <w:tr>
        <w:trPr>
          <w:trHeight w:val="241"/>
        </w:trPr>
        <w:tc>
          <w:tcPr>
            <w:tcW w:w="7200" w:type="dxa"/>
            <w:vAlign w:val="bottom"/>
            <w:tcBorders>
              <w:top w:val="single" w:sz="8" w:color="C0C0C0"/>
            </w:tcBorders>
            <w:shd w:val="clear" w:color="auto" w:fill="C0C0C0"/>
          </w:tcPr>
          <w:p>
            <w:pPr>
              <w:ind w:left="820"/>
              <w:spacing w:after="0"/>
              <w:rPr>
                <w:sz w:val="20"/>
                <w:szCs w:val="20"/>
                <w:color w:val="auto"/>
              </w:rPr>
            </w:pPr>
            <w:r>
              <w:rPr>
                <w:rFonts w:ascii="Times New Roman" w:cs="Times New Roman" w:eastAsia="Times New Roman" w:hAnsi="Times New Roman"/>
                <w:sz w:val="18"/>
                <w:szCs w:val="18"/>
                <w:color w:val="auto"/>
              </w:rPr>
              <w:t>Information services payment and processing revenue</w:t>
            </w:r>
          </w:p>
        </w:tc>
        <w:tc>
          <w:tcPr>
            <w:tcW w:w="220" w:type="dxa"/>
            <w:vAlign w:val="bottom"/>
            <w:tcBorders>
              <w:top w:val="single" w:sz="8" w:color="C0C0C0"/>
            </w:tcBorders>
            <w:shd w:val="clear" w:color="auto" w:fill="C0C0C0"/>
          </w:tcPr>
          <w:p>
            <w:pPr>
              <w:spacing w:after="0"/>
              <w:rPr>
                <w:sz w:val="20"/>
                <w:szCs w:val="20"/>
                <w:color w:val="auto"/>
              </w:rPr>
            </w:pPr>
          </w:p>
        </w:tc>
        <w:tc>
          <w:tcPr>
            <w:tcW w:w="120" w:type="dxa"/>
            <w:vAlign w:val="bottom"/>
            <w:tcBorders>
              <w:top w:val="single" w:sz="8" w:color="C0C0C0"/>
            </w:tcBorders>
            <w:shd w:val="clear" w:color="auto" w:fill="C0C0C0"/>
          </w:tcPr>
          <w:p>
            <w:pPr>
              <w:spacing w:after="0"/>
              <w:rPr>
                <w:sz w:val="20"/>
                <w:szCs w:val="20"/>
                <w:color w:val="auto"/>
              </w:rPr>
            </w:pPr>
          </w:p>
        </w:tc>
        <w:tc>
          <w:tcPr>
            <w:tcW w:w="60" w:type="dxa"/>
            <w:vAlign w:val="bottom"/>
            <w:tcBorders>
              <w:top w:val="single" w:sz="8" w:color="auto"/>
            </w:tcBorders>
            <w:shd w:val="clear" w:color="auto" w:fill="C0C0C0"/>
          </w:tcPr>
          <w:p>
            <w:pPr>
              <w:spacing w:after="0"/>
              <w:rPr>
                <w:sz w:val="20"/>
                <w:szCs w:val="20"/>
                <w:color w:val="auto"/>
              </w:rPr>
            </w:pPr>
          </w:p>
        </w:tc>
        <w:tc>
          <w:tcPr>
            <w:tcW w:w="66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26,852</w:t>
            </w:r>
          </w:p>
        </w:tc>
        <w:tc>
          <w:tcPr>
            <w:tcW w:w="100" w:type="dxa"/>
            <w:vAlign w:val="bottom"/>
            <w:tcBorders>
              <w:top w:val="single" w:sz="8" w:color="C0C0C0"/>
            </w:tcBorders>
            <w:shd w:val="clear" w:color="auto" w:fill="C0C0C0"/>
          </w:tcPr>
          <w:p>
            <w:pPr>
              <w:spacing w:after="0"/>
              <w:rPr>
                <w:sz w:val="20"/>
                <w:szCs w:val="20"/>
                <w:color w:val="auto"/>
              </w:rPr>
            </w:pPr>
          </w:p>
        </w:tc>
        <w:tc>
          <w:tcPr>
            <w:tcW w:w="220" w:type="dxa"/>
            <w:vAlign w:val="bottom"/>
            <w:tcBorders>
              <w:top w:val="single" w:sz="8" w:color="C0C0C0"/>
            </w:tcBorders>
            <w:shd w:val="clear" w:color="auto" w:fill="C0C0C0"/>
          </w:tcPr>
          <w:p>
            <w:pPr>
              <w:spacing w:after="0"/>
              <w:rPr>
                <w:sz w:val="20"/>
                <w:szCs w:val="20"/>
                <w:color w:val="auto"/>
              </w:rPr>
            </w:pPr>
          </w:p>
        </w:tc>
        <w:tc>
          <w:tcPr>
            <w:tcW w:w="74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25,221</w:t>
            </w:r>
          </w:p>
        </w:tc>
        <w:tc>
          <w:tcPr>
            <w:tcW w:w="100" w:type="dxa"/>
            <w:vAlign w:val="bottom"/>
            <w:tcBorders>
              <w:top w:val="single" w:sz="8" w:color="C0C0C0"/>
            </w:tcBorders>
            <w:shd w:val="clear" w:color="auto" w:fill="C0C0C0"/>
          </w:tcPr>
          <w:p>
            <w:pPr>
              <w:spacing w:after="0"/>
              <w:rPr>
                <w:sz w:val="20"/>
                <w:szCs w:val="20"/>
                <w:color w:val="auto"/>
              </w:rPr>
            </w:pPr>
          </w:p>
        </w:tc>
        <w:tc>
          <w:tcPr>
            <w:tcW w:w="100" w:type="dxa"/>
            <w:vAlign w:val="bottom"/>
            <w:tcBorders>
              <w:top w:val="single" w:sz="8" w:color="C0C0C0"/>
            </w:tcBorders>
            <w:shd w:val="clear" w:color="auto" w:fill="C0C0C0"/>
          </w:tcPr>
          <w:p>
            <w:pPr>
              <w:spacing w:after="0"/>
              <w:rPr>
                <w:sz w:val="20"/>
                <w:szCs w:val="20"/>
                <w:color w:val="auto"/>
              </w:rPr>
            </w:pPr>
          </w:p>
        </w:tc>
        <w:tc>
          <w:tcPr>
            <w:tcW w:w="120" w:type="dxa"/>
            <w:vAlign w:val="bottom"/>
            <w:tcBorders>
              <w:top w:val="single" w:sz="8" w:color="C0C0C0"/>
            </w:tcBorders>
            <w:shd w:val="clear" w:color="auto" w:fill="C0C0C0"/>
          </w:tcPr>
          <w:p>
            <w:pPr>
              <w:spacing w:after="0"/>
              <w:rPr>
                <w:sz w:val="20"/>
                <w:szCs w:val="20"/>
                <w:color w:val="auto"/>
              </w:rPr>
            </w:pPr>
          </w:p>
        </w:tc>
        <w:tc>
          <w:tcPr>
            <w:tcW w:w="72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53,309</w:t>
            </w:r>
          </w:p>
        </w:tc>
        <w:tc>
          <w:tcPr>
            <w:tcW w:w="120" w:type="dxa"/>
            <w:vAlign w:val="bottom"/>
            <w:tcBorders>
              <w:top w:val="single" w:sz="8" w:color="C0C0C0"/>
            </w:tcBorders>
            <w:shd w:val="clear" w:color="auto" w:fill="C0C0C0"/>
          </w:tcPr>
          <w:p>
            <w:pPr>
              <w:spacing w:after="0"/>
              <w:rPr>
                <w:sz w:val="20"/>
                <w:szCs w:val="20"/>
                <w:color w:val="auto"/>
              </w:rPr>
            </w:pPr>
          </w:p>
        </w:tc>
        <w:tc>
          <w:tcPr>
            <w:tcW w:w="220" w:type="dxa"/>
            <w:vAlign w:val="bottom"/>
            <w:tcBorders>
              <w:top w:val="single" w:sz="8" w:color="C0C0C0"/>
            </w:tcBorders>
            <w:shd w:val="clear" w:color="auto" w:fill="C0C0C0"/>
          </w:tcPr>
          <w:p>
            <w:pPr>
              <w:spacing w:after="0"/>
              <w:rPr>
                <w:sz w:val="20"/>
                <w:szCs w:val="20"/>
                <w:color w:val="auto"/>
              </w:rPr>
            </w:pPr>
          </w:p>
        </w:tc>
        <w:tc>
          <w:tcPr>
            <w:tcW w:w="72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50,048</w:t>
            </w:r>
          </w:p>
        </w:tc>
      </w:tr>
      <w:tr>
        <w:trPr>
          <w:trHeight w:val="239"/>
        </w:trPr>
        <w:tc>
          <w:tcPr>
            <w:tcW w:w="7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Bank service fees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c>
          <w:tcPr>
            <w:tcW w:w="2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677</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41"/>
        </w:trPr>
        <w:tc>
          <w:tcPr>
            <w:tcW w:w="7200" w:type="dxa"/>
            <w:vAlign w:val="bottom"/>
            <w:tcBorders>
              <w:top w:val="single" w:sz="8" w:color="C0C0C0"/>
            </w:tcBorders>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Fee revenue (in-scope of FASB ASC 606)</w:t>
            </w:r>
          </w:p>
        </w:tc>
        <w:tc>
          <w:tcPr>
            <w:tcW w:w="220" w:type="dxa"/>
            <w:vAlign w:val="bottom"/>
            <w:tcBorders>
              <w:top w:val="single" w:sz="8" w:color="C0C0C0"/>
            </w:tcBorders>
            <w:shd w:val="clear" w:color="auto" w:fill="C0C0C0"/>
          </w:tcPr>
          <w:p>
            <w:pPr>
              <w:spacing w:after="0"/>
              <w:rPr>
                <w:sz w:val="20"/>
                <w:szCs w:val="20"/>
                <w:color w:val="auto"/>
              </w:rPr>
            </w:pPr>
          </w:p>
        </w:tc>
        <w:tc>
          <w:tcPr>
            <w:tcW w:w="120" w:type="dxa"/>
            <w:vAlign w:val="bottom"/>
            <w:tcBorders>
              <w:top w:val="single" w:sz="8" w:color="C0C0C0"/>
            </w:tcBorders>
            <w:shd w:val="clear" w:color="auto" w:fill="C0C0C0"/>
          </w:tcPr>
          <w:p>
            <w:pPr>
              <w:spacing w:after="0"/>
              <w:rPr>
                <w:sz w:val="20"/>
                <w:szCs w:val="20"/>
                <w:color w:val="auto"/>
              </w:rPr>
            </w:pPr>
          </w:p>
        </w:tc>
        <w:tc>
          <w:tcPr>
            <w:tcW w:w="60" w:type="dxa"/>
            <w:vAlign w:val="bottom"/>
            <w:tcBorders>
              <w:top w:val="single" w:sz="8" w:color="auto"/>
            </w:tcBorders>
            <w:shd w:val="clear" w:color="auto" w:fill="C0C0C0"/>
          </w:tcPr>
          <w:p>
            <w:pPr>
              <w:spacing w:after="0"/>
              <w:rPr>
                <w:sz w:val="20"/>
                <w:szCs w:val="20"/>
                <w:color w:val="auto"/>
              </w:rPr>
            </w:pPr>
          </w:p>
        </w:tc>
        <w:tc>
          <w:tcPr>
            <w:tcW w:w="66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27,153</w:t>
            </w:r>
          </w:p>
        </w:tc>
        <w:tc>
          <w:tcPr>
            <w:tcW w:w="100" w:type="dxa"/>
            <w:vAlign w:val="bottom"/>
            <w:tcBorders>
              <w:top w:val="single" w:sz="8" w:color="C0C0C0"/>
            </w:tcBorders>
            <w:shd w:val="clear" w:color="auto" w:fill="C0C0C0"/>
          </w:tcPr>
          <w:p>
            <w:pPr>
              <w:spacing w:after="0"/>
              <w:rPr>
                <w:sz w:val="20"/>
                <w:szCs w:val="20"/>
                <w:color w:val="auto"/>
              </w:rPr>
            </w:pPr>
          </w:p>
        </w:tc>
        <w:tc>
          <w:tcPr>
            <w:tcW w:w="220" w:type="dxa"/>
            <w:vAlign w:val="bottom"/>
            <w:tcBorders>
              <w:top w:val="single" w:sz="8" w:color="C0C0C0"/>
            </w:tcBorders>
            <w:shd w:val="clear" w:color="auto" w:fill="C0C0C0"/>
          </w:tcPr>
          <w:p>
            <w:pPr>
              <w:spacing w:after="0"/>
              <w:rPr>
                <w:sz w:val="20"/>
                <w:szCs w:val="20"/>
                <w:color w:val="auto"/>
              </w:rPr>
            </w:pPr>
          </w:p>
        </w:tc>
        <w:tc>
          <w:tcPr>
            <w:tcW w:w="74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25,580</w:t>
            </w:r>
          </w:p>
        </w:tc>
        <w:tc>
          <w:tcPr>
            <w:tcW w:w="100" w:type="dxa"/>
            <w:vAlign w:val="bottom"/>
            <w:tcBorders>
              <w:top w:val="single" w:sz="8" w:color="C0C0C0"/>
            </w:tcBorders>
            <w:shd w:val="clear" w:color="auto" w:fill="C0C0C0"/>
          </w:tcPr>
          <w:p>
            <w:pPr>
              <w:spacing w:after="0"/>
              <w:rPr>
                <w:sz w:val="20"/>
                <w:szCs w:val="20"/>
                <w:color w:val="auto"/>
              </w:rPr>
            </w:pPr>
          </w:p>
        </w:tc>
        <w:tc>
          <w:tcPr>
            <w:tcW w:w="100" w:type="dxa"/>
            <w:vAlign w:val="bottom"/>
            <w:tcBorders>
              <w:top w:val="single" w:sz="8" w:color="C0C0C0"/>
            </w:tcBorders>
            <w:shd w:val="clear" w:color="auto" w:fill="C0C0C0"/>
          </w:tcPr>
          <w:p>
            <w:pPr>
              <w:spacing w:after="0"/>
              <w:rPr>
                <w:sz w:val="20"/>
                <w:szCs w:val="20"/>
                <w:color w:val="auto"/>
              </w:rPr>
            </w:pPr>
          </w:p>
        </w:tc>
        <w:tc>
          <w:tcPr>
            <w:tcW w:w="120" w:type="dxa"/>
            <w:vAlign w:val="bottom"/>
            <w:tcBorders>
              <w:top w:val="single" w:sz="8" w:color="C0C0C0"/>
            </w:tcBorders>
            <w:shd w:val="clear" w:color="auto" w:fill="C0C0C0"/>
          </w:tcPr>
          <w:p>
            <w:pPr>
              <w:spacing w:after="0"/>
              <w:rPr>
                <w:sz w:val="20"/>
                <w:szCs w:val="20"/>
                <w:color w:val="auto"/>
              </w:rPr>
            </w:pPr>
          </w:p>
        </w:tc>
        <w:tc>
          <w:tcPr>
            <w:tcW w:w="72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53,986</w:t>
            </w:r>
          </w:p>
        </w:tc>
        <w:tc>
          <w:tcPr>
            <w:tcW w:w="120" w:type="dxa"/>
            <w:vAlign w:val="bottom"/>
            <w:tcBorders>
              <w:top w:val="single" w:sz="8" w:color="C0C0C0"/>
            </w:tcBorders>
            <w:shd w:val="clear" w:color="auto" w:fill="C0C0C0"/>
          </w:tcPr>
          <w:p>
            <w:pPr>
              <w:spacing w:after="0"/>
              <w:rPr>
                <w:sz w:val="20"/>
                <w:szCs w:val="20"/>
                <w:color w:val="auto"/>
              </w:rPr>
            </w:pPr>
          </w:p>
        </w:tc>
        <w:tc>
          <w:tcPr>
            <w:tcW w:w="220" w:type="dxa"/>
            <w:vAlign w:val="bottom"/>
            <w:tcBorders>
              <w:top w:val="single" w:sz="8" w:color="C0C0C0"/>
            </w:tcBorders>
            <w:shd w:val="clear" w:color="auto" w:fill="C0C0C0"/>
          </w:tcPr>
          <w:p>
            <w:pPr>
              <w:spacing w:after="0"/>
              <w:rPr>
                <w:sz w:val="20"/>
                <w:szCs w:val="20"/>
                <w:color w:val="auto"/>
              </w:rPr>
            </w:pPr>
          </w:p>
        </w:tc>
        <w:tc>
          <w:tcPr>
            <w:tcW w:w="72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50,742</w:t>
            </w:r>
          </w:p>
        </w:tc>
      </w:tr>
      <w:tr>
        <w:trPr>
          <w:trHeight w:val="239"/>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income (out-of-scope of FASB ASC 606)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399</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37"/>
        </w:trPr>
        <w:tc>
          <w:tcPr>
            <w:tcW w:w="7200" w:type="dxa"/>
            <w:vAlign w:val="bottom"/>
            <w:tcBorders>
              <w:top w:val="single" w:sz="8" w:color="C0C0C0"/>
              <w:bottom w:val="single" w:sz="8" w:color="C0C0C0"/>
            </w:tcBorders>
            <w:shd w:val="clear" w:color="auto" w:fill="C0C0C0"/>
          </w:tcPr>
          <w:p>
            <w:pPr>
              <w:ind w:left="820"/>
              <w:spacing w:after="0"/>
              <w:rPr>
                <w:sz w:val="20"/>
                <w:szCs w:val="20"/>
                <w:color w:val="auto"/>
              </w:rPr>
            </w:pPr>
            <w:r>
              <w:rPr>
                <w:rFonts w:ascii="Times New Roman" w:cs="Times New Roman" w:eastAsia="Times New Roman" w:hAnsi="Times New Roman"/>
                <w:sz w:val="18"/>
                <w:szCs w:val="18"/>
                <w:color w:val="auto"/>
              </w:rPr>
              <w:t>Total fee revenue and other income</w:t>
            </w:r>
          </w:p>
        </w:tc>
        <w:tc>
          <w:tcPr>
            <w:tcW w:w="220" w:type="dxa"/>
            <w:vAlign w:val="bottom"/>
            <w:tcBorders>
              <w:top w:val="single" w:sz="8" w:color="C0C0C0"/>
              <w:bottom w:val="single" w:sz="8" w:color="C0C0C0"/>
            </w:tcBorders>
            <w:shd w:val="clear" w:color="auto" w:fill="C0C0C0"/>
          </w:tcPr>
          <w:p>
            <w:pPr>
              <w:spacing w:after="0"/>
              <w:rPr>
                <w:sz w:val="20"/>
                <w:szCs w:val="20"/>
                <w:color w:val="auto"/>
              </w:rPr>
            </w:pPr>
          </w:p>
        </w:tc>
        <w:tc>
          <w:tcPr>
            <w:tcW w:w="120" w:type="dxa"/>
            <w:vAlign w:val="bottom"/>
            <w:tcBorders>
              <w:top w:val="single" w:sz="8" w:color="C0C0C0"/>
              <w:bottom w:val="single" w:sz="8" w:color="C0C0C0"/>
            </w:tcBorders>
            <w:shd w:val="clear" w:color="auto" w:fill="C0C0C0"/>
          </w:tcPr>
          <w:p>
            <w:pPr>
              <w:spacing w:after="0"/>
              <w:rPr>
                <w:sz w:val="20"/>
                <w:szCs w:val="20"/>
                <w:color w:val="auto"/>
              </w:rPr>
            </w:pPr>
          </w:p>
        </w:tc>
        <w:tc>
          <w:tcPr>
            <w:tcW w:w="60" w:type="dxa"/>
            <w:vAlign w:val="bottom"/>
            <w:tcBorders>
              <w:top w:val="single" w:sz="8" w:color="auto"/>
              <w:bottom w:val="single" w:sz="8" w:color="auto"/>
            </w:tcBorders>
            <w:shd w:val="clear" w:color="auto" w:fill="C0C0C0"/>
          </w:tcPr>
          <w:p>
            <w:pPr>
              <w:spacing w:after="0"/>
              <w:rPr>
                <w:sz w:val="20"/>
                <w:szCs w:val="20"/>
                <w:color w:val="auto"/>
              </w:rPr>
            </w:pPr>
          </w:p>
        </w:tc>
        <w:tc>
          <w:tcPr>
            <w:tcW w:w="6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27,372</w:t>
            </w:r>
          </w:p>
        </w:tc>
        <w:tc>
          <w:tcPr>
            <w:tcW w:w="100" w:type="dxa"/>
            <w:vAlign w:val="bottom"/>
            <w:tcBorders>
              <w:top w:val="single" w:sz="8" w:color="C0C0C0"/>
              <w:bottom w:val="single" w:sz="8" w:color="C0C0C0"/>
            </w:tcBorders>
            <w:shd w:val="clear" w:color="auto" w:fill="C0C0C0"/>
          </w:tcPr>
          <w:p>
            <w:pPr>
              <w:spacing w:after="0"/>
              <w:rPr>
                <w:sz w:val="20"/>
                <w:szCs w:val="20"/>
                <w:color w:val="auto"/>
              </w:rPr>
            </w:pPr>
          </w:p>
        </w:tc>
        <w:tc>
          <w:tcPr>
            <w:tcW w:w="220" w:type="dxa"/>
            <w:vAlign w:val="bottom"/>
            <w:tcBorders>
              <w:top w:val="single" w:sz="8" w:color="C0C0C0"/>
              <w:bottom w:val="single" w:sz="8" w:color="C0C0C0"/>
            </w:tcBorders>
            <w:shd w:val="clear" w:color="auto" w:fill="C0C0C0"/>
          </w:tcPr>
          <w:p>
            <w:pPr>
              <w:spacing w:after="0"/>
              <w:rPr>
                <w:sz w:val="20"/>
                <w:szCs w:val="20"/>
                <w:color w:val="auto"/>
              </w:rPr>
            </w:pPr>
          </w:p>
        </w:tc>
        <w:tc>
          <w:tcPr>
            <w:tcW w:w="7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25,640</w:t>
            </w:r>
          </w:p>
        </w:tc>
        <w:tc>
          <w:tcPr>
            <w:tcW w:w="100" w:type="dxa"/>
            <w:vAlign w:val="bottom"/>
            <w:tcBorders>
              <w:top w:val="single" w:sz="8" w:color="C0C0C0"/>
              <w:bottom w:val="single" w:sz="8" w:color="C0C0C0"/>
            </w:tcBorders>
            <w:shd w:val="clear" w:color="auto" w:fill="C0C0C0"/>
          </w:tcPr>
          <w:p>
            <w:pPr>
              <w:spacing w:after="0"/>
              <w:rPr>
                <w:sz w:val="20"/>
                <w:szCs w:val="20"/>
                <w:color w:val="auto"/>
              </w:rPr>
            </w:pPr>
          </w:p>
        </w:tc>
        <w:tc>
          <w:tcPr>
            <w:tcW w:w="100" w:type="dxa"/>
            <w:vAlign w:val="bottom"/>
            <w:tcBorders>
              <w:top w:val="single" w:sz="8" w:color="C0C0C0"/>
              <w:bottom w:val="single" w:sz="8" w:color="C0C0C0"/>
            </w:tcBorders>
            <w:shd w:val="clear" w:color="auto" w:fill="C0C0C0"/>
          </w:tcPr>
          <w:p>
            <w:pPr>
              <w:spacing w:after="0"/>
              <w:rPr>
                <w:sz w:val="20"/>
                <w:szCs w:val="20"/>
                <w:color w:val="auto"/>
              </w:rPr>
            </w:pPr>
          </w:p>
        </w:tc>
        <w:tc>
          <w:tcPr>
            <w:tcW w:w="120" w:type="dxa"/>
            <w:vAlign w:val="bottom"/>
            <w:tcBorders>
              <w:top w:val="single" w:sz="8" w:color="C0C0C0"/>
              <w:bottom w:val="single" w:sz="8" w:color="C0C0C0"/>
            </w:tcBorders>
            <w:shd w:val="clear" w:color="auto" w:fill="C0C0C0"/>
          </w:tcPr>
          <w:p>
            <w:pPr>
              <w:spacing w:after="0"/>
              <w:rPr>
                <w:sz w:val="20"/>
                <w:szCs w:val="20"/>
                <w:color w:val="auto"/>
              </w:rPr>
            </w:pPr>
          </w:p>
        </w:tc>
        <w:tc>
          <w:tcPr>
            <w:tcW w:w="7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54,385</w:t>
            </w:r>
          </w:p>
        </w:tc>
        <w:tc>
          <w:tcPr>
            <w:tcW w:w="120" w:type="dxa"/>
            <w:vAlign w:val="bottom"/>
            <w:tcBorders>
              <w:top w:val="single" w:sz="8" w:color="C0C0C0"/>
              <w:bottom w:val="single" w:sz="8" w:color="C0C0C0"/>
            </w:tcBorders>
            <w:shd w:val="clear" w:color="auto" w:fill="C0C0C0"/>
          </w:tcPr>
          <w:p>
            <w:pPr>
              <w:spacing w:after="0"/>
              <w:rPr>
                <w:sz w:val="20"/>
                <w:szCs w:val="20"/>
                <w:color w:val="auto"/>
              </w:rPr>
            </w:pPr>
          </w:p>
        </w:tc>
        <w:tc>
          <w:tcPr>
            <w:tcW w:w="220" w:type="dxa"/>
            <w:vAlign w:val="bottom"/>
            <w:tcBorders>
              <w:top w:val="single" w:sz="8" w:color="C0C0C0"/>
              <w:bottom w:val="single" w:sz="8" w:color="C0C0C0"/>
            </w:tcBorders>
            <w:shd w:val="clear" w:color="auto" w:fill="C0C0C0"/>
          </w:tcPr>
          <w:p>
            <w:pPr>
              <w:spacing w:after="0"/>
              <w:rPr>
                <w:sz w:val="20"/>
                <w:szCs w:val="20"/>
                <w:color w:val="auto"/>
              </w:rPr>
            </w:pPr>
          </w:p>
        </w:tc>
        <w:tc>
          <w:tcPr>
            <w:tcW w:w="7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51,014</w:t>
            </w:r>
          </w:p>
        </w:tc>
      </w:tr>
      <w:tr>
        <w:trPr>
          <w:trHeight w:val="241"/>
        </w:trPr>
        <w:tc>
          <w:tcPr>
            <w:tcW w:w="720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6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7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7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720" w:type="dxa"/>
            <w:vAlign w:val="bottom"/>
            <w:shd w:val="clear" w:color="auto" w:fill="C0C0C0"/>
          </w:tcPr>
          <w:p>
            <w:pPr>
              <w:spacing w:after="0"/>
              <w:rPr>
                <w:sz w:val="20"/>
                <w:szCs w:val="20"/>
                <w:color w:val="auto"/>
              </w:rPr>
            </w:pPr>
          </w:p>
        </w:tc>
      </w:tr>
      <w:tr>
        <w:trPr>
          <w:trHeight w:val="311"/>
        </w:trPr>
        <w:tc>
          <w:tcPr>
            <w:tcW w:w="7200" w:type="dxa"/>
            <w:vAlign w:val="bottom"/>
          </w:tcPr>
          <w:p>
            <w:pPr>
              <w:ind w:left="280"/>
              <w:spacing w:after="0" w:line="311" w:lineRule="exact"/>
              <w:rPr>
                <w:sz w:val="20"/>
                <w:szCs w:val="20"/>
                <w:color w:val="auto"/>
              </w:rPr>
            </w:pPr>
            <w:r>
              <w:rPr>
                <w:rFonts w:ascii="Times New Roman" w:cs="Times New Roman" w:eastAsia="Times New Roman" w:hAnsi="Times New Roman"/>
                <w:sz w:val="18"/>
                <w:szCs w:val="18"/>
                <w:color w:val="auto"/>
              </w:rPr>
              <w:t>Net interest income after provision for loan losses (out-of-scope of FASB ASC 606)</w:t>
            </w:r>
            <w:r>
              <w:rPr>
                <w:rFonts w:ascii="Times New Roman" w:cs="Times New Roman" w:eastAsia="Times New Roman" w:hAnsi="Times New Roman"/>
                <w:sz w:val="30"/>
                <w:szCs w:val="30"/>
                <w:color w:val="auto"/>
                <w:vertAlign w:val="superscript"/>
              </w:rPr>
              <w:t>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12,022</w:t>
            </w:r>
          </w:p>
        </w:tc>
        <w:tc>
          <w:tcPr>
            <w:tcW w:w="22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10,719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23,379</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21,328</w:t>
            </w:r>
          </w:p>
        </w:tc>
      </w:tr>
      <w:tr>
        <w:trPr>
          <w:trHeight w:val="228"/>
        </w:trPr>
        <w:tc>
          <w:tcPr>
            <w:tcW w:w="7200" w:type="dxa"/>
            <w:vAlign w:val="bottom"/>
            <w:tcBorders>
              <w:top w:val="single" w:sz="8" w:color="C0C0C0"/>
            </w:tcBorders>
            <w:shd w:val="clear" w:color="auto" w:fill="C0C0C0"/>
          </w:tcPr>
          <w:p>
            <w:pPr>
              <w:ind w:left="820"/>
              <w:spacing w:after="0"/>
              <w:rPr>
                <w:sz w:val="20"/>
                <w:szCs w:val="20"/>
                <w:color w:val="auto"/>
              </w:rPr>
            </w:pPr>
            <w:r>
              <w:rPr>
                <w:rFonts w:ascii="Times New Roman" w:cs="Times New Roman" w:eastAsia="Times New Roman" w:hAnsi="Times New Roman"/>
                <w:sz w:val="18"/>
                <w:szCs w:val="18"/>
                <w:color w:val="auto"/>
              </w:rPr>
              <w:t>Total net revenue</w:t>
            </w:r>
          </w:p>
        </w:tc>
        <w:tc>
          <w:tcPr>
            <w:tcW w:w="340" w:type="dxa"/>
            <w:vAlign w:val="bottom"/>
            <w:tcBorders>
              <w:top w:val="single" w:sz="8" w:color="C0C0C0"/>
            </w:tcBorders>
            <w:gridSpan w:val="2"/>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0C0C0"/>
          </w:tcPr>
          <w:p>
            <w:pPr>
              <w:spacing w:after="0"/>
              <w:rPr>
                <w:sz w:val="19"/>
                <w:szCs w:val="19"/>
                <w:color w:val="auto"/>
              </w:rPr>
            </w:pPr>
          </w:p>
        </w:tc>
        <w:tc>
          <w:tcPr>
            <w:tcW w:w="66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39,394</w:t>
            </w:r>
          </w:p>
        </w:tc>
        <w:tc>
          <w:tcPr>
            <w:tcW w:w="100" w:type="dxa"/>
            <w:vAlign w:val="bottom"/>
            <w:tcBorders>
              <w:top w:val="single" w:sz="8" w:color="C0C0C0"/>
            </w:tcBorders>
            <w:shd w:val="clear" w:color="auto" w:fill="C0C0C0"/>
          </w:tcPr>
          <w:p>
            <w:pPr>
              <w:spacing w:after="0"/>
              <w:rPr>
                <w:sz w:val="19"/>
                <w:szCs w:val="19"/>
                <w:color w:val="auto"/>
              </w:rPr>
            </w:pPr>
          </w:p>
        </w:tc>
        <w:tc>
          <w:tcPr>
            <w:tcW w:w="220" w:type="dxa"/>
            <w:vAlign w:val="bottom"/>
            <w:tcBorders>
              <w:top w:val="single" w:sz="8" w:color="C0C0C0"/>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36,359</w:t>
            </w:r>
          </w:p>
        </w:tc>
        <w:tc>
          <w:tcPr>
            <w:tcW w:w="100" w:type="dxa"/>
            <w:vAlign w:val="bottom"/>
            <w:tcBorders>
              <w:top w:val="single" w:sz="8" w:color="C0C0C0"/>
            </w:tcBorders>
            <w:shd w:val="clear" w:color="auto" w:fill="C0C0C0"/>
          </w:tcPr>
          <w:p>
            <w:pPr>
              <w:spacing w:after="0"/>
              <w:rPr>
                <w:sz w:val="19"/>
                <w:szCs w:val="19"/>
                <w:color w:val="auto"/>
              </w:rPr>
            </w:pPr>
          </w:p>
        </w:tc>
        <w:tc>
          <w:tcPr>
            <w:tcW w:w="220" w:type="dxa"/>
            <w:vAlign w:val="bottom"/>
            <w:tcBorders>
              <w:top w:val="single" w:sz="8" w:color="C0C0C0"/>
            </w:tcBorders>
            <w:gridSpan w:val="2"/>
            <w:shd w:val="clear" w:color="auto" w:fill="C0C0C0"/>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77,764</w:t>
            </w:r>
          </w:p>
        </w:tc>
        <w:tc>
          <w:tcPr>
            <w:tcW w:w="120" w:type="dxa"/>
            <w:vAlign w:val="bottom"/>
            <w:tcBorders>
              <w:top w:val="single" w:sz="8" w:color="C0C0C0"/>
            </w:tcBorders>
            <w:shd w:val="clear" w:color="auto" w:fill="C0C0C0"/>
          </w:tcPr>
          <w:p>
            <w:pPr>
              <w:spacing w:after="0"/>
              <w:rPr>
                <w:sz w:val="19"/>
                <w:szCs w:val="19"/>
                <w:color w:val="auto"/>
              </w:rPr>
            </w:pPr>
          </w:p>
        </w:tc>
        <w:tc>
          <w:tcPr>
            <w:tcW w:w="220" w:type="dxa"/>
            <w:vAlign w:val="bottom"/>
            <w:tcBorders>
              <w:top w:val="single" w:sz="8" w:color="C0C0C0"/>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72,342</w:t>
            </w:r>
          </w:p>
        </w:tc>
      </w:tr>
      <w:tr>
        <w:trPr>
          <w:trHeight w:val="22"/>
        </w:trPr>
        <w:tc>
          <w:tcPr>
            <w:tcW w:w="7200" w:type="dxa"/>
            <w:vAlign w:val="bottom"/>
            <w:shd w:val="clear" w:color="auto" w:fill="C0C0C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60" w:type="dxa"/>
            <w:vAlign w:val="bottom"/>
            <w:shd w:val="clear" w:color="auto" w:fill="C0C0C0"/>
          </w:tcPr>
          <w:p>
            <w:pPr>
              <w:spacing w:after="0" w:line="20" w:lineRule="exact"/>
              <w:rPr>
                <w:sz w:val="1"/>
                <w:szCs w:val="1"/>
                <w:color w:val="auto"/>
              </w:rPr>
            </w:pPr>
          </w:p>
        </w:tc>
        <w:tc>
          <w:tcPr>
            <w:tcW w:w="66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74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72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720" w:type="dxa"/>
            <w:vAlign w:val="bottom"/>
            <w:shd w:val="clear" w:color="auto" w:fill="C0C0C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20" w:right="60" w:hanging="112"/>
        <w:spacing w:after="0" w:line="187" w:lineRule="auto"/>
        <w:tabs>
          <w:tab w:leader="none" w:pos="12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Company earns interest income from the balances generated during the invoice processing and payment cycle and on deposit accounts, which is an integral component of the Company’s compensation for services provided; but, is out-of-scope of FASB ASC 606.</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Note 14 – Leases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1, 2019, the Company adopted Accounting Standards Update (“ASU”) No. 2016-02 – Leases (ASC Topic 842). The Company leases certain premises under operating leases. As of June 30, 2019, the Company had lease liabilities of $7,290,000 and right-of-use assets of $6,570,000. Lease liabilities and right-of-use assets are reflected in other liabilities and other assets, respectively. Presented within occupancy expense on the Consolidated Statements of Income for the three months ended June 30, 2019, operating lease cost was $420,000, short-term lease cost was $38,000, and there was no variable lease cost. For the six months ended June 30, 2019, operating lease cost was $840,000, short-term lease cost was $74,000, and there was no variable lease cost. For the period ended June 30, 2019, the weighted average remaining lease term for the operating leases was 6.9 years and the weighted average discount rate used in the measurement of operating lease liabilities was 5.5%. Certain of the Company’s leases contain options to renew the lease; however, these renewal options are not included in the calculation of the lease liabilities as they are not reasonably certain to be exercised. There has been no significant change in the Company’s expected future minimum lease payments since December 31, 2018. See the Company’s 2018 Annual Report on Form 10-K for information regarding these commitments.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A maturity analysis of operating lease liabilities and undiscounted cash flows as of June 30, 2019 was as follows:</w:t>
            </w:r>
          </w:p>
        </w:tc>
        <w:tc>
          <w:tcPr>
            <w:tcW w:w="1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6"/>
        </w:trPr>
        <w:tc>
          <w:tcPr>
            <w:tcW w:w="9460" w:type="dxa"/>
            <w:vAlign w:val="bottom"/>
          </w:tcPr>
          <w:p>
            <w:pPr>
              <w:spacing w:after="0"/>
              <w:rPr>
                <w:sz w:val="24"/>
                <w:szCs w:val="24"/>
                <w:color w:val="auto"/>
              </w:rPr>
            </w:pPr>
          </w:p>
        </w:tc>
        <w:tc>
          <w:tcPr>
            <w:tcW w:w="1980" w:type="dxa"/>
            <w:vAlign w:val="bottom"/>
            <w:gridSpan w:val="3"/>
          </w:tcPr>
          <w:p>
            <w:pPr>
              <w:ind w:left="130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64"/>
        </w:trPr>
        <w:tc>
          <w:tcPr>
            <w:tcW w:w="9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2"/>
                <w:szCs w:val="22"/>
                <w:color w:val="auto"/>
              </w:rPr>
            </w:pPr>
          </w:p>
        </w:tc>
      </w:tr>
      <w:tr>
        <w:trPr>
          <w:trHeight w:val="243"/>
        </w:trPr>
        <w:tc>
          <w:tcPr>
            <w:tcW w:w="94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Lease payments due</w:t>
            </w:r>
          </w:p>
        </w:tc>
        <w:tc>
          <w:tcPr>
            <w:tcW w:w="140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4"/>
        </w:trPr>
        <w:tc>
          <w:tcPr>
            <w:tcW w:w="9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Less than 1 year</w:t>
            </w:r>
          </w:p>
        </w:tc>
        <w:tc>
          <w:tcPr>
            <w:tcW w:w="14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20" w:type="dxa"/>
            <w:vAlign w:val="bottom"/>
          </w:tcPr>
          <w:p>
            <w:pPr>
              <w:spacing w:after="0"/>
              <w:rPr>
                <w:sz w:val="20"/>
                <w:szCs w:val="20"/>
                <w:color w:val="auto"/>
              </w:rPr>
            </w:pPr>
          </w:p>
        </w:tc>
      </w:tr>
      <w:tr>
        <w:trPr>
          <w:trHeight w:val="252"/>
        </w:trPr>
        <w:tc>
          <w:tcPr>
            <w:tcW w:w="946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1-2 years</w:t>
            </w:r>
          </w:p>
        </w:tc>
        <w:tc>
          <w:tcPr>
            <w:tcW w:w="1400" w:type="dxa"/>
            <w:vAlign w:val="bottom"/>
            <w:shd w:val="clear" w:color="auto" w:fill="C0C0C0"/>
          </w:tcPr>
          <w:p>
            <w:pPr>
              <w:spacing w:after="0"/>
              <w:rPr>
                <w:sz w:val="21"/>
                <w:szCs w:val="21"/>
                <w:color w:val="auto"/>
              </w:rPr>
            </w:pPr>
          </w:p>
        </w:tc>
        <w:tc>
          <w:tcPr>
            <w:tcW w:w="5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20" w:type="dxa"/>
            <w:vAlign w:val="bottom"/>
          </w:tcPr>
          <w:p>
            <w:pPr>
              <w:spacing w:after="0"/>
              <w:rPr>
                <w:sz w:val="21"/>
                <w:szCs w:val="21"/>
                <w:color w:val="auto"/>
              </w:rPr>
            </w:pPr>
          </w:p>
        </w:tc>
      </w:tr>
      <w:tr>
        <w:trPr>
          <w:trHeight w:val="234"/>
        </w:trPr>
        <w:tc>
          <w:tcPr>
            <w:tcW w:w="9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2-3 years</w:t>
            </w:r>
          </w:p>
        </w:tc>
        <w:tc>
          <w:tcPr>
            <w:tcW w:w="14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20" w:type="dxa"/>
            <w:vAlign w:val="bottom"/>
          </w:tcPr>
          <w:p>
            <w:pPr>
              <w:spacing w:after="0"/>
              <w:rPr>
                <w:sz w:val="20"/>
                <w:szCs w:val="20"/>
                <w:color w:val="auto"/>
              </w:rPr>
            </w:pPr>
          </w:p>
        </w:tc>
      </w:tr>
      <w:tr>
        <w:trPr>
          <w:trHeight w:val="252"/>
        </w:trPr>
        <w:tc>
          <w:tcPr>
            <w:tcW w:w="946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3-4 years</w:t>
            </w:r>
          </w:p>
        </w:tc>
        <w:tc>
          <w:tcPr>
            <w:tcW w:w="1400" w:type="dxa"/>
            <w:vAlign w:val="bottom"/>
            <w:shd w:val="clear" w:color="auto" w:fill="C0C0C0"/>
          </w:tcPr>
          <w:p>
            <w:pPr>
              <w:spacing w:after="0"/>
              <w:rPr>
                <w:sz w:val="21"/>
                <w:szCs w:val="21"/>
                <w:color w:val="auto"/>
              </w:rPr>
            </w:pPr>
          </w:p>
        </w:tc>
        <w:tc>
          <w:tcPr>
            <w:tcW w:w="5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20" w:type="dxa"/>
            <w:vAlign w:val="bottom"/>
          </w:tcPr>
          <w:p>
            <w:pPr>
              <w:spacing w:after="0"/>
              <w:rPr>
                <w:sz w:val="21"/>
                <w:szCs w:val="21"/>
                <w:color w:val="auto"/>
              </w:rPr>
            </w:pPr>
          </w:p>
        </w:tc>
      </w:tr>
      <w:tr>
        <w:trPr>
          <w:trHeight w:val="234"/>
        </w:trPr>
        <w:tc>
          <w:tcPr>
            <w:tcW w:w="9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4-5 years</w:t>
            </w:r>
          </w:p>
        </w:tc>
        <w:tc>
          <w:tcPr>
            <w:tcW w:w="14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0" w:type="dxa"/>
            <w:vAlign w:val="bottom"/>
          </w:tcPr>
          <w:p>
            <w:pPr>
              <w:spacing w:after="0"/>
              <w:rPr>
                <w:sz w:val="20"/>
                <w:szCs w:val="20"/>
                <w:color w:val="auto"/>
              </w:rPr>
            </w:pPr>
          </w:p>
        </w:tc>
      </w:tr>
      <w:tr>
        <w:trPr>
          <w:trHeight w:val="247"/>
        </w:trPr>
        <w:tc>
          <w:tcPr>
            <w:tcW w:w="9460" w:type="dxa"/>
            <w:vAlign w:val="bottom"/>
            <w:tcBorders>
              <w:bottom w:val="single" w:sz="8" w:color="auto"/>
            </w:tcBorders>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Over 5 years</w:t>
            </w:r>
          </w:p>
        </w:tc>
        <w:tc>
          <w:tcPr>
            <w:tcW w:w="1400" w:type="dxa"/>
            <w:vAlign w:val="bottom"/>
            <w:tcBorders>
              <w:bottom w:val="single" w:sz="8" w:color="auto"/>
            </w:tcBorders>
            <w:shd w:val="clear" w:color="auto" w:fill="C0C0C0"/>
          </w:tcPr>
          <w:p>
            <w:pPr>
              <w:spacing w:after="0"/>
              <w:rPr>
                <w:sz w:val="21"/>
                <w:szCs w:val="21"/>
                <w:color w:val="auto"/>
              </w:rPr>
            </w:pPr>
          </w:p>
        </w:tc>
        <w:tc>
          <w:tcPr>
            <w:tcW w:w="56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20" w:type="dxa"/>
            <w:vAlign w:val="bottom"/>
          </w:tcPr>
          <w:p>
            <w:pPr>
              <w:spacing w:after="0"/>
              <w:rPr>
                <w:sz w:val="21"/>
                <w:szCs w:val="21"/>
                <w:color w:val="auto"/>
              </w:rPr>
            </w:pPr>
          </w:p>
        </w:tc>
      </w:tr>
      <w:tr>
        <w:trPr>
          <w:trHeight w:val="232"/>
        </w:trPr>
        <w:tc>
          <w:tcPr>
            <w:tcW w:w="94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14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8,681</w:t>
            </w:r>
          </w:p>
        </w:tc>
        <w:tc>
          <w:tcPr>
            <w:tcW w:w="20" w:type="dxa"/>
            <w:vAlign w:val="bottom"/>
          </w:tcPr>
          <w:p>
            <w:pPr>
              <w:spacing w:after="0"/>
              <w:rPr>
                <w:sz w:val="20"/>
                <w:szCs w:val="20"/>
                <w:color w:val="auto"/>
              </w:rPr>
            </w:pPr>
          </w:p>
        </w:tc>
      </w:tr>
      <w:tr>
        <w:trPr>
          <w:trHeight w:val="247"/>
        </w:trPr>
        <w:tc>
          <w:tcPr>
            <w:tcW w:w="946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Discount on cash flows</w:t>
            </w:r>
          </w:p>
        </w:tc>
        <w:tc>
          <w:tcPr>
            <w:tcW w:w="1400" w:type="dxa"/>
            <w:vAlign w:val="bottom"/>
            <w:tcBorders>
              <w:bottom w:val="single" w:sz="8" w:color="auto"/>
            </w:tcBorders>
            <w:shd w:val="clear" w:color="auto" w:fill="C0C0C0"/>
          </w:tcPr>
          <w:p>
            <w:pPr>
              <w:spacing w:after="0"/>
              <w:rPr>
                <w:sz w:val="21"/>
                <w:szCs w:val="21"/>
                <w:color w:val="auto"/>
              </w:rPr>
            </w:pPr>
          </w:p>
        </w:tc>
        <w:tc>
          <w:tcPr>
            <w:tcW w:w="56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20" w:type="dxa"/>
            <w:vAlign w:val="bottom"/>
          </w:tcPr>
          <w:p>
            <w:pPr>
              <w:spacing w:after="0"/>
              <w:rPr>
                <w:sz w:val="21"/>
                <w:szCs w:val="21"/>
                <w:color w:val="auto"/>
              </w:rPr>
            </w:pPr>
          </w:p>
        </w:tc>
      </w:tr>
      <w:tr>
        <w:trPr>
          <w:trHeight w:val="248"/>
        </w:trPr>
        <w:tc>
          <w:tcPr>
            <w:tcW w:w="94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Total lease liability</w:t>
            </w:r>
          </w:p>
        </w:tc>
        <w:tc>
          <w:tcPr>
            <w:tcW w:w="140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7,290</w:t>
            </w:r>
          </w:p>
        </w:tc>
        <w:tc>
          <w:tcPr>
            <w:tcW w:w="20" w:type="dxa"/>
            <w:vAlign w:val="bottom"/>
            <w:tcBorders>
              <w:bottom w:val="single" w:sz="8" w:color="auto"/>
            </w:tcBorders>
          </w:tcPr>
          <w:p>
            <w:pPr>
              <w:spacing w:after="0"/>
              <w:rPr>
                <w:sz w:val="21"/>
                <w:szCs w:val="2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sale and leaseback transactions, leveraged leases, or lease transactions with related parties during the six months ended June 30, 2019. At June 30, 2019, the Company had one lease that had not yet commenced, but is expected to create approximately $800,000 of additional lease liabilities and right-of-use assets for the Company. This lease is anticipated to commence in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15 – Subsequent Events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FASB ASC 855, “Subsequent Events,” the Company has evaluated subsequent events after the consolidated balance sheet date of June 30, 2019, and there were no events identified that would require additional disclosures to prevent the Company’s unaudited consolidated financial statements from being misleading.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Cass provides payment and information processing services to large manufacturing, distribution and retail enterprises from its offices/locations in St. Louis, Missouri, Columbus, Ohio, Boston, Massachusetts, Greenville, South Carolina, Wellington, Kansas, Jacksonville, Florida, Breda, Netherlands, Basingstoke, United Kingdom, and Singapore. The Company’s services include freight invoice rating, payment processing, auditing, and the generation of accounting and transportation information. Cass also processes and pays energy invoices, which include electricity and gas as well as waste and telecommunications expenses and is a provider of telecom expense management solutions. Additionally, Cass provides a B2B payment platform for clients that require an agile fintech partner. The Company also, through Cass Commercial Bank, its St. Louis, Missouri-based bank subsidiary provides banking services in the St. Louis metropolitan area, Orange County, California, Colorado Springs, Colorado, and other selected cities in the United States. In addition to supporting the Company’s payment operations, the Bank provides banking services to its target markets, which include privately-owned businesses and faith-based ministries.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specific payment and information processing services provided to each customer are developed individually to meet each customer’s requirements, which can vary greatly. In addition, the degree of automation such as electronic data interchange, imaging, work flow, and web-based solutions varies greatly among customers and industries. These factors combine so that pricing varies greatly among the customer base. In general, however, Cass is compensated for its processing services through service fees and investment of account balances generated during the payment process. The amount, type, and calculation of service fees vary greatly by service offering, but generally follow the volume of transactions processed. Interest income from the balances generated during the payment processing cycle is affected by the amount of time Cass holds the funds prior to payment and the dollar volume processed. Both the number of transactions processed and the dollar volume processed are therefore key metrics followed by management. Other factors will also influence revenue and profitability, such as changes in the general level of interest rates, which have a significant effect on net interest income. The funds generated by these processing activities are invested in overnight investments, investment grade securities, and loans generated by the Bank. The Bank earns most of its revenue from net interest income, or the difference between the interest earned on its loans and investments and the interest paid on its deposits and other borrowings. The Bank also assesses fees on other services such as cash management services.</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Industry-wide factors that impact the Company include the willingness of large corporations to outsource key business functions such as freight, energy, telecommunication and environmental payment and audit. The benefits that can be achieved by outsourcing transaction processing, and the management information generated by Cass’ systems can be influenced by factors such as the competitive pressures within industries to improve profitability, the general level of transportation costs, deregulation of energy costs, and consolidation of telecommunication providers. Economic factors that impact the Company include the general level of economic activity that can affect the volume and size of invoices processed, the ability to hire and retain qualified staff, and the growth and quality of the loan portfolio. The general level of interest rates also has a significant effect on the revenue of the Company. As discussed in greater detail in Item 7A, “Quantitative and Qualitative Disclosures about Market Risk,” in the Company’s 2018 Annual Report on Form 10-K, a decline in the general level of interest rates can have a negative impact on net interest income and conversely, a rise in the general level of interest rates can have a positive impact on net interest income. The cost of fuel is another factor that has a significant impact on the transportation sector. As the price of fuel goes up or down, the Company’s earnings increase or decrease with the dollar amount of transportation invoices. Another negative impact of low fuel prices could be a drop in the number of invoices related to drilling supplies carried by domestic railroads and trucks that move pipes, sand and water for fracking operations.</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management views Cass’ major opportunity as the continued expansion of its payment and information processing service offerings and customer base. Management intends to accomplish this by maintaining the Company’s leadership position in applied technology, which when combined with the security and processing controls of the Bank, makes Cass unique in the industry.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prepared the consolidated financial statements in this report in accordance with the Financial Accounting Standards Board (“FASB”) Accounting Standards Codification (“ASC”). In preparing the consolidated financial statements, management makes estimates and assumptions that affect the reported amount of assets and liabilities, disclosure of contingent assets and liabilities at the date of the financial statements, and the reported amounts of revenue and expenses during the reporting period. These estimates have been generally accurate in the past, have been consistent and have not required any material changes. There can be no assurances that actual results will not differ from those estimates. The accounting policy that requires significant management estimates and is deemed critical to the Company’s results of operations or financial position has been discussed with the Audit Committee of the Board of Directors and is described below.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21" w:name="page22"/>
    <w:bookmarkEnd w:id="21"/>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Allowance for Loan Losses. </w:t>
      </w:r>
      <w:r>
        <w:rPr>
          <w:rFonts w:ascii="Times New Roman" w:cs="Times New Roman" w:eastAsia="Times New Roman" w:hAnsi="Times New Roman"/>
          <w:sz w:val="18"/>
          <w:szCs w:val="18"/>
          <w:color w:val="auto"/>
        </w:rPr>
        <w:t>The Company performs periodic and systematic detailed reviews of its loan portfolio to assess overall collectability. The level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allowance for loan losses reflects management’s estimate of the collectability of the loan portfolio. Although these estimates are based on established methodologies for determining allowance requirements, actual results can differ significantly from estimated results. These policies affect both segments of the Company. The impact and associated risks related to these policies on the Company’s business operations are discussed in the “Provision and Allowance for Loan Losses” section of this report. The Company’s estimates have been materially accurate in the past, and accordingly, the Company expects to continue to utilize the present processes through 2019, after which current expected credit losses methodology will be adopted.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paragraphs more fully discuss the results of operations and changes in financial condition for the three-month period ended June 30, 2019 (“Second Quarter of 2019”) compared to the three-month period ended June 30, 2018 (“Second Quarter of 2018”) and the six-month period ended June 30, 2019 (“First Half of 2019”) compared to the six-month period ended June 30, 2018 (“First Half of 2018”). The following discussion and analysis should be read in conjunction with the unaudited consolidated financial statements and related notes and with the statistical information and financial data appearing in this report, as well as in the Company’s 2018 Annual Report on Form 10-K. Results of operations for the Second Quarter and First Half of 2019 are not necessarily indicative of the results to be attained for any other period.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32"/>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operating results</w:t>
            </w: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66"/>
        </w:trPr>
        <w:tc>
          <w:tcPr>
            <w:tcW w:w="4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Second Quarter of</w:t>
            </w:r>
          </w:p>
        </w:tc>
        <w:tc>
          <w:tcPr>
            <w:tcW w:w="7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First Half of</w:t>
            </w:r>
          </w:p>
        </w:tc>
        <w:tc>
          <w:tcPr>
            <w:tcW w:w="820" w:type="dxa"/>
            <w:vAlign w:val="bottom"/>
            <w:tcBorders>
              <w:bottom w:val="single" w:sz="8" w:color="auto"/>
            </w:tcBorders>
          </w:tcPr>
          <w:p>
            <w:pPr>
              <w:spacing w:after="0"/>
              <w:rPr>
                <w:sz w:val="24"/>
                <w:szCs w:val="24"/>
                <w:color w:val="auto"/>
              </w:rPr>
            </w:pPr>
          </w:p>
        </w:tc>
      </w:tr>
      <w:tr>
        <w:trPr>
          <w:trHeight w:val="234"/>
        </w:trPr>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9"/>
        </w:trPr>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9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43"/>
        </w:trPr>
        <w:tc>
          <w:tcPr>
            <w:tcW w:w="482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gridSpan w:val="2"/>
            <w:shd w:val="clear" w:color="auto" w:fill="C0C0C0"/>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0C0C0"/>
          </w:tcPr>
          <w:p>
            <w:pPr>
              <w:jc w:val="right"/>
              <w:ind w:right="210"/>
              <w:spacing w:after="0"/>
              <w:rPr>
                <w:sz w:val="20"/>
                <w:szCs w:val="20"/>
                <w:color w:val="auto"/>
              </w:rPr>
            </w:pPr>
            <w:r>
              <w:rPr>
                <w:rFonts w:ascii="Times New Roman" w:cs="Times New Roman" w:eastAsia="Times New Roman" w:hAnsi="Times New Roman"/>
                <w:sz w:val="18"/>
                <w:szCs w:val="18"/>
                <w:color w:val="auto"/>
              </w:rPr>
              <w:t>7,684</w:t>
            </w:r>
          </w:p>
        </w:tc>
        <w:tc>
          <w:tcPr>
            <w:tcW w:w="3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0C0C0"/>
          </w:tcPr>
          <w:p>
            <w:pPr>
              <w:jc w:val="right"/>
              <w:ind w:right="330"/>
              <w:spacing w:after="0"/>
              <w:rPr>
                <w:sz w:val="20"/>
                <w:szCs w:val="20"/>
                <w:color w:val="auto"/>
              </w:rPr>
            </w:pPr>
            <w:r>
              <w:rPr>
                <w:rFonts w:ascii="Times New Roman" w:cs="Times New Roman" w:eastAsia="Times New Roman" w:hAnsi="Times New Roman"/>
                <w:sz w:val="18"/>
                <w:szCs w:val="18"/>
                <w:color w:val="auto"/>
              </w:rPr>
              <w:t>7,509</w:t>
            </w:r>
          </w:p>
        </w:tc>
        <w:tc>
          <w:tcPr>
            <w:tcW w:w="7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0C0C0"/>
          </w:tcPr>
          <w:p>
            <w:pPr>
              <w:jc w:val="right"/>
              <w:ind w:right="150"/>
              <w:spacing w:after="0"/>
              <w:rPr>
                <w:sz w:val="20"/>
                <w:szCs w:val="20"/>
                <w:color w:val="auto"/>
              </w:rPr>
            </w:pPr>
            <w:r>
              <w:rPr>
                <w:rFonts w:ascii="Times New Roman" w:cs="Times New Roman" w:eastAsia="Times New Roman" w:hAnsi="Times New Roman"/>
                <w:sz w:val="18"/>
                <w:szCs w:val="18"/>
                <w:color w:val="auto"/>
              </w:rPr>
              <w:t>15,847</w:t>
            </w:r>
          </w:p>
        </w:tc>
        <w:tc>
          <w:tcPr>
            <w:tcW w:w="400" w:type="dxa"/>
            <w:vAlign w:val="bottom"/>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0C0C0"/>
          </w:tcPr>
          <w:p>
            <w:pPr>
              <w:jc w:val="right"/>
              <w:ind w:right="230"/>
              <w:spacing w:after="0"/>
              <w:rPr>
                <w:sz w:val="20"/>
                <w:szCs w:val="20"/>
                <w:color w:val="auto"/>
              </w:rPr>
            </w:pPr>
            <w:r>
              <w:rPr>
                <w:rFonts w:ascii="Times New Roman" w:cs="Times New Roman" w:eastAsia="Times New Roman" w:hAnsi="Times New Roman"/>
                <w:sz w:val="18"/>
                <w:szCs w:val="18"/>
                <w:color w:val="auto"/>
              </w:rPr>
              <w:t>15,601</w:t>
            </w:r>
          </w:p>
        </w:tc>
        <w:tc>
          <w:tcPr>
            <w:tcW w:w="8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1.08</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52"/>
        </w:trPr>
        <w:tc>
          <w:tcPr>
            <w:tcW w:w="482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Return on average assets</w:t>
            </w:r>
          </w:p>
        </w:tc>
        <w:tc>
          <w:tcPr>
            <w:tcW w:w="1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1.81%</w:t>
            </w:r>
          </w:p>
        </w:tc>
        <w:tc>
          <w:tcPr>
            <w:tcW w:w="30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70"/>
              <w:spacing w:after="0"/>
              <w:rPr>
                <w:sz w:val="20"/>
                <w:szCs w:val="20"/>
                <w:color w:val="auto"/>
              </w:rPr>
            </w:pPr>
            <w:r>
              <w:rPr>
                <w:rFonts w:ascii="Times New Roman" w:cs="Times New Roman" w:eastAsia="Times New Roman" w:hAnsi="Times New Roman"/>
                <w:sz w:val="18"/>
                <w:szCs w:val="18"/>
                <w:color w:val="auto"/>
              </w:rPr>
              <w:t>1.90%</w:t>
            </w:r>
          </w:p>
        </w:tc>
        <w:tc>
          <w:tcPr>
            <w:tcW w:w="980" w:type="dxa"/>
            <w:vAlign w:val="bottom"/>
            <w:gridSpan w:val="2"/>
            <w:shd w:val="clear" w:color="auto" w:fill="C0C0C0"/>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40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1.96%</w:t>
            </w:r>
          </w:p>
        </w:tc>
        <w:tc>
          <w:tcPr>
            <w:tcW w:w="820" w:type="dxa"/>
            <w:vAlign w:val="bottom"/>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Return on average equity</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13.21%</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13.66%</w:t>
            </w:r>
          </w:p>
        </w:tc>
        <w:tc>
          <w:tcPr>
            <w:tcW w:w="98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14.29%</w:t>
            </w:r>
          </w:p>
        </w:tc>
        <w:tc>
          <w:tcPr>
            <w:tcW w:w="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 Revenue and Other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fee revenue is derived mainly from transportation and facility payment and processing fees. As the Company provides its processing and payment services, it is compensated by service fees which are typically calculated on a per-item basis and by the accounts and drafts payable balances generated in the payment process which can be used to generate interest income. Processing volumes, fee revenue, and other income were as follows</w:t>
      </w:r>
      <w:r>
        <w:rPr>
          <w:rFonts w:ascii="Times New Roman" w:cs="Times New Roman" w:eastAsia="Times New Roman" w:hAnsi="Times New Roman"/>
          <w:sz w:val="13"/>
          <w:szCs w:val="13"/>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2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Second Quarter of</w:t>
            </w:r>
          </w:p>
        </w:tc>
        <w:tc>
          <w:tcPr>
            <w:tcW w:w="82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First Half of</w:t>
            </w:r>
          </w:p>
        </w:tc>
        <w:tc>
          <w:tcPr>
            <w:tcW w:w="820" w:type="dxa"/>
            <w:vAlign w:val="bottom"/>
            <w:tcBorders>
              <w:bottom w:val="single" w:sz="8" w:color="auto"/>
            </w:tcBorders>
          </w:tcPr>
          <w:p>
            <w:pPr>
              <w:spacing w:after="0"/>
              <w:rPr>
                <w:sz w:val="22"/>
                <w:szCs w:val="22"/>
                <w:color w:val="auto"/>
              </w:rPr>
            </w:pPr>
          </w:p>
        </w:tc>
      </w:tr>
      <w:tr>
        <w:trPr>
          <w:trHeight w:val="234"/>
        </w:trPr>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9"/>
        </w:trPr>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43"/>
        </w:trPr>
        <w:tc>
          <w:tcPr>
            <w:tcW w:w="424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Transportation invoice volume</w:t>
            </w:r>
          </w:p>
        </w:tc>
        <w:tc>
          <w:tcPr>
            <w:tcW w:w="20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9,222</w:t>
            </w:r>
          </w:p>
        </w:tc>
        <w:tc>
          <w:tcPr>
            <w:tcW w:w="36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90"/>
              <w:spacing w:after="0"/>
              <w:rPr>
                <w:sz w:val="20"/>
                <w:szCs w:val="20"/>
                <w:color w:val="auto"/>
              </w:rPr>
            </w:pPr>
            <w:r>
              <w:rPr>
                <w:rFonts w:ascii="Times New Roman" w:cs="Times New Roman" w:eastAsia="Times New Roman" w:hAnsi="Times New Roman"/>
                <w:sz w:val="18"/>
                <w:szCs w:val="18"/>
                <w:color w:val="auto"/>
              </w:rPr>
              <w:t>9,628</w:t>
            </w:r>
          </w:p>
        </w:tc>
        <w:tc>
          <w:tcPr>
            <w:tcW w:w="8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0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18,170</w:t>
            </w:r>
          </w:p>
        </w:tc>
        <w:tc>
          <w:tcPr>
            <w:tcW w:w="40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90"/>
              <w:spacing w:after="0"/>
              <w:rPr>
                <w:sz w:val="20"/>
                <w:szCs w:val="20"/>
                <w:color w:val="auto"/>
              </w:rPr>
            </w:pPr>
            <w:r>
              <w:rPr>
                <w:rFonts w:ascii="Times New Roman" w:cs="Times New Roman" w:eastAsia="Times New Roman" w:hAnsi="Times New Roman"/>
                <w:sz w:val="18"/>
                <w:szCs w:val="18"/>
                <w:color w:val="auto"/>
              </w:rPr>
              <w:t>18,819</w:t>
            </w:r>
          </w:p>
        </w:tc>
        <w:tc>
          <w:tcPr>
            <w:tcW w:w="8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 invoice dollar volume</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7,121,202</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7,172,171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14,106,975</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13,962,918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52"/>
        </w:trPr>
        <w:tc>
          <w:tcPr>
            <w:tcW w:w="424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Facility Expense transaction volume*</w:t>
            </w:r>
          </w:p>
        </w:tc>
        <w:tc>
          <w:tcPr>
            <w:tcW w:w="20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6,892</w:t>
            </w:r>
          </w:p>
        </w:tc>
        <w:tc>
          <w:tcPr>
            <w:tcW w:w="36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90"/>
              <w:spacing w:after="0"/>
              <w:rPr>
                <w:sz w:val="20"/>
                <w:szCs w:val="20"/>
                <w:color w:val="auto"/>
              </w:rPr>
            </w:pPr>
            <w:r>
              <w:rPr>
                <w:rFonts w:ascii="Times New Roman" w:cs="Times New Roman" w:eastAsia="Times New Roman" w:hAnsi="Times New Roman"/>
                <w:sz w:val="18"/>
                <w:szCs w:val="18"/>
                <w:color w:val="auto"/>
              </w:rPr>
              <w:t>7,169</w:t>
            </w:r>
          </w:p>
        </w:tc>
        <w:tc>
          <w:tcPr>
            <w:tcW w:w="8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0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13,886</w:t>
            </w:r>
          </w:p>
        </w:tc>
        <w:tc>
          <w:tcPr>
            <w:tcW w:w="40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90"/>
              <w:spacing w:after="0"/>
              <w:rPr>
                <w:sz w:val="20"/>
                <w:szCs w:val="20"/>
                <w:color w:val="auto"/>
              </w:rPr>
            </w:pPr>
            <w:r>
              <w:rPr>
                <w:rFonts w:ascii="Times New Roman" w:cs="Times New Roman" w:eastAsia="Times New Roman" w:hAnsi="Times New Roman"/>
                <w:sz w:val="18"/>
                <w:szCs w:val="18"/>
                <w:color w:val="auto"/>
              </w:rPr>
              <w:t>14,290</w:t>
            </w:r>
          </w:p>
        </w:tc>
        <w:tc>
          <w:tcPr>
            <w:tcW w:w="8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Facility Expense dollar volume*</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3,733,075</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3,233,769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7,350,503</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6,671,972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59"/>
        </w:trPr>
        <w:tc>
          <w:tcPr>
            <w:tcW w:w="424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Payment and processing revenue</w:t>
            </w:r>
          </w:p>
        </w:tc>
        <w:tc>
          <w:tcPr>
            <w:tcW w:w="200" w:type="dxa"/>
            <w:vAlign w:val="bottom"/>
            <w:tcBorders>
              <w:bottom w:val="single" w:sz="8" w:color="auto"/>
            </w:tcBorders>
            <w:shd w:val="clear" w:color="auto" w:fill="C0C0C0"/>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26,852</w:t>
            </w:r>
          </w:p>
        </w:tc>
        <w:tc>
          <w:tcPr>
            <w:tcW w:w="360" w:type="dxa"/>
            <w:vAlign w:val="bottom"/>
            <w:tcBorders>
              <w:bottom w:val="single" w:sz="8" w:color="auto"/>
            </w:tcBorders>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0C0C0"/>
          </w:tcPr>
          <w:p>
            <w:pPr>
              <w:jc w:val="right"/>
              <w:ind w:right="90"/>
              <w:spacing w:after="0"/>
              <w:rPr>
                <w:sz w:val="20"/>
                <w:szCs w:val="20"/>
                <w:color w:val="auto"/>
              </w:rPr>
            </w:pPr>
            <w:r>
              <w:rPr>
                <w:rFonts w:ascii="Times New Roman" w:cs="Times New Roman" w:eastAsia="Times New Roman" w:hAnsi="Times New Roman"/>
                <w:sz w:val="18"/>
                <w:szCs w:val="18"/>
                <w:color w:val="auto"/>
              </w:rPr>
              <w:t>25,221</w:t>
            </w:r>
          </w:p>
        </w:tc>
        <w:tc>
          <w:tcPr>
            <w:tcW w:w="82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tcBorders>
              <w:bottom w:val="single" w:sz="8" w:color="auto"/>
            </w:tcBorders>
            <w:shd w:val="clear" w:color="auto" w:fill="C0C0C0"/>
          </w:tcPr>
          <w:p>
            <w:pPr>
              <w:spacing w:after="0"/>
              <w:rPr>
                <w:sz w:val="22"/>
                <w:szCs w:val="22"/>
                <w:color w:val="auto"/>
              </w:rPr>
            </w:pPr>
          </w:p>
        </w:tc>
        <w:tc>
          <w:tcPr>
            <w:tcW w:w="200" w:type="dxa"/>
            <w:vAlign w:val="bottom"/>
            <w:tcBorders>
              <w:bottom w:val="single" w:sz="8" w:color="auto"/>
            </w:tcBorders>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53,309</w:t>
            </w:r>
          </w:p>
        </w:tc>
        <w:tc>
          <w:tcPr>
            <w:tcW w:w="400" w:type="dxa"/>
            <w:vAlign w:val="bottom"/>
            <w:tcBorders>
              <w:bottom w:val="single" w:sz="8" w:color="auto"/>
            </w:tcBorders>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0C0C0"/>
          </w:tcPr>
          <w:p>
            <w:pPr>
              <w:jc w:val="right"/>
              <w:ind w:right="90"/>
              <w:spacing w:after="0"/>
              <w:rPr>
                <w:sz w:val="20"/>
                <w:szCs w:val="20"/>
                <w:color w:val="auto"/>
              </w:rPr>
            </w:pPr>
            <w:r>
              <w:rPr>
                <w:rFonts w:ascii="Times New Roman" w:cs="Times New Roman" w:eastAsia="Times New Roman" w:hAnsi="Times New Roman"/>
                <w:sz w:val="18"/>
                <w:szCs w:val="18"/>
                <w:color w:val="auto"/>
              </w:rPr>
              <w:t>50,048</w:t>
            </w:r>
          </w:p>
        </w:tc>
        <w:tc>
          <w:tcPr>
            <w:tcW w:w="82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pacing w:after="0"/>
        <w:rPr>
          <w:sz w:val="20"/>
          <w:szCs w:val="20"/>
          <w:color w:val="auto"/>
        </w:rPr>
      </w:pPr>
      <w:r>
        <w:rPr>
          <w:rFonts w:ascii="Times New Roman" w:cs="Times New Roman" w:eastAsia="Times New Roman" w:hAnsi="Times New Roman"/>
          <w:sz w:val="14"/>
          <w:szCs w:val="14"/>
          <w:color w:val="auto"/>
        </w:rPr>
        <w:t>* Includes energy, telecom and waste.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Quarter of 2019 compared to Second Quarter of 2018:</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 and processing revenue increased 7%. Factors continuing to influence performance were an expanding customer base and the development and deployment of new revenue-generating services. Transportation invoice volume declined 4% as a historically robust second quarter in 2018 created a challenging comparison in 2019.</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a softening carrier market contributed to a 1% decline in transportation dollar volume. Facility-related (electricity, gas, waste and telecom expense management) dollar volume was up a stout 15% due to significantly increased “spend” by several major clients plus contributions from new customers. Facility expense transactions volume decreased 4% as the mix of customers, particularly in telecom expense management, changed from a relatively high transaction/low dollar to relatively low transaction/high dollar average customer. Actual customer counts increased for the quarter.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Gains of $8,000 on the sales of securities were recognized in the Second Quarter of 2019, compared to losses of $55,000 in the Second Quarter of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Half of 2019 compared to First Half of 2018:</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 and processing revenue increased 7% for the same reasons as the Second Quarter. Transportation dollar volume increased 1% in the First Half of 2019 compared to the First Half of 2018. Transportation invoice volumes, as well as expense management transaction and dollar volumes, fluctuated for the same reasons as the Second Quarter.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Gains of $19,000 on the sales of securities were recognized in the First Half of 2019, compared to losses of $42,000 in the First Half of 2018.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interest income is the difference between interest earned on loans, investments, and other earning assets and interest expense on deposits and other interest-bearing liabilities. Net interest income is a significant source of the Company’s revenues. The following table summarizes the changes in tax-equivalent net interest income and related factors: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84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Second Quarter of</w:t>
            </w:r>
          </w:p>
        </w:tc>
        <w:tc>
          <w:tcPr>
            <w:tcW w:w="88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First Half of</w:t>
            </w:r>
          </w:p>
        </w:tc>
        <w:tc>
          <w:tcPr>
            <w:tcW w:w="860" w:type="dxa"/>
            <w:vAlign w:val="bottom"/>
            <w:tcBorders>
              <w:bottom w:val="single" w:sz="8" w:color="auto"/>
            </w:tcBorders>
          </w:tcPr>
          <w:p>
            <w:pPr>
              <w:spacing w:after="0"/>
              <w:rPr>
                <w:sz w:val="22"/>
                <w:szCs w:val="22"/>
                <w:color w:val="auto"/>
              </w:rPr>
            </w:pPr>
          </w:p>
        </w:tc>
      </w:tr>
      <w:tr>
        <w:trPr>
          <w:trHeight w:val="234"/>
        </w:trPr>
        <w:tc>
          <w:tcPr>
            <w:tcW w:w="38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9"/>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7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6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5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43"/>
        </w:trPr>
        <w:tc>
          <w:tcPr>
            <w:tcW w:w="384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Average earnings assets</w:t>
            </w:r>
          </w:p>
        </w:tc>
        <w:tc>
          <w:tcPr>
            <w:tcW w:w="11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   1,430,983</w:t>
            </w:r>
          </w:p>
        </w:tc>
        <w:tc>
          <w:tcPr>
            <w:tcW w:w="1700" w:type="dxa"/>
            <w:vAlign w:val="bottom"/>
            <w:shd w:val="clear" w:color="auto" w:fill="C0C0C0"/>
          </w:tcPr>
          <w:p>
            <w:pPr>
              <w:jc w:val="right"/>
              <w:ind w:right="170"/>
              <w:spacing w:after="0"/>
              <w:rPr>
                <w:sz w:val="20"/>
                <w:szCs w:val="20"/>
                <w:color w:val="auto"/>
              </w:rPr>
            </w:pPr>
            <w:r>
              <w:rPr>
                <w:rFonts w:ascii="Times New Roman" w:cs="Times New Roman" w:eastAsia="Times New Roman" w:hAnsi="Times New Roman"/>
                <w:sz w:val="18"/>
                <w:szCs w:val="18"/>
                <w:color w:val="auto"/>
              </w:rPr>
              <w:t>$   1,348,188</w:t>
            </w:r>
          </w:p>
        </w:tc>
        <w:tc>
          <w:tcPr>
            <w:tcW w:w="8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6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   1,434,777</w:t>
            </w:r>
          </w:p>
        </w:tc>
        <w:tc>
          <w:tcPr>
            <w:tcW w:w="1580" w:type="dxa"/>
            <w:vAlign w:val="bottom"/>
            <w:shd w:val="clear" w:color="auto" w:fill="C0C0C0"/>
          </w:tcPr>
          <w:p>
            <w:pPr>
              <w:jc w:val="right"/>
              <w:ind w:right="150"/>
              <w:spacing w:after="0"/>
              <w:rPr>
                <w:sz w:val="20"/>
                <w:szCs w:val="20"/>
                <w:color w:val="auto"/>
              </w:rPr>
            </w:pPr>
            <w:r>
              <w:rPr>
                <w:rFonts w:ascii="Times New Roman" w:cs="Times New Roman" w:eastAsia="Times New Roman" w:hAnsi="Times New Roman"/>
                <w:sz w:val="18"/>
                <w:szCs w:val="18"/>
                <w:color w:val="auto"/>
              </w:rPr>
              <w:t>$   1,379,393</w:t>
            </w:r>
          </w:p>
        </w:tc>
        <w:tc>
          <w:tcPr>
            <w:tcW w:w="8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Average interest-bearing liabilities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379,397</w:t>
            </w:r>
          </w:p>
        </w:tc>
        <w:tc>
          <w:tcPr>
            <w:tcW w:w="1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365,569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384,594</w:t>
            </w:r>
          </w:p>
        </w:tc>
        <w:tc>
          <w:tcPr>
            <w:tcW w:w="15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373,703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65"/>
        </w:trPr>
        <w:tc>
          <w:tcPr>
            <w:tcW w:w="384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Net interest income</w:t>
            </w:r>
            <w:r>
              <w:rPr>
                <w:rFonts w:ascii="Times New Roman" w:cs="Times New Roman" w:eastAsia="Times New Roman" w:hAnsi="Times New Roman"/>
                <w:sz w:val="13"/>
                <w:szCs w:val="13"/>
                <w:color w:val="auto"/>
              </w:rPr>
              <w:t>*</w:t>
            </w:r>
          </w:p>
        </w:tc>
        <w:tc>
          <w:tcPr>
            <w:tcW w:w="11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12,553</w:t>
            </w:r>
          </w:p>
        </w:tc>
        <w:tc>
          <w:tcPr>
            <w:tcW w:w="1700" w:type="dxa"/>
            <w:vAlign w:val="bottom"/>
            <w:shd w:val="clear" w:color="auto" w:fill="C0C0C0"/>
          </w:tcPr>
          <w:p>
            <w:pPr>
              <w:jc w:val="right"/>
              <w:ind w:right="170"/>
              <w:spacing w:after="0"/>
              <w:rPr>
                <w:sz w:val="20"/>
                <w:szCs w:val="20"/>
                <w:color w:val="auto"/>
              </w:rPr>
            </w:pPr>
            <w:r>
              <w:rPr>
                <w:rFonts w:ascii="Times New Roman" w:cs="Times New Roman" w:eastAsia="Times New Roman" w:hAnsi="Times New Roman"/>
                <w:sz w:val="18"/>
                <w:szCs w:val="18"/>
                <w:color w:val="auto"/>
              </w:rPr>
              <w:t>11,343</w:t>
            </w:r>
          </w:p>
        </w:tc>
        <w:tc>
          <w:tcPr>
            <w:tcW w:w="8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6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24,701</w:t>
            </w:r>
          </w:p>
        </w:tc>
        <w:tc>
          <w:tcPr>
            <w:tcW w:w="1580" w:type="dxa"/>
            <w:vAlign w:val="bottom"/>
            <w:shd w:val="clear" w:color="auto" w:fill="C0C0C0"/>
          </w:tcPr>
          <w:p>
            <w:pPr>
              <w:jc w:val="right"/>
              <w:ind w:right="150"/>
              <w:spacing w:after="0"/>
              <w:rPr>
                <w:sz w:val="20"/>
                <w:szCs w:val="20"/>
                <w:color w:val="auto"/>
              </w:rPr>
            </w:pPr>
            <w:r>
              <w:rPr>
                <w:rFonts w:ascii="Times New Roman" w:cs="Times New Roman" w:eastAsia="Times New Roman" w:hAnsi="Times New Roman"/>
                <w:sz w:val="18"/>
                <w:szCs w:val="18"/>
                <w:color w:val="auto"/>
              </w:rPr>
              <w:t>22,640</w:t>
            </w:r>
          </w:p>
        </w:tc>
        <w:tc>
          <w:tcPr>
            <w:tcW w:w="8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9.1%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margin</w:t>
            </w:r>
            <w:r>
              <w:rPr>
                <w:rFonts w:ascii="Times New Roman" w:cs="Times New Roman" w:eastAsia="Times New Roman" w:hAnsi="Times New Roman"/>
                <w:sz w:val="13"/>
                <w:szCs w:val="13"/>
                <w:color w:val="auto"/>
              </w:rPr>
              <w:t>*</w:t>
            </w:r>
          </w:p>
        </w:tc>
        <w:tc>
          <w:tcPr>
            <w:tcW w:w="20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3.52%</w:t>
            </w:r>
          </w:p>
        </w:tc>
        <w:tc>
          <w:tcPr>
            <w:tcW w:w="196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3.37%</w:t>
            </w:r>
          </w:p>
        </w:tc>
        <w:tc>
          <w:tcPr>
            <w:tcW w:w="19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3.47%</w:t>
            </w:r>
          </w:p>
        </w:tc>
        <w:tc>
          <w:tcPr>
            <w:tcW w:w="19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3.31%</w:t>
            </w:r>
          </w:p>
        </w:tc>
      </w:tr>
      <w:tr>
        <w:trPr>
          <w:trHeight w:val="270"/>
        </w:trPr>
        <w:tc>
          <w:tcPr>
            <w:tcW w:w="352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Yield on earning assets</w:t>
            </w:r>
            <w:r>
              <w:rPr>
                <w:rFonts w:ascii="Times New Roman" w:cs="Times New Roman" w:eastAsia="Times New Roman" w:hAnsi="Times New Roman"/>
                <w:sz w:val="13"/>
                <w:szCs w:val="13"/>
                <w:color w:val="auto"/>
              </w:rPr>
              <w:t>*</w:t>
            </w:r>
          </w:p>
        </w:tc>
        <w:tc>
          <w:tcPr>
            <w:tcW w:w="2040" w:type="dxa"/>
            <w:vAlign w:val="bottom"/>
            <w:shd w:val="clear" w:color="auto" w:fill="C0C0C0"/>
          </w:tcPr>
          <w:p>
            <w:pPr>
              <w:jc w:val="right"/>
              <w:ind w:right="430"/>
              <w:spacing w:after="0"/>
              <w:rPr>
                <w:sz w:val="20"/>
                <w:szCs w:val="20"/>
                <w:color w:val="auto"/>
              </w:rPr>
            </w:pPr>
            <w:r>
              <w:rPr>
                <w:rFonts w:ascii="Times New Roman" w:cs="Times New Roman" w:eastAsia="Times New Roman" w:hAnsi="Times New Roman"/>
                <w:sz w:val="18"/>
                <w:szCs w:val="18"/>
                <w:color w:val="auto"/>
              </w:rPr>
              <w:t>3.88%</w:t>
            </w:r>
          </w:p>
        </w:tc>
        <w:tc>
          <w:tcPr>
            <w:tcW w:w="1960" w:type="dxa"/>
            <w:vAlign w:val="bottom"/>
            <w:shd w:val="clear" w:color="auto" w:fill="C0C0C0"/>
          </w:tcPr>
          <w:p>
            <w:pPr>
              <w:jc w:val="right"/>
              <w:ind w:right="890"/>
              <w:spacing w:after="0"/>
              <w:rPr>
                <w:sz w:val="20"/>
                <w:szCs w:val="20"/>
                <w:color w:val="auto"/>
              </w:rPr>
            </w:pPr>
            <w:r>
              <w:rPr>
                <w:rFonts w:ascii="Times New Roman" w:cs="Times New Roman" w:eastAsia="Times New Roman" w:hAnsi="Times New Roman"/>
                <w:sz w:val="18"/>
                <w:szCs w:val="18"/>
                <w:color w:val="auto"/>
              </w:rPr>
              <w:t>3.61%</w:t>
            </w:r>
          </w:p>
        </w:tc>
        <w:tc>
          <w:tcPr>
            <w:tcW w:w="1980" w:type="dxa"/>
            <w:vAlign w:val="bottom"/>
            <w:shd w:val="clear" w:color="auto" w:fill="C0C0C0"/>
          </w:tcPr>
          <w:p>
            <w:pPr>
              <w:jc w:val="right"/>
              <w:ind w:right="410"/>
              <w:spacing w:after="0"/>
              <w:rPr>
                <w:sz w:val="20"/>
                <w:szCs w:val="20"/>
                <w:color w:val="auto"/>
              </w:rPr>
            </w:pPr>
            <w:r>
              <w:rPr>
                <w:rFonts w:ascii="Times New Roman" w:cs="Times New Roman" w:eastAsia="Times New Roman" w:hAnsi="Times New Roman"/>
                <w:sz w:val="18"/>
                <w:szCs w:val="18"/>
                <w:color w:val="auto"/>
              </w:rPr>
              <w:t>3.84%</w:t>
            </w:r>
          </w:p>
        </w:tc>
        <w:tc>
          <w:tcPr>
            <w:tcW w:w="1920" w:type="dxa"/>
            <w:vAlign w:val="bottom"/>
            <w:shd w:val="clear" w:color="auto" w:fill="C0C0C0"/>
          </w:tcPr>
          <w:p>
            <w:pPr>
              <w:jc w:val="right"/>
              <w:ind w:right="850"/>
              <w:spacing w:after="0"/>
              <w:rPr>
                <w:sz w:val="20"/>
                <w:szCs w:val="20"/>
                <w:color w:val="auto"/>
              </w:rPr>
            </w:pPr>
            <w:r>
              <w:rPr>
                <w:rFonts w:ascii="Times New Roman" w:cs="Times New Roman" w:eastAsia="Times New Roman" w:hAnsi="Times New Roman"/>
                <w:sz w:val="18"/>
                <w:szCs w:val="18"/>
                <w:color w:val="auto"/>
              </w:rPr>
              <w:t>3.53%</w:t>
            </w: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Rate on interest-bearing liabilities</w:t>
            </w:r>
          </w:p>
        </w:tc>
        <w:tc>
          <w:tcPr>
            <w:tcW w:w="20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1.38%</w:t>
            </w:r>
          </w:p>
        </w:tc>
        <w:tc>
          <w:tcPr>
            <w:tcW w:w="196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.87%</w:t>
            </w:r>
          </w:p>
        </w:tc>
        <w:tc>
          <w:tcPr>
            <w:tcW w:w="19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1.36%</w:t>
            </w:r>
          </w:p>
        </w:tc>
        <w:tc>
          <w:tcPr>
            <w:tcW w:w="19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Presented on a tax-equivalent basis assuming a tax rate of 21% for both 2019 and 2018.</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Quarter of 2019 compared to Second Quarter of 2018:</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Second Quarter of 2019 average earning assets increased $82,795,000, or 6.1%, compared to the same period in the prior year. Loans increased $61,225,000, or 8.6%, and average federal funds sold and short-term investments increased $41,893,000, or 40.7%. These were partially offset by a decrease in average investment securities of $23,181,000, or 5.1%, in the Second Quarter of 2019 compared to the Second Quarter of 2018.</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Average accounts and drafts payable increased $60,346,000, or 8.4%, and non-interest bearing demand deposits increased $22,669,000, or 9.6%, in the Second Quarter of 2019 compared to the Second Quarter of 2018. Total average interest-bearing liabilities for the Second Quarter of 2019 increased $13,828,000, or 3.8%, compared to the Second Quarter of 2018 primarily as a result of higher time deposits.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changes to the interest rate environment also led to an increase in the rate on interest-bearing liabilities in the Second Quarter of 2019 compared to the Second Quarter of 2018.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Half of 2019 compared to First Half of 2018:</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First Half of 2019 average earning assets increased $55,384,000, or 4.0%, compared to the same period in the prior year. Loans increased $46,407,000, or 6.6%, and average federal funds sold and short-term investments increased $17,166,000 or 13.9%. These were partially offset by a decrease in average investment securities of $23,836,000, or 5.2%, for the First Half of 2019 as compared to the First Half of 2018.</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Average accounts and drafts payable balances for the First Half of 2019 increased $34,794,000, or 4.8%, and non-interest-bearing demand deposits increased $22,479,000, or 9.3%, as compared to the First Half of 2018. Total average interest-bearing deposits increased $10,891,000, or 2.9%, compared to the First Half of 2018 primarily as a result of higher time deposits.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interest income and net interest margin were impacted by the same factors as the Second Quarter.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the changes in net interest income, please refer to the tables that follow.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Distribution of Assets, Liabilities and Shareholders’ Equity; Interest Rate and Interest Differential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show the condensed average balance sheets for each of the periods reported, the tax-equivalent interest income and expense on each category of interest-earning assets and interest-bearing liabilities, and the average yield on such categories of interest-earning assets and the average rates paid on such categories of interest-bearing liabilities for each of the periods reported.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Second Quarter of 2019</w:t>
            </w:r>
          </w:p>
        </w:tc>
        <w:tc>
          <w:tcPr>
            <w:tcW w:w="66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Second Quarter of 2018</w:t>
            </w:r>
          </w:p>
        </w:tc>
        <w:tc>
          <w:tcPr>
            <w:tcW w:w="640" w:type="dxa"/>
            <w:vAlign w:val="bottom"/>
            <w:tcBorders>
              <w:bottom w:val="single" w:sz="8" w:color="auto"/>
            </w:tcBorders>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6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60" w:type="dxa"/>
            <w:vAlign w:val="bottom"/>
          </w:tcPr>
          <w:p>
            <w:pPr>
              <w:spacing w:after="0"/>
              <w:rPr>
                <w:sz w:val="21"/>
                <w:szCs w:val="21"/>
                <w:color w:val="auto"/>
              </w:rPr>
            </w:pP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6"/>
              </w:rPr>
              <w:t>Income/</w:t>
            </w: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Yield/</w:t>
            </w:r>
          </w:p>
        </w:tc>
        <w:tc>
          <w:tcPr>
            <w:tcW w:w="180" w:type="dxa"/>
            <w:vAlign w:val="bottom"/>
          </w:tcPr>
          <w:p>
            <w:pPr>
              <w:spacing w:after="0"/>
              <w:rPr>
                <w:sz w:val="21"/>
                <w:szCs w:val="21"/>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Yield/</w:t>
            </w:r>
          </w:p>
        </w:tc>
      </w:tr>
      <w:tr>
        <w:trPr>
          <w:trHeight w:val="277"/>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80" w:type="dxa"/>
            <w:vAlign w:val="bottom"/>
          </w:tcPr>
          <w:p>
            <w:pPr>
              <w:spacing w:after="0"/>
              <w:rPr>
                <w:sz w:val="24"/>
                <w:szCs w:val="24"/>
                <w:color w:val="auto"/>
              </w:rPr>
            </w:pPr>
          </w:p>
        </w:tc>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60" w:type="dxa"/>
            <w:vAlign w:val="bottom"/>
          </w:tcPr>
          <w:p>
            <w:pPr>
              <w:spacing w:after="0"/>
              <w:rPr>
                <w:sz w:val="24"/>
                <w:szCs w:val="24"/>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80" w:type="dxa"/>
            <w:vAlign w:val="bottom"/>
          </w:tcPr>
          <w:p>
            <w:pPr>
              <w:spacing w:after="0"/>
              <w:rPr>
                <w:sz w:val="24"/>
                <w:szCs w:val="24"/>
                <w:color w:val="auto"/>
              </w:rPr>
            </w:pP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Rate</w:t>
            </w:r>
          </w:p>
        </w:tc>
      </w:tr>
      <w:tr>
        <w:trPr>
          <w:trHeight w:val="311"/>
        </w:trPr>
        <w:tc>
          <w:tcPr>
            <w:tcW w:w="20" w:type="dxa"/>
            <w:vAlign w:val="bottom"/>
          </w:tcPr>
          <w:p>
            <w:pPr>
              <w:spacing w:after="0"/>
              <w:rPr>
                <w:sz w:val="24"/>
                <w:szCs w:val="24"/>
                <w:color w:val="auto"/>
              </w:rPr>
            </w:pPr>
          </w:p>
        </w:tc>
        <w:tc>
          <w:tcPr>
            <w:tcW w:w="4280" w:type="dxa"/>
            <w:vAlign w:val="bottom"/>
            <w:tcBorders>
              <w:top w:val="single" w:sz="8" w:color="auto"/>
            </w:tcBorders>
            <w:shd w:val="clear" w:color="auto" w:fill="C0C0C0"/>
          </w:tcPr>
          <w:p>
            <w:pPr>
              <w:spacing w:after="0" w:line="311" w:lineRule="exact"/>
              <w:rPr>
                <w:sz w:val="20"/>
                <w:szCs w:val="20"/>
                <w:color w:val="auto"/>
              </w:rPr>
            </w:pP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30"/>
                <w:szCs w:val="30"/>
                <w:color w:val="auto"/>
                <w:vertAlign w:val="superscript"/>
              </w:rPr>
              <w:t>1</w:t>
            </w:r>
          </w:p>
        </w:tc>
        <w:tc>
          <w:tcPr>
            <w:tcW w:w="380" w:type="dxa"/>
            <w:vAlign w:val="bottom"/>
            <w:tcBorders>
              <w:top w:val="single" w:sz="8" w:color="auto"/>
            </w:tcBorders>
            <w:shd w:val="clear" w:color="auto" w:fill="C0C0C0"/>
          </w:tcPr>
          <w:p>
            <w:pPr>
              <w:spacing w:after="0"/>
              <w:rPr>
                <w:sz w:val="24"/>
                <w:szCs w:val="24"/>
                <w:color w:val="auto"/>
              </w:rPr>
            </w:pPr>
          </w:p>
        </w:tc>
        <w:tc>
          <w:tcPr>
            <w:tcW w:w="380" w:type="dxa"/>
            <w:vAlign w:val="bottom"/>
            <w:tcBorders>
              <w:top w:val="single" w:sz="8" w:color="auto"/>
            </w:tcBorders>
            <w:shd w:val="clear" w:color="auto" w:fill="C0C0C0"/>
          </w:tcPr>
          <w:p>
            <w:pPr>
              <w:spacing w:after="0"/>
              <w:rPr>
                <w:sz w:val="24"/>
                <w:szCs w:val="24"/>
                <w:color w:val="auto"/>
              </w:rPr>
            </w:pPr>
          </w:p>
        </w:tc>
        <w:tc>
          <w:tcPr>
            <w:tcW w:w="920" w:type="dxa"/>
            <w:vAlign w:val="bottom"/>
            <w:tcBorders>
              <w:top w:val="single" w:sz="8" w:color="auto"/>
            </w:tcBorders>
            <w:shd w:val="clear" w:color="auto" w:fill="C0C0C0"/>
          </w:tcPr>
          <w:p>
            <w:pPr>
              <w:spacing w:after="0"/>
              <w:rPr>
                <w:sz w:val="24"/>
                <w:szCs w:val="24"/>
                <w:color w:val="auto"/>
              </w:rPr>
            </w:pPr>
          </w:p>
        </w:tc>
        <w:tc>
          <w:tcPr>
            <w:tcW w:w="260" w:type="dxa"/>
            <w:vAlign w:val="bottom"/>
            <w:tcBorders>
              <w:top w:val="single" w:sz="8" w:color="auto"/>
            </w:tcBorders>
            <w:shd w:val="clear" w:color="auto" w:fill="C0C0C0"/>
          </w:tcPr>
          <w:p>
            <w:pPr>
              <w:spacing w:after="0"/>
              <w:rPr>
                <w:sz w:val="24"/>
                <w:szCs w:val="24"/>
                <w:color w:val="auto"/>
              </w:rPr>
            </w:pPr>
          </w:p>
        </w:tc>
        <w:tc>
          <w:tcPr>
            <w:tcW w:w="1040" w:type="dxa"/>
            <w:vAlign w:val="bottom"/>
            <w:tcBorders>
              <w:top w:val="single" w:sz="8" w:color="auto"/>
            </w:tcBorders>
            <w:shd w:val="clear" w:color="auto" w:fill="C0C0C0"/>
          </w:tcPr>
          <w:p>
            <w:pPr>
              <w:spacing w:after="0"/>
              <w:rPr>
                <w:sz w:val="24"/>
                <w:szCs w:val="24"/>
                <w:color w:val="auto"/>
              </w:rPr>
            </w:pPr>
          </w:p>
        </w:tc>
        <w:tc>
          <w:tcPr>
            <w:tcW w:w="660" w:type="dxa"/>
            <w:vAlign w:val="bottom"/>
            <w:tcBorders>
              <w:top w:val="single" w:sz="8" w:color="auto"/>
            </w:tcBorders>
            <w:shd w:val="clear" w:color="auto" w:fill="C0C0C0"/>
          </w:tcPr>
          <w:p>
            <w:pPr>
              <w:spacing w:after="0"/>
              <w:rPr>
                <w:sz w:val="24"/>
                <w:szCs w:val="24"/>
                <w:color w:val="auto"/>
              </w:rPr>
            </w:pPr>
          </w:p>
        </w:tc>
        <w:tc>
          <w:tcPr>
            <w:tcW w:w="260" w:type="dxa"/>
            <w:vAlign w:val="bottom"/>
            <w:tcBorders>
              <w:top w:val="single" w:sz="8" w:color="auto"/>
            </w:tcBorders>
            <w:shd w:val="clear" w:color="auto" w:fill="C0C0C0"/>
          </w:tcPr>
          <w:p>
            <w:pPr>
              <w:spacing w:after="0"/>
              <w:rPr>
                <w:sz w:val="24"/>
                <w:szCs w:val="24"/>
                <w:color w:val="auto"/>
              </w:rPr>
            </w:pPr>
          </w:p>
        </w:tc>
        <w:tc>
          <w:tcPr>
            <w:tcW w:w="180" w:type="dxa"/>
            <w:vAlign w:val="bottom"/>
            <w:tcBorders>
              <w:top w:val="single" w:sz="8" w:color="auto"/>
            </w:tcBorders>
            <w:shd w:val="clear" w:color="auto" w:fill="C0C0C0"/>
          </w:tcPr>
          <w:p>
            <w:pPr>
              <w:spacing w:after="0"/>
              <w:rPr>
                <w:sz w:val="24"/>
                <w:szCs w:val="24"/>
                <w:color w:val="auto"/>
              </w:rPr>
            </w:pPr>
          </w:p>
        </w:tc>
        <w:tc>
          <w:tcPr>
            <w:tcW w:w="1100" w:type="dxa"/>
            <w:vAlign w:val="bottom"/>
            <w:tcBorders>
              <w:top w:val="single" w:sz="8" w:color="auto"/>
            </w:tcBorders>
            <w:shd w:val="clear" w:color="auto" w:fill="C0C0C0"/>
          </w:tcPr>
          <w:p>
            <w:pPr>
              <w:spacing w:after="0"/>
              <w:rPr>
                <w:sz w:val="24"/>
                <w:szCs w:val="24"/>
                <w:color w:val="auto"/>
              </w:rPr>
            </w:pPr>
          </w:p>
        </w:tc>
        <w:tc>
          <w:tcPr>
            <w:tcW w:w="240" w:type="dxa"/>
            <w:vAlign w:val="bottom"/>
            <w:tcBorders>
              <w:top w:val="single" w:sz="8" w:color="auto"/>
            </w:tcBorders>
            <w:shd w:val="clear" w:color="auto" w:fill="C0C0C0"/>
          </w:tcPr>
          <w:p>
            <w:pPr>
              <w:spacing w:after="0"/>
              <w:rPr>
                <w:sz w:val="24"/>
                <w:szCs w:val="24"/>
                <w:color w:val="auto"/>
              </w:rPr>
            </w:pPr>
          </w:p>
        </w:tc>
        <w:tc>
          <w:tcPr>
            <w:tcW w:w="1060" w:type="dxa"/>
            <w:vAlign w:val="bottom"/>
            <w:tcBorders>
              <w:top w:val="single" w:sz="8" w:color="auto"/>
            </w:tcBorders>
            <w:shd w:val="clear" w:color="auto" w:fill="C0C0C0"/>
          </w:tcPr>
          <w:p>
            <w:pPr>
              <w:spacing w:after="0"/>
              <w:rPr>
                <w:sz w:val="24"/>
                <w:szCs w:val="24"/>
                <w:color w:val="auto"/>
              </w:rPr>
            </w:pPr>
          </w:p>
        </w:tc>
        <w:tc>
          <w:tcPr>
            <w:tcW w:w="640" w:type="dxa"/>
            <w:vAlign w:val="bottom"/>
            <w:tcBorders>
              <w:top w:val="single" w:sz="8" w:color="auto"/>
            </w:tcBorders>
            <w:shd w:val="clear" w:color="auto" w:fill="C0C0C0"/>
          </w:tcPr>
          <w:p>
            <w:pPr>
              <w:spacing w:after="0"/>
              <w:rPr>
                <w:sz w:val="24"/>
                <w:szCs w:val="24"/>
                <w:color w:val="auto"/>
              </w:rPr>
            </w:pPr>
          </w:p>
        </w:tc>
      </w:tr>
      <w:tr>
        <w:trPr>
          <w:trHeight w:val="239"/>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Earning assets</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15"/>
        </w:trPr>
        <w:tc>
          <w:tcPr>
            <w:tcW w:w="20" w:type="dxa"/>
            <w:vAlign w:val="bottom"/>
          </w:tcPr>
          <w:p>
            <w:pPr>
              <w:spacing w:after="0"/>
              <w:rPr>
                <w:sz w:val="24"/>
                <w:szCs w:val="24"/>
                <w:color w:val="auto"/>
              </w:rPr>
            </w:pPr>
          </w:p>
        </w:tc>
        <w:tc>
          <w:tcPr>
            <w:tcW w:w="4280" w:type="dxa"/>
            <w:vAlign w:val="bottom"/>
            <w:shd w:val="clear" w:color="auto" w:fill="C0C0C0"/>
          </w:tcPr>
          <w:p>
            <w:pPr>
              <w:spacing w:after="0" w:line="315" w:lineRule="exact"/>
              <w:rPr>
                <w:sz w:val="20"/>
                <w:szCs w:val="20"/>
                <w:color w:val="auto"/>
              </w:rPr>
            </w:pPr>
            <w:r>
              <w:rPr>
                <w:rFonts w:ascii="Times New Roman" w:cs="Times New Roman" w:eastAsia="Times New Roman" w:hAnsi="Times New Roman"/>
                <w:sz w:val="18"/>
                <w:szCs w:val="18"/>
                <w:color w:val="auto"/>
              </w:rPr>
              <w:t>Loans</w:t>
            </w:r>
            <w:r>
              <w:rPr>
                <w:rFonts w:ascii="Times New Roman" w:cs="Times New Roman" w:eastAsia="Times New Roman" w:hAnsi="Times New Roman"/>
                <w:sz w:val="30"/>
                <w:szCs w:val="30"/>
                <w:color w:val="auto"/>
                <w:vertAlign w:val="superscript"/>
              </w:rPr>
              <w:t>2,3</w:t>
            </w:r>
            <w:r>
              <w:rPr>
                <w:rFonts w:ascii="Times New Roman" w:cs="Times New Roman" w:eastAsia="Times New Roman" w:hAnsi="Times New Roman"/>
                <w:sz w:val="18"/>
                <w:szCs w:val="18"/>
                <w:color w:val="auto"/>
              </w:rPr>
              <w:t>:</w:t>
            </w:r>
          </w:p>
        </w:tc>
        <w:tc>
          <w:tcPr>
            <w:tcW w:w="380" w:type="dxa"/>
            <w:vAlign w:val="bottom"/>
            <w:shd w:val="clear" w:color="auto" w:fill="C0C0C0"/>
          </w:tcPr>
          <w:p>
            <w:pPr>
              <w:spacing w:after="0"/>
              <w:rPr>
                <w:sz w:val="24"/>
                <w:szCs w:val="24"/>
                <w:color w:val="auto"/>
              </w:rPr>
            </w:pPr>
          </w:p>
        </w:tc>
        <w:tc>
          <w:tcPr>
            <w:tcW w:w="380" w:type="dxa"/>
            <w:vAlign w:val="bottom"/>
            <w:shd w:val="clear" w:color="auto" w:fill="C0C0C0"/>
          </w:tcPr>
          <w:p>
            <w:pPr>
              <w:spacing w:after="0"/>
              <w:rPr>
                <w:sz w:val="24"/>
                <w:szCs w:val="24"/>
                <w:color w:val="auto"/>
              </w:rPr>
            </w:pPr>
          </w:p>
        </w:tc>
        <w:tc>
          <w:tcPr>
            <w:tcW w:w="920" w:type="dxa"/>
            <w:vAlign w:val="bottom"/>
            <w:shd w:val="clear" w:color="auto" w:fill="C0C0C0"/>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1040" w:type="dxa"/>
            <w:vAlign w:val="bottom"/>
            <w:shd w:val="clear" w:color="auto" w:fill="C0C0C0"/>
          </w:tcPr>
          <w:p>
            <w:pPr>
              <w:spacing w:after="0"/>
              <w:rPr>
                <w:sz w:val="24"/>
                <w:szCs w:val="24"/>
                <w:color w:val="auto"/>
              </w:rPr>
            </w:pPr>
          </w:p>
        </w:tc>
        <w:tc>
          <w:tcPr>
            <w:tcW w:w="660" w:type="dxa"/>
            <w:vAlign w:val="bottom"/>
            <w:shd w:val="clear" w:color="auto" w:fill="C0C0C0"/>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180" w:type="dxa"/>
            <w:vAlign w:val="bottom"/>
            <w:shd w:val="clear" w:color="auto" w:fill="C0C0C0"/>
          </w:tcPr>
          <w:p>
            <w:pPr>
              <w:spacing w:after="0"/>
              <w:rPr>
                <w:sz w:val="24"/>
                <w:szCs w:val="24"/>
                <w:color w:val="auto"/>
              </w:rPr>
            </w:pPr>
          </w:p>
        </w:tc>
        <w:tc>
          <w:tcPr>
            <w:tcW w:w="110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1060" w:type="dxa"/>
            <w:vAlign w:val="bottom"/>
            <w:shd w:val="clear" w:color="auto" w:fill="C0C0C0"/>
          </w:tcPr>
          <w:p>
            <w:pPr>
              <w:spacing w:after="0"/>
              <w:rPr>
                <w:sz w:val="24"/>
                <w:szCs w:val="24"/>
                <w:color w:val="auto"/>
              </w:rPr>
            </w:pPr>
          </w:p>
        </w:tc>
        <w:tc>
          <w:tcPr>
            <w:tcW w:w="640" w:type="dxa"/>
            <w:vAlign w:val="bottom"/>
            <w:shd w:val="clear" w:color="auto" w:fill="C0C0C0"/>
          </w:tcPr>
          <w:p>
            <w:pPr>
              <w:spacing w:after="0"/>
              <w:rPr>
                <w:sz w:val="24"/>
                <w:szCs w:val="24"/>
                <w:color w:val="auto"/>
              </w:rPr>
            </w:pPr>
          </w:p>
        </w:tc>
      </w:tr>
      <w:tr>
        <w:trPr>
          <w:trHeight w:val="239"/>
        </w:trPr>
        <w:tc>
          <w:tcPr>
            <w:tcW w:w="20" w:type="dxa"/>
            <w:vAlign w:val="bottom"/>
          </w:tcPr>
          <w:p>
            <w:pPr>
              <w:spacing w:after="0"/>
              <w:rPr>
                <w:sz w:val="20"/>
                <w:szCs w:val="20"/>
                <w:color w:val="auto"/>
              </w:rPr>
            </w:pPr>
          </w:p>
        </w:tc>
        <w:tc>
          <w:tcPr>
            <w:tcW w:w="4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Taxable</w:t>
            </w:r>
          </w:p>
        </w:tc>
        <w:tc>
          <w:tcPr>
            <w:tcW w:w="7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769,394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9,387</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706,160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7,906</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315"/>
        </w:trPr>
        <w:tc>
          <w:tcPr>
            <w:tcW w:w="20" w:type="dxa"/>
            <w:vAlign w:val="bottom"/>
          </w:tcPr>
          <w:p>
            <w:pPr>
              <w:spacing w:after="0"/>
              <w:rPr>
                <w:sz w:val="24"/>
                <w:szCs w:val="24"/>
                <w:color w:val="auto"/>
              </w:rPr>
            </w:pPr>
          </w:p>
        </w:tc>
        <w:tc>
          <w:tcPr>
            <w:tcW w:w="4280" w:type="dxa"/>
            <w:vAlign w:val="bottom"/>
            <w:shd w:val="clear" w:color="auto" w:fill="C0C0C0"/>
          </w:tcPr>
          <w:p>
            <w:pPr>
              <w:ind w:left="260"/>
              <w:spacing w:after="0" w:line="315" w:lineRule="exact"/>
              <w:rPr>
                <w:sz w:val="20"/>
                <w:szCs w:val="20"/>
                <w:color w:val="auto"/>
              </w:rPr>
            </w:pPr>
            <w:r>
              <w:rPr>
                <w:rFonts w:ascii="Times New Roman" w:cs="Times New Roman" w:eastAsia="Times New Roman" w:hAnsi="Times New Roman"/>
                <w:sz w:val="18"/>
                <w:szCs w:val="18"/>
                <w:color w:val="auto"/>
              </w:rPr>
              <w:t>Tax-exempt</w:t>
            </w:r>
            <w:r>
              <w:rPr>
                <w:rFonts w:ascii="Times New Roman" w:cs="Times New Roman" w:eastAsia="Times New Roman" w:hAnsi="Times New Roman"/>
                <w:sz w:val="30"/>
                <w:szCs w:val="30"/>
                <w:color w:val="auto"/>
                <w:vertAlign w:val="superscript"/>
              </w:rPr>
              <w:t>4</w:t>
            </w:r>
          </w:p>
        </w:tc>
        <w:tc>
          <w:tcPr>
            <w:tcW w:w="380" w:type="dxa"/>
            <w:vAlign w:val="bottom"/>
            <w:shd w:val="clear" w:color="auto" w:fill="C0C0C0"/>
          </w:tcPr>
          <w:p>
            <w:pPr>
              <w:spacing w:after="0"/>
              <w:rPr>
                <w:sz w:val="24"/>
                <w:szCs w:val="24"/>
                <w:color w:val="auto"/>
              </w:rPr>
            </w:pPr>
          </w:p>
        </w:tc>
        <w:tc>
          <w:tcPr>
            <w:tcW w:w="380" w:type="dxa"/>
            <w:vAlign w:val="bottom"/>
            <w:shd w:val="clear" w:color="auto" w:fill="C0C0C0"/>
          </w:tcPr>
          <w:p>
            <w:pPr>
              <w:spacing w:after="0"/>
              <w:rPr>
                <w:sz w:val="24"/>
                <w:szCs w:val="24"/>
                <w:color w:val="auto"/>
              </w:rPr>
            </w:pPr>
          </w:p>
        </w:tc>
        <w:tc>
          <w:tcPr>
            <w:tcW w:w="920" w:type="dxa"/>
            <w:vAlign w:val="bottom"/>
            <w:shd w:val="clear" w:color="auto" w:fill="C0C0C0"/>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0C0C0"/>
          </w:tcPr>
          <w:p>
            <w:pPr>
              <w:spacing w:after="0"/>
              <w:rPr>
                <w:sz w:val="24"/>
                <w:szCs w:val="24"/>
                <w:color w:val="auto"/>
              </w:rPr>
            </w:pPr>
          </w:p>
        </w:tc>
        <w:tc>
          <w:tcPr>
            <w:tcW w:w="1040" w:type="dxa"/>
            <w:vAlign w:val="bottom"/>
            <w:shd w:val="clear" w:color="auto" w:fill="C0C0C0"/>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0C0C0"/>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0C0C0"/>
          </w:tcPr>
          <w:p>
            <w:pPr>
              <w:spacing w:after="0"/>
              <w:rPr>
                <w:sz w:val="24"/>
                <w:szCs w:val="24"/>
                <w:color w:val="auto"/>
              </w:rPr>
            </w:pPr>
          </w:p>
        </w:tc>
        <w:tc>
          <w:tcPr>
            <w:tcW w:w="1100" w:type="dxa"/>
            <w:vAlign w:val="bottom"/>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2,009</w:t>
            </w:r>
          </w:p>
        </w:tc>
        <w:tc>
          <w:tcPr>
            <w:tcW w:w="240" w:type="dxa"/>
            <w:vAlign w:val="bottom"/>
            <w:shd w:val="clear" w:color="auto" w:fill="C0C0C0"/>
          </w:tcPr>
          <w:p>
            <w:pPr>
              <w:spacing w:after="0"/>
              <w:rPr>
                <w:sz w:val="24"/>
                <w:szCs w:val="24"/>
                <w:color w:val="auto"/>
              </w:rPr>
            </w:pPr>
          </w:p>
        </w:tc>
        <w:tc>
          <w:tcPr>
            <w:tcW w:w="1060" w:type="dxa"/>
            <w:vAlign w:val="bottom"/>
            <w:shd w:val="clear" w:color="auto" w:fill="C0C0C0"/>
          </w:tcPr>
          <w:p>
            <w:pPr>
              <w:jc w:val="right"/>
              <w:ind w:right="250"/>
              <w:spacing w:after="0"/>
              <w:rPr>
                <w:sz w:val="20"/>
                <w:szCs w:val="20"/>
                <w:color w:val="auto"/>
              </w:rPr>
            </w:pPr>
            <w:r>
              <w:rPr>
                <w:rFonts w:ascii="Times New Roman" w:cs="Times New Roman" w:eastAsia="Times New Roman" w:hAnsi="Times New Roman"/>
                <w:sz w:val="18"/>
                <w:szCs w:val="18"/>
                <w:color w:val="auto"/>
              </w:rPr>
              <w:t>21</w:t>
            </w:r>
          </w:p>
        </w:tc>
        <w:tc>
          <w:tcPr>
            <w:tcW w:w="640" w:type="dxa"/>
            <w:vAlign w:val="bottom"/>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4.19</w:t>
            </w:r>
          </w:p>
        </w:tc>
      </w:tr>
      <w:tr>
        <w:trPr>
          <w:trHeight w:val="311"/>
        </w:trPr>
        <w:tc>
          <w:tcPr>
            <w:tcW w:w="4300" w:type="dxa"/>
            <w:vAlign w:val="bottom"/>
            <w:gridSpan w:val="2"/>
          </w:tcPr>
          <w:p>
            <w:pPr>
              <w:spacing w:after="0" w:line="311" w:lineRule="exact"/>
              <w:rPr>
                <w:sz w:val="20"/>
                <w:szCs w:val="20"/>
                <w:color w:val="auto"/>
              </w:rPr>
            </w:pPr>
            <w:r>
              <w:rPr>
                <w:rFonts w:ascii="Times New Roman" w:cs="Times New Roman" w:eastAsia="Times New Roman" w:hAnsi="Times New Roman"/>
                <w:sz w:val="18"/>
                <w:szCs w:val="18"/>
                <w:color w:val="auto"/>
              </w:rPr>
              <w:t>Investment securities</w:t>
            </w:r>
            <w:r>
              <w:rPr>
                <w:rFonts w:ascii="Times New Roman" w:cs="Times New Roman" w:eastAsia="Times New Roman" w:hAnsi="Times New Roman"/>
                <w:sz w:val="30"/>
                <w:szCs w:val="30"/>
                <w:color w:val="auto"/>
                <w:vertAlign w:val="superscript"/>
              </w:rPr>
              <w:t>5</w:t>
            </w: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428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Taxable</w:t>
            </w:r>
          </w:p>
        </w:tc>
        <w:tc>
          <w:tcPr>
            <w:tcW w:w="38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10"/>
              <w:spacing w:after="0"/>
              <w:rPr>
                <w:sz w:val="20"/>
                <w:szCs w:val="20"/>
                <w:color w:val="auto"/>
              </w:rPr>
            </w:pPr>
            <w:r>
              <w:rPr>
                <w:rFonts w:ascii="Times New Roman" w:cs="Times New Roman" w:eastAsia="Times New Roman" w:hAnsi="Times New Roman"/>
                <w:sz w:val="18"/>
                <w:szCs w:val="18"/>
                <w:color w:val="auto"/>
              </w:rPr>
              <w:t>104,740</w:t>
            </w:r>
          </w:p>
        </w:tc>
        <w:tc>
          <w:tcPr>
            <w:tcW w:w="26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230"/>
              <w:spacing w:after="0"/>
              <w:rPr>
                <w:sz w:val="20"/>
                <w:szCs w:val="20"/>
                <w:color w:val="auto"/>
              </w:rPr>
            </w:pPr>
            <w:r>
              <w:rPr>
                <w:rFonts w:ascii="Times New Roman" w:cs="Times New Roman" w:eastAsia="Times New Roman" w:hAnsi="Times New Roman"/>
                <w:sz w:val="18"/>
                <w:szCs w:val="18"/>
                <w:color w:val="auto"/>
              </w:rPr>
              <w:t>630</w:t>
            </w:r>
          </w:p>
        </w:tc>
        <w:tc>
          <w:tcPr>
            <w:tcW w:w="660" w:type="dxa"/>
            <w:vAlign w:val="bottom"/>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2.41</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80,289</w:t>
            </w:r>
          </w:p>
        </w:tc>
        <w:tc>
          <w:tcPr>
            <w:tcW w:w="24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250"/>
              <w:spacing w:after="0"/>
              <w:rPr>
                <w:sz w:val="20"/>
                <w:szCs w:val="20"/>
                <w:color w:val="auto"/>
              </w:rPr>
            </w:pPr>
            <w:r>
              <w:rPr>
                <w:rFonts w:ascii="Times New Roman" w:cs="Times New Roman" w:eastAsia="Times New Roman" w:hAnsi="Times New Roman"/>
                <w:sz w:val="18"/>
                <w:szCs w:val="18"/>
                <w:color w:val="auto"/>
              </w:rPr>
              <w:t>462</w:t>
            </w:r>
          </w:p>
        </w:tc>
        <w:tc>
          <w:tcPr>
            <w:tcW w:w="640" w:type="dxa"/>
            <w:vAlign w:val="bottom"/>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2.31</w:t>
            </w:r>
          </w:p>
        </w:tc>
      </w:tr>
      <w:tr>
        <w:trPr>
          <w:trHeight w:val="311"/>
        </w:trPr>
        <w:tc>
          <w:tcPr>
            <w:tcW w:w="20" w:type="dxa"/>
            <w:vAlign w:val="bottom"/>
          </w:tcPr>
          <w:p>
            <w:pPr>
              <w:spacing w:after="0"/>
              <w:rPr>
                <w:sz w:val="24"/>
                <w:szCs w:val="24"/>
                <w:color w:val="auto"/>
              </w:rPr>
            </w:pPr>
          </w:p>
        </w:tc>
        <w:tc>
          <w:tcPr>
            <w:tcW w:w="4280" w:type="dxa"/>
            <w:vAlign w:val="bottom"/>
          </w:tcPr>
          <w:p>
            <w:pPr>
              <w:ind w:left="260"/>
              <w:spacing w:after="0" w:line="311" w:lineRule="exact"/>
              <w:rPr>
                <w:sz w:val="20"/>
                <w:szCs w:val="20"/>
                <w:color w:val="auto"/>
              </w:rPr>
            </w:pPr>
            <w:r>
              <w:rPr>
                <w:rFonts w:ascii="Times New Roman" w:cs="Times New Roman" w:eastAsia="Times New Roman" w:hAnsi="Times New Roman"/>
                <w:sz w:val="18"/>
                <w:szCs w:val="18"/>
                <w:color w:val="auto"/>
              </w:rPr>
              <w:t>Tax-exempt</w:t>
            </w:r>
            <w:r>
              <w:rPr>
                <w:rFonts w:ascii="Times New Roman" w:cs="Times New Roman" w:eastAsia="Times New Roman" w:hAnsi="Times New Roman"/>
                <w:sz w:val="30"/>
                <w:szCs w:val="30"/>
                <w:color w:val="auto"/>
                <w:vertAlign w:val="superscript"/>
              </w:rPr>
              <w:t>4</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322,208</w:t>
            </w:r>
          </w:p>
        </w:tc>
        <w:tc>
          <w:tcPr>
            <w:tcW w:w="260" w:type="dxa"/>
            <w:vAlign w:val="bottom"/>
          </w:tcPr>
          <w:p>
            <w:pPr>
              <w:spacing w:after="0"/>
              <w:rPr>
                <w:sz w:val="24"/>
                <w:szCs w:val="24"/>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2,524</w:t>
            </w: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3.14</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369,840</w:t>
            </w:r>
          </w:p>
        </w:tc>
        <w:tc>
          <w:tcPr>
            <w:tcW w:w="240" w:type="dxa"/>
            <w:vAlign w:val="bottom"/>
          </w:tcPr>
          <w:p>
            <w:pPr>
              <w:spacing w:after="0"/>
              <w:rPr>
                <w:sz w:val="24"/>
                <w:szCs w:val="24"/>
                <w:color w:val="auto"/>
              </w:rPr>
            </w:pP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2,952</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3.20</w:t>
            </w:r>
          </w:p>
        </w:tc>
      </w:tr>
      <w:tr>
        <w:trPr>
          <w:trHeight w:val="243"/>
        </w:trPr>
        <w:tc>
          <w:tcPr>
            <w:tcW w:w="20" w:type="dxa"/>
            <w:vAlign w:val="bottom"/>
          </w:tcPr>
          <w:p>
            <w:pPr>
              <w:spacing w:after="0"/>
              <w:rPr>
                <w:sz w:val="21"/>
                <w:szCs w:val="21"/>
                <w:color w:val="auto"/>
              </w:rPr>
            </w:pPr>
          </w:p>
        </w:tc>
        <w:tc>
          <w:tcPr>
            <w:tcW w:w="428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38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10"/>
              <w:spacing w:after="0"/>
              <w:rPr>
                <w:sz w:val="20"/>
                <w:szCs w:val="20"/>
                <w:color w:val="auto"/>
              </w:rPr>
            </w:pPr>
            <w:r>
              <w:rPr>
                <w:rFonts w:ascii="Times New Roman" w:cs="Times New Roman" w:eastAsia="Times New Roman" w:hAnsi="Times New Roman"/>
                <w:sz w:val="18"/>
                <w:szCs w:val="18"/>
                <w:color w:val="auto"/>
              </w:rPr>
              <w:t>1,995</w:t>
            </w:r>
          </w:p>
        </w:tc>
        <w:tc>
          <w:tcPr>
            <w:tcW w:w="26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230"/>
              <w:spacing w:after="0"/>
              <w:rPr>
                <w:sz w:val="20"/>
                <w:szCs w:val="20"/>
                <w:color w:val="auto"/>
              </w:rPr>
            </w:pPr>
            <w:r>
              <w:rPr>
                <w:rFonts w:ascii="Times New Roman" w:cs="Times New Roman" w:eastAsia="Times New Roman" w:hAnsi="Times New Roman"/>
                <w:sz w:val="18"/>
                <w:szCs w:val="18"/>
                <w:color w:val="auto"/>
              </w:rPr>
              <w:t>10</w:t>
            </w:r>
          </w:p>
        </w:tc>
        <w:tc>
          <w:tcPr>
            <w:tcW w:w="660" w:type="dxa"/>
            <w:vAlign w:val="bottom"/>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2.01</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7,188</w:t>
            </w:r>
          </w:p>
        </w:tc>
        <w:tc>
          <w:tcPr>
            <w:tcW w:w="24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250"/>
              <w:spacing w:after="0"/>
              <w:rPr>
                <w:sz w:val="20"/>
                <w:szCs w:val="20"/>
                <w:color w:val="auto"/>
              </w:rPr>
            </w:pPr>
            <w:r>
              <w:rPr>
                <w:rFonts w:ascii="Times New Roman" w:cs="Times New Roman" w:eastAsia="Times New Roman" w:hAnsi="Times New Roman"/>
                <w:sz w:val="18"/>
                <w:szCs w:val="18"/>
                <w:color w:val="auto"/>
              </w:rPr>
              <w:t>27</w:t>
            </w:r>
          </w:p>
        </w:tc>
        <w:tc>
          <w:tcPr>
            <w:tcW w:w="640" w:type="dxa"/>
            <w:vAlign w:val="bottom"/>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1.51</w:t>
            </w:r>
          </w:p>
        </w:tc>
      </w:tr>
      <w:tr>
        <w:trPr>
          <w:trHeight w:val="234"/>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deposits in other financial institutions</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87,883</w:t>
            </w:r>
          </w:p>
        </w:tc>
        <w:tc>
          <w:tcPr>
            <w:tcW w:w="26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477</w:t>
            </w: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79,832</w:t>
            </w:r>
          </w:p>
        </w:tc>
        <w:tc>
          <w:tcPr>
            <w:tcW w:w="240" w:type="dxa"/>
            <w:vAlign w:val="bottom"/>
          </w:tcPr>
          <w:p>
            <w:pPr>
              <w:spacing w:after="0"/>
              <w:rPr>
                <w:sz w:val="20"/>
                <w:szCs w:val="20"/>
                <w:color w:val="auto"/>
              </w:rPr>
            </w:pP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346</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1.74</w:t>
            </w:r>
          </w:p>
        </w:tc>
      </w:tr>
      <w:tr>
        <w:trPr>
          <w:trHeight w:val="247"/>
        </w:trPr>
        <w:tc>
          <w:tcPr>
            <w:tcW w:w="20" w:type="dxa"/>
            <w:vAlign w:val="bottom"/>
          </w:tcPr>
          <w:p>
            <w:pPr>
              <w:spacing w:after="0"/>
              <w:rPr>
                <w:sz w:val="21"/>
                <w:szCs w:val="21"/>
                <w:color w:val="auto"/>
              </w:rPr>
            </w:pPr>
          </w:p>
        </w:tc>
        <w:tc>
          <w:tcPr>
            <w:tcW w:w="428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Federal funds sold and other short-term investments</w:t>
            </w:r>
          </w:p>
        </w:tc>
        <w:tc>
          <w:tcPr>
            <w:tcW w:w="380" w:type="dxa"/>
            <w:vAlign w:val="bottom"/>
            <w:tcBorders>
              <w:bottom w:val="single" w:sz="8" w:color="auto"/>
            </w:tcBorders>
            <w:shd w:val="clear" w:color="auto" w:fill="C0C0C0"/>
          </w:tcPr>
          <w:p>
            <w:pPr>
              <w:spacing w:after="0"/>
              <w:rPr>
                <w:sz w:val="21"/>
                <w:szCs w:val="21"/>
                <w:color w:val="auto"/>
              </w:rPr>
            </w:pPr>
          </w:p>
        </w:tc>
        <w:tc>
          <w:tcPr>
            <w:tcW w:w="38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ind w:right="110"/>
              <w:spacing w:after="0"/>
              <w:rPr>
                <w:sz w:val="20"/>
                <w:szCs w:val="20"/>
                <w:color w:val="auto"/>
              </w:rPr>
            </w:pPr>
            <w:r>
              <w:rPr>
                <w:rFonts w:ascii="Times New Roman" w:cs="Times New Roman" w:eastAsia="Times New Roman" w:hAnsi="Times New Roman"/>
                <w:sz w:val="18"/>
                <w:szCs w:val="18"/>
                <w:color w:val="auto"/>
              </w:rPr>
              <w:t>144,763</w:t>
            </w:r>
          </w:p>
        </w:tc>
        <w:tc>
          <w:tcPr>
            <w:tcW w:w="26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230"/>
              <w:spacing w:after="0"/>
              <w:rPr>
                <w:sz w:val="20"/>
                <w:szCs w:val="20"/>
                <w:color w:val="auto"/>
              </w:rPr>
            </w:pPr>
            <w:r>
              <w:rPr>
                <w:rFonts w:ascii="Times New Roman" w:cs="Times New Roman" w:eastAsia="Times New Roman" w:hAnsi="Times New Roman"/>
                <w:sz w:val="18"/>
                <w:szCs w:val="18"/>
                <w:color w:val="auto"/>
              </w:rPr>
              <w:t>830</w:t>
            </w:r>
          </w:p>
        </w:tc>
        <w:tc>
          <w:tcPr>
            <w:tcW w:w="660" w:type="dxa"/>
            <w:vAlign w:val="bottom"/>
            <w:tcBorders>
              <w:bottom w:val="single" w:sz="8" w:color="auto"/>
            </w:tcBorders>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2.30</w:t>
            </w:r>
          </w:p>
        </w:tc>
        <w:tc>
          <w:tcPr>
            <w:tcW w:w="26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1100" w:type="dxa"/>
            <w:vAlign w:val="bottom"/>
            <w:tcBorders>
              <w:bottom w:val="single" w:sz="8" w:color="auto"/>
            </w:tcBorders>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102,870</w:t>
            </w:r>
          </w:p>
        </w:tc>
        <w:tc>
          <w:tcPr>
            <w:tcW w:w="24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250"/>
              <w:spacing w:after="0"/>
              <w:rPr>
                <w:sz w:val="20"/>
                <w:szCs w:val="20"/>
                <w:color w:val="auto"/>
              </w:rPr>
            </w:pPr>
            <w:r>
              <w:rPr>
                <w:rFonts w:ascii="Times New Roman" w:cs="Times New Roman" w:eastAsia="Times New Roman" w:hAnsi="Times New Roman"/>
                <w:sz w:val="18"/>
                <w:szCs w:val="18"/>
                <w:color w:val="auto"/>
              </w:rPr>
              <w:t>423</w:t>
            </w:r>
          </w:p>
        </w:tc>
        <w:tc>
          <w:tcPr>
            <w:tcW w:w="640" w:type="dxa"/>
            <w:vAlign w:val="bottom"/>
            <w:tcBorders>
              <w:bottom w:val="single" w:sz="8" w:color="auto"/>
            </w:tcBorders>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1.65</w:t>
            </w:r>
          </w:p>
        </w:tc>
      </w:tr>
      <w:tr>
        <w:trPr>
          <w:trHeight w:val="232"/>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earning assets</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1,430,983</w:t>
            </w:r>
          </w:p>
        </w:tc>
        <w:tc>
          <w:tcPr>
            <w:tcW w:w="26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13,858</w:t>
            </w: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3.88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1,348,188</w:t>
            </w:r>
          </w:p>
        </w:tc>
        <w:tc>
          <w:tcPr>
            <w:tcW w:w="240" w:type="dxa"/>
            <w:vAlign w:val="bottom"/>
          </w:tcPr>
          <w:p>
            <w:pPr>
              <w:spacing w:after="0"/>
              <w:rPr>
                <w:sz w:val="20"/>
                <w:szCs w:val="20"/>
                <w:color w:val="auto"/>
              </w:rPr>
            </w:pP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12,137</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3.61</w:t>
            </w:r>
          </w:p>
        </w:tc>
      </w:tr>
      <w:tr>
        <w:trPr>
          <w:trHeight w:val="252"/>
        </w:trPr>
        <w:tc>
          <w:tcPr>
            <w:tcW w:w="20" w:type="dxa"/>
            <w:vAlign w:val="bottom"/>
          </w:tcPr>
          <w:p>
            <w:pPr>
              <w:spacing w:after="0"/>
              <w:rPr>
                <w:sz w:val="21"/>
                <w:szCs w:val="21"/>
                <w:color w:val="auto"/>
              </w:rPr>
            </w:pPr>
          </w:p>
        </w:tc>
        <w:tc>
          <w:tcPr>
            <w:tcW w:w="428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Non-earning assets:</w:t>
            </w:r>
          </w:p>
        </w:tc>
        <w:tc>
          <w:tcPr>
            <w:tcW w:w="38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1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4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due from banks</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12,726</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12,769</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428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38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10"/>
              <w:spacing w:after="0"/>
              <w:rPr>
                <w:sz w:val="20"/>
                <w:szCs w:val="20"/>
                <w:color w:val="auto"/>
              </w:rPr>
            </w:pPr>
            <w:r>
              <w:rPr>
                <w:rFonts w:ascii="Times New Roman" w:cs="Times New Roman" w:eastAsia="Times New Roman" w:hAnsi="Times New Roman"/>
                <w:sz w:val="18"/>
                <w:szCs w:val="18"/>
                <w:color w:val="auto"/>
              </w:rPr>
              <w:t>21,580</w:t>
            </w:r>
          </w:p>
        </w:tc>
        <w:tc>
          <w:tcPr>
            <w:tcW w:w="26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22,578</w:t>
            </w:r>
          </w:p>
        </w:tc>
        <w:tc>
          <w:tcPr>
            <w:tcW w:w="24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4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Bank-owned life insurance</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17,540</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17,085</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428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38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10"/>
              <w:spacing w:after="0"/>
              <w:rPr>
                <w:sz w:val="20"/>
                <w:szCs w:val="20"/>
                <w:color w:val="auto"/>
              </w:rPr>
            </w:pPr>
            <w:r>
              <w:rPr>
                <w:rFonts w:ascii="Times New Roman" w:cs="Times New Roman" w:eastAsia="Times New Roman" w:hAnsi="Times New Roman"/>
                <w:sz w:val="18"/>
                <w:szCs w:val="18"/>
                <w:color w:val="auto"/>
              </w:rPr>
              <w:t>13,975</w:t>
            </w:r>
          </w:p>
        </w:tc>
        <w:tc>
          <w:tcPr>
            <w:tcW w:w="26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14,410</w:t>
            </w:r>
          </w:p>
        </w:tc>
        <w:tc>
          <w:tcPr>
            <w:tcW w:w="24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4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216,337</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176,425</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280" w:type="dxa"/>
            <w:vAlign w:val="bottom"/>
            <w:tcBorders>
              <w:bottom w:val="single" w:sz="8" w:color="auto"/>
            </w:tcBorders>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380" w:type="dxa"/>
            <w:vAlign w:val="bottom"/>
            <w:tcBorders>
              <w:bottom w:val="single" w:sz="8" w:color="auto"/>
            </w:tcBorders>
            <w:shd w:val="clear" w:color="auto" w:fill="C0C0C0"/>
          </w:tcPr>
          <w:p>
            <w:pPr>
              <w:spacing w:after="0"/>
              <w:rPr>
                <w:sz w:val="21"/>
                <w:szCs w:val="21"/>
                <w:color w:val="auto"/>
              </w:rPr>
            </w:pPr>
          </w:p>
        </w:tc>
        <w:tc>
          <w:tcPr>
            <w:tcW w:w="38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(10,498)</w:t>
            </w:r>
          </w:p>
        </w:tc>
        <w:tc>
          <w:tcPr>
            <w:tcW w:w="26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1100" w:type="dxa"/>
            <w:vAlign w:val="bottom"/>
            <w:tcBorders>
              <w:bottom w:val="single" w:sz="8" w:color="auto"/>
            </w:tcBorders>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(10,213)</w:t>
            </w:r>
          </w:p>
        </w:tc>
        <w:tc>
          <w:tcPr>
            <w:tcW w:w="24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76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7"/>
              </w:rPr>
              <w:t>1,702,643</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1,581,242</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r>
      <w:tr>
        <w:trPr>
          <w:trHeight w:val="308"/>
        </w:trPr>
        <w:tc>
          <w:tcPr>
            <w:tcW w:w="20" w:type="dxa"/>
            <w:vAlign w:val="bottom"/>
          </w:tcPr>
          <w:p>
            <w:pPr>
              <w:spacing w:after="0"/>
              <w:rPr>
                <w:sz w:val="24"/>
                <w:szCs w:val="24"/>
                <w:color w:val="auto"/>
              </w:rPr>
            </w:pPr>
          </w:p>
        </w:tc>
        <w:tc>
          <w:tcPr>
            <w:tcW w:w="4280" w:type="dxa"/>
            <w:vAlign w:val="bottom"/>
            <w:shd w:val="clear" w:color="auto" w:fill="C0C0C0"/>
          </w:tcPr>
          <w:p>
            <w:pPr>
              <w:spacing w:after="0" w:line="308"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r>
              <w:rPr>
                <w:rFonts w:ascii="Times New Roman" w:cs="Times New Roman" w:eastAsia="Times New Roman" w:hAnsi="Times New Roman"/>
                <w:sz w:val="30"/>
                <w:szCs w:val="30"/>
                <w:b w:val="1"/>
                <w:bCs w:val="1"/>
                <w:color w:val="auto"/>
                <w:vertAlign w:val="superscript"/>
              </w:rPr>
              <w:t>1</w:t>
            </w:r>
          </w:p>
        </w:tc>
        <w:tc>
          <w:tcPr>
            <w:tcW w:w="380" w:type="dxa"/>
            <w:vAlign w:val="bottom"/>
            <w:shd w:val="clear" w:color="auto" w:fill="C0C0C0"/>
          </w:tcPr>
          <w:p>
            <w:pPr>
              <w:spacing w:after="0"/>
              <w:rPr>
                <w:sz w:val="24"/>
                <w:szCs w:val="24"/>
                <w:color w:val="auto"/>
              </w:rPr>
            </w:pPr>
          </w:p>
        </w:tc>
        <w:tc>
          <w:tcPr>
            <w:tcW w:w="380" w:type="dxa"/>
            <w:vAlign w:val="bottom"/>
            <w:shd w:val="clear" w:color="auto" w:fill="C0C0C0"/>
          </w:tcPr>
          <w:p>
            <w:pPr>
              <w:spacing w:after="0"/>
              <w:rPr>
                <w:sz w:val="24"/>
                <w:szCs w:val="24"/>
                <w:color w:val="auto"/>
              </w:rPr>
            </w:pPr>
          </w:p>
        </w:tc>
        <w:tc>
          <w:tcPr>
            <w:tcW w:w="920" w:type="dxa"/>
            <w:vAlign w:val="bottom"/>
            <w:shd w:val="clear" w:color="auto" w:fill="C0C0C0"/>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1040" w:type="dxa"/>
            <w:vAlign w:val="bottom"/>
            <w:shd w:val="clear" w:color="auto" w:fill="C0C0C0"/>
          </w:tcPr>
          <w:p>
            <w:pPr>
              <w:spacing w:after="0"/>
              <w:rPr>
                <w:sz w:val="24"/>
                <w:szCs w:val="24"/>
                <w:color w:val="auto"/>
              </w:rPr>
            </w:pPr>
          </w:p>
        </w:tc>
        <w:tc>
          <w:tcPr>
            <w:tcW w:w="660" w:type="dxa"/>
            <w:vAlign w:val="bottom"/>
            <w:shd w:val="clear" w:color="auto" w:fill="C0C0C0"/>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180" w:type="dxa"/>
            <w:vAlign w:val="bottom"/>
            <w:shd w:val="clear" w:color="auto" w:fill="C0C0C0"/>
          </w:tcPr>
          <w:p>
            <w:pPr>
              <w:spacing w:after="0"/>
              <w:rPr>
                <w:sz w:val="24"/>
                <w:szCs w:val="24"/>
                <w:color w:val="auto"/>
              </w:rPr>
            </w:pPr>
          </w:p>
        </w:tc>
        <w:tc>
          <w:tcPr>
            <w:tcW w:w="110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1060" w:type="dxa"/>
            <w:vAlign w:val="bottom"/>
            <w:shd w:val="clear" w:color="auto" w:fill="C0C0C0"/>
          </w:tcPr>
          <w:p>
            <w:pPr>
              <w:spacing w:after="0"/>
              <w:rPr>
                <w:sz w:val="24"/>
                <w:szCs w:val="24"/>
                <w:color w:val="auto"/>
              </w:rPr>
            </w:pPr>
          </w:p>
        </w:tc>
        <w:tc>
          <w:tcPr>
            <w:tcW w:w="640" w:type="dxa"/>
            <w:vAlign w:val="bottom"/>
            <w:shd w:val="clear" w:color="auto" w:fill="C0C0C0"/>
          </w:tcPr>
          <w:p>
            <w:pPr>
              <w:spacing w:after="0"/>
              <w:rPr>
                <w:sz w:val="24"/>
                <w:szCs w:val="24"/>
                <w:color w:val="auto"/>
              </w:rPr>
            </w:pPr>
          </w:p>
        </w:tc>
      </w:tr>
      <w:tr>
        <w:trPr>
          <w:trHeight w:val="239"/>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428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Interest-bearing demand Deposits</w:t>
            </w:r>
          </w:p>
        </w:tc>
        <w:tc>
          <w:tcPr>
            <w:tcW w:w="760" w:type="dxa"/>
            <w:vAlign w:val="bottom"/>
            <w:gridSpan w:val="2"/>
            <w:shd w:val="clear" w:color="auto" w:fill="C0C0C0"/>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0C0C0"/>
          </w:tcPr>
          <w:p>
            <w:pPr>
              <w:jc w:val="right"/>
              <w:ind w:right="110"/>
              <w:spacing w:after="0"/>
              <w:rPr>
                <w:sz w:val="20"/>
                <w:szCs w:val="20"/>
                <w:color w:val="auto"/>
              </w:rPr>
            </w:pPr>
            <w:r>
              <w:rPr>
                <w:rFonts w:ascii="Times New Roman" w:cs="Times New Roman" w:eastAsia="Times New Roman" w:hAnsi="Times New Roman"/>
                <w:sz w:val="18"/>
                <w:szCs w:val="18"/>
                <w:color w:val="auto"/>
              </w:rPr>
              <w:t>296,017</w:t>
            </w:r>
          </w:p>
        </w:tc>
        <w:tc>
          <w:tcPr>
            <w:tcW w:w="2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0C0C0"/>
          </w:tcPr>
          <w:p>
            <w:pPr>
              <w:jc w:val="right"/>
              <w:ind w:right="230"/>
              <w:spacing w:after="0"/>
              <w:rPr>
                <w:sz w:val="20"/>
                <w:szCs w:val="20"/>
                <w:color w:val="auto"/>
              </w:rPr>
            </w:pPr>
            <w:r>
              <w:rPr>
                <w:rFonts w:ascii="Times New Roman" w:cs="Times New Roman" w:eastAsia="Times New Roman" w:hAnsi="Times New Roman"/>
                <w:sz w:val="18"/>
                <w:szCs w:val="18"/>
                <w:color w:val="auto"/>
              </w:rPr>
              <w:t>923</w:t>
            </w:r>
          </w:p>
        </w:tc>
        <w:tc>
          <w:tcPr>
            <w:tcW w:w="6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301,190</w:t>
            </w:r>
          </w:p>
        </w:tc>
        <w:tc>
          <w:tcPr>
            <w:tcW w:w="2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0C0C0"/>
          </w:tcPr>
          <w:p>
            <w:pPr>
              <w:jc w:val="right"/>
              <w:ind w:right="250"/>
              <w:spacing w:after="0"/>
              <w:rPr>
                <w:sz w:val="20"/>
                <w:szCs w:val="20"/>
                <w:color w:val="auto"/>
              </w:rPr>
            </w:pPr>
            <w:r>
              <w:rPr>
                <w:rFonts w:ascii="Times New Roman" w:cs="Times New Roman" w:eastAsia="Times New Roman" w:hAnsi="Times New Roman"/>
                <w:sz w:val="18"/>
                <w:szCs w:val="18"/>
                <w:color w:val="auto"/>
              </w:rPr>
              <w:t>610</w:t>
            </w:r>
          </w:p>
        </w:tc>
        <w:tc>
          <w:tcPr>
            <w:tcW w:w="6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9"/>
        </w:trPr>
        <w:tc>
          <w:tcPr>
            <w:tcW w:w="20" w:type="dxa"/>
            <w:vAlign w:val="bottom"/>
          </w:tcPr>
          <w:p>
            <w:pPr>
              <w:spacing w:after="0"/>
              <w:rPr>
                <w:sz w:val="20"/>
                <w:szCs w:val="20"/>
                <w:color w:val="auto"/>
              </w:rPr>
            </w:pPr>
          </w:p>
        </w:tc>
        <w:tc>
          <w:tcPr>
            <w:tcW w:w="4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Savings deposits</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9,867</w:t>
            </w:r>
          </w:p>
        </w:tc>
        <w:tc>
          <w:tcPr>
            <w:tcW w:w="26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26</w:t>
            </w: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12,250</w:t>
            </w:r>
          </w:p>
        </w:tc>
        <w:tc>
          <w:tcPr>
            <w:tcW w:w="240" w:type="dxa"/>
            <w:vAlign w:val="bottom"/>
          </w:tcPr>
          <w:p>
            <w:pPr>
              <w:spacing w:after="0"/>
              <w:rPr>
                <w:sz w:val="20"/>
                <w:szCs w:val="20"/>
                <w:color w:val="auto"/>
              </w:rPr>
            </w:pP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27</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.88</w:t>
            </w:r>
          </w:p>
        </w:tc>
      </w:tr>
      <w:tr>
        <w:trPr>
          <w:trHeight w:val="247"/>
        </w:trPr>
        <w:tc>
          <w:tcPr>
            <w:tcW w:w="20" w:type="dxa"/>
            <w:vAlign w:val="bottom"/>
          </w:tcPr>
          <w:p>
            <w:pPr>
              <w:spacing w:after="0"/>
              <w:rPr>
                <w:sz w:val="21"/>
                <w:szCs w:val="21"/>
                <w:color w:val="auto"/>
              </w:rPr>
            </w:pPr>
          </w:p>
        </w:tc>
        <w:tc>
          <w:tcPr>
            <w:tcW w:w="428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Time deposits &gt;= $100</w:t>
            </w:r>
          </w:p>
        </w:tc>
        <w:tc>
          <w:tcPr>
            <w:tcW w:w="38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10"/>
              <w:spacing w:after="0"/>
              <w:rPr>
                <w:sz w:val="20"/>
                <w:szCs w:val="20"/>
                <w:color w:val="auto"/>
              </w:rPr>
            </w:pPr>
            <w:r>
              <w:rPr>
                <w:rFonts w:ascii="Times New Roman" w:cs="Times New Roman" w:eastAsia="Times New Roman" w:hAnsi="Times New Roman"/>
                <w:sz w:val="18"/>
                <w:szCs w:val="18"/>
                <w:color w:val="auto"/>
              </w:rPr>
              <w:t>24,954</w:t>
            </w:r>
          </w:p>
        </w:tc>
        <w:tc>
          <w:tcPr>
            <w:tcW w:w="26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230"/>
              <w:spacing w:after="0"/>
              <w:rPr>
                <w:sz w:val="20"/>
                <w:szCs w:val="20"/>
                <w:color w:val="auto"/>
              </w:rPr>
            </w:pPr>
            <w:r>
              <w:rPr>
                <w:rFonts w:ascii="Times New Roman" w:cs="Times New Roman" w:eastAsia="Times New Roman" w:hAnsi="Times New Roman"/>
                <w:sz w:val="18"/>
                <w:szCs w:val="18"/>
                <w:color w:val="auto"/>
              </w:rPr>
              <w:t>120</w:t>
            </w:r>
          </w:p>
        </w:tc>
        <w:tc>
          <w:tcPr>
            <w:tcW w:w="660" w:type="dxa"/>
            <w:vAlign w:val="bottom"/>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1.93</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23,171</w:t>
            </w:r>
          </w:p>
        </w:tc>
        <w:tc>
          <w:tcPr>
            <w:tcW w:w="24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250"/>
              <w:spacing w:after="0"/>
              <w:rPr>
                <w:sz w:val="20"/>
                <w:szCs w:val="20"/>
                <w:color w:val="auto"/>
              </w:rPr>
            </w:pPr>
            <w:r>
              <w:rPr>
                <w:rFonts w:ascii="Times New Roman" w:cs="Times New Roman" w:eastAsia="Times New Roman" w:hAnsi="Times New Roman"/>
                <w:sz w:val="18"/>
                <w:szCs w:val="18"/>
                <w:color w:val="auto"/>
              </w:rPr>
              <w:t>86</w:t>
            </w:r>
          </w:p>
        </w:tc>
        <w:tc>
          <w:tcPr>
            <w:tcW w:w="640" w:type="dxa"/>
            <w:vAlign w:val="bottom"/>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1.49</w:t>
            </w:r>
          </w:p>
        </w:tc>
      </w:tr>
      <w:tr>
        <w:trPr>
          <w:trHeight w:val="239"/>
        </w:trPr>
        <w:tc>
          <w:tcPr>
            <w:tcW w:w="20" w:type="dxa"/>
            <w:vAlign w:val="bottom"/>
          </w:tcPr>
          <w:p>
            <w:pPr>
              <w:spacing w:after="0"/>
              <w:rPr>
                <w:sz w:val="20"/>
                <w:szCs w:val="20"/>
                <w:color w:val="auto"/>
              </w:rPr>
            </w:pPr>
          </w:p>
        </w:tc>
        <w:tc>
          <w:tcPr>
            <w:tcW w:w="42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Other time deposits</w:t>
            </w:r>
          </w:p>
        </w:tc>
        <w:tc>
          <w:tcPr>
            <w:tcW w:w="3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48,559</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236</w:t>
            </w:r>
          </w:p>
        </w:tc>
        <w:tc>
          <w:tcPr>
            <w:tcW w:w="6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1.95</w:t>
            </w: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28,958</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71</w:t>
            </w:r>
          </w:p>
        </w:tc>
        <w:tc>
          <w:tcPr>
            <w:tcW w:w="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.98</w:t>
            </w:r>
          </w:p>
        </w:tc>
      </w:tr>
      <w:tr>
        <w:trPr>
          <w:trHeight w:val="241"/>
        </w:trPr>
        <w:tc>
          <w:tcPr>
            <w:tcW w:w="20" w:type="dxa"/>
            <w:vAlign w:val="bottom"/>
          </w:tcPr>
          <w:p>
            <w:pPr>
              <w:spacing w:after="0"/>
              <w:rPr>
                <w:sz w:val="20"/>
                <w:szCs w:val="20"/>
                <w:color w:val="auto"/>
              </w:rPr>
            </w:pPr>
          </w:p>
        </w:tc>
        <w:tc>
          <w:tcPr>
            <w:tcW w:w="428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38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920" w:type="dxa"/>
            <w:vAlign w:val="bottom"/>
            <w:shd w:val="clear" w:color="auto" w:fill="C0C0C0"/>
          </w:tcPr>
          <w:p>
            <w:pPr>
              <w:jc w:val="right"/>
              <w:ind w:right="110"/>
              <w:spacing w:after="0"/>
              <w:rPr>
                <w:sz w:val="20"/>
                <w:szCs w:val="20"/>
                <w:color w:val="auto"/>
              </w:rPr>
            </w:pPr>
            <w:r>
              <w:rPr>
                <w:rFonts w:ascii="Times New Roman" w:cs="Times New Roman" w:eastAsia="Times New Roman" w:hAnsi="Times New Roman"/>
                <w:sz w:val="18"/>
                <w:szCs w:val="18"/>
                <w:color w:val="auto"/>
              </w:rPr>
              <w:t>379,397</w:t>
            </w:r>
          </w:p>
        </w:tc>
        <w:tc>
          <w:tcPr>
            <w:tcW w:w="260" w:type="dxa"/>
            <w:vAlign w:val="bottom"/>
            <w:shd w:val="clear" w:color="auto" w:fill="C0C0C0"/>
          </w:tcPr>
          <w:p>
            <w:pPr>
              <w:spacing w:after="0"/>
              <w:rPr>
                <w:sz w:val="20"/>
                <w:szCs w:val="20"/>
                <w:color w:val="auto"/>
              </w:rPr>
            </w:pPr>
          </w:p>
        </w:tc>
        <w:tc>
          <w:tcPr>
            <w:tcW w:w="1040" w:type="dxa"/>
            <w:vAlign w:val="bottom"/>
            <w:shd w:val="clear" w:color="auto" w:fill="C0C0C0"/>
          </w:tcPr>
          <w:p>
            <w:pPr>
              <w:jc w:val="right"/>
              <w:ind w:right="230"/>
              <w:spacing w:after="0"/>
              <w:rPr>
                <w:sz w:val="20"/>
                <w:szCs w:val="20"/>
                <w:color w:val="auto"/>
              </w:rPr>
            </w:pPr>
            <w:r>
              <w:rPr>
                <w:rFonts w:ascii="Times New Roman" w:cs="Times New Roman" w:eastAsia="Times New Roman" w:hAnsi="Times New Roman"/>
                <w:sz w:val="18"/>
                <w:szCs w:val="18"/>
                <w:color w:val="auto"/>
              </w:rPr>
              <w:t>1,305</w:t>
            </w:r>
          </w:p>
        </w:tc>
        <w:tc>
          <w:tcPr>
            <w:tcW w:w="660" w:type="dxa"/>
            <w:vAlign w:val="bottom"/>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1.38</w:t>
            </w: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1100" w:type="dxa"/>
            <w:vAlign w:val="bottom"/>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365,569</w:t>
            </w:r>
          </w:p>
        </w:tc>
        <w:tc>
          <w:tcPr>
            <w:tcW w:w="240" w:type="dxa"/>
            <w:vAlign w:val="bottom"/>
            <w:shd w:val="clear" w:color="auto" w:fill="C0C0C0"/>
          </w:tcPr>
          <w:p>
            <w:pPr>
              <w:spacing w:after="0"/>
              <w:rPr>
                <w:sz w:val="20"/>
                <w:szCs w:val="20"/>
                <w:color w:val="auto"/>
              </w:rPr>
            </w:pPr>
          </w:p>
        </w:tc>
        <w:tc>
          <w:tcPr>
            <w:tcW w:w="1060" w:type="dxa"/>
            <w:vAlign w:val="bottom"/>
            <w:shd w:val="clear" w:color="auto" w:fill="C0C0C0"/>
          </w:tcPr>
          <w:p>
            <w:pPr>
              <w:jc w:val="right"/>
              <w:ind w:right="250"/>
              <w:spacing w:after="0"/>
              <w:rPr>
                <w:sz w:val="20"/>
                <w:szCs w:val="20"/>
                <w:color w:val="auto"/>
              </w:rPr>
            </w:pPr>
            <w:r>
              <w:rPr>
                <w:rFonts w:ascii="Times New Roman" w:cs="Times New Roman" w:eastAsia="Times New Roman" w:hAnsi="Times New Roman"/>
                <w:sz w:val="18"/>
                <w:szCs w:val="18"/>
                <w:color w:val="auto"/>
              </w:rPr>
              <w:t>794</w:t>
            </w:r>
          </w:p>
        </w:tc>
        <w:tc>
          <w:tcPr>
            <w:tcW w:w="640" w:type="dxa"/>
            <w:vAlign w:val="bottom"/>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.87</w:t>
            </w:r>
          </w:p>
        </w:tc>
      </w:tr>
      <w:tr>
        <w:trPr>
          <w:trHeight w:val="239"/>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Non-interest bearing liabilities:</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428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Demand deposits</w:t>
            </w:r>
          </w:p>
        </w:tc>
        <w:tc>
          <w:tcPr>
            <w:tcW w:w="38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10"/>
              <w:spacing w:after="0"/>
              <w:rPr>
                <w:sz w:val="20"/>
                <w:szCs w:val="20"/>
                <w:color w:val="auto"/>
              </w:rPr>
            </w:pPr>
            <w:r>
              <w:rPr>
                <w:rFonts w:ascii="Times New Roman" w:cs="Times New Roman" w:eastAsia="Times New Roman" w:hAnsi="Times New Roman"/>
                <w:sz w:val="18"/>
                <w:szCs w:val="18"/>
                <w:color w:val="auto"/>
              </w:rPr>
              <w:t>259,377</w:t>
            </w:r>
          </w:p>
        </w:tc>
        <w:tc>
          <w:tcPr>
            <w:tcW w:w="26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236,708</w:t>
            </w:r>
          </w:p>
        </w:tc>
        <w:tc>
          <w:tcPr>
            <w:tcW w:w="24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4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774,623</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714,277</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280" w:type="dxa"/>
            <w:vAlign w:val="bottom"/>
            <w:tcBorders>
              <w:bottom w:val="single" w:sz="8" w:color="auto"/>
            </w:tcBorders>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Other liabilities</w:t>
            </w:r>
          </w:p>
        </w:tc>
        <w:tc>
          <w:tcPr>
            <w:tcW w:w="380" w:type="dxa"/>
            <w:vAlign w:val="bottom"/>
            <w:tcBorders>
              <w:bottom w:val="single" w:sz="8" w:color="auto"/>
            </w:tcBorders>
            <w:shd w:val="clear" w:color="auto" w:fill="C0C0C0"/>
          </w:tcPr>
          <w:p>
            <w:pPr>
              <w:spacing w:after="0"/>
              <w:rPr>
                <w:sz w:val="21"/>
                <w:szCs w:val="21"/>
                <w:color w:val="auto"/>
              </w:rPr>
            </w:pPr>
          </w:p>
        </w:tc>
        <w:tc>
          <w:tcPr>
            <w:tcW w:w="38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ind w:right="110"/>
              <w:spacing w:after="0"/>
              <w:rPr>
                <w:sz w:val="20"/>
                <w:szCs w:val="20"/>
                <w:color w:val="auto"/>
              </w:rPr>
            </w:pPr>
            <w:r>
              <w:rPr>
                <w:rFonts w:ascii="Times New Roman" w:cs="Times New Roman" w:eastAsia="Times New Roman" w:hAnsi="Times New Roman"/>
                <w:sz w:val="18"/>
                <w:szCs w:val="18"/>
                <w:color w:val="auto"/>
              </w:rPr>
              <w:t>55,879</w:t>
            </w:r>
          </w:p>
        </w:tc>
        <w:tc>
          <w:tcPr>
            <w:tcW w:w="26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1100" w:type="dxa"/>
            <w:vAlign w:val="bottom"/>
            <w:tcBorders>
              <w:bottom w:val="single" w:sz="8" w:color="auto"/>
            </w:tcBorders>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44,203</w:t>
            </w:r>
          </w:p>
        </w:tc>
        <w:tc>
          <w:tcPr>
            <w:tcW w:w="24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spacing w:after="0"/>
              <w:rPr>
                <w:sz w:val="21"/>
                <w:szCs w:val="21"/>
                <w:color w:val="auto"/>
              </w:rPr>
            </w:pPr>
          </w:p>
        </w:tc>
      </w:tr>
      <w:tr>
        <w:trPr>
          <w:trHeight w:val="232"/>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1,469,276</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1,360,757</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428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380" w:type="dxa"/>
            <w:vAlign w:val="bottom"/>
            <w:tcBorders>
              <w:bottom w:val="single" w:sz="8" w:color="auto"/>
            </w:tcBorders>
            <w:shd w:val="clear" w:color="auto" w:fill="C0C0C0"/>
          </w:tcPr>
          <w:p>
            <w:pPr>
              <w:spacing w:after="0"/>
              <w:rPr>
                <w:sz w:val="21"/>
                <w:szCs w:val="21"/>
                <w:color w:val="auto"/>
              </w:rPr>
            </w:pPr>
          </w:p>
        </w:tc>
        <w:tc>
          <w:tcPr>
            <w:tcW w:w="38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ind w:right="110"/>
              <w:spacing w:after="0"/>
              <w:rPr>
                <w:sz w:val="20"/>
                <w:szCs w:val="20"/>
                <w:color w:val="auto"/>
              </w:rPr>
            </w:pPr>
            <w:r>
              <w:rPr>
                <w:rFonts w:ascii="Times New Roman" w:cs="Times New Roman" w:eastAsia="Times New Roman" w:hAnsi="Times New Roman"/>
                <w:sz w:val="18"/>
                <w:szCs w:val="18"/>
                <w:color w:val="auto"/>
              </w:rPr>
              <w:t>233,367</w:t>
            </w:r>
          </w:p>
        </w:tc>
        <w:tc>
          <w:tcPr>
            <w:tcW w:w="26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1100" w:type="dxa"/>
            <w:vAlign w:val="bottom"/>
            <w:tcBorders>
              <w:bottom w:val="single" w:sz="8" w:color="auto"/>
            </w:tcBorders>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220,485</w:t>
            </w:r>
          </w:p>
        </w:tc>
        <w:tc>
          <w:tcPr>
            <w:tcW w:w="24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76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7"/>
              </w:rPr>
              <w:t>1,702,643</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1,581,242</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r>
      <w:tr>
        <w:trPr>
          <w:trHeight w:val="241"/>
        </w:trPr>
        <w:tc>
          <w:tcPr>
            <w:tcW w:w="20" w:type="dxa"/>
            <w:vAlign w:val="bottom"/>
          </w:tcPr>
          <w:p>
            <w:pPr>
              <w:spacing w:after="0"/>
              <w:rPr>
                <w:sz w:val="20"/>
                <w:szCs w:val="20"/>
                <w:color w:val="auto"/>
              </w:rPr>
            </w:pPr>
          </w:p>
        </w:tc>
        <w:tc>
          <w:tcPr>
            <w:tcW w:w="428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38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920" w:type="dxa"/>
            <w:vAlign w:val="bottom"/>
            <w:shd w:val="clear" w:color="auto" w:fill="C0C0C0"/>
          </w:tcPr>
          <w:p>
            <w:pPr>
              <w:spacing w:after="0"/>
              <w:rPr>
                <w:sz w:val="20"/>
                <w:szCs w:val="20"/>
                <w:color w:val="auto"/>
              </w:rPr>
            </w:pPr>
          </w:p>
        </w:tc>
        <w:tc>
          <w:tcPr>
            <w:tcW w:w="2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0C0C0"/>
          </w:tcPr>
          <w:p>
            <w:pPr>
              <w:jc w:val="right"/>
              <w:ind w:right="230"/>
              <w:spacing w:after="0"/>
              <w:rPr>
                <w:sz w:val="20"/>
                <w:szCs w:val="20"/>
                <w:color w:val="auto"/>
              </w:rPr>
            </w:pPr>
            <w:r>
              <w:rPr>
                <w:rFonts w:ascii="Times New Roman" w:cs="Times New Roman" w:eastAsia="Times New Roman" w:hAnsi="Times New Roman"/>
                <w:sz w:val="18"/>
                <w:szCs w:val="18"/>
                <w:color w:val="auto"/>
              </w:rPr>
              <w:t>12,553</w:t>
            </w:r>
          </w:p>
        </w:tc>
        <w:tc>
          <w:tcPr>
            <w:tcW w:w="6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1100" w:type="dxa"/>
            <w:vAlign w:val="bottom"/>
            <w:shd w:val="clear" w:color="auto" w:fill="C0C0C0"/>
          </w:tcPr>
          <w:p>
            <w:pPr>
              <w:spacing w:after="0"/>
              <w:rPr>
                <w:sz w:val="20"/>
                <w:szCs w:val="20"/>
                <w:color w:val="auto"/>
              </w:rPr>
            </w:pPr>
          </w:p>
        </w:tc>
        <w:tc>
          <w:tcPr>
            <w:tcW w:w="2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0C0C0"/>
          </w:tcPr>
          <w:p>
            <w:pPr>
              <w:jc w:val="right"/>
              <w:ind w:right="250"/>
              <w:spacing w:after="0"/>
              <w:rPr>
                <w:sz w:val="20"/>
                <w:szCs w:val="20"/>
                <w:color w:val="auto"/>
              </w:rPr>
            </w:pPr>
            <w:r>
              <w:rPr>
                <w:rFonts w:ascii="Times New Roman" w:cs="Times New Roman" w:eastAsia="Times New Roman" w:hAnsi="Times New Roman"/>
                <w:sz w:val="18"/>
                <w:szCs w:val="18"/>
                <w:color w:val="auto"/>
              </w:rPr>
              <w:t>11,343</w:t>
            </w:r>
          </w:p>
        </w:tc>
        <w:tc>
          <w:tcPr>
            <w:tcW w:w="640" w:type="dxa"/>
            <w:vAlign w:val="bottom"/>
            <w:shd w:val="clear" w:color="auto" w:fill="C0C0C0"/>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margin</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59"/>
        </w:trPr>
        <w:tc>
          <w:tcPr>
            <w:tcW w:w="20" w:type="dxa"/>
            <w:vAlign w:val="bottom"/>
          </w:tcPr>
          <w:p>
            <w:pPr>
              <w:spacing w:after="0"/>
              <w:rPr>
                <w:sz w:val="22"/>
                <w:szCs w:val="22"/>
                <w:color w:val="auto"/>
              </w:rPr>
            </w:pPr>
          </w:p>
        </w:tc>
        <w:tc>
          <w:tcPr>
            <w:tcW w:w="428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Interest spread</w:t>
            </w:r>
          </w:p>
        </w:tc>
        <w:tc>
          <w:tcPr>
            <w:tcW w:w="380" w:type="dxa"/>
            <w:vAlign w:val="bottom"/>
            <w:tcBorders>
              <w:bottom w:val="single" w:sz="8" w:color="auto"/>
            </w:tcBorders>
            <w:shd w:val="clear" w:color="auto" w:fill="C0C0C0"/>
          </w:tcPr>
          <w:p>
            <w:pPr>
              <w:spacing w:after="0"/>
              <w:rPr>
                <w:sz w:val="22"/>
                <w:szCs w:val="22"/>
                <w:color w:val="auto"/>
              </w:rPr>
            </w:pPr>
          </w:p>
        </w:tc>
        <w:tc>
          <w:tcPr>
            <w:tcW w:w="380" w:type="dxa"/>
            <w:vAlign w:val="bottom"/>
            <w:tcBorders>
              <w:bottom w:val="single" w:sz="8" w:color="auto"/>
            </w:tcBorders>
            <w:shd w:val="clear" w:color="auto" w:fill="C0C0C0"/>
          </w:tcPr>
          <w:p>
            <w:pPr>
              <w:spacing w:after="0"/>
              <w:rPr>
                <w:sz w:val="22"/>
                <w:szCs w:val="22"/>
                <w:color w:val="auto"/>
              </w:rPr>
            </w:pPr>
          </w:p>
        </w:tc>
        <w:tc>
          <w:tcPr>
            <w:tcW w:w="920" w:type="dxa"/>
            <w:vAlign w:val="bottom"/>
            <w:tcBorders>
              <w:bottom w:val="single" w:sz="8" w:color="auto"/>
            </w:tcBorders>
            <w:shd w:val="clear" w:color="auto" w:fill="C0C0C0"/>
          </w:tcPr>
          <w:p>
            <w:pPr>
              <w:spacing w:after="0"/>
              <w:rPr>
                <w:sz w:val="22"/>
                <w:szCs w:val="22"/>
                <w:color w:val="auto"/>
              </w:rPr>
            </w:pPr>
          </w:p>
        </w:tc>
        <w:tc>
          <w:tcPr>
            <w:tcW w:w="260" w:type="dxa"/>
            <w:vAlign w:val="bottom"/>
            <w:tcBorders>
              <w:bottom w:val="single" w:sz="8" w:color="auto"/>
            </w:tcBorders>
            <w:shd w:val="clear" w:color="auto" w:fill="C0C0C0"/>
          </w:tcPr>
          <w:p>
            <w:pPr>
              <w:spacing w:after="0"/>
              <w:rPr>
                <w:sz w:val="22"/>
                <w:szCs w:val="22"/>
                <w:color w:val="auto"/>
              </w:rPr>
            </w:pPr>
          </w:p>
        </w:tc>
        <w:tc>
          <w:tcPr>
            <w:tcW w:w="1040" w:type="dxa"/>
            <w:vAlign w:val="bottom"/>
            <w:tcBorders>
              <w:bottom w:val="single" w:sz="8" w:color="auto"/>
            </w:tcBorders>
            <w:shd w:val="clear" w:color="auto" w:fill="C0C0C0"/>
          </w:tcPr>
          <w:p>
            <w:pPr>
              <w:spacing w:after="0"/>
              <w:rPr>
                <w:sz w:val="22"/>
                <w:szCs w:val="22"/>
                <w:color w:val="auto"/>
              </w:rPr>
            </w:pPr>
          </w:p>
        </w:tc>
        <w:tc>
          <w:tcPr>
            <w:tcW w:w="660" w:type="dxa"/>
            <w:vAlign w:val="bottom"/>
            <w:tcBorders>
              <w:bottom w:val="single" w:sz="8" w:color="auto"/>
            </w:tcBorders>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2.50</w:t>
            </w:r>
          </w:p>
        </w:tc>
        <w:tc>
          <w:tcPr>
            <w:tcW w:w="260" w:type="dxa"/>
            <w:vAlign w:val="bottom"/>
            <w:tcBorders>
              <w:bottom w:val="single" w:sz="8" w:color="auto"/>
            </w:tcBorders>
            <w:shd w:val="clear" w:color="auto" w:fill="C0C0C0"/>
          </w:tcPr>
          <w:p>
            <w:pPr>
              <w:spacing w:after="0"/>
              <w:rPr>
                <w:sz w:val="22"/>
                <w:szCs w:val="22"/>
                <w:color w:val="auto"/>
              </w:rPr>
            </w:pPr>
          </w:p>
        </w:tc>
        <w:tc>
          <w:tcPr>
            <w:tcW w:w="180" w:type="dxa"/>
            <w:vAlign w:val="bottom"/>
            <w:tcBorders>
              <w:bottom w:val="single" w:sz="8" w:color="auto"/>
            </w:tcBorders>
            <w:shd w:val="clear" w:color="auto" w:fill="C0C0C0"/>
          </w:tcPr>
          <w:p>
            <w:pPr>
              <w:spacing w:after="0"/>
              <w:rPr>
                <w:sz w:val="22"/>
                <w:szCs w:val="22"/>
                <w:color w:val="auto"/>
              </w:rPr>
            </w:pPr>
          </w:p>
        </w:tc>
        <w:tc>
          <w:tcPr>
            <w:tcW w:w="1100" w:type="dxa"/>
            <w:vAlign w:val="bottom"/>
            <w:tcBorders>
              <w:bottom w:val="single" w:sz="8" w:color="auto"/>
            </w:tcBorders>
            <w:shd w:val="clear" w:color="auto" w:fill="C0C0C0"/>
          </w:tcPr>
          <w:p>
            <w:pPr>
              <w:spacing w:after="0"/>
              <w:rPr>
                <w:sz w:val="22"/>
                <w:szCs w:val="22"/>
                <w:color w:val="auto"/>
              </w:rPr>
            </w:pPr>
          </w:p>
        </w:tc>
        <w:tc>
          <w:tcPr>
            <w:tcW w:w="240" w:type="dxa"/>
            <w:vAlign w:val="bottom"/>
            <w:tcBorders>
              <w:bottom w:val="single" w:sz="8" w:color="auto"/>
            </w:tcBorders>
            <w:shd w:val="clear" w:color="auto" w:fill="C0C0C0"/>
          </w:tcPr>
          <w:p>
            <w:pPr>
              <w:spacing w:after="0"/>
              <w:rPr>
                <w:sz w:val="22"/>
                <w:szCs w:val="22"/>
                <w:color w:val="auto"/>
              </w:rPr>
            </w:pPr>
          </w:p>
        </w:tc>
        <w:tc>
          <w:tcPr>
            <w:tcW w:w="1060" w:type="dxa"/>
            <w:vAlign w:val="bottom"/>
            <w:tcBorders>
              <w:bottom w:val="single" w:sz="8" w:color="auto"/>
            </w:tcBorders>
            <w:shd w:val="clear" w:color="auto" w:fill="C0C0C0"/>
          </w:tcPr>
          <w:p>
            <w:pPr>
              <w:spacing w:after="0"/>
              <w:rPr>
                <w:sz w:val="22"/>
                <w:szCs w:val="22"/>
                <w:color w:val="auto"/>
              </w:rPr>
            </w:pPr>
          </w:p>
        </w:tc>
        <w:tc>
          <w:tcPr>
            <w:tcW w:w="640" w:type="dxa"/>
            <w:vAlign w:val="bottom"/>
            <w:tcBorders>
              <w:bottom w:val="single" w:sz="8" w:color="auto"/>
            </w:tcBorders>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2.74</w:t>
            </w:r>
          </w:p>
        </w:tc>
      </w:tr>
    </w:tbl>
    <w:p>
      <w:pPr>
        <w:ind w:left="120" w:hanging="112"/>
        <w:spacing w:after="0" w:line="223" w:lineRule="auto"/>
        <w:tabs>
          <w:tab w:leader="none" w:pos="1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shown are daily averages.</w:t>
      </w:r>
    </w:p>
    <w:p>
      <w:pPr>
        <w:ind w:left="120" w:hanging="112"/>
        <w:spacing w:after="0" w:line="221" w:lineRule="auto"/>
        <w:tabs>
          <w:tab w:leader="none" w:pos="1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on loans includes net loan fees of $77,000 and $81,000 for the Second Quarter of 2019 and 2018, respectively.</w:t>
      </w:r>
    </w:p>
    <w:p>
      <w:pPr>
        <w:ind w:left="120" w:right="20" w:hanging="112"/>
        <w:spacing w:after="0" w:line="221" w:lineRule="auto"/>
        <w:tabs>
          <w:tab w:leader="none" w:pos="1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is presented on a tax-equivalent basis assuming a tax rate of 21%for both 2019 and 2018. The tax-equivalent adjustment was approximately $531,000 and $624,000 for the Second Quarter of 2019 and 2018, respectively.</w:t>
      </w:r>
    </w:p>
    <w:p>
      <w:pPr>
        <w:ind w:left="120" w:hanging="112"/>
        <w:spacing w:after="0"/>
        <w:tabs>
          <w:tab w:leader="none" w:pos="1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these computations, yields on investment securities are computed as interest income divided by the average amortized cost of the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59"/>
        </w:trPr>
        <w:tc>
          <w:tcPr>
            <w:tcW w:w="2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First Half of 2019</w:t>
            </w:r>
          </w:p>
        </w:tc>
        <w:tc>
          <w:tcPr>
            <w:tcW w:w="76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First Half of 2018</w:t>
            </w:r>
          </w:p>
        </w:tc>
        <w:tc>
          <w:tcPr>
            <w:tcW w:w="780" w:type="dxa"/>
            <w:vAlign w:val="bottom"/>
            <w:tcBorders>
              <w:bottom w:val="single" w:sz="8" w:color="auto"/>
            </w:tcBorders>
          </w:tcPr>
          <w:p>
            <w:pPr>
              <w:spacing w:after="0"/>
              <w:rPr>
                <w:sz w:val="22"/>
                <w:szCs w:val="22"/>
                <w:color w:val="auto"/>
              </w:rPr>
            </w:pPr>
          </w:p>
        </w:tc>
      </w:tr>
      <w:tr>
        <w:trPr>
          <w:trHeight w:val="234"/>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780" w:type="dxa"/>
            <w:vAlign w:val="bottom"/>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Yield/</w:t>
            </w:r>
          </w:p>
        </w:tc>
        <w:tc>
          <w:tcPr>
            <w:tcW w:w="18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Yield/</w:t>
            </w:r>
          </w:p>
        </w:tc>
      </w:tr>
      <w:tr>
        <w:trPr>
          <w:trHeight w:val="264"/>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80" w:type="dxa"/>
            <w:vAlign w:val="bottom"/>
          </w:tcPr>
          <w:p>
            <w:pPr>
              <w:spacing w:after="0"/>
              <w:rPr>
                <w:sz w:val="22"/>
                <w:szCs w:val="22"/>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6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80" w:type="dxa"/>
            <w:vAlign w:val="bottom"/>
          </w:tcPr>
          <w:p>
            <w:pPr>
              <w:spacing w:after="0"/>
              <w:rPr>
                <w:sz w:val="22"/>
                <w:szCs w:val="22"/>
                <w:color w:val="auto"/>
              </w:rPr>
            </w:pP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4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Rate</w:t>
            </w:r>
          </w:p>
        </w:tc>
      </w:tr>
      <w:tr>
        <w:trPr>
          <w:trHeight w:val="311"/>
        </w:trPr>
        <w:tc>
          <w:tcPr>
            <w:tcW w:w="20" w:type="dxa"/>
            <w:vAlign w:val="bottom"/>
          </w:tcPr>
          <w:p>
            <w:pPr>
              <w:spacing w:after="0"/>
              <w:rPr>
                <w:sz w:val="24"/>
                <w:szCs w:val="24"/>
                <w:color w:val="auto"/>
              </w:rPr>
            </w:pPr>
          </w:p>
        </w:tc>
        <w:tc>
          <w:tcPr>
            <w:tcW w:w="4700" w:type="dxa"/>
            <w:vAlign w:val="bottom"/>
            <w:tcBorders>
              <w:top w:val="single" w:sz="8" w:color="auto"/>
            </w:tcBorders>
            <w:shd w:val="clear" w:color="auto" w:fill="C0C0C0"/>
          </w:tcPr>
          <w:p>
            <w:pPr>
              <w:spacing w:after="0" w:line="311" w:lineRule="exact"/>
              <w:rPr>
                <w:sz w:val="20"/>
                <w:szCs w:val="20"/>
                <w:color w:val="auto"/>
              </w:rPr>
            </w:pP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30"/>
                <w:szCs w:val="30"/>
                <w:b w:val="1"/>
                <w:bCs w:val="1"/>
                <w:color w:val="auto"/>
                <w:vertAlign w:val="superscript"/>
              </w:rPr>
              <w:t>1</w:t>
            </w:r>
          </w:p>
        </w:tc>
        <w:tc>
          <w:tcPr>
            <w:tcW w:w="180" w:type="dxa"/>
            <w:vAlign w:val="bottom"/>
            <w:tcBorders>
              <w:top w:val="single" w:sz="8" w:color="auto"/>
            </w:tcBorders>
            <w:shd w:val="clear" w:color="auto" w:fill="C0C0C0"/>
          </w:tcPr>
          <w:p>
            <w:pPr>
              <w:spacing w:after="0"/>
              <w:rPr>
                <w:sz w:val="24"/>
                <w:szCs w:val="24"/>
                <w:color w:val="auto"/>
              </w:rPr>
            </w:pPr>
          </w:p>
        </w:tc>
        <w:tc>
          <w:tcPr>
            <w:tcW w:w="1080" w:type="dxa"/>
            <w:vAlign w:val="bottom"/>
            <w:tcBorders>
              <w:top w:val="single" w:sz="8" w:color="auto"/>
            </w:tcBorders>
            <w:shd w:val="clear" w:color="auto" w:fill="C0C0C0"/>
          </w:tcPr>
          <w:p>
            <w:pPr>
              <w:spacing w:after="0"/>
              <w:rPr>
                <w:sz w:val="24"/>
                <w:szCs w:val="24"/>
                <w:color w:val="auto"/>
              </w:rPr>
            </w:pPr>
          </w:p>
        </w:tc>
        <w:tc>
          <w:tcPr>
            <w:tcW w:w="260" w:type="dxa"/>
            <w:vAlign w:val="bottom"/>
            <w:tcBorders>
              <w:top w:val="single" w:sz="8" w:color="auto"/>
            </w:tcBorders>
            <w:shd w:val="clear" w:color="auto" w:fill="C0C0C0"/>
          </w:tcPr>
          <w:p>
            <w:pPr>
              <w:spacing w:after="0"/>
              <w:rPr>
                <w:sz w:val="24"/>
                <w:szCs w:val="24"/>
                <w:color w:val="auto"/>
              </w:rPr>
            </w:pPr>
          </w:p>
        </w:tc>
        <w:tc>
          <w:tcPr>
            <w:tcW w:w="940" w:type="dxa"/>
            <w:vAlign w:val="bottom"/>
            <w:tcBorders>
              <w:top w:val="single" w:sz="8" w:color="auto"/>
            </w:tcBorders>
            <w:shd w:val="clear" w:color="auto" w:fill="C0C0C0"/>
          </w:tcPr>
          <w:p>
            <w:pPr>
              <w:spacing w:after="0"/>
              <w:rPr>
                <w:sz w:val="24"/>
                <w:szCs w:val="24"/>
                <w:color w:val="auto"/>
              </w:rPr>
            </w:pPr>
          </w:p>
        </w:tc>
        <w:tc>
          <w:tcPr>
            <w:tcW w:w="760" w:type="dxa"/>
            <w:vAlign w:val="bottom"/>
            <w:tcBorders>
              <w:top w:val="single" w:sz="8" w:color="auto"/>
            </w:tcBorders>
            <w:shd w:val="clear" w:color="auto" w:fill="C0C0C0"/>
          </w:tcPr>
          <w:p>
            <w:pPr>
              <w:spacing w:after="0"/>
              <w:rPr>
                <w:sz w:val="24"/>
                <w:szCs w:val="24"/>
                <w:color w:val="auto"/>
              </w:rPr>
            </w:pPr>
          </w:p>
        </w:tc>
        <w:tc>
          <w:tcPr>
            <w:tcW w:w="260" w:type="dxa"/>
            <w:vAlign w:val="bottom"/>
            <w:tcBorders>
              <w:top w:val="single" w:sz="8" w:color="auto"/>
            </w:tcBorders>
            <w:shd w:val="clear" w:color="auto" w:fill="C0C0C0"/>
          </w:tcPr>
          <w:p>
            <w:pPr>
              <w:spacing w:after="0"/>
              <w:rPr>
                <w:sz w:val="24"/>
                <w:szCs w:val="24"/>
                <w:color w:val="auto"/>
              </w:rPr>
            </w:pPr>
          </w:p>
        </w:tc>
        <w:tc>
          <w:tcPr>
            <w:tcW w:w="180" w:type="dxa"/>
            <w:vAlign w:val="bottom"/>
            <w:tcBorders>
              <w:top w:val="single" w:sz="8" w:color="auto"/>
            </w:tcBorders>
            <w:shd w:val="clear" w:color="auto" w:fill="C0C0C0"/>
          </w:tcPr>
          <w:p>
            <w:pPr>
              <w:spacing w:after="0"/>
              <w:rPr>
                <w:sz w:val="24"/>
                <w:szCs w:val="24"/>
                <w:color w:val="auto"/>
              </w:rPr>
            </w:pPr>
          </w:p>
        </w:tc>
        <w:tc>
          <w:tcPr>
            <w:tcW w:w="1100" w:type="dxa"/>
            <w:vAlign w:val="bottom"/>
            <w:tcBorders>
              <w:top w:val="single" w:sz="8" w:color="auto"/>
            </w:tcBorders>
            <w:shd w:val="clear" w:color="auto" w:fill="C0C0C0"/>
          </w:tcPr>
          <w:p>
            <w:pPr>
              <w:spacing w:after="0"/>
              <w:rPr>
                <w:sz w:val="24"/>
                <w:szCs w:val="24"/>
                <w:color w:val="auto"/>
              </w:rPr>
            </w:pPr>
          </w:p>
        </w:tc>
        <w:tc>
          <w:tcPr>
            <w:tcW w:w="240" w:type="dxa"/>
            <w:vAlign w:val="bottom"/>
            <w:tcBorders>
              <w:top w:val="single" w:sz="8" w:color="auto"/>
            </w:tcBorders>
            <w:shd w:val="clear" w:color="auto" w:fill="C0C0C0"/>
          </w:tcPr>
          <w:p>
            <w:pPr>
              <w:spacing w:after="0"/>
              <w:rPr>
                <w:sz w:val="24"/>
                <w:szCs w:val="24"/>
                <w:color w:val="auto"/>
              </w:rPr>
            </w:pPr>
          </w:p>
        </w:tc>
        <w:tc>
          <w:tcPr>
            <w:tcW w:w="920" w:type="dxa"/>
            <w:vAlign w:val="bottom"/>
            <w:tcBorders>
              <w:top w:val="single" w:sz="8" w:color="auto"/>
            </w:tcBorders>
            <w:shd w:val="clear" w:color="auto" w:fill="C0C0C0"/>
          </w:tcPr>
          <w:p>
            <w:pPr>
              <w:spacing w:after="0"/>
              <w:rPr>
                <w:sz w:val="24"/>
                <w:szCs w:val="24"/>
                <w:color w:val="auto"/>
              </w:rPr>
            </w:pPr>
          </w:p>
        </w:tc>
        <w:tc>
          <w:tcPr>
            <w:tcW w:w="780" w:type="dxa"/>
            <w:vAlign w:val="bottom"/>
            <w:tcBorders>
              <w:top w:val="single" w:sz="8" w:color="auto"/>
            </w:tcBorders>
            <w:shd w:val="clear" w:color="auto" w:fill="C0C0C0"/>
          </w:tcPr>
          <w:p>
            <w:pPr>
              <w:spacing w:after="0"/>
              <w:rPr>
                <w:sz w:val="24"/>
                <w:szCs w:val="24"/>
                <w:color w:val="auto"/>
              </w:rPr>
            </w:pPr>
          </w:p>
        </w:tc>
      </w:tr>
      <w:tr>
        <w:trPr>
          <w:trHeight w:val="239"/>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Earning assets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15"/>
        </w:trPr>
        <w:tc>
          <w:tcPr>
            <w:tcW w:w="20" w:type="dxa"/>
            <w:vAlign w:val="bottom"/>
          </w:tcPr>
          <w:p>
            <w:pPr>
              <w:spacing w:after="0"/>
              <w:rPr>
                <w:sz w:val="24"/>
                <w:szCs w:val="24"/>
                <w:color w:val="auto"/>
              </w:rPr>
            </w:pPr>
          </w:p>
        </w:tc>
        <w:tc>
          <w:tcPr>
            <w:tcW w:w="4700" w:type="dxa"/>
            <w:vAlign w:val="bottom"/>
            <w:shd w:val="clear" w:color="auto" w:fill="C0C0C0"/>
          </w:tcPr>
          <w:p>
            <w:pPr>
              <w:spacing w:after="0" w:line="315" w:lineRule="exact"/>
              <w:rPr>
                <w:sz w:val="20"/>
                <w:szCs w:val="20"/>
                <w:color w:val="auto"/>
              </w:rPr>
            </w:pPr>
            <w:r>
              <w:rPr>
                <w:rFonts w:ascii="Times New Roman" w:cs="Times New Roman" w:eastAsia="Times New Roman" w:hAnsi="Times New Roman"/>
                <w:sz w:val="18"/>
                <w:szCs w:val="18"/>
                <w:color w:val="auto"/>
              </w:rPr>
              <w:t>Loans</w:t>
            </w:r>
            <w:r>
              <w:rPr>
                <w:rFonts w:ascii="Times New Roman" w:cs="Times New Roman" w:eastAsia="Times New Roman" w:hAnsi="Times New Roman"/>
                <w:sz w:val="30"/>
                <w:szCs w:val="30"/>
                <w:color w:val="auto"/>
                <w:vertAlign w:val="superscript"/>
              </w:rPr>
              <w:t>2,3</w:t>
            </w:r>
            <w:r>
              <w:rPr>
                <w:rFonts w:ascii="Times New Roman" w:cs="Times New Roman" w:eastAsia="Times New Roman" w:hAnsi="Times New Roman"/>
                <w:sz w:val="18"/>
                <w:szCs w:val="18"/>
                <w:color w:val="auto"/>
              </w:rPr>
              <w:t>:</w:t>
            </w:r>
          </w:p>
        </w:tc>
        <w:tc>
          <w:tcPr>
            <w:tcW w:w="180" w:type="dxa"/>
            <w:vAlign w:val="bottom"/>
            <w:shd w:val="clear" w:color="auto" w:fill="C0C0C0"/>
          </w:tcPr>
          <w:p>
            <w:pPr>
              <w:spacing w:after="0"/>
              <w:rPr>
                <w:sz w:val="24"/>
                <w:szCs w:val="24"/>
                <w:color w:val="auto"/>
              </w:rPr>
            </w:pPr>
          </w:p>
        </w:tc>
        <w:tc>
          <w:tcPr>
            <w:tcW w:w="1080" w:type="dxa"/>
            <w:vAlign w:val="bottom"/>
            <w:shd w:val="clear" w:color="auto" w:fill="C0C0C0"/>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940" w:type="dxa"/>
            <w:vAlign w:val="bottom"/>
            <w:shd w:val="clear" w:color="auto" w:fill="C0C0C0"/>
          </w:tcPr>
          <w:p>
            <w:pPr>
              <w:spacing w:after="0"/>
              <w:rPr>
                <w:sz w:val="24"/>
                <w:szCs w:val="24"/>
                <w:color w:val="auto"/>
              </w:rPr>
            </w:pPr>
          </w:p>
        </w:tc>
        <w:tc>
          <w:tcPr>
            <w:tcW w:w="760" w:type="dxa"/>
            <w:vAlign w:val="bottom"/>
            <w:shd w:val="clear" w:color="auto" w:fill="C0C0C0"/>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180" w:type="dxa"/>
            <w:vAlign w:val="bottom"/>
            <w:shd w:val="clear" w:color="auto" w:fill="C0C0C0"/>
          </w:tcPr>
          <w:p>
            <w:pPr>
              <w:spacing w:after="0"/>
              <w:rPr>
                <w:sz w:val="24"/>
                <w:szCs w:val="24"/>
                <w:color w:val="auto"/>
              </w:rPr>
            </w:pPr>
          </w:p>
        </w:tc>
        <w:tc>
          <w:tcPr>
            <w:tcW w:w="110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920" w:type="dxa"/>
            <w:vAlign w:val="bottom"/>
            <w:shd w:val="clear" w:color="auto" w:fill="C0C0C0"/>
          </w:tcPr>
          <w:p>
            <w:pPr>
              <w:spacing w:after="0"/>
              <w:rPr>
                <w:sz w:val="24"/>
                <w:szCs w:val="24"/>
                <w:color w:val="auto"/>
              </w:rPr>
            </w:pPr>
          </w:p>
        </w:tc>
        <w:tc>
          <w:tcPr>
            <w:tcW w:w="780" w:type="dxa"/>
            <w:vAlign w:val="bottom"/>
            <w:shd w:val="clear" w:color="auto" w:fill="C0C0C0"/>
          </w:tcPr>
          <w:p>
            <w:pPr>
              <w:spacing w:after="0"/>
              <w:rPr>
                <w:sz w:val="24"/>
                <w:szCs w:val="24"/>
                <w:color w:val="auto"/>
              </w:rPr>
            </w:pPr>
          </w:p>
        </w:tc>
      </w:tr>
      <w:tr>
        <w:trPr>
          <w:trHeight w:val="239"/>
        </w:trPr>
        <w:tc>
          <w:tcPr>
            <w:tcW w:w="20" w:type="dxa"/>
            <w:vAlign w:val="bottom"/>
          </w:tcPr>
          <w:p>
            <w:pPr>
              <w:spacing w:after="0"/>
              <w:rPr>
                <w:sz w:val="20"/>
                <w:szCs w:val="20"/>
                <w:color w:val="auto"/>
              </w:rPr>
            </w:pP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Taxable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745,592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18,016</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696,768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15,430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315"/>
        </w:trPr>
        <w:tc>
          <w:tcPr>
            <w:tcW w:w="20" w:type="dxa"/>
            <w:vAlign w:val="bottom"/>
          </w:tcPr>
          <w:p>
            <w:pPr>
              <w:spacing w:after="0"/>
              <w:rPr>
                <w:sz w:val="24"/>
                <w:szCs w:val="24"/>
                <w:color w:val="auto"/>
              </w:rPr>
            </w:pPr>
          </w:p>
        </w:tc>
        <w:tc>
          <w:tcPr>
            <w:tcW w:w="4700" w:type="dxa"/>
            <w:vAlign w:val="bottom"/>
            <w:shd w:val="clear" w:color="auto" w:fill="C0C0C0"/>
          </w:tcPr>
          <w:p>
            <w:pPr>
              <w:ind w:left="260"/>
              <w:spacing w:after="0" w:line="315" w:lineRule="exact"/>
              <w:rPr>
                <w:sz w:val="20"/>
                <w:szCs w:val="20"/>
                <w:color w:val="auto"/>
              </w:rPr>
            </w:pPr>
            <w:r>
              <w:rPr>
                <w:rFonts w:ascii="Times New Roman" w:cs="Times New Roman" w:eastAsia="Times New Roman" w:hAnsi="Times New Roman"/>
                <w:sz w:val="18"/>
                <w:szCs w:val="18"/>
                <w:color w:val="auto"/>
              </w:rPr>
              <w:t>Tax-exempt</w:t>
            </w:r>
            <w:r>
              <w:rPr>
                <w:rFonts w:ascii="Times New Roman" w:cs="Times New Roman" w:eastAsia="Times New Roman" w:hAnsi="Times New Roman"/>
                <w:sz w:val="30"/>
                <w:szCs w:val="30"/>
                <w:color w:val="auto"/>
                <w:vertAlign w:val="superscript"/>
              </w:rPr>
              <w:t>4</w:t>
            </w:r>
          </w:p>
        </w:tc>
        <w:tc>
          <w:tcPr>
            <w:tcW w:w="180" w:type="dxa"/>
            <w:vAlign w:val="bottom"/>
            <w:shd w:val="clear" w:color="auto" w:fill="C0C0C0"/>
          </w:tcPr>
          <w:p>
            <w:pPr>
              <w:spacing w:after="0"/>
              <w:rPr>
                <w:sz w:val="24"/>
                <w:szCs w:val="24"/>
                <w:color w:val="auto"/>
              </w:rPr>
            </w:pPr>
          </w:p>
        </w:tc>
        <w:tc>
          <w:tcPr>
            <w:tcW w:w="1080" w:type="dxa"/>
            <w:vAlign w:val="bottom"/>
            <w:shd w:val="clear" w:color="auto" w:fill="C0C0C0"/>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0C0C0"/>
          </w:tcPr>
          <w:p>
            <w:pPr>
              <w:spacing w:after="0"/>
              <w:rPr>
                <w:sz w:val="24"/>
                <w:szCs w:val="24"/>
                <w:color w:val="auto"/>
              </w:rPr>
            </w:pPr>
          </w:p>
        </w:tc>
        <w:tc>
          <w:tcPr>
            <w:tcW w:w="940" w:type="dxa"/>
            <w:vAlign w:val="bottom"/>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0C0C0"/>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0C0C0"/>
          </w:tcPr>
          <w:p>
            <w:pPr>
              <w:spacing w:after="0"/>
              <w:rPr>
                <w:sz w:val="24"/>
                <w:szCs w:val="24"/>
                <w:color w:val="auto"/>
              </w:rPr>
            </w:pPr>
          </w:p>
        </w:tc>
        <w:tc>
          <w:tcPr>
            <w:tcW w:w="1100" w:type="dxa"/>
            <w:vAlign w:val="bottom"/>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2,417</w:t>
            </w:r>
          </w:p>
        </w:tc>
        <w:tc>
          <w:tcPr>
            <w:tcW w:w="240" w:type="dxa"/>
            <w:vAlign w:val="bottom"/>
            <w:shd w:val="clear" w:color="auto" w:fill="C0C0C0"/>
          </w:tcPr>
          <w:p>
            <w:pPr>
              <w:spacing w:after="0"/>
              <w:rPr>
                <w:sz w:val="24"/>
                <w:szCs w:val="24"/>
                <w:color w:val="auto"/>
              </w:rPr>
            </w:pPr>
          </w:p>
        </w:tc>
        <w:tc>
          <w:tcPr>
            <w:tcW w:w="920" w:type="dxa"/>
            <w:vAlign w:val="bottom"/>
            <w:shd w:val="clear" w:color="auto" w:fill="C0C0C0"/>
          </w:tcPr>
          <w:p>
            <w:pPr>
              <w:jc w:val="right"/>
              <w:ind w:right="110"/>
              <w:spacing w:after="0"/>
              <w:rPr>
                <w:sz w:val="20"/>
                <w:szCs w:val="20"/>
                <w:color w:val="auto"/>
              </w:rPr>
            </w:pPr>
            <w:r>
              <w:rPr>
                <w:rFonts w:ascii="Times New Roman" w:cs="Times New Roman" w:eastAsia="Times New Roman" w:hAnsi="Times New Roman"/>
                <w:sz w:val="18"/>
                <w:szCs w:val="18"/>
                <w:color w:val="auto"/>
              </w:rPr>
              <w:t>45</w:t>
            </w:r>
          </w:p>
        </w:tc>
        <w:tc>
          <w:tcPr>
            <w:tcW w:w="780" w:type="dxa"/>
            <w:vAlign w:val="bottom"/>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3.75</w:t>
            </w:r>
          </w:p>
        </w:tc>
      </w:tr>
      <w:tr>
        <w:trPr>
          <w:trHeight w:val="311"/>
        </w:trPr>
        <w:tc>
          <w:tcPr>
            <w:tcW w:w="4720" w:type="dxa"/>
            <w:vAlign w:val="bottom"/>
            <w:gridSpan w:val="2"/>
          </w:tcPr>
          <w:p>
            <w:pPr>
              <w:spacing w:after="0" w:line="311" w:lineRule="exact"/>
              <w:rPr>
                <w:sz w:val="20"/>
                <w:szCs w:val="20"/>
                <w:color w:val="auto"/>
              </w:rPr>
            </w:pPr>
            <w:r>
              <w:rPr>
                <w:rFonts w:ascii="Times New Roman" w:cs="Times New Roman" w:eastAsia="Times New Roman" w:hAnsi="Times New Roman"/>
                <w:sz w:val="18"/>
                <w:szCs w:val="18"/>
                <w:color w:val="auto"/>
              </w:rPr>
              <w:t>Investment securities</w:t>
            </w:r>
            <w:r>
              <w:rPr>
                <w:rFonts w:ascii="Times New Roman" w:cs="Times New Roman" w:eastAsia="Times New Roman" w:hAnsi="Times New Roman"/>
                <w:sz w:val="30"/>
                <w:szCs w:val="30"/>
                <w:color w:val="auto"/>
                <w:vertAlign w:val="superscript"/>
              </w:rPr>
              <w:t>5</w:t>
            </w: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470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Taxable</w:t>
            </w:r>
          </w:p>
        </w:tc>
        <w:tc>
          <w:tcPr>
            <w:tcW w:w="18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110"/>
              <w:spacing w:after="0"/>
              <w:rPr>
                <w:sz w:val="20"/>
                <w:szCs w:val="20"/>
                <w:color w:val="auto"/>
              </w:rPr>
            </w:pPr>
            <w:r>
              <w:rPr>
                <w:rFonts w:ascii="Times New Roman" w:cs="Times New Roman" w:eastAsia="Times New Roman" w:hAnsi="Times New Roman"/>
                <w:sz w:val="18"/>
                <w:szCs w:val="18"/>
                <w:color w:val="auto"/>
              </w:rPr>
              <w:t>105,685</w:t>
            </w:r>
          </w:p>
        </w:tc>
        <w:tc>
          <w:tcPr>
            <w:tcW w:w="26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1,262</w:t>
            </w:r>
          </w:p>
        </w:tc>
        <w:tc>
          <w:tcPr>
            <w:tcW w:w="760" w:type="dxa"/>
            <w:vAlign w:val="bottom"/>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2.41</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67,465</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10"/>
              <w:spacing w:after="0"/>
              <w:rPr>
                <w:sz w:val="20"/>
                <w:szCs w:val="20"/>
                <w:color w:val="auto"/>
              </w:rPr>
            </w:pPr>
            <w:r>
              <w:rPr>
                <w:rFonts w:ascii="Times New Roman" w:cs="Times New Roman" w:eastAsia="Times New Roman" w:hAnsi="Times New Roman"/>
                <w:sz w:val="18"/>
                <w:szCs w:val="18"/>
                <w:color w:val="auto"/>
              </w:rPr>
              <w:t>756</w:t>
            </w:r>
          </w:p>
        </w:tc>
        <w:tc>
          <w:tcPr>
            <w:tcW w:w="780" w:type="dxa"/>
            <w:vAlign w:val="bottom"/>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2.26</w:t>
            </w:r>
          </w:p>
        </w:tc>
      </w:tr>
      <w:tr>
        <w:trPr>
          <w:trHeight w:val="311"/>
        </w:trPr>
        <w:tc>
          <w:tcPr>
            <w:tcW w:w="20" w:type="dxa"/>
            <w:vAlign w:val="bottom"/>
          </w:tcPr>
          <w:p>
            <w:pPr>
              <w:spacing w:after="0"/>
              <w:rPr>
                <w:sz w:val="24"/>
                <w:szCs w:val="24"/>
                <w:color w:val="auto"/>
              </w:rPr>
            </w:pPr>
          </w:p>
        </w:tc>
        <w:tc>
          <w:tcPr>
            <w:tcW w:w="4700" w:type="dxa"/>
            <w:vAlign w:val="bottom"/>
          </w:tcPr>
          <w:p>
            <w:pPr>
              <w:ind w:left="260"/>
              <w:spacing w:after="0" w:line="311" w:lineRule="exact"/>
              <w:rPr>
                <w:sz w:val="20"/>
                <w:szCs w:val="20"/>
                <w:color w:val="auto"/>
              </w:rPr>
            </w:pPr>
            <w:r>
              <w:rPr>
                <w:rFonts w:ascii="Times New Roman" w:cs="Times New Roman" w:eastAsia="Times New Roman" w:hAnsi="Times New Roman"/>
                <w:sz w:val="18"/>
                <w:szCs w:val="18"/>
                <w:color w:val="auto"/>
              </w:rPr>
              <w:t>Tax-exempt</w:t>
            </w:r>
            <w:r>
              <w:rPr>
                <w:rFonts w:ascii="Times New Roman" w:cs="Times New Roman" w:eastAsia="Times New Roman" w:hAnsi="Times New Roman"/>
                <w:sz w:val="30"/>
                <w:szCs w:val="30"/>
                <w:color w:val="auto"/>
                <w:vertAlign w:val="superscript"/>
              </w:rPr>
              <w:t>4</w:t>
            </w:r>
          </w:p>
        </w:tc>
        <w:tc>
          <w:tcPr>
            <w:tcW w:w="180" w:type="dxa"/>
            <w:vAlign w:val="bottom"/>
          </w:tcPr>
          <w:p>
            <w:pPr>
              <w:spacing w:after="0"/>
              <w:rPr>
                <w:sz w:val="24"/>
                <w:szCs w:val="24"/>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326,393</w:t>
            </w:r>
          </w:p>
        </w:tc>
        <w:tc>
          <w:tcPr>
            <w:tcW w:w="260" w:type="dxa"/>
            <w:vAlign w:val="bottom"/>
          </w:tcPr>
          <w:p>
            <w:pPr>
              <w:spacing w:after="0"/>
              <w:rPr>
                <w:sz w:val="24"/>
                <w:szCs w:val="24"/>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5,103</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3.15</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388,448</w:t>
            </w:r>
          </w:p>
        </w:tc>
        <w:tc>
          <w:tcPr>
            <w:tcW w:w="240" w:type="dxa"/>
            <w:vAlign w:val="bottom"/>
          </w:tcPr>
          <w:p>
            <w:pPr>
              <w:spacing w:after="0"/>
              <w:rPr>
                <w:sz w:val="24"/>
                <w:szCs w:val="24"/>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6,199</w:t>
            </w:r>
          </w:p>
        </w:tc>
        <w:tc>
          <w:tcPr>
            <w:tcW w:w="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3.22</w:t>
            </w:r>
          </w:p>
        </w:tc>
      </w:tr>
      <w:tr>
        <w:trPr>
          <w:trHeight w:val="243"/>
        </w:trPr>
        <w:tc>
          <w:tcPr>
            <w:tcW w:w="20" w:type="dxa"/>
            <w:vAlign w:val="bottom"/>
          </w:tcPr>
          <w:p>
            <w:pPr>
              <w:spacing w:after="0"/>
              <w:rPr>
                <w:sz w:val="21"/>
                <w:szCs w:val="21"/>
                <w:color w:val="auto"/>
              </w:rPr>
            </w:pPr>
          </w:p>
        </w:tc>
        <w:tc>
          <w:tcPr>
            <w:tcW w:w="470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110"/>
              <w:spacing w:after="0"/>
              <w:rPr>
                <w:sz w:val="20"/>
                <w:szCs w:val="20"/>
                <w:color w:val="auto"/>
              </w:rPr>
            </w:pPr>
            <w:r>
              <w:rPr>
                <w:rFonts w:ascii="Times New Roman" w:cs="Times New Roman" w:eastAsia="Times New Roman" w:hAnsi="Times New Roman"/>
                <w:sz w:val="18"/>
                <w:szCs w:val="18"/>
                <w:color w:val="auto"/>
              </w:rPr>
              <w:t>1,995</w:t>
            </w:r>
          </w:p>
        </w:tc>
        <w:tc>
          <w:tcPr>
            <w:tcW w:w="26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760" w:type="dxa"/>
            <w:vAlign w:val="bottom"/>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2.02</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7,351</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10"/>
              <w:spacing w:after="0"/>
              <w:rPr>
                <w:sz w:val="20"/>
                <w:szCs w:val="20"/>
                <w:color w:val="auto"/>
              </w:rPr>
            </w:pPr>
            <w:r>
              <w:rPr>
                <w:rFonts w:ascii="Times New Roman" w:cs="Times New Roman" w:eastAsia="Times New Roman" w:hAnsi="Times New Roman"/>
                <w:sz w:val="18"/>
                <w:szCs w:val="18"/>
                <w:color w:val="auto"/>
              </w:rPr>
              <w:t>54</w:t>
            </w:r>
          </w:p>
        </w:tc>
        <w:tc>
          <w:tcPr>
            <w:tcW w:w="780" w:type="dxa"/>
            <w:vAlign w:val="bottom"/>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1.48</w:t>
            </w:r>
          </w:p>
        </w:tc>
      </w:tr>
      <w:tr>
        <w:trPr>
          <w:trHeight w:val="234"/>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deposits in other financial institutions</w:t>
            </w:r>
          </w:p>
        </w:tc>
        <w:tc>
          <w:tcPr>
            <w:tcW w:w="18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114,314</w:t>
            </w:r>
          </w:p>
        </w:tc>
        <w:tc>
          <w:tcPr>
            <w:tcW w:w="26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1,286</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93,312</w:t>
            </w:r>
          </w:p>
        </w:tc>
        <w:tc>
          <w:tcPr>
            <w:tcW w:w="24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745</w:t>
            </w:r>
          </w:p>
        </w:tc>
        <w:tc>
          <w:tcPr>
            <w:tcW w:w="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1.61</w:t>
            </w:r>
          </w:p>
        </w:tc>
      </w:tr>
      <w:tr>
        <w:trPr>
          <w:trHeight w:val="247"/>
        </w:trPr>
        <w:tc>
          <w:tcPr>
            <w:tcW w:w="20" w:type="dxa"/>
            <w:vAlign w:val="bottom"/>
          </w:tcPr>
          <w:p>
            <w:pPr>
              <w:spacing w:after="0"/>
              <w:rPr>
                <w:sz w:val="21"/>
                <w:szCs w:val="21"/>
                <w:color w:val="auto"/>
              </w:rPr>
            </w:pPr>
          </w:p>
        </w:tc>
        <w:tc>
          <w:tcPr>
            <w:tcW w:w="470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Federal funds sold and other short-term investments</w:t>
            </w:r>
          </w:p>
        </w:tc>
        <w:tc>
          <w:tcPr>
            <w:tcW w:w="180" w:type="dxa"/>
            <w:vAlign w:val="bottom"/>
            <w:tcBorders>
              <w:bottom w:val="single" w:sz="8" w:color="auto"/>
            </w:tcBorders>
            <w:shd w:val="clear" w:color="auto" w:fill="C0C0C0"/>
          </w:tcPr>
          <w:p>
            <w:pPr>
              <w:spacing w:after="0"/>
              <w:rPr>
                <w:sz w:val="21"/>
                <w:szCs w:val="21"/>
                <w:color w:val="auto"/>
              </w:rPr>
            </w:pPr>
          </w:p>
        </w:tc>
        <w:tc>
          <w:tcPr>
            <w:tcW w:w="1080" w:type="dxa"/>
            <w:vAlign w:val="bottom"/>
            <w:tcBorders>
              <w:bottom w:val="single" w:sz="8" w:color="auto"/>
            </w:tcBorders>
            <w:shd w:val="clear" w:color="auto" w:fill="C0C0C0"/>
          </w:tcPr>
          <w:p>
            <w:pPr>
              <w:jc w:val="right"/>
              <w:ind w:right="110"/>
              <w:spacing w:after="0"/>
              <w:rPr>
                <w:sz w:val="20"/>
                <w:szCs w:val="20"/>
                <w:color w:val="auto"/>
              </w:rPr>
            </w:pPr>
            <w:r>
              <w:rPr>
                <w:rFonts w:ascii="Times New Roman" w:cs="Times New Roman" w:eastAsia="Times New Roman" w:hAnsi="Times New Roman"/>
                <w:sz w:val="18"/>
                <w:szCs w:val="18"/>
                <w:color w:val="auto"/>
              </w:rPr>
              <w:t>140,798</w:t>
            </w:r>
          </w:p>
        </w:tc>
        <w:tc>
          <w:tcPr>
            <w:tcW w:w="26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1,609</w:t>
            </w:r>
          </w:p>
        </w:tc>
        <w:tc>
          <w:tcPr>
            <w:tcW w:w="760" w:type="dxa"/>
            <w:vAlign w:val="bottom"/>
            <w:tcBorders>
              <w:bottom w:val="single" w:sz="8" w:color="auto"/>
            </w:tcBorders>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2.30</w:t>
            </w:r>
          </w:p>
        </w:tc>
        <w:tc>
          <w:tcPr>
            <w:tcW w:w="26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1100" w:type="dxa"/>
            <w:vAlign w:val="bottom"/>
            <w:tcBorders>
              <w:bottom w:val="single" w:sz="8" w:color="auto"/>
            </w:tcBorders>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123,632</w:t>
            </w:r>
          </w:p>
        </w:tc>
        <w:tc>
          <w:tcPr>
            <w:tcW w:w="24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ind w:right="110"/>
              <w:spacing w:after="0"/>
              <w:rPr>
                <w:sz w:val="20"/>
                <w:szCs w:val="20"/>
                <w:color w:val="auto"/>
              </w:rPr>
            </w:pPr>
            <w:r>
              <w:rPr>
                <w:rFonts w:ascii="Times New Roman" w:cs="Times New Roman" w:eastAsia="Times New Roman" w:hAnsi="Times New Roman"/>
                <w:sz w:val="18"/>
                <w:szCs w:val="18"/>
                <w:color w:val="auto"/>
              </w:rPr>
              <w:t>884</w:t>
            </w:r>
          </w:p>
        </w:tc>
        <w:tc>
          <w:tcPr>
            <w:tcW w:w="780" w:type="dxa"/>
            <w:vAlign w:val="bottom"/>
            <w:tcBorders>
              <w:bottom w:val="single" w:sz="8" w:color="auto"/>
            </w:tcBorders>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1.44</w:t>
            </w:r>
          </w:p>
        </w:tc>
      </w:tr>
      <w:tr>
        <w:trPr>
          <w:trHeight w:val="232"/>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Total earning assets</w:t>
            </w:r>
          </w:p>
        </w:tc>
        <w:tc>
          <w:tcPr>
            <w:tcW w:w="18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1,434,777</w:t>
            </w:r>
          </w:p>
        </w:tc>
        <w:tc>
          <w:tcPr>
            <w:tcW w:w="26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27,296</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3.84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1,379,393</w:t>
            </w:r>
          </w:p>
        </w:tc>
        <w:tc>
          <w:tcPr>
            <w:tcW w:w="24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24,113</w:t>
            </w:r>
          </w:p>
        </w:tc>
        <w:tc>
          <w:tcPr>
            <w:tcW w:w="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3.53</w:t>
            </w:r>
          </w:p>
        </w:tc>
      </w:tr>
      <w:tr>
        <w:trPr>
          <w:trHeight w:val="252"/>
        </w:trPr>
        <w:tc>
          <w:tcPr>
            <w:tcW w:w="20" w:type="dxa"/>
            <w:vAlign w:val="bottom"/>
          </w:tcPr>
          <w:p>
            <w:pPr>
              <w:spacing w:after="0"/>
              <w:rPr>
                <w:sz w:val="21"/>
                <w:szCs w:val="21"/>
                <w:color w:val="auto"/>
              </w:rPr>
            </w:pPr>
          </w:p>
        </w:tc>
        <w:tc>
          <w:tcPr>
            <w:tcW w:w="470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Non-earning assets:</w:t>
            </w:r>
          </w:p>
        </w:tc>
        <w:tc>
          <w:tcPr>
            <w:tcW w:w="18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1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due from banks</w:t>
            </w:r>
          </w:p>
        </w:tc>
        <w:tc>
          <w:tcPr>
            <w:tcW w:w="18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13,268</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13,510</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470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8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110"/>
              <w:spacing w:after="0"/>
              <w:rPr>
                <w:sz w:val="20"/>
                <w:szCs w:val="20"/>
                <w:color w:val="auto"/>
              </w:rPr>
            </w:pPr>
            <w:r>
              <w:rPr>
                <w:rFonts w:ascii="Times New Roman" w:cs="Times New Roman" w:eastAsia="Times New Roman" w:hAnsi="Times New Roman"/>
                <w:sz w:val="18"/>
                <w:szCs w:val="18"/>
                <w:color w:val="auto"/>
              </w:rPr>
              <w:t>21,796</w:t>
            </w:r>
          </w:p>
        </w:tc>
        <w:tc>
          <w:tcPr>
            <w:tcW w:w="26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22,190</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Bank-owned life insurance</w:t>
            </w:r>
          </w:p>
        </w:tc>
        <w:tc>
          <w:tcPr>
            <w:tcW w:w="18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17,485</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17,027</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470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18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110"/>
              <w:spacing w:after="0"/>
              <w:rPr>
                <w:sz w:val="20"/>
                <w:szCs w:val="20"/>
                <w:color w:val="auto"/>
              </w:rPr>
            </w:pPr>
            <w:r>
              <w:rPr>
                <w:rFonts w:ascii="Times New Roman" w:cs="Times New Roman" w:eastAsia="Times New Roman" w:hAnsi="Times New Roman"/>
                <w:sz w:val="18"/>
                <w:szCs w:val="18"/>
                <w:color w:val="auto"/>
              </w:rPr>
              <w:t>14,027</w:t>
            </w:r>
          </w:p>
        </w:tc>
        <w:tc>
          <w:tcPr>
            <w:tcW w:w="26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14,465</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203,974</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169,394</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700" w:type="dxa"/>
            <w:vAlign w:val="bottom"/>
            <w:tcBorders>
              <w:bottom w:val="single" w:sz="8" w:color="auto"/>
            </w:tcBorders>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80" w:type="dxa"/>
            <w:vAlign w:val="bottom"/>
            <w:tcBorders>
              <w:bottom w:val="single" w:sz="8" w:color="auto"/>
            </w:tcBorders>
            <w:shd w:val="clear" w:color="auto" w:fill="C0C0C0"/>
          </w:tcPr>
          <w:p>
            <w:pPr>
              <w:spacing w:after="0"/>
              <w:rPr>
                <w:sz w:val="21"/>
                <w:szCs w:val="21"/>
                <w:color w:val="auto"/>
              </w:rPr>
            </w:pPr>
          </w:p>
        </w:tc>
        <w:tc>
          <w:tcPr>
            <w:tcW w:w="1080" w:type="dxa"/>
            <w:vAlign w:val="bottom"/>
            <w:tcBorders>
              <w:bottom w:val="single" w:sz="8" w:color="auto"/>
            </w:tcBorders>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(10,365)</w:t>
            </w:r>
          </w:p>
        </w:tc>
        <w:tc>
          <w:tcPr>
            <w:tcW w:w="26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1100" w:type="dxa"/>
            <w:vAlign w:val="bottom"/>
            <w:tcBorders>
              <w:bottom w:val="single" w:sz="8" w:color="auto"/>
            </w:tcBorders>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(10,211)</w:t>
            </w:r>
          </w:p>
        </w:tc>
        <w:tc>
          <w:tcPr>
            <w:tcW w:w="24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1,694,962</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1,605,768</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r>
      <w:tr>
        <w:trPr>
          <w:trHeight w:val="308"/>
        </w:trPr>
        <w:tc>
          <w:tcPr>
            <w:tcW w:w="20" w:type="dxa"/>
            <w:vAlign w:val="bottom"/>
          </w:tcPr>
          <w:p>
            <w:pPr>
              <w:spacing w:after="0"/>
              <w:rPr>
                <w:sz w:val="24"/>
                <w:szCs w:val="24"/>
                <w:color w:val="auto"/>
              </w:rPr>
            </w:pPr>
          </w:p>
        </w:tc>
        <w:tc>
          <w:tcPr>
            <w:tcW w:w="4700" w:type="dxa"/>
            <w:vAlign w:val="bottom"/>
            <w:shd w:val="clear" w:color="auto" w:fill="C0C0C0"/>
          </w:tcPr>
          <w:p>
            <w:pPr>
              <w:spacing w:after="0" w:line="308"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r>
              <w:rPr>
                <w:rFonts w:ascii="Times New Roman" w:cs="Times New Roman" w:eastAsia="Times New Roman" w:hAnsi="Times New Roman"/>
                <w:sz w:val="30"/>
                <w:szCs w:val="30"/>
                <w:b w:val="1"/>
                <w:bCs w:val="1"/>
                <w:color w:val="auto"/>
                <w:vertAlign w:val="superscript"/>
              </w:rPr>
              <w:t>1</w:t>
            </w:r>
          </w:p>
        </w:tc>
        <w:tc>
          <w:tcPr>
            <w:tcW w:w="180" w:type="dxa"/>
            <w:vAlign w:val="bottom"/>
            <w:shd w:val="clear" w:color="auto" w:fill="C0C0C0"/>
          </w:tcPr>
          <w:p>
            <w:pPr>
              <w:spacing w:after="0"/>
              <w:rPr>
                <w:sz w:val="24"/>
                <w:szCs w:val="24"/>
                <w:color w:val="auto"/>
              </w:rPr>
            </w:pPr>
          </w:p>
        </w:tc>
        <w:tc>
          <w:tcPr>
            <w:tcW w:w="1080" w:type="dxa"/>
            <w:vAlign w:val="bottom"/>
            <w:shd w:val="clear" w:color="auto" w:fill="C0C0C0"/>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940" w:type="dxa"/>
            <w:vAlign w:val="bottom"/>
            <w:shd w:val="clear" w:color="auto" w:fill="C0C0C0"/>
          </w:tcPr>
          <w:p>
            <w:pPr>
              <w:spacing w:after="0"/>
              <w:rPr>
                <w:sz w:val="24"/>
                <w:szCs w:val="24"/>
                <w:color w:val="auto"/>
              </w:rPr>
            </w:pPr>
          </w:p>
        </w:tc>
        <w:tc>
          <w:tcPr>
            <w:tcW w:w="760" w:type="dxa"/>
            <w:vAlign w:val="bottom"/>
            <w:shd w:val="clear" w:color="auto" w:fill="C0C0C0"/>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180" w:type="dxa"/>
            <w:vAlign w:val="bottom"/>
            <w:shd w:val="clear" w:color="auto" w:fill="C0C0C0"/>
          </w:tcPr>
          <w:p>
            <w:pPr>
              <w:spacing w:after="0"/>
              <w:rPr>
                <w:sz w:val="24"/>
                <w:szCs w:val="24"/>
                <w:color w:val="auto"/>
              </w:rPr>
            </w:pPr>
          </w:p>
        </w:tc>
        <w:tc>
          <w:tcPr>
            <w:tcW w:w="110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920" w:type="dxa"/>
            <w:vAlign w:val="bottom"/>
            <w:shd w:val="clear" w:color="auto" w:fill="C0C0C0"/>
          </w:tcPr>
          <w:p>
            <w:pPr>
              <w:spacing w:after="0"/>
              <w:rPr>
                <w:sz w:val="24"/>
                <w:szCs w:val="24"/>
                <w:color w:val="auto"/>
              </w:rPr>
            </w:pPr>
          </w:p>
        </w:tc>
        <w:tc>
          <w:tcPr>
            <w:tcW w:w="780" w:type="dxa"/>
            <w:vAlign w:val="bottom"/>
            <w:shd w:val="clear" w:color="auto" w:fill="C0C0C0"/>
          </w:tcPr>
          <w:p>
            <w:pPr>
              <w:spacing w:after="0"/>
              <w:rPr>
                <w:sz w:val="24"/>
                <w:szCs w:val="24"/>
                <w:color w:val="auto"/>
              </w:rPr>
            </w:pPr>
          </w:p>
        </w:tc>
      </w:tr>
      <w:tr>
        <w:trPr>
          <w:trHeight w:val="239"/>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470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Interest-bearing demand deposits</w:t>
            </w:r>
          </w:p>
        </w:tc>
        <w:tc>
          <w:tcPr>
            <w:tcW w:w="1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0C0C0"/>
          </w:tcPr>
          <w:p>
            <w:pPr>
              <w:jc w:val="right"/>
              <w:ind w:right="110"/>
              <w:spacing w:after="0"/>
              <w:rPr>
                <w:sz w:val="20"/>
                <w:szCs w:val="20"/>
                <w:color w:val="auto"/>
              </w:rPr>
            </w:pPr>
            <w:r>
              <w:rPr>
                <w:rFonts w:ascii="Times New Roman" w:cs="Times New Roman" w:eastAsia="Times New Roman" w:hAnsi="Times New Roman"/>
                <w:sz w:val="18"/>
                <w:szCs w:val="18"/>
                <w:color w:val="auto"/>
              </w:rPr>
              <w:t>300,429</w:t>
            </w:r>
          </w:p>
        </w:tc>
        <w:tc>
          <w:tcPr>
            <w:tcW w:w="2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1,845</w:t>
            </w:r>
          </w:p>
        </w:tc>
        <w:tc>
          <w:tcPr>
            <w:tcW w:w="7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310,044</w:t>
            </w:r>
          </w:p>
        </w:tc>
        <w:tc>
          <w:tcPr>
            <w:tcW w:w="2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0C0C0"/>
          </w:tcPr>
          <w:p>
            <w:pPr>
              <w:jc w:val="right"/>
              <w:ind w:right="110"/>
              <w:spacing w:after="0"/>
              <w:rPr>
                <w:sz w:val="20"/>
                <w:szCs w:val="20"/>
                <w:color w:val="auto"/>
              </w:rPr>
            </w:pPr>
            <w:r>
              <w:rPr>
                <w:rFonts w:ascii="Times New Roman" w:cs="Times New Roman" w:eastAsia="Times New Roman" w:hAnsi="Times New Roman"/>
                <w:sz w:val="18"/>
                <w:szCs w:val="18"/>
                <w:color w:val="auto"/>
              </w:rPr>
              <w:t>1,130</w:t>
            </w:r>
          </w:p>
        </w:tc>
        <w:tc>
          <w:tcPr>
            <w:tcW w:w="7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9"/>
        </w:trPr>
        <w:tc>
          <w:tcPr>
            <w:tcW w:w="20" w:type="dxa"/>
            <w:vAlign w:val="bottom"/>
          </w:tcPr>
          <w:p>
            <w:pPr>
              <w:spacing w:after="0"/>
              <w:rPr>
                <w:sz w:val="20"/>
                <w:szCs w:val="20"/>
                <w:color w:val="auto"/>
              </w:rPr>
            </w:pP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Savings deposits</w:t>
            </w:r>
          </w:p>
        </w:tc>
        <w:tc>
          <w:tcPr>
            <w:tcW w:w="18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10,932</w:t>
            </w:r>
          </w:p>
        </w:tc>
        <w:tc>
          <w:tcPr>
            <w:tcW w:w="26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11,281</w:t>
            </w:r>
          </w:p>
        </w:tc>
        <w:tc>
          <w:tcPr>
            <w:tcW w:w="24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46</w:t>
            </w:r>
          </w:p>
        </w:tc>
        <w:tc>
          <w:tcPr>
            <w:tcW w:w="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.82</w:t>
            </w:r>
          </w:p>
        </w:tc>
      </w:tr>
      <w:tr>
        <w:trPr>
          <w:trHeight w:val="247"/>
        </w:trPr>
        <w:tc>
          <w:tcPr>
            <w:tcW w:w="20" w:type="dxa"/>
            <w:vAlign w:val="bottom"/>
          </w:tcPr>
          <w:p>
            <w:pPr>
              <w:spacing w:after="0"/>
              <w:rPr>
                <w:sz w:val="21"/>
                <w:szCs w:val="21"/>
                <w:color w:val="auto"/>
              </w:rPr>
            </w:pPr>
          </w:p>
        </w:tc>
        <w:tc>
          <w:tcPr>
            <w:tcW w:w="470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Time deposits &gt;= $100</w:t>
            </w:r>
          </w:p>
        </w:tc>
        <w:tc>
          <w:tcPr>
            <w:tcW w:w="18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110"/>
              <w:spacing w:after="0"/>
              <w:rPr>
                <w:sz w:val="20"/>
                <w:szCs w:val="20"/>
                <w:color w:val="auto"/>
              </w:rPr>
            </w:pPr>
            <w:r>
              <w:rPr>
                <w:rFonts w:ascii="Times New Roman" w:cs="Times New Roman" w:eastAsia="Times New Roman" w:hAnsi="Times New Roman"/>
                <w:sz w:val="18"/>
                <w:szCs w:val="18"/>
                <w:color w:val="auto"/>
              </w:rPr>
              <w:t>24,092</w:t>
            </w:r>
          </w:p>
        </w:tc>
        <w:tc>
          <w:tcPr>
            <w:tcW w:w="26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231</w:t>
            </w:r>
          </w:p>
        </w:tc>
        <w:tc>
          <w:tcPr>
            <w:tcW w:w="760" w:type="dxa"/>
            <w:vAlign w:val="bottom"/>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1.93</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23,278</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10"/>
              <w:spacing w:after="0"/>
              <w:rPr>
                <w:sz w:val="20"/>
                <w:szCs w:val="20"/>
                <w:color w:val="auto"/>
              </w:rPr>
            </w:pPr>
            <w:r>
              <w:rPr>
                <w:rFonts w:ascii="Times New Roman" w:cs="Times New Roman" w:eastAsia="Times New Roman" w:hAnsi="Times New Roman"/>
                <w:sz w:val="18"/>
                <w:szCs w:val="18"/>
                <w:color w:val="auto"/>
              </w:rPr>
              <w:t>161</w:t>
            </w:r>
          </w:p>
        </w:tc>
        <w:tc>
          <w:tcPr>
            <w:tcW w:w="780" w:type="dxa"/>
            <w:vAlign w:val="bottom"/>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1.39</w:t>
            </w:r>
          </w:p>
        </w:tc>
      </w:tr>
      <w:tr>
        <w:trPr>
          <w:trHeight w:val="239"/>
        </w:trPr>
        <w:tc>
          <w:tcPr>
            <w:tcW w:w="20" w:type="dxa"/>
            <w:vAlign w:val="bottom"/>
          </w:tcPr>
          <w:p>
            <w:pPr>
              <w:spacing w:after="0"/>
              <w:rPr>
                <w:sz w:val="20"/>
                <w:szCs w:val="20"/>
                <w:color w:val="auto"/>
              </w:rPr>
            </w:pPr>
          </w:p>
        </w:tc>
        <w:tc>
          <w:tcPr>
            <w:tcW w:w="47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Other time deposits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49,141</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460</w:t>
            </w: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1.89</w:t>
            </w: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29,100</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136</w:t>
            </w: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.94</w:t>
            </w:r>
          </w:p>
        </w:tc>
      </w:tr>
      <w:tr>
        <w:trPr>
          <w:trHeight w:val="241"/>
        </w:trPr>
        <w:tc>
          <w:tcPr>
            <w:tcW w:w="20" w:type="dxa"/>
            <w:vAlign w:val="bottom"/>
          </w:tcPr>
          <w:p>
            <w:pPr>
              <w:spacing w:after="0"/>
              <w:rPr>
                <w:sz w:val="20"/>
                <w:szCs w:val="20"/>
                <w:color w:val="auto"/>
              </w:rPr>
            </w:pPr>
          </w:p>
        </w:tc>
        <w:tc>
          <w:tcPr>
            <w:tcW w:w="470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180" w:type="dxa"/>
            <w:vAlign w:val="bottom"/>
            <w:shd w:val="clear" w:color="auto" w:fill="C0C0C0"/>
          </w:tcPr>
          <w:p>
            <w:pPr>
              <w:spacing w:after="0"/>
              <w:rPr>
                <w:sz w:val="20"/>
                <w:szCs w:val="20"/>
                <w:color w:val="auto"/>
              </w:rPr>
            </w:pPr>
          </w:p>
        </w:tc>
        <w:tc>
          <w:tcPr>
            <w:tcW w:w="1080" w:type="dxa"/>
            <w:vAlign w:val="bottom"/>
            <w:shd w:val="clear" w:color="auto" w:fill="C0C0C0"/>
          </w:tcPr>
          <w:p>
            <w:pPr>
              <w:jc w:val="right"/>
              <w:ind w:right="110"/>
              <w:spacing w:after="0"/>
              <w:rPr>
                <w:sz w:val="20"/>
                <w:szCs w:val="20"/>
                <w:color w:val="auto"/>
              </w:rPr>
            </w:pPr>
            <w:r>
              <w:rPr>
                <w:rFonts w:ascii="Times New Roman" w:cs="Times New Roman" w:eastAsia="Times New Roman" w:hAnsi="Times New Roman"/>
                <w:sz w:val="18"/>
                <w:szCs w:val="18"/>
                <w:color w:val="auto"/>
              </w:rPr>
              <w:t>384,594</w:t>
            </w:r>
          </w:p>
        </w:tc>
        <w:tc>
          <w:tcPr>
            <w:tcW w:w="260" w:type="dxa"/>
            <w:vAlign w:val="bottom"/>
            <w:shd w:val="clear" w:color="auto" w:fill="C0C0C0"/>
          </w:tcPr>
          <w:p>
            <w:pPr>
              <w:spacing w:after="0"/>
              <w:rPr>
                <w:sz w:val="20"/>
                <w:szCs w:val="20"/>
                <w:color w:val="auto"/>
              </w:rPr>
            </w:pPr>
          </w:p>
        </w:tc>
        <w:tc>
          <w:tcPr>
            <w:tcW w:w="940" w:type="dxa"/>
            <w:vAlign w:val="bottom"/>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2,595</w:t>
            </w:r>
          </w:p>
        </w:tc>
        <w:tc>
          <w:tcPr>
            <w:tcW w:w="760" w:type="dxa"/>
            <w:vAlign w:val="bottom"/>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1100" w:type="dxa"/>
            <w:vAlign w:val="bottom"/>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373,703</w:t>
            </w:r>
          </w:p>
        </w:tc>
        <w:tc>
          <w:tcPr>
            <w:tcW w:w="240" w:type="dxa"/>
            <w:vAlign w:val="bottom"/>
            <w:shd w:val="clear" w:color="auto" w:fill="C0C0C0"/>
          </w:tcPr>
          <w:p>
            <w:pPr>
              <w:spacing w:after="0"/>
              <w:rPr>
                <w:sz w:val="20"/>
                <w:szCs w:val="20"/>
                <w:color w:val="auto"/>
              </w:rPr>
            </w:pPr>
          </w:p>
        </w:tc>
        <w:tc>
          <w:tcPr>
            <w:tcW w:w="920" w:type="dxa"/>
            <w:vAlign w:val="bottom"/>
            <w:shd w:val="clear" w:color="auto" w:fill="C0C0C0"/>
          </w:tcPr>
          <w:p>
            <w:pPr>
              <w:jc w:val="right"/>
              <w:ind w:right="110"/>
              <w:spacing w:after="0"/>
              <w:rPr>
                <w:sz w:val="20"/>
                <w:szCs w:val="20"/>
                <w:color w:val="auto"/>
              </w:rPr>
            </w:pPr>
            <w:r>
              <w:rPr>
                <w:rFonts w:ascii="Times New Roman" w:cs="Times New Roman" w:eastAsia="Times New Roman" w:hAnsi="Times New Roman"/>
                <w:sz w:val="18"/>
                <w:szCs w:val="18"/>
                <w:color w:val="auto"/>
              </w:rPr>
              <w:t>1,473</w:t>
            </w:r>
          </w:p>
        </w:tc>
        <w:tc>
          <w:tcPr>
            <w:tcW w:w="780" w:type="dxa"/>
            <w:vAlign w:val="bottom"/>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.79</w:t>
            </w:r>
          </w:p>
        </w:tc>
      </w:tr>
      <w:tr>
        <w:trPr>
          <w:trHeight w:val="239"/>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Non-interest bearing liabilities: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470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Demand deposits</w:t>
            </w:r>
          </w:p>
        </w:tc>
        <w:tc>
          <w:tcPr>
            <w:tcW w:w="18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110"/>
              <w:spacing w:after="0"/>
              <w:rPr>
                <w:sz w:val="20"/>
                <w:szCs w:val="20"/>
                <w:color w:val="auto"/>
              </w:rPr>
            </w:pPr>
            <w:r>
              <w:rPr>
                <w:rFonts w:ascii="Times New Roman" w:cs="Times New Roman" w:eastAsia="Times New Roman" w:hAnsi="Times New Roman"/>
                <w:sz w:val="18"/>
                <w:szCs w:val="18"/>
                <w:color w:val="auto"/>
              </w:rPr>
              <w:t>264,743</w:t>
            </w:r>
          </w:p>
        </w:tc>
        <w:tc>
          <w:tcPr>
            <w:tcW w:w="26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242,264</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18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762,416</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727,622</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700" w:type="dxa"/>
            <w:vAlign w:val="bottom"/>
            <w:tcBorders>
              <w:bottom w:val="single" w:sz="8" w:color="auto"/>
            </w:tcBorders>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shd w:val="clear" w:color="auto" w:fill="C0C0C0"/>
          </w:tcPr>
          <w:p>
            <w:pPr>
              <w:spacing w:after="0"/>
              <w:rPr>
                <w:sz w:val="21"/>
                <w:szCs w:val="21"/>
                <w:color w:val="auto"/>
              </w:rPr>
            </w:pPr>
          </w:p>
        </w:tc>
        <w:tc>
          <w:tcPr>
            <w:tcW w:w="1080" w:type="dxa"/>
            <w:vAlign w:val="bottom"/>
            <w:tcBorders>
              <w:bottom w:val="single" w:sz="8" w:color="auto"/>
            </w:tcBorders>
            <w:shd w:val="clear" w:color="auto" w:fill="C0C0C0"/>
          </w:tcPr>
          <w:p>
            <w:pPr>
              <w:jc w:val="right"/>
              <w:ind w:right="110"/>
              <w:spacing w:after="0"/>
              <w:rPr>
                <w:sz w:val="20"/>
                <w:szCs w:val="20"/>
                <w:color w:val="auto"/>
              </w:rPr>
            </w:pPr>
            <w:r>
              <w:rPr>
                <w:rFonts w:ascii="Times New Roman" w:cs="Times New Roman" w:eastAsia="Times New Roman" w:hAnsi="Times New Roman"/>
                <w:sz w:val="18"/>
                <w:szCs w:val="18"/>
                <w:color w:val="auto"/>
              </w:rPr>
              <w:t>53,666</w:t>
            </w:r>
          </w:p>
        </w:tc>
        <w:tc>
          <w:tcPr>
            <w:tcW w:w="26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1100" w:type="dxa"/>
            <w:vAlign w:val="bottom"/>
            <w:tcBorders>
              <w:bottom w:val="single" w:sz="8" w:color="auto"/>
            </w:tcBorders>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42,093</w:t>
            </w:r>
          </w:p>
        </w:tc>
        <w:tc>
          <w:tcPr>
            <w:tcW w:w="24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spacing w:after="0"/>
              <w:rPr>
                <w:sz w:val="21"/>
                <w:szCs w:val="21"/>
                <w:color w:val="auto"/>
              </w:rPr>
            </w:pPr>
          </w:p>
        </w:tc>
      </w:tr>
      <w:tr>
        <w:trPr>
          <w:trHeight w:val="232"/>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1,465,419</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1,385,682</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470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tcBorders>
              <w:bottom w:val="single" w:sz="8" w:color="auto"/>
            </w:tcBorders>
            <w:shd w:val="clear" w:color="auto" w:fill="C0C0C0"/>
          </w:tcPr>
          <w:p>
            <w:pPr>
              <w:spacing w:after="0"/>
              <w:rPr>
                <w:sz w:val="21"/>
                <w:szCs w:val="21"/>
                <w:color w:val="auto"/>
              </w:rPr>
            </w:pPr>
          </w:p>
        </w:tc>
        <w:tc>
          <w:tcPr>
            <w:tcW w:w="1080" w:type="dxa"/>
            <w:vAlign w:val="bottom"/>
            <w:tcBorders>
              <w:bottom w:val="single" w:sz="8" w:color="auto"/>
            </w:tcBorders>
            <w:shd w:val="clear" w:color="auto" w:fill="C0C0C0"/>
          </w:tcPr>
          <w:p>
            <w:pPr>
              <w:jc w:val="right"/>
              <w:ind w:right="110"/>
              <w:spacing w:after="0"/>
              <w:rPr>
                <w:sz w:val="20"/>
                <w:szCs w:val="20"/>
                <w:color w:val="auto"/>
              </w:rPr>
            </w:pPr>
            <w:r>
              <w:rPr>
                <w:rFonts w:ascii="Times New Roman" w:cs="Times New Roman" w:eastAsia="Times New Roman" w:hAnsi="Times New Roman"/>
                <w:sz w:val="18"/>
                <w:szCs w:val="18"/>
                <w:color w:val="auto"/>
              </w:rPr>
              <w:t>229,543</w:t>
            </w:r>
          </w:p>
        </w:tc>
        <w:tc>
          <w:tcPr>
            <w:tcW w:w="26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1100" w:type="dxa"/>
            <w:vAlign w:val="bottom"/>
            <w:tcBorders>
              <w:bottom w:val="single" w:sz="8" w:color="auto"/>
            </w:tcBorders>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220,086</w:t>
            </w:r>
          </w:p>
        </w:tc>
        <w:tc>
          <w:tcPr>
            <w:tcW w:w="24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1,694,962</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1,605,768</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r>
      <w:tr>
        <w:trPr>
          <w:trHeight w:val="241"/>
        </w:trPr>
        <w:tc>
          <w:tcPr>
            <w:tcW w:w="20" w:type="dxa"/>
            <w:vAlign w:val="bottom"/>
          </w:tcPr>
          <w:p>
            <w:pPr>
              <w:spacing w:after="0"/>
              <w:rPr>
                <w:sz w:val="20"/>
                <w:szCs w:val="20"/>
                <w:color w:val="auto"/>
              </w:rPr>
            </w:pPr>
          </w:p>
        </w:tc>
        <w:tc>
          <w:tcPr>
            <w:tcW w:w="470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80" w:type="dxa"/>
            <w:vAlign w:val="bottom"/>
            <w:shd w:val="clear" w:color="auto" w:fill="C0C0C0"/>
          </w:tcPr>
          <w:p>
            <w:pPr>
              <w:spacing w:after="0"/>
              <w:rPr>
                <w:sz w:val="20"/>
                <w:szCs w:val="20"/>
                <w:color w:val="auto"/>
              </w:rPr>
            </w:pPr>
          </w:p>
        </w:tc>
        <w:tc>
          <w:tcPr>
            <w:tcW w:w="1080" w:type="dxa"/>
            <w:vAlign w:val="bottom"/>
            <w:shd w:val="clear" w:color="auto" w:fill="C0C0C0"/>
          </w:tcPr>
          <w:p>
            <w:pPr>
              <w:spacing w:after="0"/>
              <w:rPr>
                <w:sz w:val="20"/>
                <w:szCs w:val="20"/>
                <w:color w:val="auto"/>
              </w:rPr>
            </w:pPr>
          </w:p>
        </w:tc>
        <w:tc>
          <w:tcPr>
            <w:tcW w:w="2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24,701</w:t>
            </w:r>
          </w:p>
        </w:tc>
        <w:tc>
          <w:tcPr>
            <w:tcW w:w="7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1100" w:type="dxa"/>
            <w:vAlign w:val="bottom"/>
            <w:shd w:val="clear" w:color="auto" w:fill="C0C0C0"/>
          </w:tcPr>
          <w:p>
            <w:pPr>
              <w:spacing w:after="0"/>
              <w:rPr>
                <w:sz w:val="20"/>
                <w:szCs w:val="20"/>
                <w:color w:val="auto"/>
              </w:rPr>
            </w:pPr>
          </w:p>
        </w:tc>
        <w:tc>
          <w:tcPr>
            <w:tcW w:w="2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0C0C0"/>
          </w:tcPr>
          <w:p>
            <w:pPr>
              <w:jc w:val="right"/>
              <w:ind w:right="110"/>
              <w:spacing w:after="0"/>
              <w:rPr>
                <w:sz w:val="20"/>
                <w:szCs w:val="20"/>
                <w:color w:val="auto"/>
              </w:rPr>
            </w:pPr>
            <w:r>
              <w:rPr>
                <w:rFonts w:ascii="Times New Roman" w:cs="Times New Roman" w:eastAsia="Times New Roman" w:hAnsi="Times New Roman"/>
                <w:sz w:val="18"/>
                <w:szCs w:val="18"/>
                <w:color w:val="auto"/>
              </w:rPr>
              <w:t>22,640</w:t>
            </w:r>
          </w:p>
        </w:tc>
        <w:tc>
          <w:tcPr>
            <w:tcW w:w="780" w:type="dxa"/>
            <w:vAlign w:val="bottom"/>
            <w:shd w:val="clear" w:color="auto" w:fill="C0C0C0"/>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margin</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59"/>
        </w:trPr>
        <w:tc>
          <w:tcPr>
            <w:tcW w:w="20" w:type="dxa"/>
            <w:vAlign w:val="bottom"/>
          </w:tcPr>
          <w:p>
            <w:pPr>
              <w:spacing w:after="0"/>
              <w:rPr>
                <w:sz w:val="22"/>
                <w:szCs w:val="22"/>
                <w:color w:val="auto"/>
              </w:rPr>
            </w:pPr>
          </w:p>
        </w:tc>
        <w:tc>
          <w:tcPr>
            <w:tcW w:w="470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Interest spread</w:t>
            </w:r>
          </w:p>
        </w:tc>
        <w:tc>
          <w:tcPr>
            <w:tcW w:w="180" w:type="dxa"/>
            <w:vAlign w:val="bottom"/>
            <w:tcBorders>
              <w:bottom w:val="single" w:sz="8" w:color="auto"/>
            </w:tcBorders>
            <w:shd w:val="clear" w:color="auto" w:fill="C0C0C0"/>
          </w:tcPr>
          <w:p>
            <w:pPr>
              <w:spacing w:after="0"/>
              <w:rPr>
                <w:sz w:val="22"/>
                <w:szCs w:val="22"/>
                <w:color w:val="auto"/>
              </w:rPr>
            </w:pPr>
          </w:p>
        </w:tc>
        <w:tc>
          <w:tcPr>
            <w:tcW w:w="1080" w:type="dxa"/>
            <w:vAlign w:val="bottom"/>
            <w:tcBorders>
              <w:bottom w:val="single" w:sz="8" w:color="auto"/>
            </w:tcBorders>
            <w:shd w:val="clear" w:color="auto" w:fill="C0C0C0"/>
          </w:tcPr>
          <w:p>
            <w:pPr>
              <w:spacing w:after="0"/>
              <w:rPr>
                <w:sz w:val="22"/>
                <w:szCs w:val="22"/>
                <w:color w:val="auto"/>
              </w:rPr>
            </w:pPr>
          </w:p>
        </w:tc>
        <w:tc>
          <w:tcPr>
            <w:tcW w:w="260" w:type="dxa"/>
            <w:vAlign w:val="bottom"/>
            <w:tcBorders>
              <w:bottom w:val="single" w:sz="8" w:color="auto"/>
            </w:tcBorders>
            <w:shd w:val="clear" w:color="auto" w:fill="C0C0C0"/>
          </w:tcPr>
          <w:p>
            <w:pPr>
              <w:spacing w:after="0"/>
              <w:rPr>
                <w:sz w:val="22"/>
                <w:szCs w:val="22"/>
                <w:color w:val="auto"/>
              </w:rPr>
            </w:pPr>
          </w:p>
        </w:tc>
        <w:tc>
          <w:tcPr>
            <w:tcW w:w="940" w:type="dxa"/>
            <w:vAlign w:val="bottom"/>
            <w:tcBorders>
              <w:bottom w:val="single" w:sz="8" w:color="auto"/>
            </w:tcBorders>
            <w:shd w:val="clear" w:color="auto" w:fill="C0C0C0"/>
          </w:tcPr>
          <w:p>
            <w:pPr>
              <w:spacing w:after="0"/>
              <w:rPr>
                <w:sz w:val="22"/>
                <w:szCs w:val="22"/>
                <w:color w:val="auto"/>
              </w:rPr>
            </w:pPr>
          </w:p>
        </w:tc>
        <w:tc>
          <w:tcPr>
            <w:tcW w:w="760" w:type="dxa"/>
            <w:vAlign w:val="bottom"/>
            <w:tcBorders>
              <w:bottom w:val="single" w:sz="8" w:color="auto"/>
            </w:tcBorders>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2.48</w:t>
            </w:r>
          </w:p>
        </w:tc>
        <w:tc>
          <w:tcPr>
            <w:tcW w:w="260" w:type="dxa"/>
            <w:vAlign w:val="bottom"/>
            <w:tcBorders>
              <w:bottom w:val="single" w:sz="8" w:color="auto"/>
            </w:tcBorders>
            <w:shd w:val="clear" w:color="auto" w:fill="C0C0C0"/>
          </w:tcPr>
          <w:p>
            <w:pPr>
              <w:spacing w:after="0"/>
              <w:rPr>
                <w:sz w:val="22"/>
                <w:szCs w:val="22"/>
                <w:color w:val="auto"/>
              </w:rPr>
            </w:pPr>
          </w:p>
        </w:tc>
        <w:tc>
          <w:tcPr>
            <w:tcW w:w="180" w:type="dxa"/>
            <w:vAlign w:val="bottom"/>
            <w:tcBorders>
              <w:bottom w:val="single" w:sz="8" w:color="auto"/>
            </w:tcBorders>
            <w:shd w:val="clear" w:color="auto" w:fill="C0C0C0"/>
          </w:tcPr>
          <w:p>
            <w:pPr>
              <w:spacing w:after="0"/>
              <w:rPr>
                <w:sz w:val="22"/>
                <w:szCs w:val="22"/>
                <w:color w:val="auto"/>
              </w:rPr>
            </w:pPr>
          </w:p>
        </w:tc>
        <w:tc>
          <w:tcPr>
            <w:tcW w:w="1100" w:type="dxa"/>
            <w:vAlign w:val="bottom"/>
            <w:tcBorders>
              <w:bottom w:val="single" w:sz="8" w:color="auto"/>
            </w:tcBorders>
            <w:shd w:val="clear" w:color="auto" w:fill="C0C0C0"/>
          </w:tcPr>
          <w:p>
            <w:pPr>
              <w:spacing w:after="0"/>
              <w:rPr>
                <w:sz w:val="22"/>
                <w:szCs w:val="22"/>
                <w:color w:val="auto"/>
              </w:rPr>
            </w:pPr>
          </w:p>
        </w:tc>
        <w:tc>
          <w:tcPr>
            <w:tcW w:w="240" w:type="dxa"/>
            <w:vAlign w:val="bottom"/>
            <w:tcBorders>
              <w:bottom w:val="single" w:sz="8" w:color="auto"/>
            </w:tcBorders>
            <w:shd w:val="clear" w:color="auto" w:fill="C0C0C0"/>
          </w:tcPr>
          <w:p>
            <w:pPr>
              <w:spacing w:after="0"/>
              <w:rPr>
                <w:sz w:val="22"/>
                <w:szCs w:val="22"/>
                <w:color w:val="auto"/>
              </w:rPr>
            </w:pPr>
          </w:p>
        </w:tc>
        <w:tc>
          <w:tcPr>
            <w:tcW w:w="920" w:type="dxa"/>
            <w:vAlign w:val="bottom"/>
            <w:tcBorders>
              <w:bottom w:val="single" w:sz="8" w:color="auto"/>
            </w:tcBorders>
            <w:shd w:val="clear" w:color="auto" w:fill="C0C0C0"/>
          </w:tcPr>
          <w:p>
            <w:pPr>
              <w:spacing w:after="0"/>
              <w:rPr>
                <w:sz w:val="22"/>
                <w:szCs w:val="22"/>
                <w:color w:val="auto"/>
              </w:rPr>
            </w:pPr>
          </w:p>
        </w:tc>
        <w:tc>
          <w:tcPr>
            <w:tcW w:w="780" w:type="dxa"/>
            <w:vAlign w:val="bottom"/>
            <w:tcBorders>
              <w:bottom w:val="single" w:sz="8" w:color="auto"/>
            </w:tcBorders>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2.74</w:t>
            </w:r>
          </w:p>
        </w:tc>
      </w:tr>
    </w:tbl>
    <w:p>
      <w:pPr>
        <w:ind w:left="120" w:hanging="112"/>
        <w:spacing w:after="0" w:line="223" w:lineRule="auto"/>
        <w:tabs>
          <w:tab w:leader="none" w:pos="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shown are daily averages.</w:t>
      </w:r>
    </w:p>
    <w:p>
      <w:pPr>
        <w:ind w:left="120" w:hanging="112"/>
        <w:spacing w:after="0" w:line="221" w:lineRule="auto"/>
        <w:tabs>
          <w:tab w:leader="none" w:pos="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on loans includes net loan fees of $242,000 and $191,000 for the First Half of 2019 and 2018, respectively.</w:t>
      </w:r>
    </w:p>
    <w:p>
      <w:pPr>
        <w:ind w:left="120" w:hanging="112"/>
        <w:spacing w:after="0" w:line="221" w:lineRule="auto"/>
        <w:tabs>
          <w:tab w:leader="none" w:pos="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is presented on a tax-equivalent basis assuming a tax rate of 21%for both 2019 and 2018. The tax-equivalent adjustment was approximately $1,072,000 and $1,311,000 for the First Half of 2019 and 2018, respectively.</w:t>
      </w:r>
    </w:p>
    <w:p>
      <w:pPr>
        <w:ind w:left="120" w:hanging="112"/>
        <w:spacing w:after="0"/>
        <w:tabs>
          <w:tab w:leader="none" w:pos="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these computations, yields on investment securities are computed as interest income divided by the average amortized cost of the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Analysis of Net Interest Income Changes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changes in interest income and expense between periods due to changes in volume and interest rates. That portion of the change in interest attributable to the combined rate/volume variance has been allocated to rate and volume changes in proportion to the absolute dollar amounts of the change in each.</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gridSpan w:val="5"/>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Second Quarter of 2019 Over</w:t>
            </w:r>
          </w:p>
        </w:tc>
      </w:tr>
      <w:tr>
        <w:trPr>
          <w:trHeight w:val="264"/>
        </w:trPr>
        <w:tc>
          <w:tcPr>
            <w:tcW w:w="20" w:type="dxa"/>
            <w:vAlign w:val="bottom"/>
          </w:tcPr>
          <w:p>
            <w:pPr>
              <w:spacing w:after="0"/>
              <w:rPr>
                <w:sz w:val="22"/>
                <w:szCs w:val="22"/>
                <w:color w:val="auto"/>
              </w:rPr>
            </w:pPr>
          </w:p>
        </w:tc>
        <w:tc>
          <w:tcPr>
            <w:tcW w:w="8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4"/>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Second Quarter of 2018</w:t>
            </w:r>
          </w:p>
        </w:tc>
        <w:tc>
          <w:tcPr>
            <w:tcW w:w="680" w:type="dxa"/>
            <w:vAlign w:val="bottom"/>
            <w:tcBorders>
              <w:bottom w:val="single" w:sz="8" w:color="auto"/>
            </w:tcBorders>
          </w:tcPr>
          <w:p>
            <w:pPr>
              <w:spacing w:after="0"/>
              <w:rPr>
                <w:sz w:val="22"/>
                <w:szCs w:val="22"/>
                <w:color w:val="auto"/>
              </w:rPr>
            </w:pPr>
          </w:p>
        </w:tc>
      </w:tr>
      <w:tr>
        <w:trPr>
          <w:trHeight w:val="250"/>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Volume</w:t>
            </w:r>
          </w:p>
        </w:tc>
        <w:tc>
          <w:tcPr>
            <w:tcW w:w="320" w:type="dxa"/>
            <w:vAlign w:val="bottom"/>
          </w:tcPr>
          <w:p>
            <w:pPr>
              <w:spacing w:after="0"/>
              <w:rPr>
                <w:sz w:val="21"/>
                <w:szCs w:val="21"/>
                <w:color w:val="auto"/>
              </w:rPr>
            </w:pPr>
          </w:p>
        </w:tc>
        <w:tc>
          <w:tcPr>
            <w:tcW w:w="8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400" w:type="dxa"/>
            <w:vAlign w:val="bottom"/>
          </w:tcPr>
          <w:p>
            <w:pPr>
              <w:spacing w:after="0"/>
              <w:rPr>
                <w:sz w:val="21"/>
                <w:szCs w:val="21"/>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43"/>
        </w:trPr>
        <w:tc>
          <w:tcPr>
            <w:tcW w:w="20" w:type="dxa"/>
            <w:vAlign w:val="bottom"/>
          </w:tcPr>
          <w:p>
            <w:pPr>
              <w:spacing w:after="0"/>
              <w:rPr>
                <w:sz w:val="21"/>
                <w:szCs w:val="21"/>
                <w:color w:val="auto"/>
              </w:rPr>
            </w:pPr>
          </w:p>
        </w:tc>
        <w:tc>
          <w:tcPr>
            <w:tcW w:w="8160" w:type="dxa"/>
            <w:vAlign w:val="bottom"/>
            <w:tcBorders>
              <w:top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Increase (decrease) in interest income:</w:t>
            </w:r>
          </w:p>
        </w:tc>
        <w:tc>
          <w:tcPr>
            <w:tcW w:w="120" w:type="dxa"/>
            <w:vAlign w:val="bottom"/>
            <w:tcBorders>
              <w:top w:val="single" w:sz="8" w:color="auto"/>
            </w:tcBorders>
            <w:shd w:val="clear" w:color="auto" w:fill="C0C0C0"/>
          </w:tcPr>
          <w:p>
            <w:pPr>
              <w:spacing w:after="0"/>
              <w:rPr>
                <w:sz w:val="21"/>
                <w:szCs w:val="21"/>
                <w:color w:val="auto"/>
              </w:rPr>
            </w:pPr>
          </w:p>
        </w:tc>
        <w:tc>
          <w:tcPr>
            <w:tcW w:w="900" w:type="dxa"/>
            <w:vAlign w:val="bottom"/>
            <w:tcBorders>
              <w:top w:val="single" w:sz="8" w:color="auto"/>
            </w:tcBorders>
            <w:shd w:val="clear" w:color="auto" w:fill="C0C0C0"/>
          </w:tcPr>
          <w:p>
            <w:pPr>
              <w:spacing w:after="0"/>
              <w:rPr>
                <w:sz w:val="21"/>
                <w:szCs w:val="21"/>
                <w:color w:val="auto"/>
              </w:rPr>
            </w:pPr>
          </w:p>
        </w:tc>
        <w:tc>
          <w:tcPr>
            <w:tcW w:w="320" w:type="dxa"/>
            <w:vAlign w:val="bottom"/>
            <w:tcBorders>
              <w:top w:val="single" w:sz="8" w:color="auto"/>
            </w:tcBorders>
            <w:shd w:val="clear" w:color="auto" w:fill="C0C0C0"/>
          </w:tcPr>
          <w:p>
            <w:pPr>
              <w:spacing w:after="0"/>
              <w:rPr>
                <w:sz w:val="21"/>
                <w:szCs w:val="21"/>
                <w:color w:val="auto"/>
              </w:rPr>
            </w:pPr>
          </w:p>
        </w:tc>
        <w:tc>
          <w:tcPr>
            <w:tcW w:w="820" w:type="dxa"/>
            <w:vAlign w:val="bottom"/>
            <w:tcBorders>
              <w:top w:val="single" w:sz="8" w:color="auto"/>
            </w:tcBorders>
            <w:shd w:val="clear" w:color="auto" w:fill="C0C0C0"/>
          </w:tcPr>
          <w:p>
            <w:pPr>
              <w:spacing w:after="0"/>
              <w:rPr>
                <w:sz w:val="21"/>
                <w:szCs w:val="21"/>
                <w:color w:val="auto"/>
              </w:rPr>
            </w:pPr>
          </w:p>
        </w:tc>
        <w:tc>
          <w:tcPr>
            <w:tcW w:w="400" w:type="dxa"/>
            <w:vAlign w:val="bottom"/>
            <w:tcBorders>
              <w:top w:val="single" w:sz="8" w:color="auto"/>
            </w:tcBorders>
            <w:shd w:val="clear" w:color="auto" w:fill="C0C0C0"/>
          </w:tcPr>
          <w:p>
            <w:pPr>
              <w:spacing w:after="0"/>
              <w:rPr>
                <w:sz w:val="21"/>
                <w:szCs w:val="21"/>
                <w:color w:val="auto"/>
              </w:rPr>
            </w:pPr>
          </w:p>
        </w:tc>
        <w:tc>
          <w:tcPr>
            <w:tcW w:w="680" w:type="dxa"/>
            <w:vAlign w:val="bottom"/>
            <w:tcBorders>
              <w:top w:val="single" w:sz="8" w:color="auto"/>
            </w:tcBorders>
            <w:shd w:val="clear" w:color="auto" w:fill="C0C0C0"/>
          </w:tcPr>
          <w:p>
            <w:pPr>
              <w:spacing w:after="0"/>
              <w:rPr>
                <w:sz w:val="21"/>
                <w:szCs w:val="21"/>
                <w:color w:val="auto"/>
              </w:rPr>
            </w:pPr>
          </w:p>
        </w:tc>
      </w:tr>
      <w:tr>
        <w:trPr>
          <w:trHeight w:val="311"/>
        </w:trPr>
        <w:tc>
          <w:tcPr>
            <w:tcW w:w="20" w:type="dxa"/>
            <w:vAlign w:val="bottom"/>
          </w:tcPr>
          <w:p>
            <w:pPr>
              <w:spacing w:after="0"/>
              <w:rPr>
                <w:sz w:val="24"/>
                <w:szCs w:val="24"/>
                <w:color w:val="auto"/>
              </w:rPr>
            </w:pPr>
          </w:p>
        </w:tc>
        <w:tc>
          <w:tcPr>
            <w:tcW w:w="8160" w:type="dxa"/>
            <w:vAlign w:val="bottom"/>
          </w:tcPr>
          <w:p>
            <w:pPr>
              <w:ind w:left="260"/>
              <w:spacing w:after="0" w:line="311" w:lineRule="exact"/>
              <w:rPr>
                <w:sz w:val="20"/>
                <w:szCs w:val="20"/>
                <w:color w:val="auto"/>
              </w:rPr>
            </w:pPr>
            <w:r>
              <w:rPr>
                <w:rFonts w:ascii="Times New Roman" w:cs="Times New Roman" w:eastAsia="Times New Roman" w:hAnsi="Times New Roman"/>
                <w:sz w:val="18"/>
                <w:szCs w:val="18"/>
                <w:color w:val="auto"/>
              </w:rPr>
              <w:t>Loans</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8160" w:type="dxa"/>
            <w:vAlign w:val="bottom"/>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Taxable</w:t>
            </w:r>
          </w:p>
        </w:tc>
        <w:tc>
          <w:tcPr>
            <w:tcW w:w="1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740</w:t>
            </w:r>
          </w:p>
        </w:tc>
        <w:tc>
          <w:tcPr>
            <w:tcW w:w="3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741</w:t>
            </w:r>
          </w:p>
        </w:tc>
        <w:tc>
          <w:tcPr>
            <w:tcW w:w="400" w:type="dxa"/>
            <w:vAlign w:val="bottom"/>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1,481</w:t>
            </w:r>
          </w:p>
        </w:tc>
      </w:tr>
      <w:tr>
        <w:trPr>
          <w:trHeight w:val="311"/>
        </w:trPr>
        <w:tc>
          <w:tcPr>
            <w:tcW w:w="20" w:type="dxa"/>
            <w:vAlign w:val="bottom"/>
          </w:tcPr>
          <w:p>
            <w:pPr>
              <w:spacing w:after="0"/>
              <w:rPr>
                <w:sz w:val="24"/>
                <w:szCs w:val="24"/>
                <w:color w:val="auto"/>
              </w:rPr>
            </w:pPr>
          </w:p>
        </w:tc>
        <w:tc>
          <w:tcPr>
            <w:tcW w:w="8160" w:type="dxa"/>
            <w:vAlign w:val="bottom"/>
          </w:tcPr>
          <w:p>
            <w:pPr>
              <w:ind w:left="520"/>
              <w:spacing w:after="0" w:line="311" w:lineRule="exact"/>
              <w:rPr>
                <w:sz w:val="20"/>
                <w:szCs w:val="20"/>
                <w:color w:val="auto"/>
              </w:rPr>
            </w:pPr>
            <w:r>
              <w:rPr>
                <w:rFonts w:ascii="Times New Roman" w:cs="Times New Roman" w:eastAsia="Times New Roman" w:hAnsi="Times New Roman"/>
                <w:sz w:val="18"/>
                <w:szCs w:val="18"/>
                <w:color w:val="auto"/>
              </w:rPr>
              <w:t>Tax-exempt</w:t>
            </w:r>
            <w:r>
              <w:rPr>
                <w:rFonts w:ascii="Times New Roman" w:cs="Times New Roman" w:eastAsia="Times New Roman" w:hAnsi="Times New Roman"/>
                <w:sz w:val="30"/>
                <w:szCs w:val="30"/>
                <w:color w:val="auto"/>
                <w:vertAlign w:val="superscript"/>
              </w:rPr>
              <w:t>2</w:t>
            </w:r>
          </w:p>
        </w:tc>
        <w:tc>
          <w:tcPr>
            <w:tcW w:w="120" w:type="dxa"/>
            <w:vAlign w:val="bottom"/>
          </w:tcPr>
          <w:p>
            <w:pPr>
              <w:spacing w:after="0"/>
              <w:rPr>
                <w:sz w:val="24"/>
                <w:szCs w:val="24"/>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Pr>
          <w:p>
            <w:pPr>
              <w:spacing w:after="0"/>
              <w:rPr>
                <w:sz w:val="24"/>
                <w:szCs w:val="24"/>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20" w:type="dxa"/>
            <w:vAlign w:val="bottom"/>
          </w:tcPr>
          <w:p>
            <w:pPr>
              <w:spacing w:after="0"/>
              <w:rPr>
                <w:sz w:val="21"/>
                <w:szCs w:val="21"/>
                <w:color w:val="auto"/>
              </w:rPr>
            </w:pPr>
          </w:p>
        </w:tc>
        <w:tc>
          <w:tcPr>
            <w:tcW w:w="816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Investment securities:</w:t>
            </w: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8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Taxable</w:t>
            </w:r>
          </w:p>
        </w:tc>
        <w:tc>
          <w:tcPr>
            <w:tcW w:w="12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146</w:t>
            </w:r>
          </w:p>
        </w:tc>
        <w:tc>
          <w:tcPr>
            <w:tcW w:w="320" w:type="dxa"/>
            <w:vAlign w:val="bottom"/>
          </w:tcPr>
          <w:p>
            <w:pPr>
              <w:spacing w:after="0"/>
              <w:rPr>
                <w:sz w:val="20"/>
                <w:szCs w:val="20"/>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40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r>
      <w:tr>
        <w:trPr>
          <w:trHeight w:val="315"/>
        </w:trPr>
        <w:tc>
          <w:tcPr>
            <w:tcW w:w="20" w:type="dxa"/>
            <w:vAlign w:val="bottom"/>
          </w:tcPr>
          <w:p>
            <w:pPr>
              <w:spacing w:after="0"/>
              <w:rPr>
                <w:sz w:val="24"/>
                <w:szCs w:val="24"/>
                <w:color w:val="auto"/>
              </w:rPr>
            </w:pPr>
          </w:p>
        </w:tc>
        <w:tc>
          <w:tcPr>
            <w:tcW w:w="8160" w:type="dxa"/>
            <w:vAlign w:val="bottom"/>
            <w:shd w:val="clear" w:color="auto" w:fill="C0C0C0"/>
          </w:tcPr>
          <w:p>
            <w:pPr>
              <w:ind w:left="520"/>
              <w:spacing w:after="0" w:line="315" w:lineRule="exact"/>
              <w:rPr>
                <w:sz w:val="20"/>
                <w:szCs w:val="20"/>
                <w:color w:val="auto"/>
              </w:rPr>
            </w:pPr>
            <w:r>
              <w:rPr>
                <w:rFonts w:ascii="Times New Roman" w:cs="Times New Roman" w:eastAsia="Times New Roman" w:hAnsi="Times New Roman"/>
                <w:sz w:val="18"/>
                <w:szCs w:val="18"/>
                <w:color w:val="auto"/>
              </w:rPr>
              <w:t>Tax-exempt</w:t>
            </w:r>
            <w:r>
              <w:rPr>
                <w:rFonts w:ascii="Times New Roman" w:cs="Times New Roman" w:eastAsia="Times New Roman" w:hAnsi="Times New Roman"/>
                <w:sz w:val="30"/>
                <w:szCs w:val="30"/>
                <w:color w:val="auto"/>
                <w:vertAlign w:val="superscript"/>
              </w:rPr>
              <w:t>2</w:t>
            </w:r>
          </w:p>
        </w:tc>
        <w:tc>
          <w:tcPr>
            <w:tcW w:w="120" w:type="dxa"/>
            <w:vAlign w:val="bottom"/>
            <w:shd w:val="clear" w:color="auto" w:fill="C0C0C0"/>
          </w:tcPr>
          <w:p>
            <w:pPr>
              <w:spacing w:after="0"/>
              <w:rPr>
                <w:sz w:val="24"/>
                <w:szCs w:val="24"/>
                <w:color w:val="auto"/>
              </w:rPr>
            </w:pPr>
          </w:p>
        </w:tc>
        <w:tc>
          <w:tcPr>
            <w:tcW w:w="900" w:type="dxa"/>
            <w:vAlign w:val="bottom"/>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(374)</w:t>
            </w:r>
          </w:p>
        </w:tc>
        <w:tc>
          <w:tcPr>
            <w:tcW w:w="320" w:type="dxa"/>
            <w:vAlign w:val="bottom"/>
            <w:shd w:val="clear" w:color="auto" w:fill="C0C0C0"/>
          </w:tcPr>
          <w:p>
            <w:pPr>
              <w:spacing w:after="0"/>
              <w:rPr>
                <w:sz w:val="24"/>
                <w:szCs w:val="24"/>
                <w:color w:val="auto"/>
              </w:rPr>
            </w:pPr>
          </w:p>
        </w:tc>
        <w:tc>
          <w:tcPr>
            <w:tcW w:w="820" w:type="dxa"/>
            <w:vAlign w:val="bottom"/>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(54)</w:t>
            </w:r>
          </w:p>
        </w:tc>
        <w:tc>
          <w:tcPr>
            <w:tcW w:w="400" w:type="dxa"/>
            <w:vAlign w:val="bottom"/>
            <w:shd w:val="clear" w:color="auto" w:fill="C0C0C0"/>
          </w:tcPr>
          <w:p>
            <w:pPr>
              <w:spacing w:after="0"/>
              <w:rPr>
                <w:sz w:val="24"/>
                <w:szCs w:val="24"/>
                <w:color w:val="auto"/>
              </w:rPr>
            </w:pPr>
          </w:p>
        </w:tc>
        <w:tc>
          <w:tcPr>
            <w:tcW w:w="6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39"/>
        </w:trPr>
        <w:tc>
          <w:tcPr>
            <w:tcW w:w="20" w:type="dxa"/>
            <w:vAlign w:val="bottom"/>
          </w:tcPr>
          <w:p>
            <w:pPr>
              <w:spacing w:after="0"/>
              <w:rPr>
                <w:sz w:val="20"/>
                <w:szCs w:val="20"/>
                <w:color w:val="auto"/>
              </w:rPr>
            </w:pP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tcPr>
          <w:p>
            <w:pPr>
              <w:spacing w:after="0"/>
              <w:rPr>
                <w:sz w:val="20"/>
                <w:szCs w:val="20"/>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7"/>
        </w:trPr>
        <w:tc>
          <w:tcPr>
            <w:tcW w:w="20" w:type="dxa"/>
            <w:vAlign w:val="bottom"/>
          </w:tcPr>
          <w:p>
            <w:pPr>
              <w:spacing w:after="0"/>
              <w:rPr>
                <w:sz w:val="21"/>
                <w:szCs w:val="21"/>
                <w:color w:val="auto"/>
              </w:rPr>
            </w:pPr>
          </w:p>
        </w:tc>
        <w:tc>
          <w:tcPr>
            <w:tcW w:w="816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Interest-bearing deposits in other financial institutions</w:t>
            </w: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94</w:t>
            </w:r>
          </w:p>
        </w:tc>
        <w:tc>
          <w:tcPr>
            <w:tcW w:w="400" w:type="dxa"/>
            <w:vAlign w:val="bottom"/>
            <w:shd w:val="clear" w:color="auto" w:fill="C0C0C0"/>
          </w:tcPr>
          <w:p>
            <w:pPr>
              <w:spacing w:after="0"/>
              <w:rPr>
                <w:sz w:val="21"/>
                <w:szCs w:val="21"/>
                <w:color w:val="auto"/>
              </w:rPr>
            </w:pPr>
          </w:p>
        </w:tc>
        <w:tc>
          <w:tcPr>
            <w:tcW w:w="680" w:type="dxa"/>
            <w:vAlign w:val="bottom"/>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131</w:t>
            </w:r>
          </w:p>
        </w:tc>
      </w:tr>
      <w:tr>
        <w:trPr>
          <w:trHeight w:val="239"/>
        </w:trPr>
        <w:tc>
          <w:tcPr>
            <w:tcW w:w="20" w:type="dxa"/>
            <w:vAlign w:val="bottom"/>
          </w:tcPr>
          <w:p>
            <w:pPr>
              <w:spacing w:after="0"/>
              <w:rPr>
                <w:sz w:val="20"/>
                <w:szCs w:val="20"/>
                <w:color w:val="auto"/>
              </w:rPr>
            </w:pPr>
          </w:p>
        </w:tc>
        <w:tc>
          <w:tcPr>
            <w:tcW w:w="8160" w:type="dxa"/>
            <w:vAlign w:val="bottom"/>
            <w:tcBorders>
              <w:bottom w:val="single" w:sz="8" w:color="C0C0C0"/>
            </w:tcBorders>
          </w:tcPr>
          <w:p>
            <w:pPr>
              <w:ind w:left="260"/>
              <w:spacing w:after="0"/>
              <w:rPr>
                <w:sz w:val="20"/>
                <w:szCs w:val="20"/>
                <w:color w:val="auto"/>
              </w:rPr>
            </w:pPr>
            <w:r>
              <w:rPr>
                <w:rFonts w:ascii="Times New Roman" w:cs="Times New Roman" w:eastAsia="Times New Roman" w:hAnsi="Times New Roman"/>
                <w:sz w:val="18"/>
                <w:szCs w:val="18"/>
                <w:color w:val="auto"/>
              </w:rPr>
              <w:t>Federal funds sold and other short-term investments</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207</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200</w:t>
            </w:r>
          </w:p>
        </w:tc>
        <w:tc>
          <w:tcPr>
            <w:tcW w:w="4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407</w:t>
            </w:r>
          </w:p>
        </w:tc>
      </w:tr>
      <w:tr>
        <w:trPr>
          <w:trHeight w:val="237"/>
        </w:trPr>
        <w:tc>
          <w:tcPr>
            <w:tcW w:w="20" w:type="dxa"/>
            <w:vAlign w:val="bottom"/>
          </w:tcPr>
          <w:p>
            <w:pPr>
              <w:spacing w:after="0"/>
              <w:rPr>
                <w:sz w:val="20"/>
                <w:szCs w:val="20"/>
                <w:color w:val="auto"/>
              </w:rPr>
            </w:pPr>
          </w:p>
        </w:tc>
        <w:tc>
          <w:tcPr>
            <w:tcW w:w="816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Total interest income</w:t>
            </w:r>
          </w:p>
        </w:tc>
        <w:tc>
          <w:tcPr>
            <w:tcW w:w="120" w:type="dxa"/>
            <w:vAlign w:val="bottom"/>
            <w:tcBorders>
              <w:bottom w:val="single" w:sz="8" w:color="auto"/>
            </w:tcBorders>
            <w:shd w:val="clear" w:color="auto" w:fill="C0C0C0"/>
          </w:tcPr>
          <w:p>
            <w:pPr>
              <w:spacing w:after="0"/>
              <w:rPr>
                <w:sz w:val="20"/>
                <w:szCs w:val="20"/>
                <w:color w:val="auto"/>
              </w:rPr>
            </w:pPr>
          </w:p>
        </w:tc>
        <w:tc>
          <w:tcPr>
            <w:tcW w:w="900" w:type="dxa"/>
            <w:vAlign w:val="bottom"/>
            <w:tcBorders>
              <w:bottom w:val="single" w:sz="8" w:color="auto"/>
            </w:tcBorders>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711</w:t>
            </w:r>
          </w:p>
        </w:tc>
        <w:tc>
          <w:tcPr>
            <w:tcW w:w="320" w:type="dxa"/>
            <w:vAlign w:val="bottom"/>
            <w:tcBorders>
              <w:bottom w:val="single" w:sz="8" w:color="auto"/>
            </w:tcBorders>
            <w:shd w:val="clear" w:color="auto" w:fill="C0C0C0"/>
          </w:tcPr>
          <w:p>
            <w:pPr>
              <w:spacing w:after="0"/>
              <w:rPr>
                <w:sz w:val="20"/>
                <w:szCs w:val="20"/>
                <w:color w:val="auto"/>
              </w:rPr>
            </w:pPr>
          </w:p>
        </w:tc>
        <w:tc>
          <w:tcPr>
            <w:tcW w:w="820" w:type="dxa"/>
            <w:vAlign w:val="bottom"/>
            <w:tcBorders>
              <w:bottom w:val="single" w:sz="8" w:color="auto"/>
            </w:tcBorders>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1,010</w:t>
            </w:r>
          </w:p>
        </w:tc>
        <w:tc>
          <w:tcPr>
            <w:tcW w:w="400" w:type="dxa"/>
            <w:vAlign w:val="bottom"/>
            <w:tcBorders>
              <w:bottom w:val="single" w:sz="8" w:color="auto"/>
            </w:tcBorders>
            <w:shd w:val="clear" w:color="auto" w:fill="C0C0C0"/>
          </w:tcPr>
          <w:p>
            <w:pPr>
              <w:spacing w:after="0"/>
              <w:rPr>
                <w:sz w:val="20"/>
                <w:szCs w:val="20"/>
                <w:color w:val="auto"/>
              </w:rPr>
            </w:pPr>
          </w:p>
        </w:tc>
        <w:tc>
          <w:tcPr>
            <w:tcW w:w="680" w:type="dxa"/>
            <w:vAlign w:val="bottom"/>
            <w:tcBorders>
              <w:bottom w:val="single" w:sz="8" w:color="auto"/>
            </w:tcBorders>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1,721</w:t>
            </w:r>
          </w:p>
        </w:tc>
      </w:tr>
      <w:tr>
        <w:trPr>
          <w:trHeight w:val="237"/>
        </w:trPr>
        <w:tc>
          <w:tcPr>
            <w:tcW w:w="20" w:type="dxa"/>
            <w:vAlign w:val="bottom"/>
          </w:tcPr>
          <w:p>
            <w:pPr>
              <w:spacing w:after="0"/>
              <w:rPr>
                <w:sz w:val="20"/>
                <w:szCs w:val="20"/>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816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Interest-bearing demand deposits</w:t>
            </w: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324</w:t>
            </w:r>
          </w:p>
        </w:tc>
        <w:tc>
          <w:tcPr>
            <w:tcW w:w="400" w:type="dxa"/>
            <w:vAlign w:val="bottom"/>
            <w:shd w:val="clear" w:color="auto" w:fill="C0C0C0"/>
          </w:tcPr>
          <w:p>
            <w:pPr>
              <w:spacing w:after="0"/>
              <w:rPr>
                <w:sz w:val="21"/>
                <w:szCs w:val="21"/>
                <w:color w:val="auto"/>
              </w:rPr>
            </w:pPr>
          </w:p>
        </w:tc>
        <w:tc>
          <w:tcPr>
            <w:tcW w:w="680" w:type="dxa"/>
            <w:vAlign w:val="bottom"/>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313</w:t>
            </w:r>
          </w:p>
        </w:tc>
      </w:tr>
      <w:tr>
        <w:trPr>
          <w:trHeight w:val="239"/>
        </w:trPr>
        <w:tc>
          <w:tcPr>
            <w:tcW w:w="20" w:type="dxa"/>
            <w:vAlign w:val="bottom"/>
          </w:tcPr>
          <w:p>
            <w:pPr>
              <w:spacing w:after="0"/>
              <w:rPr>
                <w:sz w:val="20"/>
                <w:szCs w:val="20"/>
                <w:color w:val="auto"/>
              </w:rPr>
            </w:pP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Savings deposits</w:t>
            </w:r>
          </w:p>
        </w:tc>
        <w:tc>
          <w:tcPr>
            <w:tcW w:w="12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20"/>
                <w:szCs w:val="20"/>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7"/>
        </w:trPr>
        <w:tc>
          <w:tcPr>
            <w:tcW w:w="20" w:type="dxa"/>
            <w:vAlign w:val="bottom"/>
          </w:tcPr>
          <w:p>
            <w:pPr>
              <w:spacing w:after="0"/>
              <w:rPr>
                <w:sz w:val="21"/>
                <w:szCs w:val="21"/>
                <w:color w:val="auto"/>
              </w:rPr>
            </w:pPr>
          </w:p>
        </w:tc>
        <w:tc>
          <w:tcPr>
            <w:tcW w:w="816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Time deposits &gt;=$100</w:t>
            </w: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400" w:type="dxa"/>
            <w:vAlign w:val="bottom"/>
            <w:shd w:val="clear" w:color="auto" w:fill="C0C0C0"/>
          </w:tcPr>
          <w:p>
            <w:pPr>
              <w:spacing w:after="0"/>
              <w:rPr>
                <w:sz w:val="21"/>
                <w:szCs w:val="21"/>
                <w:color w:val="auto"/>
              </w:rPr>
            </w:pPr>
          </w:p>
        </w:tc>
        <w:tc>
          <w:tcPr>
            <w:tcW w:w="680" w:type="dxa"/>
            <w:vAlign w:val="bottom"/>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r>
      <w:tr>
        <w:trPr>
          <w:trHeight w:val="239"/>
        </w:trPr>
        <w:tc>
          <w:tcPr>
            <w:tcW w:w="20" w:type="dxa"/>
            <w:vAlign w:val="bottom"/>
          </w:tcPr>
          <w:p>
            <w:pPr>
              <w:spacing w:after="0"/>
              <w:rPr>
                <w:sz w:val="20"/>
                <w:szCs w:val="20"/>
                <w:color w:val="auto"/>
              </w:rPr>
            </w:pPr>
          </w:p>
        </w:tc>
        <w:tc>
          <w:tcPr>
            <w:tcW w:w="8160" w:type="dxa"/>
            <w:vAlign w:val="bottom"/>
            <w:tcBorders>
              <w:bottom w:val="single" w:sz="8" w:color="C0C0C0"/>
            </w:tcBorders>
          </w:tcPr>
          <w:p>
            <w:pPr>
              <w:ind w:left="260"/>
              <w:spacing w:after="0"/>
              <w:rPr>
                <w:sz w:val="20"/>
                <w:szCs w:val="20"/>
                <w:color w:val="auto"/>
              </w:rPr>
            </w:pPr>
            <w:r>
              <w:rPr>
                <w:rFonts w:ascii="Times New Roman" w:cs="Times New Roman" w:eastAsia="Times New Roman" w:hAnsi="Times New Roman"/>
                <w:sz w:val="18"/>
                <w:szCs w:val="18"/>
                <w:color w:val="auto"/>
              </w:rPr>
              <w:t>Other time deposits</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67</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98</w:t>
            </w:r>
          </w:p>
        </w:tc>
        <w:tc>
          <w:tcPr>
            <w:tcW w:w="4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r>
      <w:tr>
        <w:trPr>
          <w:trHeight w:val="237"/>
        </w:trPr>
        <w:tc>
          <w:tcPr>
            <w:tcW w:w="20" w:type="dxa"/>
            <w:vAlign w:val="bottom"/>
          </w:tcPr>
          <w:p>
            <w:pPr>
              <w:spacing w:after="0"/>
              <w:rPr>
                <w:sz w:val="20"/>
                <w:szCs w:val="20"/>
                <w:color w:val="auto"/>
              </w:rPr>
            </w:pPr>
          </w:p>
        </w:tc>
        <w:tc>
          <w:tcPr>
            <w:tcW w:w="816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120" w:type="dxa"/>
            <w:vAlign w:val="bottom"/>
            <w:tcBorders>
              <w:bottom w:val="single" w:sz="8" w:color="auto"/>
            </w:tcBorders>
            <w:shd w:val="clear" w:color="auto" w:fill="C0C0C0"/>
          </w:tcPr>
          <w:p>
            <w:pPr>
              <w:spacing w:after="0"/>
              <w:rPr>
                <w:sz w:val="20"/>
                <w:szCs w:val="20"/>
                <w:color w:val="auto"/>
              </w:rPr>
            </w:pPr>
          </w:p>
        </w:tc>
        <w:tc>
          <w:tcPr>
            <w:tcW w:w="900" w:type="dxa"/>
            <w:vAlign w:val="bottom"/>
            <w:tcBorders>
              <w:bottom w:val="single" w:sz="8" w:color="auto"/>
            </w:tcBorders>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tcBorders>
              <w:bottom w:val="single" w:sz="8" w:color="auto"/>
            </w:tcBorders>
            <w:shd w:val="clear" w:color="auto" w:fill="C0C0C0"/>
          </w:tcPr>
          <w:p>
            <w:pPr>
              <w:spacing w:after="0"/>
              <w:rPr>
                <w:sz w:val="20"/>
                <w:szCs w:val="20"/>
                <w:color w:val="auto"/>
              </w:rPr>
            </w:pPr>
          </w:p>
        </w:tc>
        <w:tc>
          <w:tcPr>
            <w:tcW w:w="820" w:type="dxa"/>
            <w:vAlign w:val="bottom"/>
            <w:tcBorders>
              <w:bottom w:val="single" w:sz="8" w:color="auto"/>
            </w:tcBorders>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454</w:t>
            </w:r>
          </w:p>
        </w:tc>
        <w:tc>
          <w:tcPr>
            <w:tcW w:w="400" w:type="dxa"/>
            <w:vAlign w:val="bottom"/>
            <w:tcBorders>
              <w:bottom w:val="single" w:sz="8" w:color="auto"/>
            </w:tcBorders>
            <w:shd w:val="clear" w:color="auto" w:fill="C0C0C0"/>
          </w:tcPr>
          <w:p>
            <w:pPr>
              <w:spacing w:after="0"/>
              <w:rPr>
                <w:sz w:val="20"/>
                <w:szCs w:val="20"/>
                <w:color w:val="auto"/>
              </w:rPr>
            </w:pPr>
          </w:p>
        </w:tc>
        <w:tc>
          <w:tcPr>
            <w:tcW w:w="680" w:type="dxa"/>
            <w:vAlign w:val="bottom"/>
            <w:tcBorders>
              <w:bottom w:val="single" w:sz="8" w:color="auto"/>
            </w:tcBorders>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511</w:t>
            </w:r>
          </w:p>
        </w:tc>
      </w:tr>
      <w:tr>
        <w:trPr>
          <w:trHeight w:val="232"/>
        </w:trPr>
        <w:tc>
          <w:tcPr>
            <w:tcW w:w="20" w:type="dxa"/>
            <w:vAlign w:val="bottom"/>
          </w:tcPr>
          <w:p>
            <w:pPr>
              <w:spacing w:after="0"/>
              <w:rPr>
                <w:sz w:val="20"/>
                <w:szCs w:val="20"/>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556</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 w:lineRule="exact"/>
        <w:rPr>
          <w:sz w:val="20"/>
          <w:szCs w:val="20"/>
          <w:color w:val="auto"/>
        </w:rPr>
      </w:pPr>
    </w:p>
    <w:p>
      <w:pPr>
        <w:ind w:left="120" w:hanging="112"/>
        <w:spacing w:after="0"/>
        <w:tabs>
          <w:tab w:leader="none" w:pos="1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includes net loan fees.</w:t>
      </w:r>
    </w:p>
    <w:p>
      <w:pPr>
        <w:spacing w:after="0" w:line="1" w:lineRule="exact"/>
        <w:rPr>
          <w:rFonts w:ascii="Times New Roman" w:cs="Times New Roman" w:eastAsia="Times New Roman" w:hAnsi="Times New Roman"/>
          <w:sz w:val="14"/>
          <w:szCs w:val="14"/>
          <w:color w:val="auto"/>
        </w:rPr>
      </w:pPr>
    </w:p>
    <w:p>
      <w:pPr>
        <w:ind w:left="120" w:hanging="112"/>
        <w:spacing w:after="0"/>
        <w:tabs>
          <w:tab w:leader="none" w:pos="1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is presented on a tax-equivalent basis assuming a tax rate of 21% for the Second Quarter of 2019 and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First Half of 2019 Over</w:t>
            </w:r>
          </w:p>
        </w:tc>
        <w:tc>
          <w:tcPr>
            <w:tcW w:w="700" w:type="dxa"/>
            <w:vAlign w:val="bottom"/>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8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First Half of 2018</w:t>
            </w:r>
          </w:p>
        </w:tc>
        <w:tc>
          <w:tcPr>
            <w:tcW w:w="700" w:type="dxa"/>
            <w:vAlign w:val="bottom"/>
            <w:tcBorders>
              <w:bottom w:val="single" w:sz="8" w:color="auto"/>
            </w:tcBorders>
          </w:tcPr>
          <w:p>
            <w:pPr>
              <w:spacing w:after="0"/>
              <w:rPr>
                <w:sz w:val="22"/>
                <w:szCs w:val="22"/>
                <w:color w:val="auto"/>
              </w:rPr>
            </w:pPr>
          </w:p>
        </w:tc>
      </w:tr>
      <w:tr>
        <w:trPr>
          <w:trHeight w:val="250"/>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6"/>
              </w:rPr>
              <w:t>Volume</w:t>
            </w:r>
          </w:p>
        </w:tc>
        <w:tc>
          <w:tcPr>
            <w:tcW w:w="440" w:type="dxa"/>
            <w:vAlign w:val="bottom"/>
          </w:tcPr>
          <w:p>
            <w:pPr>
              <w:spacing w:after="0"/>
              <w:rPr>
                <w:sz w:val="21"/>
                <w:szCs w:val="21"/>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Rate</w:t>
            </w:r>
          </w:p>
        </w:tc>
        <w:tc>
          <w:tcPr>
            <w:tcW w:w="400" w:type="dxa"/>
            <w:vAlign w:val="bottom"/>
          </w:tcPr>
          <w:p>
            <w:pPr>
              <w:spacing w:after="0"/>
              <w:rPr>
                <w:sz w:val="21"/>
                <w:szCs w:val="21"/>
                <w:color w:val="auto"/>
              </w:rPr>
            </w:pP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43"/>
        </w:trPr>
        <w:tc>
          <w:tcPr>
            <w:tcW w:w="20" w:type="dxa"/>
            <w:vAlign w:val="bottom"/>
          </w:tcPr>
          <w:p>
            <w:pPr>
              <w:spacing w:after="0"/>
              <w:rPr>
                <w:sz w:val="21"/>
                <w:szCs w:val="21"/>
                <w:color w:val="auto"/>
              </w:rPr>
            </w:pPr>
          </w:p>
        </w:tc>
        <w:tc>
          <w:tcPr>
            <w:tcW w:w="8160" w:type="dxa"/>
            <w:vAlign w:val="bottom"/>
            <w:tcBorders>
              <w:top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Increase (decrease) in interest income:</w:t>
            </w:r>
          </w:p>
        </w:tc>
        <w:tc>
          <w:tcPr>
            <w:tcW w:w="120" w:type="dxa"/>
            <w:vAlign w:val="bottom"/>
            <w:tcBorders>
              <w:top w:val="single" w:sz="8" w:color="auto"/>
            </w:tcBorders>
            <w:shd w:val="clear" w:color="auto" w:fill="C0C0C0"/>
          </w:tcPr>
          <w:p>
            <w:pPr>
              <w:spacing w:after="0"/>
              <w:rPr>
                <w:sz w:val="21"/>
                <w:szCs w:val="21"/>
                <w:color w:val="auto"/>
              </w:rPr>
            </w:pPr>
          </w:p>
        </w:tc>
        <w:tc>
          <w:tcPr>
            <w:tcW w:w="760" w:type="dxa"/>
            <w:vAlign w:val="bottom"/>
            <w:tcBorders>
              <w:top w:val="single" w:sz="8" w:color="auto"/>
            </w:tcBorders>
            <w:shd w:val="clear" w:color="auto" w:fill="C0C0C0"/>
          </w:tcPr>
          <w:p>
            <w:pPr>
              <w:spacing w:after="0"/>
              <w:rPr>
                <w:sz w:val="21"/>
                <w:szCs w:val="21"/>
                <w:color w:val="auto"/>
              </w:rPr>
            </w:pPr>
          </w:p>
        </w:tc>
        <w:tc>
          <w:tcPr>
            <w:tcW w:w="440" w:type="dxa"/>
            <w:vAlign w:val="bottom"/>
            <w:tcBorders>
              <w:top w:val="single" w:sz="8" w:color="auto"/>
            </w:tcBorders>
            <w:shd w:val="clear" w:color="auto" w:fill="C0C0C0"/>
          </w:tcPr>
          <w:p>
            <w:pPr>
              <w:spacing w:after="0"/>
              <w:rPr>
                <w:sz w:val="21"/>
                <w:szCs w:val="21"/>
                <w:color w:val="auto"/>
              </w:rPr>
            </w:pPr>
          </w:p>
        </w:tc>
        <w:tc>
          <w:tcPr>
            <w:tcW w:w="820" w:type="dxa"/>
            <w:vAlign w:val="bottom"/>
            <w:tcBorders>
              <w:top w:val="single" w:sz="8" w:color="auto"/>
            </w:tcBorders>
            <w:shd w:val="clear" w:color="auto" w:fill="C0C0C0"/>
          </w:tcPr>
          <w:p>
            <w:pPr>
              <w:spacing w:after="0"/>
              <w:rPr>
                <w:sz w:val="21"/>
                <w:szCs w:val="21"/>
                <w:color w:val="auto"/>
              </w:rPr>
            </w:pPr>
          </w:p>
        </w:tc>
        <w:tc>
          <w:tcPr>
            <w:tcW w:w="400" w:type="dxa"/>
            <w:vAlign w:val="bottom"/>
            <w:tcBorders>
              <w:top w:val="single" w:sz="8" w:color="auto"/>
            </w:tcBorders>
            <w:shd w:val="clear" w:color="auto" w:fill="C0C0C0"/>
          </w:tcPr>
          <w:p>
            <w:pPr>
              <w:spacing w:after="0"/>
              <w:rPr>
                <w:sz w:val="21"/>
                <w:szCs w:val="21"/>
                <w:color w:val="auto"/>
              </w:rPr>
            </w:pPr>
          </w:p>
        </w:tc>
        <w:tc>
          <w:tcPr>
            <w:tcW w:w="700" w:type="dxa"/>
            <w:vAlign w:val="bottom"/>
            <w:tcBorders>
              <w:top w:val="single" w:sz="8" w:color="auto"/>
            </w:tcBorders>
            <w:shd w:val="clear" w:color="auto" w:fill="C0C0C0"/>
          </w:tcPr>
          <w:p>
            <w:pPr>
              <w:spacing w:after="0"/>
              <w:rPr>
                <w:sz w:val="21"/>
                <w:szCs w:val="21"/>
                <w:color w:val="auto"/>
              </w:rPr>
            </w:pPr>
          </w:p>
        </w:tc>
      </w:tr>
      <w:tr>
        <w:trPr>
          <w:trHeight w:val="311"/>
        </w:trPr>
        <w:tc>
          <w:tcPr>
            <w:tcW w:w="20" w:type="dxa"/>
            <w:vAlign w:val="bottom"/>
          </w:tcPr>
          <w:p>
            <w:pPr>
              <w:spacing w:after="0"/>
              <w:rPr>
                <w:sz w:val="24"/>
                <w:szCs w:val="24"/>
                <w:color w:val="auto"/>
              </w:rPr>
            </w:pPr>
          </w:p>
        </w:tc>
        <w:tc>
          <w:tcPr>
            <w:tcW w:w="8160" w:type="dxa"/>
            <w:vAlign w:val="bottom"/>
          </w:tcPr>
          <w:p>
            <w:pPr>
              <w:ind w:left="260"/>
              <w:spacing w:after="0" w:line="311" w:lineRule="exact"/>
              <w:rPr>
                <w:sz w:val="20"/>
                <w:szCs w:val="20"/>
                <w:color w:val="auto"/>
              </w:rPr>
            </w:pPr>
            <w:r>
              <w:rPr>
                <w:rFonts w:ascii="Times New Roman" w:cs="Times New Roman" w:eastAsia="Times New Roman" w:hAnsi="Times New Roman"/>
                <w:sz w:val="18"/>
                <w:szCs w:val="18"/>
                <w:color w:val="auto"/>
              </w:rPr>
              <w:t>Loans</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8160" w:type="dxa"/>
            <w:vAlign w:val="bottom"/>
            <w:shd w:val="clear" w:color="auto" w:fill="C0C0C0"/>
          </w:tcPr>
          <w:p>
            <w:pPr>
              <w:ind w:left="520"/>
              <w:spacing w:after="0"/>
              <w:rPr>
                <w:sz w:val="20"/>
                <w:szCs w:val="20"/>
                <w:color w:val="auto"/>
              </w:rPr>
            </w:pPr>
            <w:r>
              <w:rPr>
                <w:rFonts w:ascii="Times New Roman" w:cs="Times New Roman" w:eastAsia="Times New Roman" w:hAnsi="Times New Roman"/>
                <w:sz w:val="18"/>
                <w:szCs w:val="18"/>
                <w:color w:val="auto"/>
              </w:rPr>
              <w:t>Taxable</w:t>
            </w:r>
          </w:p>
        </w:tc>
        <w:tc>
          <w:tcPr>
            <w:tcW w:w="1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1,124</w:t>
            </w:r>
          </w:p>
        </w:tc>
        <w:tc>
          <w:tcPr>
            <w:tcW w:w="4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1,462</w:t>
            </w:r>
          </w:p>
        </w:tc>
        <w:tc>
          <w:tcPr>
            <w:tcW w:w="400" w:type="dxa"/>
            <w:vAlign w:val="bottom"/>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2,586</w:t>
            </w:r>
          </w:p>
        </w:tc>
      </w:tr>
      <w:tr>
        <w:trPr>
          <w:trHeight w:val="311"/>
        </w:trPr>
        <w:tc>
          <w:tcPr>
            <w:tcW w:w="20" w:type="dxa"/>
            <w:vAlign w:val="bottom"/>
          </w:tcPr>
          <w:p>
            <w:pPr>
              <w:spacing w:after="0"/>
              <w:rPr>
                <w:sz w:val="24"/>
                <w:szCs w:val="24"/>
                <w:color w:val="auto"/>
              </w:rPr>
            </w:pPr>
          </w:p>
        </w:tc>
        <w:tc>
          <w:tcPr>
            <w:tcW w:w="8160" w:type="dxa"/>
            <w:vAlign w:val="bottom"/>
          </w:tcPr>
          <w:p>
            <w:pPr>
              <w:ind w:left="520"/>
              <w:spacing w:after="0" w:line="311" w:lineRule="exact"/>
              <w:rPr>
                <w:sz w:val="20"/>
                <w:szCs w:val="20"/>
                <w:color w:val="auto"/>
              </w:rPr>
            </w:pPr>
            <w:r>
              <w:rPr>
                <w:rFonts w:ascii="Times New Roman" w:cs="Times New Roman" w:eastAsia="Times New Roman" w:hAnsi="Times New Roman"/>
                <w:sz w:val="18"/>
                <w:szCs w:val="18"/>
                <w:color w:val="auto"/>
              </w:rPr>
              <w:t>Tax-exempt</w:t>
            </w:r>
            <w:r>
              <w:rPr>
                <w:rFonts w:ascii="Times New Roman" w:cs="Times New Roman" w:eastAsia="Times New Roman" w:hAnsi="Times New Roman"/>
                <w:sz w:val="30"/>
                <w:szCs w:val="30"/>
                <w:color w:val="auto"/>
                <w:vertAlign w:val="superscript"/>
              </w:rPr>
              <w:t>2</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40" w:type="dxa"/>
            <w:vAlign w:val="bottom"/>
          </w:tcPr>
          <w:p>
            <w:pPr>
              <w:spacing w:after="0"/>
              <w:rPr>
                <w:sz w:val="24"/>
                <w:szCs w:val="24"/>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20" w:type="dxa"/>
            <w:vAlign w:val="bottom"/>
          </w:tcPr>
          <w:p>
            <w:pPr>
              <w:spacing w:after="0"/>
              <w:rPr>
                <w:sz w:val="21"/>
                <w:szCs w:val="21"/>
                <w:color w:val="auto"/>
              </w:rPr>
            </w:pPr>
          </w:p>
        </w:tc>
        <w:tc>
          <w:tcPr>
            <w:tcW w:w="816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Investment securities:</w:t>
            </w:r>
          </w:p>
        </w:tc>
        <w:tc>
          <w:tcPr>
            <w:tcW w:w="12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8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Taxable</w:t>
            </w:r>
          </w:p>
        </w:tc>
        <w:tc>
          <w:tcPr>
            <w:tcW w:w="1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453</w:t>
            </w:r>
          </w:p>
        </w:tc>
        <w:tc>
          <w:tcPr>
            <w:tcW w:w="440" w:type="dxa"/>
            <w:vAlign w:val="bottom"/>
          </w:tcPr>
          <w:p>
            <w:pPr>
              <w:spacing w:after="0"/>
              <w:rPr>
                <w:sz w:val="20"/>
                <w:szCs w:val="20"/>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w:t>
            </w:r>
          </w:p>
        </w:tc>
        <w:tc>
          <w:tcPr>
            <w:tcW w:w="4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506</w:t>
            </w:r>
          </w:p>
        </w:tc>
      </w:tr>
      <w:tr>
        <w:trPr>
          <w:trHeight w:val="315"/>
        </w:trPr>
        <w:tc>
          <w:tcPr>
            <w:tcW w:w="20" w:type="dxa"/>
            <w:vAlign w:val="bottom"/>
          </w:tcPr>
          <w:p>
            <w:pPr>
              <w:spacing w:after="0"/>
              <w:rPr>
                <w:sz w:val="24"/>
                <w:szCs w:val="24"/>
                <w:color w:val="auto"/>
              </w:rPr>
            </w:pPr>
          </w:p>
        </w:tc>
        <w:tc>
          <w:tcPr>
            <w:tcW w:w="8160" w:type="dxa"/>
            <w:vAlign w:val="bottom"/>
            <w:shd w:val="clear" w:color="auto" w:fill="C0C0C0"/>
          </w:tcPr>
          <w:p>
            <w:pPr>
              <w:ind w:left="520"/>
              <w:spacing w:after="0" w:line="315" w:lineRule="exact"/>
              <w:rPr>
                <w:sz w:val="20"/>
                <w:szCs w:val="20"/>
                <w:color w:val="auto"/>
              </w:rPr>
            </w:pPr>
            <w:r>
              <w:rPr>
                <w:rFonts w:ascii="Times New Roman" w:cs="Times New Roman" w:eastAsia="Times New Roman" w:hAnsi="Times New Roman"/>
                <w:sz w:val="18"/>
                <w:szCs w:val="18"/>
                <w:color w:val="auto"/>
              </w:rPr>
              <w:t>Tax-exempt</w:t>
            </w:r>
            <w:r>
              <w:rPr>
                <w:rFonts w:ascii="Times New Roman" w:cs="Times New Roman" w:eastAsia="Times New Roman" w:hAnsi="Times New Roman"/>
                <w:sz w:val="30"/>
                <w:szCs w:val="30"/>
                <w:color w:val="auto"/>
                <w:vertAlign w:val="superscript"/>
              </w:rPr>
              <w:t>2</w:t>
            </w:r>
          </w:p>
        </w:tc>
        <w:tc>
          <w:tcPr>
            <w:tcW w:w="120" w:type="dxa"/>
            <w:vAlign w:val="bottom"/>
            <w:shd w:val="clear" w:color="auto" w:fill="C0C0C0"/>
          </w:tcPr>
          <w:p>
            <w:pPr>
              <w:spacing w:after="0"/>
              <w:rPr>
                <w:sz w:val="24"/>
                <w:szCs w:val="24"/>
                <w:color w:val="auto"/>
              </w:rPr>
            </w:pPr>
          </w:p>
        </w:tc>
        <w:tc>
          <w:tcPr>
            <w:tcW w:w="7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440" w:type="dxa"/>
            <w:vAlign w:val="bottom"/>
            <w:shd w:val="clear" w:color="auto" w:fill="C0C0C0"/>
          </w:tcPr>
          <w:p>
            <w:pPr>
              <w:spacing w:after="0"/>
              <w:rPr>
                <w:sz w:val="24"/>
                <w:szCs w:val="24"/>
                <w:color w:val="auto"/>
              </w:rPr>
            </w:pPr>
          </w:p>
        </w:tc>
        <w:tc>
          <w:tcPr>
            <w:tcW w:w="820" w:type="dxa"/>
            <w:vAlign w:val="bottom"/>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(124)</w:t>
            </w:r>
          </w:p>
        </w:tc>
        <w:tc>
          <w:tcPr>
            <w:tcW w:w="400" w:type="dxa"/>
            <w:vAlign w:val="bottom"/>
            <w:shd w:val="clear" w:color="auto" w:fill="C0C0C0"/>
          </w:tcPr>
          <w:p>
            <w:pPr>
              <w:spacing w:after="0"/>
              <w:rPr>
                <w:sz w:val="24"/>
                <w:szCs w:val="24"/>
                <w:color w:val="auto"/>
              </w:rPr>
            </w:pPr>
          </w:p>
        </w:tc>
        <w:tc>
          <w:tcPr>
            <w:tcW w:w="7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39"/>
        </w:trPr>
        <w:tc>
          <w:tcPr>
            <w:tcW w:w="20" w:type="dxa"/>
            <w:vAlign w:val="bottom"/>
          </w:tcPr>
          <w:p>
            <w:pPr>
              <w:spacing w:after="0"/>
              <w:rPr>
                <w:sz w:val="20"/>
                <w:szCs w:val="20"/>
                <w:color w:val="auto"/>
              </w:rPr>
            </w:pP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40" w:type="dxa"/>
            <w:vAlign w:val="bottom"/>
          </w:tcPr>
          <w:p>
            <w:pPr>
              <w:spacing w:after="0"/>
              <w:rPr>
                <w:sz w:val="20"/>
                <w:szCs w:val="20"/>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7"/>
        </w:trPr>
        <w:tc>
          <w:tcPr>
            <w:tcW w:w="20" w:type="dxa"/>
            <w:vAlign w:val="bottom"/>
          </w:tcPr>
          <w:p>
            <w:pPr>
              <w:spacing w:after="0"/>
              <w:rPr>
                <w:sz w:val="21"/>
                <w:szCs w:val="21"/>
                <w:color w:val="auto"/>
              </w:rPr>
            </w:pPr>
          </w:p>
        </w:tc>
        <w:tc>
          <w:tcPr>
            <w:tcW w:w="816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Interest-bearing deposits in other financial institutions</w:t>
            </w:r>
          </w:p>
        </w:tc>
        <w:tc>
          <w:tcPr>
            <w:tcW w:w="12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192</w:t>
            </w:r>
          </w:p>
        </w:tc>
        <w:tc>
          <w:tcPr>
            <w:tcW w:w="44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349</w:t>
            </w:r>
          </w:p>
        </w:tc>
        <w:tc>
          <w:tcPr>
            <w:tcW w:w="40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541</w:t>
            </w:r>
          </w:p>
        </w:tc>
      </w:tr>
      <w:tr>
        <w:trPr>
          <w:trHeight w:val="239"/>
        </w:trPr>
        <w:tc>
          <w:tcPr>
            <w:tcW w:w="20" w:type="dxa"/>
            <w:vAlign w:val="bottom"/>
          </w:tcPr>
          <w:p>
            <w:pPr>
              <w:spacing w:after="0"/>
              <w:rPr>
                <w:sz w:val="20"/>
                <w:szCs w:val="20"/>
                <w:color w:val="auto"/>
              </w:rPr>
            </w:pPr>
          </w:p>
        </w:tc>
        <w:tc>
          <w:tcPr>
            <w:tcW w:w="8160" w:type="dxa"/>
            <w:vAlign w:val="bottom"/>
            <w:tcBorders>
              <w:bottom w:val="single" w:sz="8" w:color="C0C0C0"/>
            </w:tcBorders>
          </w:tcPr>
          <w:p>
            <w:pPr>
              <w:ind w:left="260"/>
              <w:spacing w:after="0"/>
              <w:rPr>
                <w:sz w:val="20"/>
                <w:szCs w:val="20"/>
                <w:color w:val="auto"/>
              </w:rPr>
            </w:pPr>
            <w:r>
              <w:rPr>
                <w:rFonts w:ascii="Times New Roman" w:cs="Times New Roman" w:eastAsia="Times New Roman" w:hAnsi="Times New Roman"/>
                <w:sz w:val="18"/>
                <w:szCs w:val="18"/>
                <w:color w:val="auto"/>
              </w:rPr>
              <w:t>Federal funds sold and other short-term investments</w:t>
            </w: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137</w:t>
            </w: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588</w:t>
            </w:r>
          </w:p>
        </w:tc>
        <w:tc>
          <w:tcPr>
            <w:tcW w:w="4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725</w:t>
            </w:r>
          </w:p>
        </w:tc>
      </w:tr>
      <w:tr>
        <w:trPr>
          <w:trHeight w:val="237"/>
        </w:trPr>
        <w:tc>
          <w:tcPr>
            <w:tcW w:w="20" w:type="dxa"/>
            <w:vAlign w:val="bottom"/>
          </w:tcPr>
          <w:p>
            <w:pPr>
              <w:spacing w:after="0"/>
              <w:rPr>
                <w:sz w:val="20"/>
                <w:szCs w:val="20"/>
                <w:color w:val="auto"/>
              </w:rPr>
            </w:pPr>
          </w:p>
        </w:tc>
        <w:tc>
          <w:tcPr>
            <w:tcW w:w="816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Total interest income</w:t>
            </w:r>
          </w:p>
        </w:tc>
        <w:tc>
          <w:tcPr>
            <w:tcW w:w="120" w:type="dxa"/>
            <w:vAlign w:val="bottom"/>
            <w:tcBorders>
              <w:bottom w:val="single" w:sz="8" w:color="auto"/>
            </w:tcBorders>
            <w:shd w:val="clear" w:color="auto" w:fill="C0C0C0"/>
          </w:tcPr>
          <w:p>
            <w:pPr>
              <w:spacing w:after="0"/>
              <w:rPr>
                <w:sz w:val="20"/>
                <w:szCs w:val="20"/>
                <w:color w:val="auto"/>
              </w:rPr>
            </w:pPr>
          </w:p>
        </w:tc>
        <w:tc>
          <w:tcPr>
            <w:tcW w:w="760" w:type="dxa"/>
            <w:vAlign w:val="bottom"/>
            <w:tcBorders>
              <w:bottom w:val="single" w:sz="8" w:color="auto"/>
            </w:tcBorders>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840</w:t>
            </w:r>
          </w:p>
        </w:tc>
        <w:tc>
          <w:tcPr>
            <w:tcW w:w="440" w:type="dxa"/>
            <w:vAlign w:val="bottom"/>
            <w:tcBorders>
              <w:bottom w:val="single" w:sz="8" w:color="auto"/>
            </w:tcBorders>
            <w:shd w:val="clear" w:color="auto" w:fill="C0C0C0"/>
          </w:tcPr>
          <w:p>
            <w:pPr>
              <w:spacing w:after="0"/>
              <w:rPr>
                <w:sz w:val="20"/>
                <w:szCs w:val="20"/>
                <w:color w:val="auto"/>
              </w:rPr>
            </w:pPr>
          </w:p>
        </w:tc>
        <w:tc>
          <w:tcPr>
            <w:tcW w:w="820" w:type="dxa"/>
            <w:vAlign w:val="bottom"/>
            <w:tcBorders>
              <w:bottom w:val="single" w:sz="8" w:color="auto"/>
            </w:tcBorders>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2,343</w:t>
            </w:r>
          </w:p>
        </w:tc>
        <w:tc>
          <w:tcPr>
            <w:tcW w:w="400" w:type="dxa"/>
            <w:vAlign w:val="bottom"/>
            <w:tcBorders>
              <w:bottom w:val="single" w:sz="8" w:color="auto"/>
            </w:tcBorders>
            <w:shd w:val="clear" w:color="auto" w:fill="C0C0C0"/>
          </w:tcPr>
          <w:p>
            <w:pPr>
              <w:spacing w:after="0"/>
              <w:rPr>
                <w:sz w:val="20"/>
                <w:szCs w:val="20"/>
                <w:color w:val="auto"/>
              </w:rPr>
            </w:pPr>
          </w:p>
        </w:tc>
        <w:tc>
          <w:tcPr>
            <w:tcW w:w="700" w:type="dxa"/>
            <w:vAlign w:val="bottom"/>
            <w:tcBorders>
              <w:bottom w:val="single" w:sz="8" w:color="auto"/>
            </w:tcBorders>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3,183</w:t>
            </w:r>
          </w:p>
        </w:tc>
      </w:tr>
      <w:tr>
        <w:trPr>
          <w:trHeight w:val="237"/>
        </w:trPr>
        <w:tc>
          <w:tcPr>
            <w:tcW w:w="20" w:type="dxa"/>
            <w:vAlign w:val="bottom"/>
          </w:tcPr>
          <w:p>
            <w:pPr>
              <w:spacing w:after="0"/>
              <w:rPr>
                <w:sz w:val="20"/>
                <w:szCs w:val="20"/>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816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Interest-bearing demand deposits</w:t>
            </w:r>
          </w:p>
        </w:tc>
        <w:tc>
          <w:tcPr>
            <w:tcW w:w="12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4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751</w:t>
            </w:r>
          </w:p>
        </w:tc>
        <w:tc>
          <w:tcPr>
            <w:tcW w:w="40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715</w:t>
            </w:r>
          </w:p>
        </w:tc>
      </w:tr>
      <w:tr>
        <w:trPr>
          <w:trHeight w:val="239"/>
        </w:trPr>
        <w:tc>
          <w:tcPr>
            <w:tcW w:w="20" w:type="dxa"/>
            <w:vAlign w:val="bottom"/>
          </w:tcPr>
          <w:p>
            <w:pPr>
              <w:spacing w:after="0"/>
              <w:rPr>
                <w:sz w:val="20"/>
                <w:szCs w:val="20"/>
                <w:color w:val="auto"/>
              </w:rPr>
            </w:pP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Savings deposits</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20"/>
                <w:szCs w:val="20"/>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4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47"/>
        </w:trPr>
        <w:tc>
          <w:tcPr>
            <w:tcW w:w="20" w:type="dxa"/>
            <w:vAlign w:val="bottom"/>
          </w:tcPr>
          <w:p>
            <w:pPr>
              <w:spacing w:after="0"/>
              <w:rPr>
                <w:sz w:val="21"/>
                <w:szCs w:val="21"/>
                <w:color w:val="auto"/>
              </w:rPr>
            </w:pPr>
          </w:p>
        </w:tc>
        <w:tc>
          <w:tcPr>
            <w:tcW w:w="8160" w:type="dxa"/>
            <w:vAlign w:val="bottom"/>
            <w:shd w:val="clear" w:color="auto" w:fill="C0C0C0"/>
          </w:tcPr>
          <w:p>
            <w:pPr>
              <w:ind w:left="260"/>
              <w:spacing w:after="0"/>
              <w:rPr>
                <w:sz w:val="20"/>
                <w:szCs w:val="20"/>
                <w:color w:val="auto"/>
              </w:rPr>
            </w:pPr>
            <w:r>
              <w:rPr>
                <w:rFonts w:ascii="Times New Roman" w:cs="Times New Roman" w:eastAsia="Times New Roman" w:hAnsi="Times New Roman"/>
                <w:sz w:val="18"/>
                <w:szCs w:val="18"/>
                <w:color w:val="auto"/>
              </w:rPr>
              <w:t>Time deposits &gt;=$100</w:t>
            </w:r>
          </w:p>
        </w:tc>
        <w:tc>
          <w:tcPr>
            <w:tcW w:w="12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64</w:t>
            </w:r>
          </w:p>
        </w:tc>
        <w:tc>
          <w:tcPr>
            <w:tcW w:w="40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r>
      <w:tr>
        <w:trPr>
          <w:trHeight w:val="239"/>
        </w:trPr>
        <w:tc>
          <w:tcPr>
            <w:tcW w:w="20" w:type="dxa"/>
            <w:vAlign w:val="bottom"/>
          </w:tcPr>
          <w:p>
            <w:pPr>
              <w:spacing w:after="0"/>
              <w:rPr>
                <w:sz w:val="20"/>
                <w:szCs w:val="20"/>
                <w:color w:val="auto"/>
              </w:rPr>
            </w:pPr>
          </w:p>
        </w:tc>
        <w:tc>
          <w:tcPr>
            <w:tcW w:w="8160" w:type="dxa"/>
            <w:vAlign w:val="bottom"/>
            <w:tcBorders>
              <w:bottom w:val="single" w:sz="8" w:color="C0C0C0"/>
            </w:tcBorders>
          </w:tcPr>
          <w:p>
            <w:pPr>
              <w:ind w:left="260"/>
              <w:spacing w:after="0"/>
              <w:rPr>
                <w:sz w:val="20"/>
                <w:szCs w:val="20"/>
                <w:color w:val="auto"/>
              </w:rPr>
            </w:pPr>
            <w:r>
              <w:rPr>
                <w:rFonts w:ascii="Times New Roman" w:cs="Times New Roman" w:eastAsia="Times New Roman" w:hAnsi="Times New Roman"/>
                <w:sz w:val="18"/>
                <w:szCs w:val="18"/>
                <w:color w:val="auto"/>
              </w:rPr>
              <w:t>Other time deposits</w:t>
            </w: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132</w:t>
            </w: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192</w:t>
            </w:r>
          </w:p>
        </w:tc>
        <w:tc>
          <w:tcPr>
            <w:tcW w:w="4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324</w:t>
            </w:r>
          </w:p>
        </w:tc>
      </w:tr>
      <w:tr>
        <w:trPr>
          <w:trHeight w:val="237"/>
        </w:trPr>
        <w:tc>
          <w:tcPr>
            <w:tcW w:w="20" w:type="dxa"/>
            <w:vAlign w:val="bottom"/>
          </w:tcPr>
          <w:p>
            <w:pPr>
              <w:spacing w:after="0"/>
              <w:rPr>
                <w:sz w:val="20"/>
                <w:szCs w:val="20"/>
                <w:color w:val="auto"/>
              </w:rPr>
            </w:pPr>
          </w:p>
        </w:tc>
        <w:tc>
          <w:tcPr>
            <w:tcW w:w="816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120" w:type="dxa"/>
            <w:vAlign w:val="bottom"/>
            <w:tcBorders>
              <w:bottom w:val="single" w:sz="8" w:color="auto"/>
            </w:tcBorders>
            <w:shd w:val="clear" w:color="auto" w:fill="C0C0C0"/>
          </w:tcPr>
          <w:p>
            <w:pPr>
              <w:spacing w:after="0"/>
              <w:rPr>
                <w:sz w:val="20"/>
                <w:szCs w:val="20"/>
                <w:color w:val="auto"/>
              </w:rPr>
            </w:pPr>
          </w:p>
        </w:tc>
        <w:tc>
          <w:tcPr>
            <w:tcW w:w="760" w:type="dxa"/>
            <w:vAlign w:val="bottom"/>
            <w:tcBorders>
              <w:bottom w:val="single" w:sz="8" w:color="auto"/>
            </w:tcBorders>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440" w:type="dxa"/>
            <w:vAlign w:val="bottom"/>
            <w:tcBorders>
              <w:bottom w:val="single" w:sz="8" w:color="auto"/>
            </w:tcBorders>
            <w:shd w:val="clear" w:color="auto" w:fill="C0C0C0"/>
          </w:tcPr>
          <w:p>
            <w:pPr>
              <w:spacing w:after="0"/>
              <w:rPr>
                <w:sz w:val="20"/>
                <w:szCs w:val="20"/>
                <w:color w:val="auto"/>
              </w:rPr>
            </w:pPr>
          </w:p>
        </w:tc>
        <w:tc>
          <w:tcPr>
            <w:tcW w:w="820" w:type="dxa"/>
            <w:vAlign w:val="bottom"/>
            <w:tcBorders>
              <w:bottom w:val="single" w:sz="8" w:color="auto"/>
            </w:tcBorders>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1,021</w:t>
            </w:r>
          </w:p>
        </w:tc>
        <w:tc>
          <w:tcPr>
            <w:tcW w:w="400" w:type="dxa"/>
            <w:vAlign w:val="bottom"/>
            <w:tcBorders>
              <w:bottom w:val="single" w:sz="8" w:color="auto"/>
            </w:tcBorders>
            <w:shd w:val="clear" w:color="auto" w:fill="C0C0C0"/>
          </w:tcPr>
          <w:p>
            <w:pPr>
              <w:spacing w:after="0"/>
              <w:rPr>
                <w:sz w:val="20"/>
                <w:szCs w:val="20"/>
                <w:color w:val="auto"/>
              </w:rPr>
            </w:pPr>
          </w:p>
        </w:tc>
        <w:tc>
          <w:tcPr>
            <w:tcW w:w="700" w:type="dxa"/>
            <w:vAlign w:val="bottom"/>
            <w:tcBorders>
              <w:bottom w:val="single" w:sz="8" w:color="auto"/>
            </w:tcBorders>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1,122</w:t>
            </w:r>
          </w:p>
        </w:tc>
      </w:tr>
      <w:tr>
        <w:trPr>
          <w:trHeight w:val="232"/>
        </w:trPr>
        <w:tc>
          <w:tcPr>
            <w:tcW w:w="20" w:type="dxa"/>
            <w:vAlign w:val="bottom"/>
          </w:tcPr>
          <w:p>
            <w:pPr>
              <w:spacing w:after="0"/>
              <w:rPr>
                <w:sz w:val="20"/>
                <w:szCs w:val="20"/>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739</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1,322</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 w:lineRule="exact"/>
        <w:rPr>
          <w:sz w:val="20"/>
          <w:szCs w:val="20"/>
          <w:color w:val="auto"/>
        </w:rPr>
      </w:pPr>
    </w:p>
    <w:p>
      <w:pPr>
        <w:ind w:left="120" w:hanging="112"/>
        <w:spacing w:after="0"/>
        <w:tabs>
          <w:tab w:leader="none" w:pos="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includes net loan fees.</w:t>
      </w:r>
    </w:p>
    <w:p>
      <w:pPr>
        <w:spacing w:after="0" w:line="1" w:lineRule="exact"/>
        <w:rPr>
          <w:rFonts w:ascii="Times New Roman" w:cs="Times New Roman" w:eastAsia="Times New Roman" w:hAnsi="Times New Roman"/>
          <w:sz w:val="14"/>
          <w:szCs w:val="14"/>
          <w:color w:val="auto"/>
        </w:rPr>
      </w:pPr>
    </w:p>
    <w:p>
      <w:pPr>
        <w:ind w:left="120" w:hanging="112"/>
        <w:spacing w:after="0"/>
        <w:tabs>
          <w:tab w:leader="none" w:pos="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is presented on a tax-equivalent basis assuming a tax rate of 21% for the First Half of 2019 and 2018.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and Allowance for Loan Losses (“ALLL”)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significant determinant of the Company’s operating results can be the provision for loan losses. There was no provision for loan losses during the Second Quarter of 2019 or the Second Quarter of 2018. There was a loan loss provision of $250,000 recorded in the First Half of 2019 to support the growth in the loan portfolio. There was no loan loss provision in the First Half of 2018. As discussed below, the Company continually analyzes the outstanding loan portfolio based on the performance, financial condition and collateralization of the credits. Net loan recoveries were $20,000 during the Second Quarter of 2019 and $5,000 during the Second Quarter of 2018. Net loan recoveries were $31,000 in the First Half of 2019 and $10,000 during the First Half of 2018.</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6" w:right="239" w:bottom="522"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The ALLL at June 30, 2019 was $10,506,000 and at December 31, 2018 was $10,225,000. The ratio of ALLL to total loans outstanding was 1.33% and 1.43% at June 30, 2019 and December 31, 2018, respectively. There were no nonperforming loans at June 30, 2019 or December 31, 2018.</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ALLL has been established and is maintained to absorb reasonably estimated and probable losses in the loan portfolio. An ongoing assessment is performed to determine if the balance is adequate. Charges or credits are made to expense to cover any deficiency or reduce any excess, as required. The current methodology consists of two components: 1) estimated credit losses on individually evaluated loans that are determined to be impaired in accordance with FASB ASC 310 “Allowance for Credit Losses,” and 2) estimated credit losses inherent in the remainder of the loan portfolio in accordance with FASB ASC 450, “Contingencies.” Estimated credit losses is an estimate of the current amount of loans that is probable the Company will be unable to collect according to the original terms.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loans that are individually evaluated, the Company uses two impairment measurement methods: 1) the present value of expected future cash flows and 2) collateral value. For the remainder of the portfolio, the Company groups loans with similar risk characteristics into eight segments and applies historical loss rates to each segment based on a five fiscal-year look-back period. In addition, qualitative factors including credit concentration risk, national and local economic conditions, nature and volume of loan portfolio, legal and regulatory factors, downturns in specific industries including losses in collateral value, trends in credit quality at the Company and in the banking industry and trends in risk-rating agencies are also considered.</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utilizes ratio analysis to evaluate the overall reasonableness of the ALLL compared to its peers and required levels of regulatory capital. Federal and state agencies review the Company’s methodology for maintaining the ALLL. These agencies may require the Company to adjust the ALLL based on their judgments and interpretations about information available to them at the time of their examinations.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Asset Quality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on the Company’s provision for loan losses and analysis of the ALLL:</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7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gridSpan w:val="3"/>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Second Quarter of</w:t>
            </w:r>
          </w:p>
        </w:tc>
        <w:tc>
          <w:tcPr>
            <w:tcW w:w="7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First Half of</w:t>
            </w:r>
          </w:p>
        </w:tc>
      </w:tr>
      <w:tr>
        <w:trPr>
          <w:trHeight w:val="250"/>
        </w:trPr>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3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7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43"/>
        </w:trPr>
        <w:tc>
          <w:tcPr>
            <w:tcW w:w="47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Allowance at beginning of period</w:t>
            </w:r>
          </w:p>
        </w:tc>
        <w:tc>
          <w:tcPr>
            <w:tcW w:w="1540" w:type="dxa"/>
            <w:vAlign w:val="bottom"/>
            <w:gridSpan w:val="2"/>
            <w:shd w:val="clear" w:color="auto" w:fill="C0C0C0"/>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10,486</w:t>
            </w:r>
          </w:p>
        </w:tc>
        <w:tc>
          <w:tcPr>
            <w:tcW w:w="340" w:type="dxa"/>
            <w:vAlign w:val="bottom"/>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0C0C0"/>
          </w:tcPr>
          <w:p>
            <w:pPr>
              <w:jc w:val="right"/>
              <w:ind w:right="510"/>
              <w:spacing w:after="0"/>
              <w:rPr>
                <w:sz w:val="20"/>
                <w:szCs w:val="20"/>
                <w:color w:val="auto"/>
              </w:rPr>
            </w:pPr>
            <w:r>
              <w:rPr>
                <w:rFonts w:ascii="Times New Roman" w:cs="Times New Roman" w:eastAsia="Times New Roman" w:hAnsi="Times New Roman"/>
                <w:sz w:val="18"/>
                <w:szCs w:val="18"/>
                <w:color w:val="auto"/>
              </w:rPr>
              <w:t>10,210</w:t>
            </w:r>
          </w:p>
        </w:tc>
        <w:tc>
          <w:tcPr>
            <w:tcW w:w="780" w:type="dxa"/>
            <w:vAlign w:val="bottom"/>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10,225</w:t>
            </w:r>
          </w:p>
        </w:tc>
        <w:tc>
          <w:tcPr>
            <w:tcW w:w="2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10,205</w:t>
            </w: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Provision</w:t>
            </w: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3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476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Loans charged off</w:t>
            </w:r>
          </w:p>
        </w:tc>
        <w:tc>
          <w:tcPr>
            <w:tcW w:w="13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0C0C0"/>
          </w:tcPr>
          <w:p>
            <w:pPr>
              <w:spacing w:after="0"/>
              <w:rPr>
                <w:sz w:val="21"/>
                <w:szCs w:val="21"/>
                <w:color w:val="auto"/>
              </w:rPr>
            </w:pPr>
          </w:p>
        </w:tc>
        <w:tc>
          <w:tcPr>
            <w:tcW w:w="1360" w:type="dxa"/>
            <w:vAlign w:val="bottom"/>
            <w:shd w:val="clear" w:color="auto" w:fill="C0C0C0"/>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0C0C0"/>
          </w:tcPr>
          <w:p>
            <w:pPr>
              <w:spacing w:after="0"/>
              <w:rPr>
                <w:sz w:val="21"/>
                <w:szCs w:val="21"/>
                <w:color w:val="auto"/>
              </w:rPr>
            </w:pPr>
          </w:p>
        </w:tc>
        <w:tc>
          <w:tcPr>
            <w:tcW w:w="6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7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Recoveries on loans previously charged off</w:t>
            </w:r>
          </w:p>
        </w:tc>
        <w:tc>
          <w:tcPr>
            <w:tcW w:w="1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1"/>
        </w:trPr>
        <w:tc>
          <w:tcPr>
            <w:tcW w:w="47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Net recoveries</w:t>
            </w:r>
          </w:p>
        </w:tc>
        <w:tc>
          <w:tcPr>
            <w:tcW w:w="13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90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shd w:val="clear" w:color="auto" w:fill="C0C0C0"/>
          </w:tcPr>
          <w:p>
            <w:pPr>
              <w:spacing w:after="0"/>
              <w:rPr>
                <w:sz w:val="20"/>
                <w:szCs w:val="20"/>
                <w:color w:val="auto"/>
              </w:rPr>
            </w:pPr>
          </w:p>
        </w:tc>
        <w:tc>
          <w:tcPr>
            <w:tcW w:w="1360" w:type="dxa"/>
            <w:vAlign w:val="bottom"/>
            <w:shd w:val="clear" w:color="auto" w:fill="C0C0C0"/>
          </w:tcPr>
          <w:p>
            <w:pPr>
              <w:jc w:val="right"/>
              <w:ind w:right="510"/>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shd w:val="clear" w:color="auto" w:fill="C0C0C0"/>
          </w:tcPr>
          <w:p>
            <w:pPr>
              <w:spacing w:after="0"/>
              <w:rPr>
                <w:sz w:val="20"/>
                <w:szCs w:val="20"/>
                <w:color w:val="auto"/>
              </w:rPr>
            </w:pPr>
          </w:p>
        </w:tc>
        <w:tc>
          <w:tcPr>
            <w:tcW w:w="900" w:type="dxa"/>
            <w:vAlign w:val="bottom"/>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0C0C0"/>
          </w:tcPr>
          <w:p>
            <w:pPr>
              <w:spacing w:after="0"/>
              <w:rPr>
                <w:sz w:val="20"/>
                <w:szCs w:val="20"/>
                <w:color w:val="auto"/>
              </w:rPr>
            </w:pPr>
          </w:p>
        </w:tc>
        <w:tc>
          <w:tcPr>
            <w:tcW w:w="6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9"/>
        </w:trPr>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Allowance at end of period</w:t>
            </w:r>
          </w:p>
        </w:tc>
        <w:tc>
          <w:tcPr>
            <w:tcW w:w="15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10,506</w:t>
            </w: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10,215</w:t>
            </w: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10,506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10,215</w:t>
            </w:r>
          </w:p>
        </w:tc>
      </w:tr>
      <w:tr>
        <w:trPr>
          <w:trHeight w:val="241"/>
        </w:trPr>
        <w:tc>
          <w:tcPr>
            <w:tcW w:w="47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Loans outstanding:</w:t>
            </w:r>
          </w:p>
        </w:tc>
        <w:tc>
          <w:tcPr>
            <w:tcW w:w="13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90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1360" w:type="dxa"/>
            <w:vAlign w:val="bottom"/>
            <w:shd w:val="clear" w:color="auto" w:fill="C0C0C0"/>
          </w:tcPr>
          <w:p>
            <w:pPr>
              <w:spacing w:after="0"/>
              <w:rPr>
                <w:sz w:val="20"/>
                <w:szCs w:val="20"/>
                <w:color w:val="auto"/>
              </w:rPr>
            </w:pPr>
          </w:p>
        </w:tc>
        <w:tc>
          <w:tcPr>
            <w:tcW w:w="780" w:type="dxa"/>
            <w:vAlign w:val="bottom"/>
            <w:shd w:val="clear" w:color="auto" w:fill="C0C0C0"/>
          </w:tcPr>
          <w:p>
            <w:pPr>
              <w:spacing w:after="0"/>
              <w:rPr>
                <w:sz w:val="20"/>
                <w:szCs w:val="20"/>
                <w:color w:val="auto"/>
              </w:rPr>
            </w:pPr>
          </w:p>
        </w:tc>
        <w:tc>
          <w:tcPr>
            <w:tcW w:w="90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r>
      <w:tr>
        <w:trPr>
          <w:trHeight w:val="234"/>
        </w:trPr>
        <w:tc>
          <w:tcPr>
            <w:tcW w:w="4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Average</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769,394</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708,169</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745,592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699,185</w:t>
            </w:r>
          </w:p>
        </w:tc>
      </w:tr>
      <w:tr>
        <w:trPr>
          <w:trHeight w:val="252"/>
        </w:trPr>
        <w:tc>
          <w:tcPr>
            <w:tcW w:w="476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June 30</w:t>
            </w:r>
          </w:p>
        </w:tc>
        <w:tc>
          <w:tcPr>
            <w:tcW w:w="13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790,552</w:t>
            </w:r>
          </w:p>
        </w:tc>
        <w:tc>
          <w:tcPr>
            <w:tcW w:w="340" w:type="dxa"/>
            <w:vAlign w:val="bottom"/>
            <w:shd w:val="clear" w:color="auto" w:fill="C0C0C0"/>
          </w:tcPr>
          <w:p>
            <w:pPr>
              <w:spacing w:after="0"/>
              <w:rPr>
                <w:sz w:val="21"/>
                <w:szCs w:val="21"/>
                <w:color w:val="auto"/>
              </w:rPr>
            </w:pPr>
          </w:p>
        </w:tc>
        <w:tc>
          <w:tcPr>
            <w:tcW w:w="1360" w:type="dxa"/>
            <w:vAlign w:val="bottom"/>
            <w:shd w:val="clear" w:color="auto" w:fill="C0C0C0"/>
          </w:tcPr>
          <w:p>
            <w:pPr>
              <w:jc w:val="right"/>
              <w:ind w:right="510"/>
              <w:spacing w:after="0"/>
              <w:rPr>
                <w:sz w:val="20"/>
                <w:szCs w:val="20"/>
                <w:color w:val="auto"/>
              </w:rPr>
            </w:pPr>
            <w:r>
              <w:rPr>
                <w:rFonts w:ascii="Times New Roman" w:cs="Times New Roman" w:eastAsia="Times New Roman" w:hAnsi="Times New Roman"/>
                <w:sz w:val="18"/>
                <w:szCs w:val="18"/>
                <w:color w:val="auto"/>
              </w:rPr>
              <w:t>714,861</w:t>
            </w:r>
          </w:p>
        </w:tc>
        <w:tc>
          <w:tcPr>
            <w:tcW w:w="78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790,552</w:t>
            </w:r>
          </w:p>
        </w:tc>
        <w:tc>
          <w:tcPr>
            <w:tcW w:w="240" w:type="dxa"/>
            <w:vAlign w:val="bottom"/>
            <w:shd w:val="clear" w:color="auto" w:fill="C0C0C0"/>
          </w:tcPr>
          <w:p>
            <w:pPr>
              <w:spacing w:after="0"/>
              <w:rPr>
                <w:sz w:val="21"/>
                <w:szCs w:val="21"/>
                <w:color w:val="auto"/>
              </w:rPr>
            </w:pPr>
          </w:p>
        </w:tc>
        <w:tc>
          <w:tcPr>
            <w:tcW w:w="6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w w:val="99"/>
              </w:rPr>
              <w:t>714,861</w:t>
            </w: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Ratio of ALLL to loans outstanding:</w:t>
            </w: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52"/>
        </w:trPr>
        <w:tc>
          <w:tcPr>
            <w:tcW w:w="476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Average</w:t>
            </w:r>
          </w:p>
        </w:tc>
        <w:tc>
          <w:tcPr>
            <w:tcW w:w="13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1.37%</w:t>
            </w:r>
          </w:p>
        </w:tc>
        <w:tc>
          <w:tcPr>
            <w:tcW w:w="340" w:type="dxa"/>
            <w:vAlign w:val="bottom"/>
            <w:shd w:val="clear" w:color="auto" w:fill="C0C0C0"/>
          </w:tcPr>
          <w:p>
            <w:pPr>
              <w:spacing w:after="0"/>
              <w:rPr>
                <w:sz w:val="21"/>
                <w:szCs w:val="21"/>
                <w:color w:val="auto"/>
              </w:rPr>
            </w:pPr>
          </w:p>
        </w:tc>
        <w:tc>
          <w:tcPr>
            <w:tcW w:w="1360" w:type="dxa"/>
            <w:vAlign w:val="bottom"/>
            <w:shd w:val="clear" w:color="auto" w:fill="C0C0C0"/>
          </w:tcPr>
          <w:p>
            <w:pPr>
              <w:jc w:val="right"/>
              <w:ind w:right="510"/>
              <w:spacing w:after="0"/>
              <w:rPr>
                <w:sz w:val="20"/>
                <w:szCs w:val="20"/>
                <w:color w:val="auto"/>
              </w:rPr>
            </w:pPr>
            <w:r>
              <w:rPr>
                <w:rFonts w:ascii="Times New Roman" w:cs="Times New Roman" w:eastAsia="Times New Roman" w:hAnsi="Times New Roman"/>
                <w:sz w:val="18"/>
                <w:szCs w:val="18"/>
                <w:color w:val="auto"/>
              </w:rPr>
              <w:t>1.44%</w:t>
            </w:r>
          </w:p>
        </w:tc>
        <w:tc>
          <w:tcPr>
            <w:tcW w:w="78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shd w:val="clear" w:color="auto" w:fill="C0C0C0"/>
          </w:tcPr>
          <w:p>
            <w:pPr>
              <w:spacing w:after="0"/>
              <w:rPr>
                <w:sz w:val="21"/>
                <w:szCs w:val="21"/>
                <w:color w:val="auto"/>
              </w:rPr>
            </w:pPr>
          </w:p>
        </w:tc>
        <w:tc>
          <w:tcPr>
            <w:tcW w:w="6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34"/>
        </w:trPr>
        <w:tc>
          <w:tcPr>
            <w:tcW w:w="4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June 30</w:t>
            </w: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c>
          <w:tcPr>
            <w:tcW w:w="340" w:type="dxa"/>
            <w:vAlign w:val="bottom"/>
          </w:tcPr>
          <w:p>
            <w:pPr>
              <w:spacing w:after="0"/>
              <w:rPr>
                <w:sz w:val="20"/>
                <w:szCs w:val="20"/>
                <w:color w:val="auto"/>
              </w:rPr>
            </w:pPr>
          </w:p>
        </w:tc>
        <w:tc>
          <w:tcPr>
            <w:tcW w:w="13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1.43%</w:t>
            </w:r>
          </w:p>
        </w:tc>
        <w:tc>
          <w:tcPr>
            <w:tcW w:w="78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52"/>
        </w:trPr>
        <w:tc>
          <w:tcPr>
            <w:tcW w:w="476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Impaired loans:</w:t>
            </w:r>
          </w:p>
        </w:tc>
        <w:tc>
          <w:tcPr>
            <w:tcW w:w="13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36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r>
      <w:tr>
        <w:trPr>
          <w:trHeight w:val="234"/>
        </w:trPr>
        <w:tc>
          <w:tcPr>
            <w:tcW w:w="4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Nonaccrual loans</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476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Loans past due 90 days or more</w:t>
            </w:r>
          </w:p>
        </w:tc>
        <w:tc>
          <w:tcPr>
            <w:tcW w:w="13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0C0C0"/>
          </w:tcPr>
          <w:p>
            <w:pPr>
              <w:spacing w:after="0"/>
              <w:rPr>
                <w:sz w:val="21"/>
                <w:szCs w:val="21"/>
                <w:color w:val="auto"/>
              </w:rPr>
            </w:pPr>
          </w:p>
        </w:tc>
        <w:tc>
          <w:tcPr>
            <w:tcW w:w="1360" w:type="dxa"/>
            <w:vAlign w:val="bottom"/>
            <w:shd w:val="clear" w:color="auto" w:fill="C0C0C0"/>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0C0C0"/>
          </w:tcPr>
          <w:p>
            <w:pPr>
              <w:spacing w:after="0"/>
              <w:rPr>
                <w:sz w:val="21"/>
                <w:szCs w:val="21"/>
                <w:color w:val="auto"/>
              </w:rPr>
            </w:pPr>
          </w:p>
        </w:tc>
        <w:tc>
          <w:tcPr>
            <w:tcW w:w="6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7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Troubled debt restructurings</w:t>
            </w:r>
          </w:p>
        </w:tc>
        <w:tc>
          <w:tcPr>
            <w:tcW w:w="1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4760" w:type="dxa"/>
            <w:vAlign w:val="bottom"/>
            <w:shd w:val="clear" w:color="auto" w:fill="C0C0C0"/>
          </w:tcPr>
          <w:p>
            <w:pPr>
              <w:ind w:left="540"/>
              <w:spacing w:after="0"/>
              <w:rPr>
                <w:sz w:val="20"/>
                <w:szCs w:val="20"/>
                <w:color w:val="auto"/>
              </w:rPr>
            </w:pPr>
            <w:r>
              <w:rPr>
                <w:rFonts w:ascii="Times New Roman" w:cs="Times New Roman" w:eastAsia="Times New Roman" w:hAnsi="Times New Roman"/>
                <w:sz w:val="18"/>
                <w:szCs w:val="18"/>
                <w:color w:val="auto"/>
              </w:rPr>
              <w:t>Total impaired loans</w:t>
            </w:r>
          </w:p>
        </w:tc>
        <w:tc>
          <w:tcPr>
            <w:tcW w:w="1540" w:type="dxa"/>
            <w:vAlign w:val="bottom"/>
            <w:gridSpan w:val="2"/>
            <w:shd w:val="clear" w:color="auto" w:fill="C0C0C0"/>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0C0C0"/>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0C0C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Foreclosed assets</w:t>
            </w:r>
          </w:p>
        </w:tc>
        <w:tc>
          <w:tcPr>
            <w:tcW w:w="15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76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Impaired loans as percentage of average loans</w:t>
            </w:r>
          </w:p>
        </w:tc>
        <w:tc>
          <w:tcPr>
            <w:tcW w:w="136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0C0C0"/>
          </w:tcPr>
          <w:p>
            <w:pPr>
              <w:spacing w:after="0"/>
              <w:rPr>
                <w:sz w:val="21"/>
                <w:szCs w:val="21"/>
                <w:color w:val="auto"/>
              </w:rPr>
            </w:pPr>
          </w:p>
        </w:tc>
        <w:tc>
          <w:tcPr>
            <w:tcW w:w="1360" w:type="dxa"/>
            <w:vAlign w:val="bottom"/>
            <w:tcBorders>
              <w:bottom w:val="single" w:sz="8" w:color="auto"/>
            </w:tcBorders>
            <w:shd w:val="clear" w:color="auto" w:fill="C0C0C0"/>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0C0C0"/>
          </w:tcPr>
          <w:p>
            <w:pPr>
              <w:spacing w:after="0"/>
              <w:rPr>
                <w:sz w:val="21"/>
                <w:szCs w:val="21"/>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had no property carried as other real estate owned as of June 30, 2019 or June 30, 2018.</w:t>
      </w:r>
    </w:p>
    <w:p>
      <w:pPr>
        <w:spacing w:after="0" w:line="22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operating expenses for the Second Quarter of 2019 were up 9.1%, or $2,508,000, compared to the Second Quarter of 2018 and were up $4,788,000, or 8.9%, for the First Half of 2019 compared to the First Half of 2018.</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Personnel expense for the Second Quarter of 2019 increased $1,214,000 compared to the Second Quarter of 2018 and increased $3,109,000 to $45,080,000 for the First Half of 2019 compared to the First Half of 2018 as the Company continued to invest in the technology and staff required to win and support new business, annual salary merit increases, and increased retirement plan costs.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Outside service expense for the Second Quarter of 2019 increased $372,000, or 20.2%, compared to the Second Quarter of 2018 and $525,000, or 14.1%, for the First Half of 2019 from the First Half of 2018. Equipment expense for the Second Quarter of 2019 increased $144,000, or 10.2%, compared to the Second Quarter of 2018 and $305,000, or 11.2%, for the First Half of 2019 from the First Half of 2018. These increases were the result of the continued strategic investment in technology to win and support new business and the ongoing restructuring of the IT organization.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assets at June 30, 2019 were $1,728,684,000, an increase of $33,508,000, or 2.0%, from December 31, 2018. The most significant changes in asset balances during this period were increases of $68,965,000 in loans and $13,571,000 in payments in excess of funding. These were partially offset by a decrease in cash and cash equivalents of $47,420,000. Changes in cash and cash equivalents reflect the Company’s daily liquidity position and are affected by the changes in the other asset balances and changes in deposit and accounts and drafts payable balances.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liabilities at June 30, 2019 were $1,488,263,000, an increase of $22,935,000, or 1.6%, from December 31, 2018. Total deposits at June 30, 2019 were $636,629,000, a decrease of $85,297,000, or 11.8%, from December 31, 2018. This deposit outflow was a result of the competitive interest rate environment and the fluctuations related to the B2B payment platform deposit accounts. Accounts and drafts payable at June 30, 2019 were $794,871,000, an increase of $100,511,000, or 14.5%, from December 31, 2018. Total shareholders’ equity at June 30, 2019 was $240,421,000, a $10,573,000, or 4.6%, increase from December 31, 2018. Total shareholders’ equity increased as a result of net income of $15,847,000 and the change in accumulated other comprehensive income of $8,940,000. These were partially offset by the share repurchases of $7,799,000 and dividends paid of $7,548,000.</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and drafts payable will fluctuate from period-end to period-end due to the payment processing cycle, which results in lower balances on days when payments clear and higher balances on days when payments are issued. For this reason, average balances are a more meaningful measure of accounts and drafts payable (for average balances refer to the tables under the “Distribution of Assets, Liabilities and Shareholders’ Equity; Interest Rate and Interest Differential” section of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balance of liquid assets consists of cash and cash equivalents, which include cash and due from banks, interest-bearing deposits in other financial institutions, federal funds sold and other short-term investments was $183,513,000 at June 30, 2019, a decrease of $47,420,000, or 20.5%, from December 31, 2018. At June 30, 2019, these assets represented 10.6% of total assets. These funds are the Company’s and its subsidiaries’ primary source of liquidity to meet future expected and unexpected loan demand, depositor withdrawals or reductions in accounts and drafts payable. Changes in the Company’s daily liquidity position are affected by the changes in the other asset balances and changes in deposit and accounts and drafts payable balances.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Secondary sources of liquidity include the investment portfolio and borrowing lines. Total investment in securities was $435,391,000 at June 30, 2019, a decrease of $6,143,000 from December 31, 2018. These assets represented 25.2% of total assets at June 30, 2019. Of this total, 76% were state and political subdivision securities. Of the total portfolio, 5.8% mature in one year or less, 26.9% mature in one to five years, and 67.3% mature in five or more years</w:t>
      </w:r>
      <w:r>
        <w:rPr>
          <w:rFonts w:ascii="Times New Roman" w:cs="Times New Roman" w:eastAsia="Times New Roman" w:hAnsi="Times New Roman"/>
          <w:sz w:val="18"/>
          <w:szCs w:val="18"/>
          <w:i w:val="1"/>
          <w:iCs w:val="1"/>
          <w:color w:val="auto"/>
        </w:rPr>
        <w: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Bank has unsecured lines of credit at correspondent banks to purchase federal funds up to a maximum of $83,000,000 at the following banks: US Bank, $20,000,000; UMB Bank, $20,000,000; Wells Fargo Bank, $15,000,000; Frost National Bank, $10,000,000; PNC Bank, $12,000,000; and JPM Chase Bank, $6,000,000. The Bank also has secured lines of credit with the Federal Home Loan Bank of $187,396,000 collateralized by commercial mortgage loans. The Company also has secured lines of credit with UMB Bank of $50,000,000 and First Tennessee Bank of $50,000,000 with state and political subdivision and U.S. government agency securities held in safekeeping to collateralize any borrowings. There were no amounts outstanding under any line of credit as of June 30, 2019 or December 31, 2018.</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8" w:name="page29"/>
    <w:bookmarkEnd w:id="28"/>
    <w:p>
      <w:pPr>
        <w:jc w:val="both"/>
        <w:spacing w:after="0" w:line="256" w:lineRule="auto"/>
        <w:rPr>
          <w:sz w:val="20"/>
          <w:szCs w:val="20"/>
          <w:color w:val="auto"/>
        </w:rPr>
      </w:pPr>
      <w:r>
        <w:rPr>
          <w:rFonts w:ascii="Times New Roman" w:cs="Times New Roman" w:eastAsia="Times New Roman" w:hAnsi="Times New Roman"/>
          <w:sz w:val="18"/>
          <w:szCs w:val="18"/>
          <w:color w:val="auto"/>
        </w:rPr>
        <w:t>The deposits of the Company’s banking subsidiary have historically been stable, consisting of a sizable volume of core deposits related to customers that utilize other commercial products of the Bank. However, as mentioned above the competitive interest rate environment has resulted in deposit outflow. The accounts and drafts payable generated by the Company has also historically been a stable source of funds. The Company is part of the Certificate of Deposit Account Registry Service (“CDARS”) and Insured Cash Sweep (“ICS”) deposit placement programs. Time deposits include $48,844,000 of CDARS deposits and interest-bearing demand deposits include $61,503,000 of ICS deposits. These programs offer the Bank’s customers the ability to maximize Federal Deposit Insurance Corporation (“FDIC”) insurance coverage. The Company uses these programs to retain or attract deposits from existing customers.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flows provided by operating activities were $26,373,000 for the First Half of 2019, compared with $25,096,000 for the First Half of 2018, an increase of $1,277,000. Net cash flows from investing and financing activities fluctuate greatly as the Company actively manages its investment and loan portfolios and customer activity influences changes in deposit and accounts and drafts payable balances. Other causes for the changes in these account balances are discussed earlier in this report. Due to the daily fluctuations in these account balances, the analysis of changes in average balances, also discussed earlier in this report, can be more indicative of underlying activity than the period-end balances used in the statements of cash flows. Management anticipates that cash and cash equivalents, maturing investments and cash from operations will continue to be sufficient to fund the Company’s operations and capital expenditures in 2019, which are estimated to range from $4 million to $6 million.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faces market risk to the extent that its net interest income and fair market value of equity are affected by changes in market interest rates. For information regarding the market risk of the Company’s financial instruments, see Item 3, “Quantitative and Qualitative Disclosures about Market Risk.”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several trends and uncertainties that may impact the Company’s ability to generate revenues and income at the levels that it has in the past. In addition, these trends and uncertainties may impact available liquidity. Those that could significantly impact the Company include the general levels of interest rates, business activity, and energy costs as well as new business opportunities available to the Company.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financial institution, a significant source of the Company’s earnings is generated from net interest income. Therefore, the prevailing interest rate environment is important to the Company’s performance. A major portion of the Company’s funding sources are the non-interest bearing accounts and drafts payable generated from its payment and information processing services. Accordingly, higher levels of interest rates will generally allow the Company to earn more net interest income. Conversely, a lower interest rate environment will generally tend to depress net interest income. The Company actively manages its balance sheet in an effort to maximize net interest income as the interest rate environment changes. This balance sheet management impacts the mix of earning assets maintained by the Company at any point in time. For example, in a low interest rate environment, short-term relatively lower rate liquid investments may be reduced in favor of longer-term relatively higher yielding investments and loans. If the primary source of liquidity is reduced in a low interest rate environment, a greater reliance would be placed on secondary sources of liquidity including borrowing lines, the ability of the Bank to generate deposits, and the investment portfolio to ensure overall liquidity remains at acceptable levels.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overall level of economic activity can have a significant impact on the Company’s ability to generate revenues and income, as the volume and size of customer invoices processed may increase or decrease. Higher levels of economic activity increase both fee income (as more invoices are processed) and balances of accounts and drafts payable.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relative level of energy costs can impact the Company’s earnings and available liquidity. Lower levels of energy costs will tend to decrease transportation and energy invoice amounts resulting in a corresponding decrease in accounts and drafts payable. Decreases in accounts and drafts payable generate lower interest income and reduce liquidity.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New business opportunities are an important component of the Company’s strategy to grow earnings and improve performance. Generating new customers allows the Company to leverage existing systems and facilities and grow revenues faster than expenses.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Basel III Capital Rules require FDIC insured depository institutions to meet and maintain several minimum capital standards: a common equity Tier 1 capital to risk-based assets ratio of 4.5%, a Tier 1 capital to risk-based assets ratio of 6.0%, a total capital to risk-based assets of 8.0%, and a 4.0% Tier 1 capital to total assets leverage ratio.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9" w:name="page30"/>
    <w:bookmarkEnd w:id="29"/>
    <w:p>
      <w:pPr>
        <w:jc w:val="both"/>
        <w:spacing w:after="0" w:line="255" w:lineRule="auto"/>
        <w:rPr>
          <w:sz w:val="20"/>
          <w:szCs w:val="20"/>
          <w:color w:val="auto"/>
        </w:rPr>
      </w:pPr>
      <w:r>
        <w:rPr>
          <w:rFonts w:ascii="Times New Roman" w:cs="Times New Roman" w:eastAsia="Times New Roman" w:hAnsi="Times New Roman"/>
          <w:sz w:val="18"/>
          <w:szCs w:val="18"/>
          <w:color w:val="auto"/>
        </w:rPr>
        <w:t>Common equity Tier 1 capital is generally defined as common stockholders’ equity and retained earnings. Tier 1 capital is generally defined as common equity Tier 1 and Additional Tier 1 capital. Additional Tier 1 capital generally includes certain noncumulative perpetual preferred stock and related surplus and minority interests in equity accounts of consolidated subsidiaries. Total capital includes Tier 1 capital (common equity Tier 1 capital plus Additional Tier 1 capital) and Tier 2 capital. Tier 2 capital is comprised of capital instruments and related surplus meeting specified requirements. Also included in Tier 2 capital is the allowance for loan losses limited to a maximum of 1.25% of risk-weighted assets and, for non-advanced approaches institutions like Cass that have exercised a one-time opt-out election regarding the treatment of Accumulated Other Comprehensive Income, up to 45% of net unrealized gains on available-for-sale equity securities with readily determinable fair market values. The calculation of all types of regulatory capital is subject to deductions and adjustments specified in applicable regulations.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determining the amount of risk-weighted assets for purposes of calculating risk-based capital ratios, all assets, including certain off-balance sheet assets are multiplied by a risk weight factor assigned by the regulations based on the risks believed inherent in the type of asset. Higher levels of capital are required for asset categories believed to present greater risk. For example, a risk weight of 0% is assigned to cash and U.S. government securities, a risk weight of 50% is generally assigned to prudently underwritten first lien one to four-family residential mortgages, a risk weight of 100% is assigned to commercial and consumer loans, a risk weight of 150% is assigned to certain past due loans, and a risk weight of between 0% to 600% is assigned to permissible equity interests, depending on certain specified factors.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Fully phased-in as of January 1, 2019, the Basel III Capital Rules require banking organizations, like Cass, to maintain:</w:t>
      </w:r>
    </w:p>
    <w:p>
      <w:pPr>
        <w:spacing w:after="0" w:line="225" w:lineRule="exact"/>
        <w:rPr>
          <w:sz w:val="20"/>
          <w:szCs w:val="20"/>
          <w:color w:val="auto"/>
        </w:rPr>
      </w:pPr>
    </w:p>
    <w:p>
      <w:pPr>
        <w:ind w:left="540" w:hanging="262"/>
        <w:spacing w:after="0"/>
        <w:tabs>
          <w:tab w:leader="none" w:pos="5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minimum ratio of common equity Tier 1 capital to risk-weighted assets of at least 4.5%, plus a 2.5% capital conservation buffer;</w:t>
      </w:r>
    </w:p>
    <w:p>
      <w:pPr>
        <w:spacing w:after="0" w:line="27" w:lineRule="exact"/>
        <w:rPr>
          <w:rFonts w:ascii="Times New Roman" w:cs="Times New Roman" w:eastAsia="Times New Roman" w:hAnsi="Times New Roman"/>
          <w:sz w:val="17"/>
          <w:szCs w:val="17"/>
          <w:color w:val="auto"/>
        </w:rPr>
      </w:pPr>
    </w:p>
    <w:p>
      <w:pPr>
        <w:ind w:left="540" w:hanging="262"/>
        <w:spacing w:after="0"/>
        <w:tabs>
          <w:tab w:leader="none" w:pos="5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minimum ratio of Tier 1 capital to risk-weighted assets of at least 6.0%, plus a 2.5% capital conservation buffer;</w:t>
      </w:r>
    </w:p>
    <w:p>
      <w:pPr>
        <w:spacing w:after="0" w:line="9" w:lineRule="exact"/>
        <w:rPr>
          <w:rFonts w:ascii="Times New Roman" w:cs="Times New Roman" w:eastAsia="Times New Roman" w:hAnsi="Times New Roman"/>
          <w:sz w:val="17"/>
          <w:szCs w:val="17"/>
          <w:color w:val="auto"/>
        </w:rPr>
      </w:pPr>
    </w:p>
    <w:p>
      <w:pPr>
        <w:ind w:left="540" w:hanging="262"/>
        <w:spacing w:after="0" w:line="250" w:lineRule="auto"/>
        <w:tabs>
          <w:tab w:leader="none" w:pos="5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minimum ratio of total capital (that is, Tier 1 plus Tier 2 capital) to risk-weighted assets of at least 8.0%, plus the 2.5% capital conservation buffer; and</w:t>
      </w:r>
    </w:p>
    <w:p>
      <w:pPr>
        <w:ind w:left="540" w:hanging="262"/>
        <w:spacing w:after="0"/>
        <w:tabs>
          <w:tab w:leader="none" w:pos="5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minimum leverage ratio of 4.0%, calculated as the ratio of Tier 1 capital to adjusted average consolidated assets.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capital conservation buffer is designed to absorb losses during periods of economic stress. Banking institutions with a ratio of common equity Tier 1 capital to risk-weighted assets above the minimum but below the conservation buffer will face limitations on the payment of dividends, common stock repurchases and discretionary cash payments to executive officers based on the amount of the shortfall.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the Bank continue to exceed all regulatory capital requirements, as evidenced by the following capital amounts and ratios: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5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50"/>
        </w:trPr>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1540" w:type="dxa"/>
            <w:vAlign w:val="bottom"/>
            <w:tcBorders>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0" w:type="dxa"/>
            <w:vAlign w:val="bottom"/>
          </w:tcPr>
          <w:p>
            <w:pPr>
              <w:spacing w:after="0"/>
              <w:rPr>
                <w:sz w:val="21"/>
                <w:szCs w:val="21"/>
                <w:color w:val="auto"/>
              </w:rPr>
            </w:pPr>
          </w:p>
        </w:tc>
      </w:tr>
      <w:tr>
        <w:trPr>
          <w:trHeight w:val="243"/>
        </w:trPr>
        <w:tc>
          <w:tcPr>
            <w:tcW w:w="554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5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4"/>
        </w:trPr>
        <w:tc>
          <w:tcPr>
            <w:tcW w:w="5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246,788</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244,660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20" w:type="dxa"/>
            <w:vAlign w:val="bottom"/>
          </w:tcPr>
          <w:p>
            <w:pPr>
              <w:spacing w:after="0"/>
              <w:rPr>
                <w:sz w:val="20"/>
                <w:szCs w:val="20"/>
                <w:color w:val="auto"/>
              </w:rPr>
            </w:pPr>
          </w:p>
        </w:tc>
      </w:tr>
      <w:tr>
        <w:trPr>
          <w:trHeight w:val="252"/>
        </w:trPr>
        <w:tc>
          <w:tcPr>
            <w:tcW w:w="554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Cass Commercial Bank</w:t>
            </w:r>
          </w:p>
        </w:tc>
        <w:tc>
          <w:tcPr>
            <w:tcW w:w="15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146,107</w:t>
            </w:r>
          </w:p>
        </w:tc>
        <w:tc>
          <w:tcPr>
            <w:tcW w:w="96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18.38%</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150"/>
              <w:spacing w:after="0"/>
              <w:rPr>
                <w:sz w:val="20"/>
                <w:szCs w:val="20"/>
                <w:color w:val="auto"/>
              </w:rPr>
            </w:pPr>
            <w:r>
              <w:rPr>
                <w:rFonts w:ascii="Times New Roman" w:cs="Times New Roman" w:eastAsia="Times New Roman" w:hAnsi="Times New Roman"/>
                <w:sz w:val="18"/>
                <w:szCs w:val="18"/>
                <w:color w:val="auto"/>
              </w:rPr>
              <w:t>137,894</w:t>
            </w:r>
          </w:p>
        </w:tc>
        <w:tc>
          <w:tcPr>
            <w:tcW w:w="8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20" w:type="dxa"/>
            <w:vAlign w:val="bottom"/>
          </w:tcPr>
          <w:p>
            <w:pPr>
              <w:spacing w:after="0"/>
              <w:rPr>
                <w:sz w:val="21"/>
                <w:szCs w:val="21"/>
                <w:color w:val="auto"/>
              </w:rPr>
            </w:pPr>
          </w:p>
        </w:tc>
      </w:t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Common Equity Tier I Capital (to risk-weighted assets)</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2"/>
        </w:trPr>
        <w:tc>
          <w:tcPr>
            <w:tcW w:w="554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660" w:type="dxa"/>
            <w:vAlign w:val="bottom"/>
            <w:gridSpan w:val="2"/>
            <w:shd w:val="clear" w:color="auto" w:fill="C0C0C0"/>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236,282</w:t>
            </w:r>
          </w:p>
        </w:tc>
        <w:tc>
          <w:tcPr>
            <w:tcW w:w="96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19.20%</w:t>
            </w:r>
          </w:p>
        </w:tc>
        <w:tc>
          <w:tcPr>
            <w:tcW w:w="260" w:type="dxa"/>
            <w:vAlign w:val="bottom"/>
            <w:gridSpan w:val="2"/>
            <w:shd w:val="clear" w:color="auto" w:fill="C0C0C0"/>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0C0C0"/>
          </w:tcPr>
          <w:p>
            <w:pPr>
              <w:jc w:val="right"/>
              <w:ind w:right="150"/>
              <w:spacing w:after="0"/>
              <w:rPr>
                <w:sz w:val="20"/>
                <w:szCs w:val="20"/>
                <w:color w:val="auto"/>
              </w:rPr>
            </w:pPr>
            <w:r>
              <w:rPr>
                <w:rFonts w:ascii="Times New Roman" w:cs="Times New Roman" w:eastAsia="Times New Roman" w:hAnsi="Times New Roman"/>
                <w:sz w:val="18"/>
                <w:szCs w:val="18"/>
                <w:color w:val="auto"/>
              </w:rPr>
              <w:t>234,435</w:t>
            </w:r>
          </w:p>
        </w:tc>
        <w:tc>
          <w:tcPr>
            <w:tcW w:w="8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20" w:type="dxa"/>
            <w:vAlign w:val="bottom"/>
          </w:tcPr>
          <w:p>
            <w:pPr>
              <w:spacing w:after="0"/>
              <w:rPr>
                <w:sz w:val="21"/>
                <w:szCs w:val="21"/>
                <w:color w:val="auto"/>
              </w:rPr>
            </w:pPr>
          </w:p>
        </w:tc>
      </w:tr>
      <w:tr>
        <w:trPr>
          <w:trHeight w:val="234"/>
        </w:trPr>
        <w:tc>
          <w:tcPr>
            <w:tcW w:w="5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Cass Commercial Bank</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138,069</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17.37%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130,037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20" w:type="dxa"/>
            <w:vAlign w:val="bottom"/>
          </w:tcPr>
          <w:p>
            <w:pPr>
              <w:spacing w:after="0"/>
              <w:rPr>
                <w:sz w:val="20"/>
                <w:szCs w:val="20"/>
                <w:color w:val="auto"/>
              </w:rPr>
            </w:pPr>
          </w:p>
        </w:tc>
      </w:tr>
      <w:tr>
        <w:trPr>
          <w:trHeight w:val="252"/>
        </w:trPr>
        <w:tc>
          <w:tcPr>
            <w:tcW w:w="5540" w:type="dxa"/>
            <w:vAlign w:val="bottom"/>
            <w:shd w:val="clear" w:color="auto" w:fill="C0C0C0"/>
          </w:tcPr>
          <w:p>
            <w:pPr>
              <w:spacing w:after="0"/>
              <w:rPr>
                <w:sz w:val="20"/>
                <w:szCs w:val="20"/>
                <w:color w:val="auto"/>
              </w:rPr>
            </w:pPr>
            <w:r>
              <w:rPr>
                <w:rFonts w:ascii="Times New Roman" w:cs="Times New Roman" w:eastAsia="Times New Roman" w:hAnsi="Times New Roman"/>
                <w:sz w:val="18"/>
                <w:szCs w:val="18"/>
                <w:color w:val="auto"/>
              </w:rPr>
              <w:t>Tier I capital (to risk-weighted assets)</w:t>
            </w:r>
          </w:p>
        </w:tc>
        <w:tc>
          <w:tcPr>
            <w:tcW w:w="15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4"/>
        </w:trPr>
        <w:tc>
          <w:tcPr>
            <w:tcW w:w="5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236,282</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19.20%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234,435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20" w:type="dxa"/>
            <w:vAlign w:val="bottom"/>
          </w:tcPr>
          <w:p>
            <w:pPr>
              <w:spacing w:after="0"/>
              <w:rPr>
                <w:sz w:val="20"/>
                <w:szCs w:val="20"/>
                <w:color w:val="auto"/>
              </w:rPr>
            </w:pPr>
          </w:p>
        </w:tc>
      </w:tr>
      <w:tr>
        <w:trPr>
          <w:trHeight w:val="252"/>
        </w:trPr>
        <w:tc>
          <w:tcPr>
            <w:tcW w:w="554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Cass Commercial Bank</w:t>
            </w:r>
          </w:p>
        </w:tc>
        <w:tc>
          <w:tcPr>
            <w:tcW w:w="15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138,069</w:t>
            </w:r>
          </w:p>
        </w:tc>
        <w:tc>
          <w:tcPr>
            <w:tcW w:w="96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17.37%</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150"/>
              <w:spacing w:after="0"/>
              <w:rPr>
                <w:sz w:val="20"/>
                <w:szCs w:val="20"/>
                <w:color w:val="auto"/>
              </w:rPr>
            </w:pPr>
            <w:r>
              <w:rPr>
                <w:rFonts w:ascii="Times New Roman" w:cs="Times New Roman" w:eastAsia="Times New Roman" w:hAnsi="Times New Roman"/>
                <w:sz w:val="18"/>
                <w:szCs w:val="18"/>
                <w:color w:val="auto"/>
              </w:rPr>
              <w:t>130,037</w:t>
            </w:r>
          </w:p>
        </w:tc>
        <w:tc>
          <w:tcPr>
            <w:tcW w:w="8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20" w:type="dxa"/>
            <w:vAlign w:val="bottom"/>
          </w:tcPr>
          <w:p>
            <w:pPr>
              <w:spacing w:after="0"/>
              <w:rPr>
                <w:sz w:val="21"/>
                <w:szCs w:val="21"/>
                <w:color w:val="auto"/>
              </w:rPr>
            </w:pPr>
          </w:p>
        </w:tc>
      </w:t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Tier I capital (to average assets)</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2"/>
        </w:trPr>
        <w:tc>
          <w:tcPr>
            <w:tcW w:w="5540" w:type="dxa"/>
            <w:vAlign w:val="bottom"/>
            <w:shd w:val="clear" w:color="auto" w:fill="C0C0C0"/>
          </w:tcPr>
          <w:p>
            <w:pPr>
              <w:ind w:left="28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660" w:type="dxa"/>
            <w:vAlign w:val="bottom"/>
            <w:gridSpan w:val="2"/>
            <w:shd w:val="clear" w:color="auto" w:fill="C0C0C0"/>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0C0C0"/>
          </w:tcPr>
          <w:p>
            <w:pPr>
              <w:jc w:val="right"/>
              <w:ind w:right="130"/>
              <w:spacing w:after="0"/>
              <w:rPr>
                <w:sz w:val="20"/>
                <w:szCs w:val="20"/>
                <w:color w:val="auto"/>
              </w:rPr>
            </w:pPr>
            <w:r>
              <w:rPr>
                <w:rFonts w:ascii="Times New Roman" w:cs="Times New Roman" w:eastAsia="Times New Roman" w:hAnsi="Times New Roman"/>
                <w:sz w:val="18"/>
                <w:szCs w:val="18"/>
                <w:color w:val="auto"/>
              </w:rPr>
              <w:t>236,282</w:t>
            </w:r>
          </w:p>
        </w:tc>
        <w:tc>
          <w:tcPr>
            <w:tcW w:w="960" w:type="dxa"/>
            <w:vAlign w:val="bottom"/>
            <w:gridSpan w:val="2"/>
            <w:shd w:val="clear" w:color="auto" w:fill="C0C0C0"/>
          </w:tcPr>
          <w:p>
            <w:pPr>
              <w:jc w:val="right"/>
              <w:ind w:right="140"/>
              <w:spacing w:after="0"/>
              <w:rPr>
                <w:sz w:val="20"/>
                <w:szCs w:val="20"/>
                <w:color w:val="auto"/>
              </w:rPr>
            </w:pPr>
            <w:r>
              <w:rPr>
                <w:rFonts w:ascii="Times New Roman" w:cs="Times New Roman" w:eastAsia="Times New Roman" w:hAnsi="Times New Roman"/>
                <w:sz w:val="18"/>
                <w:szCs w:val="18"/>
                <w:color w:val="auto"/>
              </w:rPr>
              <w:t>13.99%</w:t>
            </w:r>
          </w:p>
        </w:tc>
        <w:tc>
          <w:tcPr>
            <w:tcW w:w="260" w:type="dxa"/>
            <w:vAlign w:val="bottom"/>
            <w:gridSpan w:val="2"/>
            <w:shd w:val="clear" w:color="auto" w:fill="C0C0C0"/>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0C0C0"/>
          </w:tcPr>
          <w:p>
            <w:pPr>
              <w:jc w:val="right"/>
              <w:ind w:right="150"/>
              <w:spacing w:after="0"/>
              <w:rPr>
                <w:sz w:val="20"/>
                <w:szCs w:val="20"/>
                <w:color w:val="auto"/>
              </w:rPr>
            </w:pPr>
            <w:r>
              <w:rPr>
                <w:rFonts w:ascii="Times New Roman" w:cs="Times New Roman" w:eastAsia="Times New Roman" w:hAnsi="Times New Roman"/>
                <w:sz w:val="18"/>
                <w:szCs w:val="18"/>
                <w:color w:val="auto"/>
              </w:rPr>
              <w:t>234,435</w:t>
            </w:r>
          </w:p>
        </w:tc>
        <w:tc>
          <w:tcPr>
            <w:tcW w:w="86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0" w:type="dxa"/>
            <w:vAlign w:val="bottom"/>
          </w:tcPr>
          <w:p>
            <w:pPr>
              <w:spacing w:after="0"/>
              <w:rPr>
                <w:sz w:val="21"/>
                <w:szCs w:val="21"/>
                <w:color w:val="auto"/>
              </w:rPr>
            </w:pPr>
          </w:p>
        </w:tc>
      </w:tr>
      <w:tr>
        <w:trPr>
          <w:trHeight w:val="250"/>
        </w:trPr>
        <w:tc>
          <w:tcPr>
            <w:tcW w:w="55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Cass Commercial Bank</w:t>
            </w:r>
          </w:p>
        </w:tc>
        <w:tc>
          <w:tcPr>
            <w:tcW w:w="15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138,069</w:t>
            </w:r>
          </w:p>
        </w:tc>
        <w:tc>
          <w:tcPr>
            <w:tcW w:w="9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16.90%</w:t>
            </w: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130,037</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20" w:type="dxa"/>
            <w:vAlign w:val="bottom"/>
            <w:tcBorders>
              <w:bottom w:val="single" w:sz="8" w:color="auto"/>
            </w:tcBorders>
          </w:tcPr>
          <w:p>
            <w:pPr>
              <w:spacing w:after="0"/>
              <w:rPr>
                <w:sz w:val="21"/>
                <w:szCs w:val="2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assets and liabilities are primarily monetary, consisting of cash, cash equivalents, securities, loans, payables and deposits. Monetary assets and liabilities are those that can be converted into a fixed number of dollars. The Company's consolidated balance sheet reflects a net positive monetary position (monetary assets exceed monetary liabilities). During periods of inflation, the holding of a net positive monetary position will result in an overall decline in the purchasing power of a company. Management believes that replacement costs of equipment, furniture, and leasehold improvements will not materially affect operations. The rate of inflation does affect certain expenses, such as those for employee compensation, which may not be readily recoverable in the price of the Company’s services.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Impact of New and Not Yet Adopted Accounting Pronouncements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 </w:t>
      </w:r>
      <w:r>
        <w:rPr>
          <w:rFonts w:ascii="Times New Roman" w:cs="Times New Roman" w:eastAsia="Times New Roman" w:hAnsi="Times New Roman"/>
          <w:sz w:val="18"/>
          <w:szCs w:val="18"/>
          <w:i w:val="1"/>
          <w:iCs w:val="1"/>
          <w:color w:val="auto"/>
        </w:rPr>
        <w:t>Leases (ASC Topic 842)</w:t>
      </w:r>
      <w:r>
        <w:rPr>
          <w:rFonts w:ascii="Times New Roman" w:cs="Times New Roman" w:eastAsia="Times New Roman" w:hAnsi="Times New Roman"/>
          <w:sz w:val="18"/>
          <w:szCs w:val="18"/>
          <w:color w:val="auto"/>
        </w:rPr>
        <w:t>. The ASU improves financial reporting about leasing transactions. The ASU affects all companies and other organizations that lease assets such as real estate, airplanes, and manufacturing equipment. Consistent with current generally accepted accounting principles (GAAP), the recognition, measurement, and presentation of expenses and cash flows arising from a lease by a lessee primarily will depend on its classification as a finance or operating lease. However, unlike current GAAP—which requires only capital leases to be recognized on the balance sheet—the new ASU will require both types of leases to be recognized on the balance sheet. The ASU also requires disclosures to help investors and other financial statement users better understand the amount, timing, and uncertainty of cash flows arising from leases. These disclosures include qualitative and quantitative requirements, providing additional information about the amounts recorded in the financial statements. The Company elected to apply ASU 2016-02 as of the beginning of the period of adoption (January 1, 2019) and will not restate comparative periods. The Company has elected to apply the package of practical expedients allowed by the new standard under which the Company need not reassess (i) whether any expired or existing contracts are or contain leases, (ii) the lease classification for any expired or existing leases and (iii) initial direct costs for any existing leases. Adoption of the ASU resulted in the recognition of lease liabilities totaling $7,808,000 and the right-of-use assets totaling $7,383,000. The initial balance sheet gross up upon adoption was related to operating leases of certain real estate properties. See Note 14 – Leases for additional disclosures related to leases.</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The ASU requires measurement and recognition of expected credit losses for financial assets held. Under this standard, it will be required to hold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allowance equal to the expected life-of-loan losses on the loan portfolio. The standard is effective for fiscal periods beginning after December 15, 2019. The Company has formed a cross-functional working group under the direction of the Chief Financial Officer comprised of individuals from various functional areas including credit, risk management, finance, and accounting to address the adoption and implementation of the ASU. The group is currently working through the implementation plan and in the process of developing an in-house solution to use in the adoption of the ASU. The Company expects to recognize a one-time cumulative effect adjustment to the allowance for loan losses as of the beginning of the first reporting period in which the new standard is effective, but cannot yet determine the magnitude of any such one-time adjustment or the overall impact of the new guidance on the consolidated financial statements.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in the Company’s Annual Report on Form 10-K for the year ended December 31, 2018, the Company manages its interest rate risk through measurement techniques that include gap analysis and a simulation model. As part of the risk management process, asset/liability management policies are established and monitored by management. The policy objective is to limit the change in annualized net interest income to 15.0% from an immediate and sustained parallel change in interest rates of 200 basis points. Based on the Company’s most recent evaluation, management does not believe the Company’s risk position at June 30, 2019 has changed materially from that at December 31, 2018.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management, under the supervision and with the participation of the principal executive officer and the principal financial officer, evaluated the effectiveness of the Company’s disclosure controls and procedures (as defined in Rules 13a-15e and 15d-15e under the Securities Exchange Act of 1934, as amended) as of the end of the period covered by this report and concluded that, as of such date, these controls and procedures were effective.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the Second Quarter of 2019 in the Company’s internal control over financial reporting identified by the Company’s principal executive officer and principal financial officer in connection with their evaluation that materially affected or are reasonably likely to materially affect the Company’s internal control over financial reporting (as defined in Rules 13a-15(f) and 15d-15(f) under the Securities Exchange Act of 1934, as amended).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31" w:lineRule="exact"/>
        <w:rPr>
          <w:sz w:val="20"/>
          <w:szCs w:val="20"/>
          <w:color w:val="auto"/>
        </w:rPr>
      </w:pPr>
    </w:p>
    <w:p>
      <w:pPr>
        <w:jc w:val="both"/>
        <w:ind w:left="840"/>
        <w:spacing w:after="0" w:line="255" w:lineRule="auto"/>
        <w:rPr>
          <w:sz w:val="20"/>
          <w:szCs w:val="20"/>
          <w:color w:val="auto"/>
        </w:rPr>
      </w:pPr>
      <w:r>
        <w:rPr>
          <w:rFonts w:ascii="Times New Roman" w:cs="Times New Roman" w:eastAsia="Times New Roman" w:hAnsi="Times New Roman"/>
          <w:sz w:val="18"/>
          <w:szCs w:val="18"/>
          <w:color w:val="auto"/>
        </w:rPr>
        <w:t>The Company is the subject of various pending or threatened legal actions and proceedings, including those that arise in the ordinary course of business. Management believes the outcome of all such proceedings will not have a material effect on the businesses or financial conditions of the Company or its subsidiaries.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1" w:lineRule="exact"/>
        <w:rPr>
          <w:sz w:val="20"/>
          <w:szCs w:val="20"/>
          <w:color w:val="auto"/>
        </w:rPr>
      </w:pPr>
    </w:p>
    <w:p>
      <w:pPr>
        <w:jc w:val="both"/>
        <w:ind w:left="840"/>
        <w:spacing w:after="0" w:line="255" w:lineRule="auto"/>
        <w:rPr>
          <w:sz w:val="20"/>
          <w:szCs w:val="20"/>
          <w:color w:val="auto"/>
        </w:rPr>
      </w:pPr>
      <w:r>
        <w:rPr>
          <w:rFonts w:ascii="Times New Roman" w:cs="Times New Roman" w:eastAsia="Times New Roman" w:hAnsi="Times New Roman"/>
          <w:sz w:val="18"/>
          <w:szCs w:val="18"/>
          <w:color w:val="auto"/>
        </w:rPr>
        <w:t>The Company has included in Part I, Item 1A of its Annual Report on Form 10-K for the year ended December 31, 2018, a description of certain risks and uncertainties that could affect the Company’s business, future performance or financial condition (the “Risk Factors”). There are no material changes to the Risk Factors as disclosed in the Company’s 2018 Annual Report on Form 10-K.</w:t>
      </w:r>
    </w:p>
    <w:p>
      <w:pPr>
        <w:spacing w:after="0" w:line="20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31" w:lineRule="exact"/>
        <w:rPr>
          <w:sz w:val="20"/>
          <w:szCs w:val="20"/>
          <w:color w:val="auto"/>
        </w:rPr>
      </w:pPr>
    </w:p>
    <w:p>
      <w:pPr>
        <w:jc w:val="both"/>
        <w:ind w:left="840"/>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2019, the Company repurchased a total of 46,778 shares of its common stock pursuant to its treasury stock buyback program, as follows:</w:t>
      </w:r>
    </w:p>
    <w:p>
      <w:pPr>
        <w:spacing w:after="0" w:line="216" w:lineRule="exact"/>
        <w:rPr>
          <w:sz w:val="20"/>
          <w:szCs w:val="20"/>
          <w:color w:val="auto"/>
        </w:rPr>
      </w:pPr>
    </w:p>
    <w:tbl>
      <w:tblPr>
        <w:tblLayout w:type="fixed"/>
        <w:tblInd w:w="76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0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43"/>
        </w:trPr>
        <w:tc>
          <w:tcPr>
            <w:tcW w:w="398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0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43"/>
        </w:trPr>
        <w:tc>
          <w:tcPr>
            <w:tcW w:w="398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0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Shares that</w:t>
            </w:r>
          </w:p>
        </w:tc>
      </w:tr>
      <w:tr>
        <w:trPr>
          <w:trHeight w:val="243"/>
        </w:trPr>
        <w:tc>
          <w:tcPr>
            <w:tcW w:w="398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10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May Yet Be</w:t>
            </w:r>
          </w:p>
        </w:tc>
      </w:tr>
      <w:tr>
        <w:trPr>
          <w:trHeight w:val="243"/>
        </w:trPr>
        <w:tc>
          <w:tcPr>
            <w:tcW w:w="3980" w:type="dxa"/>
            <w:vAlign w:val="bottom"/>
          </w:tcPr>
          <w:p>
            <w:pPr>
              <w:spacing w:after="0"/>
              <w:rPr>
                <w:sz w:val="21"/>
                <w:szCs w:val="21"/>
                <w:color w:val="auto"/>
              </w:rPr>
            </w:pPr>
          </w:p>
        </w:tc>
        <w:tc>
          <w:tcPr>
            <w:tcW w:w="276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10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43"/>
        </w:trPr>
        <w:tc>
          <w:tcPr>
            <w:tcW w:w="3980" w:type="dxa"/>
            <w:vAlign w:val="bottom"/>
          </w:tcPr>
          <w:p>
            <w:pPr>
              <w:spacing w:after="0"/>
              <w:rPr>
                <w:sz w:val="21"/>
                <w:szCs w:val="21"/>
                <w:color w:val="auto"/>
              </w:rPr>
            </w:pPr>
          </w:p>
        </w:tc>
        <w:tc>
          <w:tcPr>
            <w:tcW w:w="276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Under the</w:t>
            </w:r>
          </w:p>
        </w:tc>
      </w:tr>
      <w:tr>
        <w:trPr>
          <w:trHeight w:val="243"/>
        </w:trPr>
        <w:tc>
          <w:tcPr>
            <w:tcW w:w="3980" w:type="dxa"/>
            <w:vAlign w:val="bottom"/>
          </w:tcPr>
          <w:p>
            <w:pPr>
              <w:spacing w:after="0"/>
              <w:rPr>
                <w:sz w:val="21"/>
                <w:szCs w:val="21"/>
                <w:color w:val="auto"/>
              </w:rPr>
            </w:pPr>
          </w:p>
        </w:tc>
        <w:tc>
          <w:tcPr>
            <w:tcW w:w="276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10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Plans or</w:t>
            </w:r>
          </w:p>
        </w:tc>
      </w:tr>
      <w:tr>
        <w:trPr>
          <w:trHeight w:val="331"/>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76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400" w:type="dxa"/>
            <w:vAlign w:val="bottom"/>
          </w:tcPr>
          <w:p>
            <w:pPr>
              <w:jc w:val="center"/>
              <w:spacing w:after="0" w:line="324" w:lineRule="exact"/>
              <w:rPr>
                <w:sz w:val="20"/>
                <w:szCs w:val="20"/>
                <w:color w:val="auto"/>
              </w:rPr>
            </w:pPr>
            <w:r>
              <w:rPr>
                <w:rFonts w:ascii="Times New Roman" w:cs="Times New Roman" w:eastAsia="Times New Roman" w:hAnsi="Times New Roman"/>
                <w:sz w:val="18"/>
                <w:szCs w:val="18"/>
                <w:b w:val="1"/>
                <w:bCs w:val="1"/>
                <w:color w:val="auto"/>
                <w:w w:val="97"/>
              </w:rPr>
              <w:t>Programs</w:t>
            </w:r>
            <w:r>
              <w:rPr>
                <w:rFonts w:ascii="Times New Roman" w:cs="Times New Roman" w:eastAsia="Times New Roman" w:hAnsi="Times New Roman"/>
                <w:sz w:val="30"/>
                <w:szCs w:val="30"/>
                <w:b w:val="1"/>
                <w:bCs w:val="1"/>
                <w:color w:val="auto"/>
                <w:w w:val="97"/>
                <w:vertAlign w:val="superscript"/>
              </w:rPr>
              <w:t>1</w:t>
            </w:r>
          </w:p>
        </w:tc>
        <w:tc>
          <w:tcPr>
            <w:tcW w:w="10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Programs</w:t>
            </w:r>
          </w:p>
        </w:tc>
      </w:tr>
      <w:tr>
        <w:trPr>
          <w:trHeight w:val="243"/>
        </w:trPr>
        <w:tc>
          <w:tcPr>
            <w:tcW w:w="3980" w:type="dxa"/>
            <w:vAlign w:val="bottom"/>
            <w:tcBorders>
              <w:top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April 1, 2019 – April 30, 2019</w:t>
            </w:r>
          </w:p>
        </w:tc>
        <w:tc>
          <w:tcPr>
            <w:tcW w:w="2760" w:type="dxa"/>
            <w:vAlign w:val="bottom"/>
            <w:tcBorders>
              <w:top w:val="single" w:sz="8" w:color="auto"/>
            </w:tcBorders>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0C0C0"/>
          </w:tcPr>
          <w:p>
            <w:pPr>
              <w:spacing w:after="0"/>
              <w:rPr>
                <w:sz w:val="21"/>
                <w:szCs w:val="21"/>
                <w:color w:val="auto"/>
              </w:rPr>
            </w:pPr>
          </w:p>
        </w:tc>
        <w:tc>
          <w:tcPr>
            <w:tcW w:w="880" w:type="dxa"/>
            <w:vAlign w:val="bottom"/>
            <w:tcBorders>
              <w:top w:val="single" w:sz="8" w:color="auto"/>
            </w:tcBorders>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497,000</w:t>
            </w:r>
          </w:p>
        </w:tc>
        <w:tc>
          <w:tcPr>
            <w:tcW w:w="20" w:type="dxa"/>
            <w:vAlign w:val="bottom"/>
          </w:tcPr>
          <w:p>
            <w:pPr>
              <w:spacing w:after="0"/>
              <w:rPr>
                <w:sz w:val="21"/>
                <w:szCs w:val="21"/>
                <w:color w:val="auto"/>
              </w:rPr>
            </w:pP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May 1, 2019 – May 31, 2019</w:t>
            </w:r>
          </w:p>
        </w:tc>
        <w:tc>
          <w:tcPr>
            <w:tcW w:w="2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28,225</w:t>
            </w: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44.86</w:t>
            </w: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28,225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468,775</w:t>
            </w:r>
          </w:p>
        </w:tc>
        <w:tc>
          <w:tcPr>
            <w:tcW w:w="20" w:type="dxa"/>
            <w:vAlign w:val="bottom"/>
          </w:tcPr>
          <w:p>
            <w:pPr>
              <w:spacing w:after="0"/>
              <w:rPr>
                <w:sz w:val="20"/>
                <w:szCs w:val="20"/>
                <w:color w:val="auto"/>
              </w:rPr>
            </w:pPr>
          </w:p>
        </w:tc>
      </w:tr>
      <w:tr>
        <w:trPr>
          <w:trHeight w:val="247"/>
        </w:trPr>
        <w:tc>
          <w:tcPr>
            <w:tcW w:w="398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8"/>
                <w:szCs w:val="18"/>
                <w:color w:val="auto"/>
              </w:rPr>
              <w:t>June 1, 2019 – June 30, 2019</w:t>
            </w:r>
          </w:p>
        </w:tc>
        <w:tc>
          <w:tcPr>
            <w:tcW w:w="2760" w:type="dxa"/>
            <w:vAlign w:val="bottom"/>
            <w:tcBorders>
              <w:bottom w:val="single" w:sz="8" w:color="auto"/>
            </w:tcBorders>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18,553</w:t>
            </w:r>
          </w:p>
        </w:tc>
        <w:tc>
          <w:tcPr>
            <w:tcW w:w="580" w:type="dxa"/>
            <w:vAlign w:val="bottom"/>
            <w:tcBorders>
              <w:bottom w:val="single" w:sz="8" w:color="auto"/>
            </w:tcBorders>
            <w:shd w:val="clear" w:color="auto" w:fill="C0C0C0"/>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44.84</w:t>
            </w:r>
          </w:p>
        </w:tc>
        <w:tc>
          <w:tcPr>
            <w:tcW w:w="1400" w:type="dxa"/>
            <w:vAlign w:val="bottom"/>
            <w:tcBorders>
              <w:bottom w:val="single" w:sz="8" w:color="auto"/>
            </w:tcBorders>
            <w:shd w:val="clear" w:color="auto" w:fill="C0C0C0"/>
          </w:tcPr>
          <w:p>
            <w:pPr>
              <w:jc w:val="right"/>
              <w:ind w:right="70"/>
              <w:spacing w:after="0"/>
              <w:rPr>
                <w:sz w:val="20"/>
                <w:szCs w:val="20"/>
                <w:color w:val="auto"/>
              </w:rPr>
            </w:pPr>
            <w:r>
              <w:rPr>
                <w:rFonts w:ascii="Times New Roman" w:cs="Times New Roman" w:eastAsia="Times New Roman" w:hAnsi="Times New Roman"/>
                <w:sz w:val="18"/>
                <w:szCs w:val="18"/>
                <w:color w:val="auto"/>
              </w:rPr>
              <w:t>18,553</w:t>
            </w:r>
          </w:p>
        </w:tc>
        <w:tc>
          <w:tcPr>
            <w:tcW w:w="1060" w:type="dxa"/>
            <w:vAlign w:val="bottom"/>
            <w:tcBorders>
              <w:bottom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8"/>
                <w:szCs w:val="18"/>
                <w:color w:val="auto"/>
              </w:rPr>
              <w:t>450,222</w:t>
            </w:r>
          </w:p>
        </w:tc>
        <w:tc>
          <w:tcPr>
            <w:tcW w:w="20" w:type="dxa"/>
            <w:vAlign w:val="bottom"/>
          </w:tcPr>
          <w:p>
            <w:pPr>
              <w:spacing w:after="0"/>
              <w:rPr>
                <w:sz w:val="21"/>
                <w:szCs w:val="21"/>
                <w:color w:val="auto"/>
              </w:rPr>
            </w:pPr>
          </w:p>
        </w:tc>
      </w:tr>
      <w:tr>
        <w:trPr>
          <w:trHeight w:val="232"/>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46,778</w:t>
            </w: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44.85</w:t>
            </w: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46,778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450,222</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5715</wp:posOffset>
            </wp:positionV>
            <wp:extent cx="67665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66560" cy="17145"/>
                    </a:xfrm>
                    <a:prstGeom prst="rect">
                      <a:avLst/>
                    </a:prstGeom>
                    <a:noFill/>
                  </pic:spPr>
                </pic:pic>
              </a:graphicData>
            </a:graphic>
          </wp:anchor>
        </w:drawing>
      </w:r>
    </w:p>
    <w:p>
      <w:pPr>
        <w:spacing w:after="0" w:line="3" w:lineRule="exact"/>
        <w:rPr>
          <w:sz w:val="20"/>
          <w:szCs w:val="20"/>
          <w:color w:val="auto"/>
        </w:rPr>
      </w:pPr>
    </w:p>
    <w:p>
      <w:pPr>
        <w:jc w:val="both"/>
        <w:ind w:left="1080" w:hanging="316"/>
        <w:spacing w:after="0" w:line="231" w:lineRule="auto"/>
        <w:tabs>
          <w:tab w:leader="none" w:pos="10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repurchases made during the quarter ended June 30, 2019 were made pursuant to the treasury stock buyback program, which was authorized by the Board of Directors on October 17, 2011 and announced by the Company on October 20, 2011. The program, as modified by the Board of Directors on October 20, 2014, provides that the Company may repurchase up to an aggregate of 500,000 shares of common stock and has no expiration date. The program is periodically modified by the Board of Directors and was most recently modified on January 29, 2019 to restore the aggregate number of shares available for repurchase to 500,000.</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31" w:lineRule="exact"/>
        <w:rPr>
          <w:sz w:val="20"/>
          <w:szCs w:val="20"/>
          <w:color w:val="auto"/>
        </w:rPr>
      </w:pPr>
    </w:p>
    <w:p>
      <w:pPr>
        <w:ind w:left="1220" w:hanging="483"/>
        <w:spacing w:after="0"/>
        <w:tabs>
          <w:tab w:leader="none" w:pos="1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9" w:lineRule="exact"/>
        <w:rPr>
          <w:rFonts w:ascii="Times New Roman" w:cs="Times New Roman" w:eastAsia="Times New Roman" w:hAnsi="Times New Roman"/>
          <w:sz w:val="18"/>
          <w:szCs w:val="18"/>
          <w:color w:val="auto"/>
        </w:rPr>
      </w:pPr>
    </w:p>
    <w:p>
      <w:pPr>
        <w:ind w:left="1220" w:hanging="483"/>
        <w:spacing w:after="0" w:line="261" w:lineRule="auto"/>
        <w:tabs>
          <w:tab w:leader="none" w:pos="1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material changes to the procedures by which security holders may recommend nominees to the Company’s Board of Directors implemented in the Second Quarter of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74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Exhibit 31.1 Certification Pursuant to Section 302 of the Sarbanes-Oxley Act of 2002.</w:t>
        </w:r>
      </w:hyperlink>
    </w:p>
    <w:p>
      <w:pPr>
        <w:spacing w:after="0" w:line="225" w:lineRule="exact"/>
        <w:rPr>
          <w:sz w:val="20"/>
          <w:szCs w:val="20"/>
          <w:color w:val="auto"/>
        </w:rPr>
      </w:pPr>
    </w:p>
    <w:p>
      <w:pPr>
        <w:ind w:left="740"/>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Exhibit 31.2 Certification Pursuant to Section 302 of the Sarbanes-Oxley Act of 2002.</w:t>
        </w:r>
      </w:hyperlink>
    </w:p>
    <w:p>
      <w:pPr>
        <w:spacing w:after="0" w:line="225" w:lineRule="exact"/>
        <w:rPr>
          <w:sz w:val="20"/>
          <w:szCs w:val="20"/>
          <w:color w:val="auto"/>
        </w:rPr>
      </w:pPr>
    </w:p>
    <w:p>
      <w:pPr>
        <w:ind w:left="740"/>
        <w:spacing w:after="0"/>
        <w:rPr>
          <w:rFonts w:ascii="Times New Roman" w:cs="Times New Roman" w:eastAsia="Times New Roman" w:hAnsi="Times New Roman"/>
          <w:sz w:val="18"/>
          <w:szCs w:val="18"/>
          <w:u w:val="single" w:color="auto"/>
          <w:color w:val="0000EE"/>
        </w:rPr>
      </w:pPr>
      <w:hyperlink w:anchor="page37">
        <w:r>
          <w:rPr>
            <w:rFonts w:ascii="Times New Roman" w:cs="Times New Roman" w:eastAsia="Times New Roman" w:hAnsi="Times New Roman"/>
            <w:sz w:val="18"/>
            <w:szCs w:val="18"/>
            <w:u w:val="single" w:color="auto"/>
            <w:color w:val="0000EE"/>
          </w:rPr>
          <w:t>Exhibit 32.1 Certification Pursuant to 18 U.S.C. Section 1350, as Adopted Pursuant to Section 906 of the Sarbanes-Oxley Act of 2002.</w:t>
        </w:r>
      </w:hyperlink>
    </w:p>
    <w:p>
      <w:pPr>
        <w:spacing w:after="0" w:line="225" w:lineRule="exact"/>
        <w:rPr>
          <w:sz w:val="20"/>
          <w:szCs w:val="20"/>
          <w:color w:val="auto"/>
        </w:rPr>
      </w:pPr>
    </w:p>
    <w:p>
      <w:pPr>
        <w:ind w:left="740"/>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Exhibit 32.2 Certification Pursuant to 18 U.S.C. Section 1350, as Adopted Pursuant to Section 906 of the Sarbanes-Oxley Act of 2002.</w:t>
        </w:r>
      </w:hyperlink>
    </w:p>
    <w:p>
      <w:pPr>
        <w:spacing w:after="0" w:line="225" w:lineRule="exact"/>
        <w:rPr>
          <w:sz w:val="20"/>
          <w:szCs w:val="20"/>
          <w:color w:val="auto"/>
        </w:rPr>
      </w:pPr>
    </w:p>
    <w:p>
      <w:pPr>
        <w:ind w:left="740" w:right="680"/>
        <w:spacing w:after="0" w:line="282" w:lineRule="auto"/>
        <w:rPr>
          <w:sz w:val="20"/>
          <w:szCs w:val="20"/>
          <w:color w:val="auto"/>
        </w:rPr>
      </w:pPr>
      <w:r>
        <w:rPr>
          <w:rFonts w:ascii="Times New Roman" w:cs="Times New Roman" w:eastAsia="Times New Roman" w:hAnsi="Times New Roman"/>
          <w:sz w:val="18"/>
          <w:szCs w:val="18"/>
          <w:color w:val="auto"/>
        </w:rPr>
        <w:t>Exhibit 101.INS XBRL Instance Document - the instance document does not appear in the Interactive Data File because its XBRL tags are embedded within the Inline XBRL document.</w:t>
      </w:r>
    </w:p>
    <w:p>
      <w:pPr>
        <w:spacing w:after="0" w:line="1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Exhibit 101.SCH XBRL Taxonomy Extension Schema Document.</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Exhibit 101.CAL XBRL Taxonomy Extension Calculation Linkbase Document.</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Exhibit 101.LAB XBRL Taxonomy Extension Label Linkbase Document.</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Exhibit 101.PRE XBRL Taxonomy Extension Presentation Linkbase Document.</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Exhibit 101.DEF XBRL Taxonomy Extension Definition Linkbase Document.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27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80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CASS INFORMATION SYSTEMS, INC.</w:t>
            </w:r>
          </w:p>
        </w:tc>
      </w:tr>
      <w:tr>
        <w:trPr>
          <w:trHeight w:val="49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2019</w:t>
            </w:r>
          </w:p>
        </w:tc>
        <w:tc>
          <w:tcPr>
            <w:tcW w:w="23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Eric H. Brunngraber</w:t>
            </w:r>
          </w:p>
        </w:tc>
      </w:tr>
      <w:tr>
        <w:trPr>
          <w:trHeight w:val="234"/>
        </w:trPr>
        <w:tc>
          <w:tcPr>
            <w:tcW w:w="36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4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Eric H. Brunngraber</w:t>
            </w:r>
          </w:p>
        </w:tc>
      </w:tr>
      <w:tr>
        <w:trPr>
          <w:trHeight w:val="238"/>
        </w:trPr>
        <w:tc>
          <w:tcPr>
            <w:tcW w:w="36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43"/>
        </w:trPr>
        <w:tc>
          <w:tcPr>
            <w:tcW w:w="36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r>
        <w:trPr>
          <w:trHeight w:val="73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2019</w:t>
            </w:r>
          </w:p>
        </w:tc>
        <w:tc>
          <w:tcPr>
            <w:tcW w:w="23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P. Stephen Appelbaum</w:t>
            </w:r>
          </w:p>
        </w:tc>
      </w:tr>
      <w:tr>
        <w:trPr>
          <w:trHeight w:val="234"/>
        </w:trPr>
        <w:tc>
          <w:tcPr>
            <w:tcW w:w="36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4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7"/>
              </w:rPr>
              <w:t>P. Stephen Appelbaum</w:t>
            </w:r>
          </w:p>
        </w:tc>
      </w:tr>
    </w:tbl>
    <w:p>
      <w:pPr>
        <w:spacing w:after="0" w:line="4"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6"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H. Brunngraber, certify that:</w:t>
      </w:r>
    </w:p>
    <w:p>
      <w:pPr>
        <w:spacing w:after="0" w:line="225" w:lineRule="exact"/>
        <w:rPr>
          <w:sz w:val="20"/>
          <w:szCs w:val="20"/>
          <w:color w:val="auto"/>
        </w:rPr>
      </w:pPr>
    </w:p>
    <w:p>
      <w:pPr>
        <w:ind w:left="420" w:hanging="412"/>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Cass Information Systems, Inc.;</w:t>
      </w:r>
    </w:p>
    <w:p>
      <w:pPr>
        <w:spacing w:after="0" w:line="225" w:lineRule="exact"/>
        <w:rPr>
          <w:rFonts w:ascii="Times New Roman" w:cs="Times New Roman" w:eastAsia="Times New Roman" w:hAnsi="Times New Roman"/>
          <w:sz w:val="18"/>
          <w:szCs w:val="18"/>
          <w:color w:val="auto"/>
        </w:rPr>
      </w:pPr>
    </w:p>
    <w:p>
      <w:pPr>
        <w:ind w:left="420" w:hanging="412"/>
        <w:spacing w:after="0" w:line="275" w:lineRule="auto"/>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Times New Roman" w:cs="Times New Roman" w:eastAsia="Times New Roman" w:hAnsi="Times New Roman"/>
          <w:sz w:val="18"/>
          <w:szCs w:val="18"/>
          <w:color w:val="auto"/>
        </w:rPr>
      </w:pPr>
    </w:p>
    <w:p>
      <w:pPr>
        <w:ind w:left="420" w:hanging="412"/>
        <w:spacing w:after="0" w:line="275" w:lineRule="auto"/>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18"/>
          <w:szCs w:val="18"/>
          <w:color w:val="auto"/>
        </w:rPr>
      </w:pPr>
    </w:p>
    <w:p>
      <w:pPr>
        <w:jc w:val="both"/>
        <w:ind w:left="420" w:hanging="412"/>
        <w:spacing w:after="0" w:line="262" w:lineRule="auto"/>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Times New Roman" w:cs="Times New Roman" w:eastAsia="Times New Roman" w:hAnsi="Times New Roman"/>
          <w:sz w:val="18"/>
          <w:szCs w:val="18"/>
          <w:color w:val="auto"/>
        </w:rPr>
      </w:pPr>
    </w:p>
    <w:p>
      <w:pPr>
        <w:jc w:val="both"/>
        <w:ind w:left="900" w:hanging="487"/>
        <w:spacing w:after="0" w:line="262" w:lineRule="auto"/>
        <w:tabs>
          <w:tab w:leader="none" w:pos="9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jc w:val="both"/>
        <w:ind w:left="900" w:hanging="487"/>
        <w:spacing w:after="0" w:line="262" w:lineRule="auto"/>
        <w:tabs>
          <w:tab w:leader="none" w:pos="9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ind w:left="900" w:hanging="487"/>
        <w:spacing w:after="0" w:line="275" w:lineRule="auto"/>
        <w:tabs>
          <w:tab w:leader="none" w:pos="9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Times New Roman" w:cs="Times New Roman" w:eastAsia="Times New Roman" w:hAnsi="Times New Roman"/>
          <w:sz w:val="18"/>
          <w:szCs w:val="18"/>
          <w:color w:val="auto"/>
        </w:rPr>
      </w:pPr>
    </w:p>
    <w:p>
      <w:pPr>
        <w:jc w:val="both"/>
        <w:ind w:left="900" w:hanging="487"/>
        <w:spacing w:after="0" w:line="262" w:lineRule="auto"/>
        <w:tabs>
          <w:tab w:leader="none" w:pos="9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ind w:left="420" w:right="20" w:hanging="412"/>
        <w:spacing w:after="0" w:line="275" w:lineRule="auto"/>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Times New Roman" w:cs="Times New Roman" w:eastAsia="Times New Roman" w:hAnsi="Times New Roman"/>
          <w:sz w:val="18"/>
          <w:szCs w:val="18"/>
          <w:color w:val="auto"/>
        </w:rPr>
      </w:pPr>
    </w:p>
    <w:p>
      <w:pPr>
        <w:ind w:left="900" w:hanging="487"/>
        <w:spacing w:after="0" w:line="275" w:lineRule="auto"/>
        <w:tabs>
          <w:tab w:leader="none" w:pos="9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Times New Roman" w:cs="Times New Roman" w:eastAsia="Times New Roman" w:hAnsi="Times New Roman"/>
          <w:sz w:val="18"/>
          <w:szCs w:val="18"/>
          <w:color w:val="auto"/>
        </w:rPr>
      </w:pPr>
    </w:p>
    <w:p>
      <w:pPr>
        <w:ind w:left="900" w:hanging="487"/>
        <w:spacing w:after="0" w:line="275" w:lineRule="auto"/>
        <w:tabs>
          <w:tab w:leader="none" w:pos="9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2019</w:t>
      </w:r>
    </w:p>
    <w:p>
      <w:pPr>
        <w:spacing w:after="0" w:line="36"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5871210</wp:posOffset>
            </wp:positionH>
            <wp:positionV relativeFrom="paragraph">
              <wp:posOffset>23495</wp:posOffset>
            </wp:positionV>
            <wp:extent cx="13804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30"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8"/>
          <w:szCs w:val="18"/>
          <w:color w:val="auto"/>
        </w:rPr>
        <w:t>Eric H. Brunngraber</w:t>
      </w:r>
    </w:p>
    <w:p>
      <w:pPr>
        <w:spacing w:after="0" w:line="36"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6"/>
          <w:szCs w:val="16"/>
          <w:color w:val="auto"/>
        </w:rPr>
        <w:t>Chairman, President and Chief</w:t>
      </w:r>
    </w:p>
    <w:p>
      <w:pPr>
        <w:spacing w:after="0" w:line="59"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36"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 Stephen Appelbaum, certify that:</w:t>
      </w:r>
    </w:p>
    <w:p>
      <w:pPr>
        <w:spacing w:after="0" w:line="225" w:lineRule="exact"/>
        <w:rPr>
          <w:sz w:val="20"/>
          <w:szCs w:val="20"/>
          <w:color w:val="auto"/>
        </w:rPr>
      </w:pPr>
    </w:p>
    <w:p>
      <w:pPr>
        <w:ind w:left="420" w:hanging="412"/>
        <w:spacing w:after="0"/>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Cass Information Systems, Inc.;</w:t>
      </w:r>
    </w:p>
    <w:p>
      <w:pPr>
        <w:spacing w:after="0" w:line="225" w:lineRule="exact"/>
        <w:rPr>
          <w:rFonts w:ascii="Times New Roman" w:cs="Times New Roman" w:eastAsia="Times New Roman" w:hAnsi="Times New Roman"/>
          <w:sz w:val="18"/>
          <w:szCs w:val="18"/>
          <w:color w:val="auto"/>
        </w:rPr>
      </w:pPr>
    </w:p>
    <w:p>
      <w:pPr>
        <w:ind w:left="420" w:hanging="412"/>
        <w:spacing w:after="0" w:line="275" w:lineRule="auto"/>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Times New Roman" w:cs="Times New Roman" w:eastAsia="Times New Roman" w:hAnsi="Times New Roman"/>
          <w:sz w:val="18"/>
          <w:szCs w:val="18"/>
          <w:color w:val="auto"/>
        </w:rPr>
      </w:pPr>
    </w:p>
    <w:p>
      <w:pPr>
        <w:ind w:left="420" w:hanging="412"/>
        <w:spacing w:after="0" w:line="275" w:lineRule="auto"/>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18"/>
          <w:szCs w:val="18"/>
          <w:color w:val="auto"/>
        </w:rPr>
      </w:pPr>
    </w:p>
    <w:p>
      <w:pPr>
        <w:jc w:val="both"/>
        <w:ind w:left="420" w:hanging="412"/>
        <w:spacing w:after="0" w:line="262" w:lineRule="auto"/>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Times New Roman" w:cs="Times New Roman" w:eastAsia="Times New Roman" w:hAnsi="Times New Roman"/>
          <w:sz w:val="18"/>
          <w:szCs w:val="18"/>
          <w:color w:val="auto"/>
        </w:rPr>
      </w:pPr>
    </w:p>
    <w:p>
      <w:pPr>
        <w:jc w:val="both"/>
        <w:ind w:left="900" w:hanging="487"/>
        <w:spacing w:after="0" w:line="262" w:lineRule="auto"/>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jc w:val="both"/>
        <w:ind w:left="900" w:hanging="487"/>
        <w:spacing w:after="0" w:line="262" w:lineRule="auto"/>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ind w:left="900" w:hanging="487"/>
        <w:spacing w:after="0" w:line="275" w:lineRule="auto"/>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Times New Roman" w:cs="Times New Roman" w:eastAsia="Times New Roman" w:hAnsi="Times New Roman"/>
          <w:sz w:val="18"/>
          <w:szCs w:val="18"/>
          <w:color w:val="auto"/>
        </w:rPr>
      </w:pPr>
    </w:p>
    <w:p>
      <w:pPr>
        <w:jc w:val="both"/>
        <w:ind w:left="900" w:hanging="487"/>
        <w:spacing w:after="0" w:line="262" w:lineRule="auto"/>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ind w:left="420" w:right="20" w:hanging="412"/>
        <w:spacing w:after="0" w:line="275" w:lineRule="auto"/>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Times New Roman" w:cs="Times New Roman" w:eastAsia="Times New Roman" w:hAnsi="Times New Roman"/>
          <w:sz w:val="18"/>
          <w:szCs w:val="18"/>
          <w:color w:val="auto"/>
        </w:rPr>
      </w:pPr>
    </w:p>
    <w:p>
      <w:pPr>
        <w:ind w:left="900" w:hanging="487"/>
        <w:spacing w:after="0" w:line="275" w:lineRule="auto"/>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Times New Roman" w:cs="Times New Roman" w:eastAsia="Times New Roman" w:hAnsi="Times New Roman"/>
          <w:sz w:val="18"/>
          <w:szCs w:val="18"/>
          <w:color w:val="auto"/>
        </w:rPr>
      </w:pPr>
    </w:p>
    <w:p>
      <w:pPr>
        <w:ind w:left="900" w:hanging="487"/>
        <w:spacing w:after="0" w:line="275" w:lineRule="auto"/>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2019</w:t>
      </w:r>
    </w:p>
    <w:p>
      <w:pPr>
        <w:spacing w:after="0" w:line="36"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color w:val="auto"/>
        </w:rPr>
        <w:t>/s/ P. Stephen Appelbaum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5219065</wp:posOffset>
            </wp:positionH>
            <wp:positionV relativeFrom="paragraph">
              <wp:posOffset>23495</wp:posOffset>
            </wp:positionV>
            <wp:extent cx="20326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0"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color w:val="auto"/>
        </w:rPr>
        <w:t>P. Stephen Appelbaum</w:t>
      </w:r>
    </w:p>
    <w:p>
      <w:pPr>
        <w:spacing w:after="0" w:line="36"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6"/>
          <w:szCs w:val="16"/>
          <w:color w:val="auto"/>
        </w:rPr>
        <w:t>Executive Vice President and Chief Financial</w:t>
      </w:r>
    </w:p>
    <w:p>
      <w:pPr>
        <w:spacing w:after="0" w:line="59"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color w:val="auto"/>
        </w:rPr>
        <w:t>Officer</w:t>
      </w:r>
    </w:p>
    <w:p>
      <w:pPr>
        <w:spacing w:after="0" w:line="36"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259080</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of Cass Information Systems, Inc. (“the Company”) on Form 10-Q for the period ended June 30, 2019 as filed with the Securities and Exchange Commission on the date hereof (the “Report”), I, Eric H. Brunngraber, Chairman, President, and Chief Executive Officer of the Company, certify, pursuant to 18 U.S.C. § 1350, as adopted pursuant to § 906 of the Sarbanes-Oxley Act of 2002, that:</w:t>
      </w:r>
    </w:p>
    <w:p>
      <w:pPr>
        <w:spacing w:after="0" w:line="186" w:lineRule="exact"/>
        <w:rPr>
          <w:sz w:val="20"/>
          <w:szCs w:val="20"/>
          <w:color w:val="auto"/>
        </w:rPr>
      </w:pPr>
    </w:p>
    <w:p>
      <w:pPr>
        <w:ind w:left="760" w:hanging="482"/>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60" w:hanging="482"/>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5399405</wp:posOffset>
            </wp:positionH>
            <wp:positionV relativeFrom="paragraph">
              <wp:posOffset>23495</wp:posOffset>
            </wp:positionV>
            <wp:extent cx="18522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30"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color w:val="auto"/>
        </w:rPr>
        <w:t>Eric H. Brunngraber</w:t>
      </w:r>
    </w:p>
    <w:p>
      <w:pPr>
        <w:spacing w:after="0" w:line="36"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6"/>
          <w:szCs w:val="16"/>
          <w:color w:val="auto"/>
        </w:rPr>
        <w:t>Chairman, President and Chief Executive</w:t>
      </w:r>
    </w:p>
    <w:p>
      <w:pPr>
        <w:spacing w:after="0" w:line="59"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color w:val="auto"/>
        </w:rPr>
        <w:t>Officer</w:t>
      </w:r>
    </w:p>
    <w:p>
      <w:pPr>
        <w:spacing w:after="0" w:line="36"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6"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color w:val="auto"/>
        </w:rPr>
        <w:t>August 6, 2019</w:t>
      </w:r>
    </w:p>
    <w:p>
      <w:pPr>
        <w:spacing w:after="0" w:line="239"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of Cass Information Systems, Inc. (“the Company”) on Form 10-Q for the period ended June 30, 2019 as filed with the Securities and Exchange Commission on the date hereof (the “Report”), I, P. Stephen Appelbaum, Executive Vice President and Chief Financial Officer of the Company, certify, pursuant to 18 U.S.C. § 1350, as adopted pursuant to § 906 of the Sarbanes-Oxley Act of 2002, that:</w:t>
      </w:r>
    </w:p>
    <w:p>
      <w:pPr>
        <w:spacing w:after="0" w:line="186" w:lineRule="exact"/>
        <w:rPr>
          <w:sz w:val="20"/>
          <w:szCs w:val="20"/>
          <w:color w:val="auto"/>
        </w:rPr>
      </w:pPr>
    </w:p>
    <w:p>
      <w:pPr>
        <w:ind w:left="760" w:hanging="482"/>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60" w:hanging="482"/>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color w:val="auto"/>
        </w:rPr>
        <w:t>/s/ P. Stephen Appelbaum</w:t>
      </w:r>
    </w:p>
    <w:p>
      <w:pPr>
        <w:spacing w:after="0" w:line="23"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color w:val="auto"/>
        </w:rPr>
        <w:t>P. Stephen Appelbaum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5219065</wp:posOffset>
            </wp:positionH>
            <wp:positionV relativeFrom="paragraph">
              <wp:posOffset>-130175</wp:posOffset>
            </wp:positionV>
            <wp:extent cx="20326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6"/>
          <w:szCs w:val="16"/>
          <w:color w:val="auto"/>
        </w:rPr>
        <w:t>Executive Vice President and Chief Financial</w:t>
      </w:r>
    </w:p>
    <w:p>
      <w:pPr>
        <w:spacing w:after="0" w:line="32"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color w:val="auto"/>
        </w:rPr>
        <w:t>Officer</w:t>
      </w:r>
    </w:p>
    <w:p>
      <w:pPr>
        <w:spacing w:after="0" w:line="9"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32"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color w:val="auto"/>
        </w:rPr>
        <w:t>August 6, 2019</w:t>
      </w:r>
    </w:p>
    <w:p>
      <w:pPr>
        <w:spacing w:after="0" w:line="213"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bullet"/>
      <w:start w:val="1"/>
    </w:lvl>
  </w:abstractNum>
  <w:abstractNum w:abstractNumId="6">
    <w:nsid w:val="140E0F76"/>
    <w:multiLevelType w:val="hybridMultilevel"/>
    <w:lvl w:ilvl="0">
      <w:lvlJc w:val="left"/>
      <w:lvlText w:val="1"/>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2019-12-28T08:17:25Z</dcterms:created>
  <dcterms:modified xsi:type="dcterms:W3CDTF">2019-12-28T08:17:25Z</dcterms:modified>
</cp:coreProperties>
</file>