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ind w:left="5140"/>
        <w:spacing w:after="0" w:line="232" w:lineRule="auto"/>
        <w:rPr>
          <w:sz w:val="20"/>
          <w:szCs w:val="20"/>
          <w:color w:val="auto"/>
        </w:rPr>
      </w:pPr>
      <w:r>
        <w:rPr>
          <w:rFonts w:ascii="Arial" w:cs="Arial" w:eastAsia="Arial" w:hAnsi="Arial"/>
          <w:sz w:val="14"/>
          <w:szCs w:val="14"/>
          <w:b w:val="1"/>
          <w:bCs w:val="1"/>
          <w:color w:val="auto"/>
        </w:rPr>
        <w:t>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ind w:left="200"/>
        <w:spacing w:after="0"/>
        <w:tabs>
          <w:tab w:leader="none" w:pos="28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-13970</wp:posOffset>
            </wp:positionV>
            <wp:extent cx="1151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02"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w w:val="91"/>
              </w:rPr>
              <w:t>For the transition period from</w:t>
            </w:r>
          </w:p>
        </w:tc>
        <w:tc>
          <w:tcPr>
            <w:tcW w:w="13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760" w:type="dxa"/>
            <w:vAlign w:val="bottom"/>
          </w:tcPr>
          <w:p>
            <w:pPr>
              <w:spacing w:after="0"/>
              <w:rPr>
                <w:sz w:val="17"/>
                <w:szCs w:val="17"/>
                <w:color w:val="auto"/>
              </w:rPr>
            </w:pPr>
          </w:p>
        </w:tc>
      </w:tr>
      <w:tr>
        <w:trPr>
          <w:trHeight w:val="440"/>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center"/>
              <w:ind w:right="2912"/>
              <w:spacing w:after="0"/>
              <w:rPr>
                <w:sz w:val="20"/>
                <w:szCs w:val="20"/>
                <w:color w:val="auto"/>
              </w:rPr>
            </w:pPr>
            <w:r>
              <w:rPr>
                <w:rFonts w:ascii="Arial" w:cs="Arial" w:eastAsia="Arial" w:hAnsi="Arial"/>
                <w:sz w:val="18"/>
                <w:szCs w:val="18"/>
                <w:b w:val="1"/>
                <w:bCs w:val="1"/>
                <w:color w:val="auto"/>
                <w:w w:val="87"/>
              </w:rPr>
              <w:t>Commission File No. 000-20827</w:t>
            </w:r>
          </w:p>
        </w:tc>
      </w:tr>
      <w:tr>
        <w:trPr>
          <w:trHeight w:val="134"/>
        </w:trPr>
        <w:tc>
          <w:tcPr>
            <w:tcW w:w="2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80" w:type="dxa"/>
            <w:vAlign w:val="bottom"/>
            <w:gridSpan w:val="2"/>
          </w:tcPr>
          <w:p>
            <w:pPr>
              <w:jc w:val="right"/>
              <w:ind w:right="3612"/>
              <w:spacing w:after="0" w:line="135" w:lineRule="exact"/>
              <w:rPr>
                <w:sz w:val="20"/>
                <w:szCs w:val="20"/>
                <w:color w:val="auto"/>
              </w:rPr>
            </w:pPr>
            <w:r>
              <w:rPr>
                <w:rFonts w:ascii="Arial" w:cs="Arial" w:eastAsia="Arial" w:hAnsi="Arial"/>
                <w:sz w:val="14"/>
                <w:szCs w:val="14"/>
                <w:b w:val="1"/>
                <w:bCs w:val="1"/>
                <w:color w:val="auto"/>
              </w:rPr>
              <w:t>________________</w:t>
            </w:r>
          </w:p>
        </w:tc>
      </w:tr>
      <w:tr>
        <w:trPr>
          <w:trHeight w:val="262"/>
        </w:trPr>
        <w:tc>
          <w:tcPr>
            <w:tcW w:w="2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300" w:type="dxa"/>
            <w:vAlign w:val="bottom"/>
            <w:gridSpan w:val="4"/>
          </w:tcPr>
          <w:p>
            <w:pPr>
              <w:jc w:val="center"/>
              <w:ind w:right="2112"/>
              <w:spacing w:after="0"/>
              <w:rPr>
                <w:sz w:val="20"/>
                <w:szCs w:val="20"/>
                <w:color w:val="auto"/>
              </w:rPr>
            </w:pPr>
            <w:r>
              <w:rPr>
                <w:rFonts w:ascii="Arial" w:cs="Arial" w:eastAsia="Arial" w:hAnsi="Arial"/>
                <w:sz w:val="22"/>
                <w:szCs w:val="22"/>
                <w:b w:val="1"/>
                <w:bCs w:val="1"/>
                <w:color w:val="auto"/>
                <w:w w:val="97"/>
              </w:rPr>
              <w:t>CASS INFORMATION SYSTEMS, INC.</w:t>
            </w:r>
          </w:p>
        </w:tc>
      </w:tr>
      <w:tr>
        <w:trPr>
          <w:trHeight w:val="222"/>
        </w:trPr>
        <w:tc>
          <w:tcPr>
            <w:tcW w:w="2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80" w:type="dxa"/>
            <w:vAlign w:val="bottom"/>
            <w:gridSpan w:val="3"/>
          </w:tcPr>
          <w:p>
            <w:pPr>
              <w:jc w:val="center"/>
              <w:ind w:right="233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3"/>
        </w:trPr>
        <w:tc>
          <w:tcPr>
            <w:tcW w:w="2140" w:type="dxa"/>
            <w:vAlign w:val="bottom"/>
          </w:tcPr>
          <w:p>
            <w:pPr>
              <w:spacing w:after="0"/>
              <w:rPr>
                <w:sz w:val="24"/>
                <w:szCs w:val="24"/>
                <w:color w:val="auto"/>
              </w:rPr>
            </w:pPr>
          </w:p>
        </w:tc>
        <w:tc>
          <w:tcPr>
            <w:tcW w:w="1320" w:type="dxa"/>
            <w:vAlign w:val="bottom"/>
          </w:tcPr>
          <w:p>
            <w:pPr>
              <w:jc w:val="center"/>
              <w:ind w:right="292"/>
              <w:spacing w:after="0"/>
              <w:rPr>
                <w:sz w:val="20"/>
                <w:szCs w:val="20"/>
                <w:color w:val="auto"/>
              </w:rPr>
            </w:pPr>
            <w:r>
              <w:rPr>
                <w:rFonts w:ascii="Arial" w:cs="Arial" w:eastAsia="Arial" w:hAnsi="Arial"/>
                <w:sz w:val="18"/>
                <w:szCs w:val="18"/>
                <w:b w:val="1"/>
                <w:bCs w:val="1"/>
                <w:color w:val="auto"/>
                <w:w w:val="89"/>
              </w:rPr>
              <w:t>Missouri</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rPr>
              <w:t>43-1265338</w:t>
            </w:r>
          </w:p>
        </w:tc>
      </w:tr>
      <w:tr>
        <w:trPr>
          <w:trHeight w:val="216"/>
        </w:trPr>
        <w:tc>
          <w:tcPr>
            <w:tcW w:w="4280" w:type="dxa"/>
            <w:vAlign w:val="bottom"/>
            <w:gridSpan w:val="4"/>
          </w:tcPr>
          <w:p>
            <w:pPr>
              <w:jc w:val="center"/>
              <w:ind w:left="852"/>
              <w:spacing w:after="0"/>
              <w:rPr>
                <w:sz w:val="20"/>
                <w:szCs w:val="20"/>
                <w:color w:val="auto"/>
              </w:rPr>
            </w:pPr>
            <w:r>
              <w:rPr>
                <w:rFonts w:ascii="Arial" w:cs="Arial" w:eastAsia="Arial" w:hAnsi="Arial"/>
                <w:sz w:val="18"/>
                <w:szCs w:val="18"/>
                <w:color w:val="auto"/>
                <w:w w:val="90"/>
              </w:rPr>
              <w:t>(State or other jurisdiction of incorporation or</w:t>
            </w:r>
          </w:p>
        </w:tc>
        <w:tc>
          <w:tcPr>
            <w:tcW w:w="720" w:type="dxa"/>
            <w:vAlign w:val="bottom"/>
          </w:tcPr>
          <w:p>
            <w:pPr>
              <w:spacing w:after="0"/>
              <w:rPr>
                <w:sz w:val="18"/>
                <w:szCs w:val="18"/>
                <w:color w:val="auto"/>
              </w:rPr>
            </w:pPr>
          </w:p>
        </w:tc>
        <w:tc>
          <w:tcPr>
            <w:tcW w:w="4760" w:type="dxa"/>
            <w:vAlign w:val="bottom"/>
          </w:tcPr>
          <w:p>
            <w:pPr>
              <w:jc w:val="center"/>
              <w:ind w:left="2112"/>
              <w:spacing w:after="0"/>
              <w:rPr>
                <w:sz w:val="20"/>
                <w:szCs w:val="20"/>
                <w:color w:val="auto"/>
              </w:rPr>
            </w:pPr>
            <w:r>
              <w:rPr>
                <w:rFonts w:ascii="Arial" w:cs="Arial" w:eastAsia="Arial" w:hAnsi="Arial"/>
                <w:sz w:val="18"/>
                <w:szCs w:val="18"/>
                <w:color w:val="auto"/>
                <w:w w:val="92"/>
              </w:rPr>
              <w:t>(I.R.S. Employer Identification No.)</w:t>
            </w:r>
          </w:p>
        </w:tc>
      </w:tr>
      <w:tr>
        <w:trPr>
          <w:trHeight w:val="210"/>
        </w:trPr>
        <w:tc>
          <w:tcPr>
            <w:tcW w:w="2140" w:type="dxa"/>
            <w:vAlign w:val="bottom"/>
          </w:tcPr>
          <w:p>
            <w:pPr>
              <w:spacing w:after="0"/>
              <w:rPr>
                <w:sz w:val="18"/>
                <w:szCs w:val="18"/>
                <w:color w:val="auto"/>
              </w:rPr>
            </w:pPr>
          </w:p>
        </w:tc>
        <w:tc>
          <w:tcPr>
            <w:tcW w:w="1320" w:type="dxa"/>
            <w:vAlign w:val="bottom"/>
          </w:tcPr>
          <w:p>
            <w:pPr>
              <w:jc w:val="center"/>
              <w:ind w:right="292"/>
              <w:spacing w:after="0"/>
              <w:rPr>
                <w:sz w:val="20"/>
                <w:szCs w:val="20"/>
                <w:color w:val="auto"/>
              </w:rPr>
            </w:pPr>
            <w:r>
              <w:rPr>
                <w:rFonts w:ascii="Arial" w:cs="Arial" w:eastAsia="Arial" w:hAnsi="Arial"/>
                <w:sz w:val="18"/>
                <w:szCs w:val="18"/>
                <w:color w:val="auto"/>
                <w:w w:val="90"/>
              </w:rPr>
              <w:t>organization)</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4280" w:type="dxa"/>
            <w:vAlign w:val="bottom"/>
            <w:gridSpan w:val="4"/>
          </w:tcPr>
          <w:p>
            <w:pPr>
              <w:jc w:val="center"/>
              <w:ind w:left="852"/>
              <w:spacing w:after="0"/>
              <w:rPr>
                <w:sz w:val="20"/>
                <w:szCs w:val="20"/>
                <w:color w:val="auto"/>
              </w:rPr>
            </w:pPr>
            <w:r>
              <w:rPr>
                <w:rFonts w:ascii="Arial" w:cs="Arial" w:eastAsia="Arial" w:hAnsi="Arial"/>
                <w:sz w:val="18"/>
                <w:szCs w:val="18"/>
                <w:b w:val="1"/>
                <w:bCs w:val="1"/>
                <w:color w:val="auto"/>
                <w:w w:val="87"/>
              </w:rPr>
              <w:t>12444 Powerscourt Drive, Suite 550</w:t>
            </w:r>
          </w:p>
        </w:tc>
        <w:tc>
          <w:tcPr>
            <w:tcW w:w="7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22"/>
        </w:trPr>
        <w:tc>
          <w:tcPr>
            <w:tcW w:w="3460" w:type="dxa"/>
            <w:vAlign w:val="bottom"/>
            <w:gridSpan w:val="2"/>
          </w:tcPr>
          <w:p>
            <w:pPr>
              <w:jc w:val="center"/>
              <w:ind w:left="1672"/>
              <w:spacing w:after="0"/>
              <w:rPr>
                <w:sz w:val="20"/>
                <w:szCs w:val="20"/>
                <w:color w:val="auto"/>
              </w:rPr>
            </w:pPr>
            <w:r>
              <w:rPr>
                <w:rFonts w:ascii="Arial" w:cs="Arial" w:eastAsia="Arial" w:hAnsi="Arial"/>
                <w:sz w:val="18"/>
                <w:szCs w:val="18"/>
                <w:b w:val="1"/>
                <w:bCs w:val="1"/>
                <w:color w:val="auto"/>
                <w:w w:val="88"/>
              </w:rPr>
              <w:t>St. Louis, Missouri</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80" w:type="dxa"/>
            <w:vAlign w:val="bottom"/>
            <w:gridSpan w:val="2"/>
          </w:tcPr>
          <w:p>
            <w:pPr>
              <w:jc w:val="right"/>
              <w:ind w:right="972"/>
              <w:spacing w:after="0"/>
              <w:rPr>
                <w:sz w:val="20"/>
                <w:szCs w:val="20"/>
                <w:color w:val="auto"/>
              </w:rPr>
            </w:pPr>
            <w:r>
              <w:rPr>
                <w:rFonts w:ascii="Arial" w:cs="Arial" w:eastAsia="Arial" w:hAnsi="Arial"/>
                <w:sz w:val="18"/>
                <w:szCs w:val="18"/>
                <w:b w:val="1"/>
                <w:bCs w:val="1"/>
                <w:color w:val="auto"/>
              </w:rPr>
              <w:t>63131</w:t>
            </w:r>
          </w:p>
        </w:tc>
      </w:tr>
      <w:tr>
        <w:trPr>
          <w:trHeight w:val="222"/>
        </w:trPr>
        <w:tc>
          <w:tcPr>
            <w:tcW w:w="4280" w:type="dxa"/>
            <w:vAlign w:val="bottom"/>
            <w:gridSpan w:val="4"/>
          </w:tcPr>
          <w:p>
            <w:pPr>
              <w:jc w:val="center"/>
              <w:ind w:left="852"/>
              <w:spacing w:after="0"/>
              <w:rPr>
                <w:sz w:val="20"/>
                <w:szCs w:val="20"/>
                <w:color w:val="auto"/>
              </w:rPr>
            </w:pPr>
            <w:r>
              <w:rPr>
                <w:rFonts w:ascii="Arial" w:cs="Arial" w:eastAsia="Arial" w:hAnsi="Arial"/>
                <w:sz w:val="18"/>
                <w:szCs w:val="18"/>
                <w:color w:val="auto"/>
                <w:w w:val="90"/>
              </w:rPr>
              <w:t>(Address of principal executive offices)</w:t>
            </w:r>
          </w:p>
        </w:tc>
        <w:tc>
          <w:tcPr>
            <w:tcW w:w="720" w:type="dxa"/>
            <w:vAlign w:val="bottom"/>
          </w:tcPr>
          <w:p>
            <w:pPr>
              <w:spacing w:after="0"/>
              <w:rPr>
                <w:sz w:val="19"/>
                <w:szCs w:val="19"/>
                <w:color w:val="auto"/>
              </w:rPr>
            </w:pPr>
          </w:p>
        </w:tc>
        <w:tc>
          <w:tcPr>
            <w:tcW w:w="4760" w:type="dxa"/>
            <w:vAlign w:val="bottom"/>
          </w:tcPr>
          <w:p>
            <w:pPr>
              <w:jc w:val="center"/>
              <w:ind w:left="2112"/>
              <w:spacing w:after="0"/>
              <w:rPr>
                <w:sz w:val="20"/>
                <w:szCs w:val="20"/>
                <w:color w:val="auto"/>
              </w:rPr>
            </w:pPr>
            <w:r>
              <w:rPr>
                <w:rFonts w:ascii="Arial" w:cs="Arial" w:eastAsia="Arial" w:hAnsi="Arial"/>
                <w:sz w:val="18"/>
                <w:szCs w:val="18"/>
                <w:color w:val="auto"/>
                <w:w w:val="89"/>
              </w:rPr>
              <w:t>(Zip Code)</w:t>
            </w:r>
          </w:p>
        </w:tc>
      </w:tr>
      <w:tr>
        <w:trPr>
          <w:trHeight w:val="432"/>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2"/>
          </w:tcPr>
          <w:p>
            <w:pPr>
              <w:jc w:val="right"/>
              <w:ind w:right="3612"/>
              <w:spacing w:after="0"/>
              <w:rPr>
                <w:sz w:val="20"/>
                <w:szCs w:val="20"/>
                <w:color w:val="auto"/>
              </w:rPr>
            </w:pPr>
            <w:r>
              <w:rPr>
                <w:rFonts w:ascii="Arial" w:cs="Arial" w:eastAsia="Arial" w:hAnsi="Arial"/>
                <w:sz w:val="18"/>
                <w:szCs w:val="18"/>
                <w:b w:val="1"/>
                <w:bCs w:val="1"/>
                <w:color w:val="auto"/>
              </w:rPr>
              <w:t>(314) 506-5500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_________________</w:t>
      </w:r>
    </w:p>
    <w:p>
      <w:pPr>
        <w:spacing w:after="0" w:line="197" w:lineRule="exact"/>
        <w:rPr>
          <w:sz w:val="24"/>
          <w:szCs w:val="24"/>
          <w:color w:val="auto"/>
        </w:rPr>
      </w:pPr>
    </w:p>
    <w:p>
      <w:pPr>
        <w:jc w:val="both"/>
        <w:ind w:firstLine="27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720"/>
        <w:spacing w:after="0"/>
        <w:tabs>
          <w:tab w:leader="none" w:pos="6400" w:val="left"/>
          <w:tab w:leader="none" w:pos="84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5682615</wp:posOffset>
            </wp:positionH>
            <wp:positionV relativeFrom="paragraph">
              <wp:posOffset>19685</wp:posOffset>
            </wp:positionV>
            <wp:extent cx="308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19685</wp:posOffset>
            </wp:positionV>
            <wp:extent cx="308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59" w:lineRule="exact"/>
        <w:rPr>
          <w:sz w:val="24"/>
          <w:szCs w:val="24"/>
          <w:color w:val="auto"/>
        </w:rPr>
      </w:pPr>
    </w:p>
    <w:p>
      <w:pPr>
        <w:jc w:val="both"/>
        <w:ind w:firstLine="198"/>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2" w:lineRule="exact"/>
        <w:rPr>
          <w:sz w:val="24"/>
          <w:szCs w:val="24"/>
          <w:color w:val="auto"/>
        </w:rPr>
      </w:pPr>
    </w:p>
    <w:p>
      <w:pPr>
        <w:ind w:left="5720"/>
        <w:spacing w:after="0"/>
        <w:tabs>
          <w:tab w:leader="none" w:pos="6400" w:val="left"/>
          <w:tab w:leader="none" w:pos="84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5682615</wp:posOffset>
            </wp:positionH>
            <wp:positionV relativeFrom="paragraph">
              <wp:posOffset>19685</wp:posOffset>
            </wp:positionV>
            <wp:extent cx="308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19685</wp:posOffset>
            </wp:positionV>
            <wp:extent cx="308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32" w:lineRule="exact"/>
        <w:rPr>
          <w:sz w:val="24"/>
          <w:szCs w:val="24"/>
          <w:color w:val="auto"/>
        </w:rPr>
      </w:pPr>
    </w:p>
    <w:p>
      <w:pPr>
        <w:jc w:val="both"/>
        <w:ind w:firstLine="198"/>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8"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Large Accelerated Filer  X</w:t>
            </w:r>
          </w:p>
        </w:tc>
        <w:tc>
          <w:tcPr>
            <w:tcW w:w="2260" w:type="dxa"/>
            <w:vAlign w:val="bottom"/>
            <w:gridSpan w:val="3"/>
          </w:tcPr>
          <w:p>
            <w:pPr>
              <w:ind w:left="2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1"/>
        </w:trPr>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80"/>
        </w:trPr>
        <w:tc>
          <w:tcPr>
            <w:tcW w:w="1620" w:type="dxa"/>
            <w:vAlign w:val="bottom"/>
          </w:tcPr>
          <w:p>
            <w:pPr>
              <w:spacing w:after="0"/>
              <w:rPr>
                <w:sz w:val="20"/>
                <w:szCs w:val="20"/>
                <w:color w:val="auto"/>
              </w:rPr>
            </w:pPr>
            <w:r>
              <w:rPr>
                <w:rFonts w:ascii="Arial" w:cs="Arial" w:eastAsia="Arial" w:hAnsi="Arial"/>
                <w:sz w:val="18"/>
                <w:szCs w:val="18"/>
                <w:color w:val="auto"/>
                <w:w w:val="91"/>
              </w:rPr>
              <w:t>Non-Accelerated Filer</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60" w:type="dxa"/>
            <w:vAlign w:val="bottom"/>
            <w:gridSpan w:val="3"/>
          </w:tcPr>
          <w:p>
            <w:pPr>
              <w:ind w:left="180"/>
              <w:spacing w:after="0"/>
              <w:rPr>
                <w:sz w:val="20"/>
                <w:szCs w:val="20"/>
                <w:color w:val="auto"/>
              </w:rPr>
            </w:pPr>
            <w:r>
              <w:rPr>
                <w:rFonts w:ascii="Arial" w:cs="Arial" w:eastAsia="Arial" w:hAnsi="Arial"/>
                <w:sz w:val="18"/>
                <w:szCs w:val="18"/>
                <w:color w:val="auto"/>
                <w:w w:val="91"/>
              </w:rPr>
              <w:t>Smaller Reporting Company</w:t>
            </w:r>
          </w:p>
        </w:tc>
        <w:tc>
          <w:tcPr>
            <w:tcW w:w="480" w:type="dxa"/>
            <w:vAlign w:val="bottom"/>
            <w:tcBorders>
              <w:bottom w:val="single" w:sz="8" w:color="auto"/>
            </w:tcBorders>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w w:val="89"/>
              </w:rPr>
              <w:t>Emerging Growth Company</w:t>
            </w:r>
          </w:p>
        </w:tc>
      </w:tr>
      <w:tr>
        <w:trPr>
          <w:trHeight w:val="222"/>
        </w:trPr>
        <w:tc>
          <w:tcPr>
            <w:tcW w:w="4420" w:type="dxa"/>
            <w:vAlign w:val="bottom"/>
            <w:gridSpan w:val="6"/>
          </w:tcPr>
          <w:p>
            <w:pPr>
              <w:spacing w:after="0"/>
              <w:rPr>
                <w:sz w:val="20"/>
                <w:szCs w:val="20"/>
                <w:color w:val="auto"/>
              </w:rPr>
            </w:pPr>
            <w:r>
              <w:rPr>
                <w:rFonts w:ascii="Arial" w:cs="Arial" w:eastAsia="Arial" w:hAnsi="Arial"/>
                <w:sz w:val="18"/>
                <w:szCs w:val="18"/>
                <w:color w:val="auto"/>
              </w:rPr>
              <w:t>(Do not check if a smaller reporting company)</w:t>
            </w:r>
          </w:p>
        </w:tc>
        <w:tc>
          <w:tcPr>
            <w:tcW w:w="48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4953635</wp:posOffset>
            </wp:positionH>
            <wp:positionV relativeFrom="paragraph">
              <wp:posOffset>-149225</wp:posOffset>
            </wp:positionV>
            <wp:extent cx="308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95" w:lineRule="exact"/>
        <w:rPr>
          <w:sz w:val="24"/>
          <w:szCs w:val="24"/>
          <w:color w:val="auto"/>
        </w:rPr>
      </w:pPr>
    </w:p>
    <w:p>
      <w:pPr>
        <w:ind w:left="20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revised financial accounting standards provided pursuant to Section 13(a) of the Exchange Act. _____</w:t>
      </w:r>
    </w:p>
    <w:p>
      <w:pPr>
        <w:spacing w:after="0" w:line="21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239" w:right="239" w:bottom="1440" w:gutter="0" w:footer="0" w:header="0"/>
        </w:sectPr>
      </w:pPr>
    </w:p>
    <w:p>
      <w:pPr>
        <w:spacing w:after="0" w:line="23" w:lineRule="exact"/>
        <w:rPr>
          <w:sz w:val="24"/>
          <w:szCs w:val="24"/>
          <w:color w:val="auto"/>
        </w:rPr>
      </w:pPr>
    </w:p>
    <w:p>
      <w:pPr>
        <w:ind w:left="572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3966845</wp:posOffset>
            </wp:positionH>
            <wp:positionV relativeFrom="paragraph">
              <wp:posOffset>41275</wp:posOffset>
            </wp:positionV>
            <wp:extent cx="308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19685</wp:posOffset>
            </wp:positionV>
            <wp:extent cx="308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7740" w:space="720"/>
            <w:col w:w="220" w:space="440"/>
            <w:col w:w="2300"/>
          </w:cols>
          <w:pgMar w:left="240" w:top="239" w:right="239" w:bottom="1440" w:gutter="0" w:footer="0" w:header="0"/>
          <w:type w:val="continuous"/>
        </w:sectPr>
      </w:pPr>
    </w:p>
    <w:p>
      <w:pPr>
        <w:spacing w:after="0" w:line="52" w:lineRule="exact"/>
        <w:rPr>
          <w:sz w:val="24"/>
          <w:szCs w:val="24"/>
          <w:color w:val="auto"/>
        </w:rPr>
      </w:pPr>
    </w:p>
    <w:p>
      <w:pPr>
        <w:ind w:right="20" w:firstLine="198"/>
        <w:spacing w:after="0" w:line="268" w:lineRule="auto"/>
        <w:rPr>
          <w:sz w:val="20"/>
          <w:szCs w:val="20"/>
          <w:color w:val="auto"/>
        </w:rPr>
      </w:pPr>
      <w:r>
        <w:rPr>
          <w:rFonts w:ascii="Arial" w:cs="Arial" w:eastAsia="Arial" w:hAnsi="Arial"/>
          <w:sz w:val="18"/>
          <w:szCs w:val="18"/>
          <w:color w:val="auto"/>
        </w:rPr>
        <w:t>The number of shares outstanding of the registrant's only class of common stock as of July 27, 2018: Common stock, par value $.50 per share – 12,294,422 shares outstanding.</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Item 1.</w:t>
            </w:r>
          </w:p>
        </w:tc>
        <w:tc>
          <w:tcPr>
            <w:tcW w:w="958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9580" w:type="dxa"/>
            <w:vAlign w:val="bottom"/>
            <w:shd w:val="clear" w:color="auto" w:fill="C0C0C0"/>
          </w:tcPr>
          <w:p>
            <w:pPr>
              <w:ind w:left="120"/>
              <w:spacing w:after="0"/>
              <w:rPr>
                <w:sz w:val="20"/>
                <w:szCs w:val="20"/>
                <w:color w:val="auto"/>
              </w:rPr>
            </w:pPr>
            <w:r>
              <w:rPr>
                <w:rFonts w:ascii="Arial" w:cs="Arial" w:eastAsia="Arial" w:hAnsi="Arial"/>
                <w:sz w:val="18"/>
                <w:szCs w:val="18"/>
                <w:color w:val="auto"/>
              </w:rPr>
              <w:t>Consolidated Balance Sheets</w:t>
            </w:r>
          </w:p>
        </w:tc>
        <w:tc>
          <w:tcPr>
            <w:tcW w:w="9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95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June 30, 2018 (unaudited) and December 31, 2017</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958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Consolidated Statements of Income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580" w:type="dxa"/>
            <w:vAlign w:val="bottom"/>
          </w:tcPr>
          <w:p>
            <w:pPr>
              <w:ind w:left="400"/>
              <w:spacing w:after="0"/>
              <w:rPr>
                <w:sz w:val="20"/>
                <w:szCs w:val="20"/>
                <w:color w:val="auto"/>
              </w:rPr>
            </w:pPr>
            <w:r>
              <w:rPr>
                <w:rFonts w:ascii="Arial" w:cs="Arial" w:eastAsia="Arial" w:hAnsi="Arial"/>
                <w:sz w:val="18"/>
                <w:szCs w:val="18"/>
                <w:color w:val="auto"/>
              </w:rPr>
              <w:t>Three and six months ended June 30, 2018 and 2017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9580" w:type="dxa"/>
            <w:vAlign w:val="bottom"/>
            <w:shd w:val="clear" w:color="auto" w:fill="C0C0C0"/>
          </w:tcPr>
          <w:p>
            <w:pPr>
              <w:ind w:left="120"/>
              <w:spacing w:after="0"/>
              <w:rPr>
                <w:sz w:val="20"/>
                <w:szCs w:val="20"/>
                <w:color w:val="auto"/>
              </w:rPr>
            </w:pPr>
            <w:r>
              <w:rPr>
                <w:rFonts w:ascii="Arial" w:cs="Arial" w:eastAsia="Arial" w:hAnsi="Arial"/>
                <w:sz w:val="18"/>
                <w:szCs w:val="18"/>
                <w:color w:val="auto"/>
              </w:rPr>
              <w:t>Consolidated Statements of Comprehensive Income</w:t>
            </w:r>
          </w:p>
        </w:tc>
        <w:tc>
          <w:tcPr>
            <w:tcW w:w="9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95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Three and six months ended June 30, 2018 and 2017 (unaudited)</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958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Consolidated Statements of Cash Flows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580" w:type="dxa"/>
            <w:vAlign w:val="bottom"/>
          </w:tcPr>
          <w:p>
            <w:pPr>
              <w:ind w:left="400"/>
              <w:spacing w:after="0"/>
              <w:rPr>
                <w:sz w:val="20"/>
                <w:szCs w:val="20"/>
                <w:color w:val="auto"/>
              </w:rPr>
            </w:pPr>
            <w:r>
              <w:rPr>
                <w:rFonts w:ascii="Arial" w:cs="Arial" w:eastAsia="Arial" w:hAnsi="Arial"/>
                <w:sz w:val="18"/>
                <w:szCs w:val="18"/>
                <w:color w:val="auto"/>
              </w:rPr>
              <w:t>Six months ended June 30, 2018 and 2017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9580" w:type="dxa"/>
            <w:vAlign w:val="bottom"/>
            <w:shd w:val="clear" w:color="auto" w:fill="C0C0C0"/>
          </w:tcPr>
          <w:p>
            <w:pPr>
              <w:ind w:left="120"/>
              <w:spacing w:after="0"/>
              <w:rPr>
                <w:sz w:val="20"/>
                <w:szCs w:val="20"/>
                <w:color w:val="auto"/>
              </w:rPr>
            </w:pPr>
            <w:r>
              <w:rPr>
                <w:rFonts w:ascii="Arial" w:cs="Arial" w:eastAsia="Arial" w:hAnsi="Arial"/>
                <w:sz w:val="18"/>
                <w:szCs w:val="18"/>
                <w:color w:val="auto"/>
              </w:rPr>
              <w:t>Notes to Consolidated Financial Statements (unaudited)</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958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Item 2.</w:t>
            </w:r>
          </w:p>
        </w:tc>
        <w:tc>
          <w:tcPr>
            <w:tcW w:w="958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Item 3.</w:t>
            </w:r>
          </w:p>
        </w:tc>
        <w:tc>
          <w:tcPr>
            <w:tcW w:w="9580" w:type="dxa"/>
            <w:vAlign w:val="bottom"/>
            <w:shd w:val="clear" w:color="auto" w:fill="C0C0C0"/>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958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Item 4.</w:t>
            </w:r>
          </w:p>
        </w:tc>
        <w:tc>
          <w:tcPr>
            <w:tcW w:w="958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048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048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 xml:space="preserve">PART II – Other Information </w:t>
            </w:r>
            <w:r>
              <w:rPr>
                <w:rFonts w:ascii="Arial" w:cs="Arial" w:eastAsia="Arial" w:hAnsi="Arial"/>
                <w:sz w:val="18"/>
                <w:szCs w:val="18"/>
                <w:color w:val="auto"/>
              </w:rPr>
              <w:t>– Items 1. – 6.</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480" w:type="dxa"/>
            <w:vAlign w:val="bottom"/>
            <w:gridSpan w:val="2"/>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80" w:type="dxa"/>
            <w:vAlign w:val="bottom"/>
            <w:gridSpan w:val="2"/>
          </w:tcPr>
          <w:p>
            <w:pPr>
              <w:ind w:left="260"/>
              <w:spacing w:after="0"/>
              <w:rPr>
                <w:sz w:val="20"/>
                <w:szCs w:val="20"/>
                <w:color w:val="auto"/>
              </w:rPr>
            </w:pPr>
            <w:r>
              <w:rPr>
                <w:rFonts w:ascii="Arial" w:cs="Arial" w:eastAsia="Arial" w:hAnsi="Arial"/>
                <w:sz w:val="18"/>
                <w:szCs w:val="18"/>
                <w:color w:val="auto"/>
              </w:rPr>
              <w:t>SIGNATURES</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46"/>
        </w:trPr>
        <w:tc>
          <w:tcPr>
            <w:tcW w:w="10500" w:type="dxa"/>
            <w:vAlign w:val="bottom"/>
            <w:gridSpan w:val="3"/>
          </w:tcPr>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2017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r>
        <w:rPr>
          <w:rFonts w:ascii="Arial" w:cs="Arial" w:eastAsia="Arial" w:hAnsi="Arial"/>
          <w:sz w:val="12"/>
          <w:szCs w:val="12"/>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64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64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tcPr>
          <w:p>
            <w:pPr>
              <w:jc w:val="center"/>
              <w:ind w:left="1112"/>
              <w:spacing w:after="0"/>
              <w:rPr>
                <w:sz w:val="20"/>
                <w:szCs w:val="20"/>
                <w:color w:val="auto"/>
              </w:rPr>
            </w:pPr>
            <w:r>
              <w:rPr>
                <w:rFonts w:ascii="Arial" w:cs="Arial" w:eastAsia="Arial" w:hAnsi="Arial"/>
                <w:sz w:val="18"/>
                <w:szCs w:val="18"/>
                <w:b w:val="1"/>
                <w:bCs w:val="1"/>
                <w:color w:val="auto"/>
                <w:w w:val="97"/>
              </w:rPr>
              <w:t>CASS INFORMATION SYSTEMS, INC. AND SUBSIDIARIES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00" w:type="dxa"/>
            <w:vAlign w:val="bottom"/>
          </w:tcPr>
          <w:p>
            <w:pPr>
              <w:jc w:val="center"/>
              <w:ind w:left="1172"/>
              <w:spacing w:after="0"/>
              <w:rPr>
                <w:sz w:val="20"/>
                <w:szCs w:val="20"/>
                <w:color w:val="auto"/>
              </w:rPr>
            </w:pPr>
            <w:r>
              <w:rPr>
                <w:rFonts w:ascii="Arial" w:cs="Arial" w:eastAsia="Arial" w:hAnsi="Arial"/>
                <w:sz w:val="18"/>
                <w:szCs w:val="18"/>
                <w:b w:val="1"/>
                <w:bCs w:val="1"/>
                <w:color w:val="auto"/>
                <w:w w:val="96"/>
              </w:rPr>
              <w:t>CONSOLIDATED BALANCE SHEETS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00" w:type="dxa"/>
            <w:vAlign w:val="bottom"/>
          </w:tcPr>
          <w:p>
            <w:pPr>
              <w:jc w:val="center"/>
              <w:ind w:left="1172"/>
              <w:spacing w:after="0"/>
              <w:rPr>
                <w:sz w:val="20"/>
                <w:szCs w:val="20"/>
                <w:color w:val="auto"/>
              </w:rPr>
            </w:pPr>
            <w:r>
              <w:rPr>
                <w:rFonts w:ascii="Arial" w:cs="Arial" w:eastAsia="Arial" w:hAnsi="Arial"/>
                <w:sz w:val="18"/>
                <w:szCs w:val="18"/>
                <w:color w:val="auto"/>
                <w:w w:val="86"/>
              </w:rPr>
              <w:t>(Dollars in Thousands except Share and Per Share Data)</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June 30,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2018</w:t>
            </w: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right w:val="single" w:sz="8" w:color="C0C0C0"/>
            </w:tcBorders>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4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17,422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111,244</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152,056</w:t>
            </w:r>
          </w:p>
        </w:tc>
        <w:tc>
          <w:tcPr>
            <w:tcW w:w="0" w:type="dxa"/>
            <w:vAlign w:val="bottom"/>
          </w:tcPr>
          <w:p>
            <w:pPr>
              <w:spacing w:after="0"/>
              <w:rPr>
                <w:sz w:val="1"/>
                <w:szCs w:val="1"/>
                <w:color w:val="auto"/>
              </w:rPr>
            </w:pPr>
          </w:p>
        </w:tc>
      </w:tr>
      <w:tr>
        <w:trPr>
          <w:trHeight w:val="235"/>
        </w:trPr>
        <w:tc>
          <w:tcPr>
            <w:tcW w:w="8640" w:type="dxa"/>
            <w:vAlign w:val="bottom"/>
            <w:gridSpan w:val="4"/>
          </w:tcPr>
          <w:p>
            <w:pPr>
              <w:spacing w:after="0"/>
              <w:rPr>
                <w:sz w:val="20"/>
                <w:szCs w:val="20"/>
                <w:color w:val="auto"/>
              </w:rPr>
            </w:pPr>
            <w:r>
              <w:rPr>
                <w:rFonts w:ascii="Arial" w:cs="Arial" w:eastAsia="Arial" w:hAnsi="Arial"/>
                <w:sz w:val="18"/>
                <w:szCs w:val="18"/>
                <w:color w:val="auto"/>
              </w:rPr>
              <w:t>Federal funds sold and other short-term investments</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1,895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gridSpan w:val="3"/>
            <w:vMerge w:val="restart"/>
            <w:shd w:val="clear" w:color="auto" w:fill="C0C0C0"/>
          </w:tcPr>
          <w:p>
            <w:pPr>
              <w:ind w:left="5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right w:val="single" w:sz="8" w:color="C0C0C0"/>
            </w:tcBorders>
            <w:shd w:val="clear" w:color="auto" w:fill="C0C0C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3"/>
            <w:vMerge w:val="continue"/>
            <w:shd w:val="clear" w:color="auto" w:fill="C0C0C0"/>
          </w:tcPr>
          <w:p>
            <w:pPr>
              <w:spacing w:after="0"/>
              <w:rPr>
                <w:sz w:val="21"/>
                <w:szCs w:val="21"/>
                <w:color w:val="auto"/>
              </w:rPr>
            </w:pP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126,203</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228,110</w:t>
            </w:r>
          </w:p>
        </w:tc>
        <w:tc>
          <w:tcPr>
            <w:tcW w:w="0" w:type="dxa"/>
            <w:vAlign w:val="bottom"/>
          </w:tcPr>
          <w:p>
            <w:pPr>
              <w:spacing w:after="0"/>
              <w:rPr>
                <w:sz w:val="1"/>
                <w:szCs w:val="1"/>
                <w:color w:val="auto"/>
              </w:rPr>
            </w:pPr>
          </w:p>
        </w:tc>
      </w:tr>
      <w:tr>
        <w:trPr>
          <w:trHeight w:val="20"/>
        </w:trPr>
        <w:tc>
          <w:tcPr>
            <w:tcW w:w="8640" w:type="dxa"/>
            <w:vAlign w:val="bottom"/>
            <w:gridSpan w:val="4"/>
            <w:vMerge w:val="restart"/>
          </w:tcPr>
          <w:p>
            <w:pPr>
              <w:spacing w:after="0"/>
              <w:rPr>
                <w:sz w:val="20"/>
                <w:szCs w:val="20"/>
                <w:color w:val="auto"/>
              </w:rPr>
            </w:pPr>
            <w:r>
              <w:rPr>
                <w:rFonts w:ascii="Arial" w:cs="Arial" w:eastAsia="Arial" w:hAnsi="Arial"/>
                <w:sz w:val="18"/>
                <w:szCs w:val="18"/>
                <w:color w:val="auto"/>
              </w:rPr>
              <w:t>Securities available-for-sale, at fair value</w:t>
            </w: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40" w:type="dxa"/>
            <w:vAlign w:val="bottom"/>
            <w:gridSpan w:val="4"/>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440,863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470,523</w:t>
            </w:r>
          </w:p>
        </w:tc>
        <w:tc>
          <w:tcPr>
            <w:tcW w:w="0" w:type="dxa"/>
            <w:vAlign w:val="bottom"/>
          </w:tcPr>
          <w:p>
            <w:pPr>
              <w:spacing w:after="0"/>
              <w:rPr>
                <w:sz w:val="1"/>
                <w:szCs w:val="1"/>
                <w:color w:val="auto"/>
              </w:rPr>
            </w:pPr>
          </w:p>
        </w:tc>
      </w:tr>
      <w:tr>
        <w:trPr>
          <w:trHeight w:val="259"/>
        </w:trPr>
        <w:tc>
          <w:tcPr>
            <w:tcW w:w="76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Loans</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714,861</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686,231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20" w:type="dxa"/>
            <w:vAlign w:val="bottom"/>
            <w:gridSpan w:val="3"/>
          </w:tcPr>
          <w:p>
            <w:pPr>
              <w:ind w:left="520"/>
              <w:spacing w:after="0"/>
              <w:rPr>
                <w:sz w:val="20"/>
                <w:szCs w:val="20"/>
                <w:color w:val="auto"/>
              </w:rPr>
            </w:pPr>
            <w:r>
              <w:rPr>
                <w:rFonts w:ascii="Arial" w:cs="Arial" w:eastAsia="Arial" w:hAnsi="Arial"/>
                <w:sz w:val="18"/>
                <w:szCs w:val="18"/>
                <w:color w:val="auto"/>
              </w:rPr>
              <w:t>Less: Allowance for loan losses</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10,215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vMerge w:val="restart"/>
            <w:shd w:val="clear" w:color="auto" w:fill="C0C0C0"/>
          </w:tcPr>
          <w:p>
            <w:pPr>
              <w:spacing w:after="0" w:line="20" w:lineRule="exact"/>
              <w:rPr>
                <w:sz w:val="1"/>
                <w:szCs w:val="1"/>
                <w:color w:val="auto"/>
              </w:rPr>
            </w:pPr>
          </w:p>
        </w:tc>
        <w:tc>
          <w:tcPr>
            <w:tcW w:w="7880" w:type="dxa"/>
            <w:vAlign w:val="bottom"/>
            <w:gridSpan w:val="2"/>
            <w:vMerge w:val="restart"/>
            <w:shd w:val="clear" w:color="auto" w:fill="C0C0C0"/>
          </w:tcPr>
          <w:p>
            <w:pPr>
              <w:ind w:left="200"/>
              <w:spacing w:after="0"/>
              <w:rPr>
                <w:sz w:val="20"/>
                <w:szCs w:val="20"/>
                <w:color w:val="auto"/>
              </w:rPr>
            </w:pPr>
            <w:r>
              <w:rPr>
                <w:rFonts w:ascii="Arial" w:cs="Arial" w:eastAsia="Arial" w:hAnsi="Arial"/>
                <w:sz w:val="18"/>
                <w:szCs w:val="18"/>
                <w:color w:val="auto"/>
              </w:rPr>
              <w:t>Loans, net</w:t>
            </w:r>
          </w:p>
        </w:tc>
        <w:tc>
          <w:tcPr>
            <w:tcW w:w="380" w:type="dxa"/>
            <w:vAlign w:val="bottom"/>
            <w:tcBorders>
              <w:right w:val="single" w:sz="8" w:color="C0C0C0"/>
            </w:tcBorders>
            <w:shd w:val="clear" w:color="auto" w:fill="C0C0C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vMerge w:val="continue"/>
            <w:shd w:val="clear" w:color="auto" w:fill="C0C0C0"/>
          </w:tcPr>
          <w:p>
            <w:pPr>
              <w:spacing w:after="0"/>
              <w:rPr>
                <w:sz w:val="21"/>
                <w:szCs w:val="21"/>
                <w:color w:val="auto"/>
              </w:rPr>
            </w:pPr>
          </w:p>
        </w:tc>
        <w:tc>
          <w:tcPr>
            <w:tcW w:w="7880" w:type="dxa"/>
            <w:vAlign w:val="bottom"/>
            <w:gridSpan w:val="2"/>
            <w:vMerge w:val="continue"/>
            <w:shd w:val="clear" w:color="auto" w:fill="C0C0C0"/>
          </w:tcPr>
          <w:p>
            <w:pPr>
              <w:spacing w:after="0"/>
              <w:rPr>
                <w:sz w:val="21"/>
                <w:szCs w:val="21"/>
                <w:color w:val="auto"/>
              </w:rPr>
            </w:pP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704,646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676,026</w:t>
            </w:r>
          </w:p>
        </w:tc>
        <w:tc>
          <w:tcPr>
            <w:tcW w:w="0" w:type="dxa"/>
            <w:vAlign w:val="bottom"/>
          </w:tcPr>
          <w:p>
            <w:pPr>
              <w:spacing w:after="0"/>
              <w:rPr>
                <w:sz w:val="1"/>
                <w:szCs w:val="1"/>
                <w:color w:val="auto"/>
              </w:rPr>
            </w:pPr>
          </w:p>
        </w:tc>
      </w:tr>
      <w:tr>
        <w:trPr>
          <w:trHeight w:val="20"/>
        </w:trPr>
        <w:tc>
          <w:tcPr>
            <w:tcW w:w="8640" w:type="dxa"/>
            <w:vAlign w:val="bottom"/>
            <w:gridSpan w:val="4"/>
            <w:vMerge w:val="restart"/>
          </w:tcPr>
          <w:p>
            <w:pPr>
              <w:spacing w:after="0"/>
              <w:rPr>
                <w:sz w:val="20"/>
                <w:szCs w:val="20"/>
                <w:color w:val="auto"/>
              </w:rPr>
            </w:pPr>
            <w:r>
              <w:rPr>
                <w:rFonts w:ascii="Arial" w:cs="Arial" w:eastAsia="Arial" w:hAnsi="Arial"/>
                <w:sz w:val="18"/>
                <w:szCs w:val="18"/>
                <w:color w:val="auto"/>
              </w:rPr>
              <w:t>Premises and equipment, net</w:t>
            </w: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gridSpan w:val="4"/>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22,466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Investment in bank-owned life insurance</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17,155</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35"/>
        </w:trPr>
        <w:tc>
          <w:tcPr>
            <w:tcW w:w="8640" w:type="dxa"/>
            <w:vAlign w:val="bottom"/>
            <w:gridSpan w:val="4"/>
          </w:tcPr>
          <w:p>
            <w:pPr>
              <w:spacing w:after="0"/>
              <w:rPr>
                <w:sz w:val="20"/>
                <w:szCs w:val="20"/>
                <w:color w:val="auto"/>
              </w:rPr>
            </w:pPr>
            <w:r>
              <w:rPr>
                <w:rFonts w:ascii="Arial" w:cs="Arial" w:eastAsia="Arial" w:hAnsi="Arial"/>
                <w:sz w:val="18"/>
                <w:szCs w:val="18"/>
                <w:color w:val="auto"/>
              </w:rPr>
              <w:t>Payments in excess of funding</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153,836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139,103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12,569</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35"/>
        </w:trPr>
        <w:tc>
          <w:tcPr>
            <w:tcW w:w="864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1,775</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90,792</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gridSpan w:val="3"/>
            <w:vMerge w:val="restart"/>
          </w:tcPr>
          <w:p>
            <w:pPr>
              <w:ind w:left="520"/>
              <w:spacing w:after="0"/>
              <w:rPr>
                <w:sz w:val="20"/>
                <w:szCs w:val="20"/>
                <w:color w:val="auto"/>
              </w:rPr>
            </w:pPr>
            <w:r>
              <w:rPr>
                <w:rFonts w:ascii="Arial" w:cs="Arial" w:eastAsia="Arial" w:hAnsi="Arial"/>
                <w:sz w:val="18"/>
                <w:szCs w:val="18"/>
                <w:color w:val="auto"/>
              </w:rPr>
              <w:t>Total assets</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8620" w:type="dxa"/>
            <w:vAlign w:val="bottom"/>
            <w:gridSpan w:val="3"/>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1,570,305</w:t>
            </w:r>
          </w:p>
        </w:tc>
        <w:tc>
          <w:tcPr>
            <w:tcW w:w="240" w:type="dxa"/>
            <w:vAlign w:val="bottom"/>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1,657,209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right w:val="single" w:sz="8" w:color="C0C0C0"/>
            </w:tcBorders>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640" w:type="dxa"/>
            <w:vAlign w:val="bottom"/>
            <w:gridSpan w:val="4"/>
          </w:tcPr>
          <w:p>
            <w:pPr>
              <w:spacing w:after="0" w:line="189" w:lineRule="exact"/>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Deposits:</w:t>
            </w:r>
          </w:p>
        </w:tc>
        <w:tc>
          <w:tcPr>
            <w:tcW w:w="380" w:type="dxa"/>
            <w:vAlign w:val="bottom"/>
            <w:tcBorders>
              <w:right w:val="single" w:sz="8" w:color="C0C0C0"/>
            </w:tcBorders>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20" w:type="dxa"/>
            <w:vAlign w:val="bottom"/>
            <w:gridSpan w:val="3"/>
          </w:tcPr>
          <w:p>
            <w:pPr>
              <w:ind w:left="260"/>
              <w:spacing w:after="0"/>
              <w:rPr>
                <w:sz w:val="20"/>
                <w:szCs w:val="20"/>
                <w:color w:val="auto"/>
              </w:rPr>
            </w:pPr>
            <w:r>
              <w:rPr>
                <w:rFonts w:ascii="Arial" w:cs="Arial" w:eastAsia="Arial" w:hAnsi="Arial"/>
                <w:sz w:val="18"/>
                <w:szCs w:val="18"/>
                <w:color w:val="auto"/>
              </w:rPr>
              <w:t>Noninterest-bearing</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265,356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281,541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3"/>
            <w:shd w:val="clear" w:color="auto" w:fill="C0C0C0"/>
          </w:tcPr>
          <w:p>
            <w:pPr>
              <w:ind w:left="260"/>
              <w:spacing w:after="0"/>
              <w:rPr>
                <w:sz w:val="20"/>
                <w:szCs w:val="20"/>
                <w:color w:val="auto"/>
              </w:rPr>
            </w:pPr>
            <w:r>
              <w:rPr>
                <w:rFonts w:ascii="Arial" w:cs="Arial" w:eastAsia="Arial" w:hAnsi="Arial"/>
                <w:sz w:val="18"/>
                <w:szCs w:val="18"/>
                <w:color w:val="auto"/>
              </w:rPr>
              <w:t>Interest-bearing</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360,381</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gridSpan w:val="3"/>
            <w:vMerge w:val="restart"/>
          </w:tcPr>
          <w:p>
            <w:pPr>
              <w:ind w:left="520"/>
              <w:spacing w:after="0"/>
              <w:rPr>
                <w:sz w:val="20"/>
                <w:szCs w:val="20"/>
                <w:color w:val="auto"/>
              </w:rPr>
            </w:pPr>
            <w:r>
              <w:rPr>
                <w:rFonts w:ascii="Arial" w:cs="Arial" w:eastAsia="Arial" w:hAnsi="Arial"/>
                <w:sz w:val="18"/>
                <w:szCs w:val="18"/>
                <w:color w:val="auto"/>
              </w:rPr>
              <w:t>Total deposits</w:t>
            </w: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625,737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678,088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gridSpan w:val="3"/>
            <w:vMerge w:val="restart"/>
            <w:shd w:val="clear" w:color="auto" w:fill="C0C0C0"/>
          </w:tcPr>
          <w:p>
            <w:pPr>
              <w:spacing w:after="0"/>
              <w:rPr>
                <w:sz w:val="20"/>
                <w:szCs w:val="20"/>
                <w:color w:val="auto"/>
              </w:rPr>
            </w:pPr>
            <w:r>
              <w:rPr>
                <w:rFonts w:ascii="Arial" w:cs="Arial" w:eastAsia="Arial" w:hAnsi="Arial"/>
                <w:sz w:val="18"/>
                <w:szCs w:val="18"/>
                <w:color w:val="auto"/>
              </w:rPr>
              <w:t>Accounts and drafts payable</w:t>
            </w:r>
          </w:p>
        </w:tc>
        <w:tc>
          <w:tcPr>
            <w:tcW w:w="380" w:type="dxa"/>
            <w:vAlign w:val="bottom"/>
            <w:tcBorders>
              <w:right w:val="single" w:sz="8" w:color="C0C0C0"/>
            </w:tcBorders>
            <w:shd w:val="clear" w:color="auto" w:fill="C0C0C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3"/>
            <w:vMerge w:val="continue"/>
            <w:shd w:val="clear" w:color="auto" w:fill="C0C0C0"/>
          </w:tcPr>
          <w:p>
            <w:pPr>
              <w:spacing w:after="0"/>
              <w:rPr>
                <w:sz w:val="21"/>
                <w:szCs w:val="21"/>
                <w:color w:val="auto"/>
              </w:rPr>
            </w:pP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673,704</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715,888</w:t>
            </w:r>
          </w:p>
        </w:tc>
        <w:tc>
          <w:tcPr>
            <w:tcW w:w="0" w:type="dxa"/>
            <w:vAlign w:val="bottom"/>
          </w:tcPr>
          <w:p>
            <w:pPr>
              <w:spacing w:after="0"/>
              <w:rPr>
                <w:sz w:val="1"/>
                <w:szCs w:val="1"/>
                <w:color w:val="auto"/>
              </w:rPr>
            </w:pPr>
          </w:p>
        </w:tc>
      </w:tr>
      <w:tr>
        <w:trPr>
          <w:trHeight w:val="235"/>
        </w:trPr>
        <w:tc>
          <w:tcPr>
            <w:tcW w:w="864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44,251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gridSpan w:val="3"/>
            <w:vMerge w:val="restart"/>
            <w:shd w:val="clear" w:color="auto" w:fill="C0C0C0"/>
          </w:tcPr>
          <w:p>
            <w:pPr>
              <w:ind w:left="520"/>
              <w:spacing w:after="0"/>
              <w:rPr>
                <w:sz w:val="20"/>
                <w:szCs w:val="20"/>
                <w:color w:val="auto"/>
              </w:rPr>
            </w:pPr>
            <w:r>
              <w:rPr>
                <w:rFonts w:ascii="Arial" w:cs="Arial" w:eastAsia="Arial" w:hAnsi="Arial"/>
                <w:sz w:val="18"/>
                <w:szCs w:val="18"/>
                <w:color w:val="auto"/>
              </w:rPr>
              <w:t>Total liabilities</w:t>
            </w:r>
          </w:p>
        </w:tc>
        <w:tc>
          <w:tcPr>
            <w:tcW w:w="380" w:type="dxa"/>
            <w:vAlign w:val="bottom"/>
            <w:tcBorders>
              <w:right w:val="single" w:sz="8" w:color="C0C0C0"/>
            </w:tcBorders>
            <w:shd w:val="clear" w:color="auto" w:fill="C0C0C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3"/>
            <w:vMerge w:val="continue"/>
            <w:shd w:val="clear" w:color="auto" w:fill="C0C0C0"/>
          </w:tcPr>
          <w:p>
            <w:pPr>
              <w:spacing w:after="0"/>
              <w:rPr>
                <w:sz w:val="20"/>
                <w:szCs w:val="20"/>
                <w:color w:val="auto"/>
              </w:rPr>
            </w:pPr>
          </w:p>
        </w:tc>
        <w:tc>
          <w:tcPr>
            <w:tcW w:w="380" w:type="dxa"/>
            <w:vAlign w:val="bottom"/>
            <w:tcBorders>
              <w:right w:val="single" w:sz="8" w:color="C0C0C0"/>
            </w:tcBorders>
            <w:shd w:val="clear" w:color="auto" w:fill="C0C0C0"/>
          </w:tcPr>
          <w:p>
            <w:pPr>
              <w:spacing w:after="0"/>
              <w:rPr>
                <w:sz w:val="20"/>
                <w:szCs w:val="20"/>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1,343,692</w:t>
            </w:r>
          </w:p>
        </w:tc>
        <w:tc>
          <w:tcPr>
            <w:tcW w:w="240" w:type="dxa"/>
            <w:vAlign w:val="bottom"/>
            <w:shd w:val="clear" w:color="auto" w:fill="C0C0C0"/>
          </w:tcPr>
          <w:p>
            <w:pPr>
              <w:spacing w:after="0"/>
              <w:rPr>
                <w:sz w:val="20"/>
                <w:szCs w:val="20"/>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1,432,121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Borders>
              <w:top w:val="single" w:sz="8" w:color="C0C0C0"/>
            </w:tcBorders>
            <w:shd w:val="clear" w:color="auto" w:fill="C0C0C0"/>
          </w:tcPr>
          <w:p>
            <w:pPr>
              <w:spacing w:after="0"/>
              <w:rPr>
                <w:sz w:val="19"/>
                <w:szCs w:val="19"/>
                <w:color w:val="auto"/>
              </w:rPr>
            </w:pPr>
          </w:p>
        </w:tc>
        <w:tc>
          <w:tcPr>
            <w:tcW w:w="780" w:type="dxa"/>
            <w:vAlign w:val="bottom"/>
            <w:tcBorders>
              <w:top w:val="single" w:sz="8" w:color="C0C0C0"/>
            </w:tcBorders>
            <w:shd w:val="clear" w:color="auto" w:fill="C0C0C0"/>
          </w:tcPr>
          <w:p>
            <w:pPr>
              <w:spacing w:after="0"/>
              <w:rPr>
                <w:sz w:val="19"/>
                <w:szCs w:val="19"/>
                <w:color w:val="auto"/>
              </w:rPr>
            </w:pPr>
          </w:p>
        </w:tc>
        <w:tc>
          <w:tcPr>
            <w:tcW w:w="7100" w:type="dxa"/>
            <w:vAlign w:val="bottom"/>
            <w:tcBorders>
              <w:top w:val="single" w:sz="8" w:color="C0C0C0"/>
            </w:tcBorders>
            <w:shd w:val="clear" w:color="auto" w:fill="C0C0C0"/>
          </w:tcPr>
          <w:p>
            <w:pPr>
              <w:spacing w:after="0"/>
              <w:rPr>
                <w:sz w:val="19"/>
                <w:szCs w:val="19"/>
                <w:color w:val="auto"/>
              </w:rPr>
            </w:pPr>
          </w:p>
        </w:tc>
        <w:tc>
          <w:tcPr>
            <w:tcW w:w="380" w:type="dxa"/>
            <w:vAlign w:val="bottom"/>
            <w:tcBorders>
              <w:top w:val="single" w:sz="8" w:color="C0C0C0"/>
              <w:right w:val="single" w:sz="8" w:color="C0C0C0"/>
            </w:tcBorders>
            <w:shd w:val="clear" w:color="auto" w:fill="C0C0C0"/>
          </w:tcPr>
          <w:p>
            <w:pPr>
              <w:spacing w:after="0"/>
              <w:rPr>
                <w:sz w:val="19"/>
                <w:szCs w:val="19"/>
                <w:color w:val="auto"/>
              </w:rPr>
            </w:pPr>
          </w:p>
        </w:tc>
        <w:tc>
          <w:tcPr>
            <w:tcW w:w="100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240" w:type="dxa"/>
            <w:vAlign w:val="bottom"/>
            <w:tcBorders>
              <w:top w:val="single" w:sz="8" w:color="C0C0C0"/>
            </w:tcBorders>
            <w:shd w:val="clear" w:color="auto" w:fill="C0C0C0"/>
          </w:tcPr>
          <w:p>
            <w:pPr>
              <w:spacing w:after="0"/>
              <w:rPr>
                <w:sz w:val="19"/>
                <w:szCs w:val="19"/>
                <w:color w:val="auto"/>
              </w:rPr>
            </w:pPr>
          </w:p>
        </w:tc>
        <w:tc>
          <w:tcPr>
            <w:tcW w:w="102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40" w:type="dxa"/>
            <w:vAlign w:val="bottom"/>
            <w:gridSpan w:val="4"/>
          </w:tcPr>
          <w:p>
            <w:pPr>
              <w:spacing w:after="0" w:line="189" w:lineRule="exact"/>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640" w:type="dxa"/>
            <w:vAlign w:val="bottom"/>
            <w:gridSpan w:val="4"/>
          </w:tcPr>
          <w:p>
            <w:pPr>
              <w:spacing w:after="0"/>
              <w:rPr>
                <w:sz w:val="20"/>
                <w:szCs w:val="20"/>
                <w:color w:val="auto"/>
              </w:rPr>
            </w:pPr>
            <w:r>
              <w:rPr>
                <w:rFonts w:ascii="Arial" w:cs="Arial" w:eastAsia="Arial" w:hAnsi="Arial"/>
                <w:sz w:val="18"/>
                <w:szCs w:val="18"/>
                <w:color w:val="auto"/>
                <w:w w:val="86"/>
              </w:rPr>
              <w:t>Common stock, par value $.50 per share; 40,000,000 shares authorized and 13,047,997 shares issued at June 30, 2018 and</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3"/>
          </w:tcPr>
          <w:p>
            <w:pPr>
              <w:ind w:left="260"/>
              <w:spacing w:after="0"/>
              <w:rPr>
                <w:sz w:val="20"/>
                <w:szCs w:val="20"/>
                <w:color w:val="auto"/>
              </w:rPr>
            </w:pPr>
            <w:r>
              <w:rPr>
                <w:rFonts w:ascii="Arial" w:cs="Arial" w:eastAsia="Arial" w:hAnsi="Arial"/>
                <w:sz w:val="18"/>
                <w:szCs w:val="18"/>
                <w:color w:val="auto"/>
              </w:rPr>
              <w:t>December 31, 2017</w:t>
            </w:r>
          </w:p>
        </w:tc>
        <w:tc>
          <w:tcPr>
            <w:tcW w:w="3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6,524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204,687</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204,631</w:t>
            </w:r>
          </w:p>
        </w:tc>
        <w:tc>
          <w:tcPr>
            <w:tcW w:w="0" w:type="dxa"/>
            <w:vAlign w:val="bottom"/>
          </w:tcPr>
          <w:p>
            <w:pPr>
              <w:spacing w:after="0"/>
              <w:rPr>
                <w:sz w:val="1"/>
                <w:szCs w:val="1"/>
                <w:color w:val="auto"/>
              </w:rPr>
            </w:pPr>
          </w:p>
        </w:tc>
      </w:tr>
      <w:tr>
        <w:trPr>
          <w:trHeight w:val="235"/>
        </w:trPr>
        <w:tc>
          <w:tcPr>
            <w:tcW w:w="864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68,771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20" w:type="dxa"/>
            <w:vAlign w:val="bottom"/>
            <w:gridSpan w:val="3"/>
            <w:shd w:val="clear" w:color="auto" w:fill="C0C0C0"/>
          </w:tcPr>
          <w:p>
            <w:pPr>
              <w:spacing w:after="0"/>
              <w:rPr>
                <w:sz w:val="20"/>
                <w:szCs w:val="20"/>
                <w:color w:val="auto"/>
              </w:rPr>
            </w:pPr>
            <w:r>
              <w:rPr>
                <w:rFonts w:ascii="Arial" w:cs="Arial" w:eastAsia="Arial" w:hAnsi="Arial"/>
                <w:sz w:val="18"/>
                <w:szCs w:val="18"/>
                <w:color w:val="auto"/>
                <w:w w:val="94"/>
              </w:rPr>
              <w:t>Common shares in treasury, at cost (754,435 shares at June 30, 2018 and 760,962 shares at December 31, 2017)</w:t>
            </w: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(32,243)</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35"/>
        </w:trPr>
        <w:tc>
          <w:tcPr>
            <w:tcW w:w="864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(21,126)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gridSpan w:val="3"/>
            <w:vMerge w:val="restart"/>
            <w:shd w:val="clear" w:color="auto" w:fill="C0C0C0"/>
          </w:tcPr>
          <w:p>
            <w:pPr>
              <w:ind w:left="52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right w:val="single" w:sz="8" w:color="C0C0C0"/>
            </w:tcBorders>
            <w:shd w:val="clear" w:color="auto" w:fill="C0C0C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gridSpan w:val="3"/>
            <w:vMerge w:val="continue"/>
            <w:shd w:val="clear" w:color="auto" w:fill="C0C0C0"/>
          </w:tcPr>
          <w:p>
            <w:pPr>
              <w:spacing w:after="0"/>
              <w:rPr>
                <w:sz w:val="21"/>
                <w:szCs w:val="21"/>
                <w:color w:val="auto"/>
              </w:rPr>
            </w:pPr>
          </w:p>
        </w:tc>
        <w:tc>
          <w:tcPr>
            <w:tcW w:w="380" w:type="dxa"/>
            <w:vAlign w:val="bottom"/>
            <w:tcBorders>
              <w:right w:val="single" w:sz="8" w:color="C0C0C0"/>
            </w:tcBorders>
            <w:shd w:val="clear" w:color="auto" w:fill="C0C0C0"/>
          </w:tcPr>
          <w:p>
            <w:pPr>
              <w:spacing w:after="0"/>
              <w:rPr>
                <w:sz w:val="21"/>
                <w:szCs w:val="21"/>
                <w:color w:val="auto"/>
              </w:rPr>
            </w:pPr>
          </w:p>
        </w:tc>
        <w:tc>
          <w:tcPr>
            <w:tcW w:w="11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226,613</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225,088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7880" w:type="dxa"/>
            <w:vAlign w:val="bottom"/>
            <w:gridSpan w:val="2"/>
            <w:vMerge w:val="restart"/>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788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1,570,305</w:t>
            </w:r>
          </w:p>
        </w:tc>
        <w:tc>
          <w:tcPr>
            <w:tcW w:w="24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1,657,209</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920" w:type="dxa"/>
            <w:vAlign w:val="bottom"/>
            <w:gridSpan w:val="4"/>
          </w:tcPr>
          <w:p>
            <w:pPr>
              <w:jc w:val="right"/>
              <w:ind w:right="532"/>
              <w:spacing w:after="0"/>
              <w:rPr>
                <w:sz w:val="20"/>
                <w:szCs w:val="20"/>
                <w:color w:val="auto"/>
              </w:rPr>
            </w:pPr>
            <w:r>
              <w:rPr>
                <w:rFonts w:ascii="Arial" w:cs="Arial" w:eastAsia="Arial" w:hAnsi="Arial"/>
                <w:sz w:val="18"/>
                <w:szCs w:val="18"/>
                <w:color w:val="auto"/>
              </w:rPr>
              <w:t>(Dollars in Thousands except Per Share Data)</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Three Months Ended</w:t>
            </w:r>
          </w:p>
        </w:tc>
        <w:tc>
          <w:tcPr>
            <w:tcW w:w="100" w:type="dxa"/>
            <w:vAlign w:val="bottom"/>
          </w:tcPr>
          <w:p>
            <w:pPr>
              <w:spacing w:after="0"/>
              <w:rPr>
                <w:sz w:val="24"/>
                <w:szCs w:val="24"/>
                <w:color w:val="auto"/>
              </w:rPr>
            </w:pPr>
          </w:p>
        </w:tc>
        <w:tc>
          <w:tcPr>
            <w:tcW w:w="1980" w:type="dxa"/>
            <w:vAlign w:val="bottom"/>
            <w:gridSpan w:val="4"/>
          </w:tcPr>
          <w:p>
            <w:pPr>
              <w:jc w:val="center"/>
              <w:ind w:right="12"/>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8"/>
                <w:szCs w:val="18"/>
                <w:b w:val="1"/>
                <w:bCs w:val="1"/>
                <w:color w:val="auto"/>
                <w:w w:val="85"/>
              </w:rPr>
              <w:t>June 30,</w:t>
            </w:r>
          </w:p>
        </w:tc>
        <w:tc>
          <w:tcPr>
            <w:tcW w:w="6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Fee Revenue and Other Income: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6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25,221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50,048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Bank service fees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359</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694</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5"/>
        </w:trPr>
        <w:tc>
          <w:tcPr>
            <w:tcW w:w="6760" w:type="dxa"/>
            <w:vAlign w:val="bottom"/>
            <w:gridSpan w:val="2"/>
          </w:tcPr>
          <w:p>
            <w:pPr>
              <w:spacing w:after="0"/>
              <w:rPr>
                <w:sz w:val="20"/>
                <w:szCs w:val="20"/>
                <w:color w:val="auto"/>
              </w:rPr>
            </w:pPr>
            <w:r>
              <w:rPr>
                <w:rFonts w:ascii="Arial" w:cs="Arial" w:eastAsia="Arial" w:hAnsi="Arial"/>
                <w:sz w:val="18"/>
                <w:szCs w:val="18"/>
                <w:color w:val="auto"/>
              </w:rPr>
              <w:t>Losses on sales of securities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314</w:t>
            </w:r>
          </w:p>
        </w:tc>
        <w:tc>
          <w:tcPr>
            <w:tcW w:w="3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Total fee revenue and other 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25,640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23,800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51,014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46,571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6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7,104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15,465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14,057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Interest and dividends on securities: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Taxable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Exempt from federal income taxes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2,332</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4,897</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interest income</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11,513</w:t>
            </w:r>
          </w:p>
        </w:tc>
        <w:tc>
          <w:tcPr>
            <w:tcW w:w="38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10,332</w:t>
            </w:r>
          </w:p>
        </w:tc>
        <w:tc>
          <w:tcPr>
            <w:tcW w:w="22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22,801</w:t>
            </w:r>
          </w:p>
        </w:tc>
        <w:tc>
          <w:tcPr>
            <w:tcW w:w="38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Interest on deposits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794</w:t>
            </w:r>
          </w:p>
        </w:tc>
        <w:tc>
          <w:tcPr>
            <w:tcW w:w="3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1,473</w:t>
            </w:r>
          </w:p>
        </w:tc>
        <w:tc>
          <w:tcPr>
            <w:tcW w:w="3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Net interest income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10,719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21,328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19,381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Provision for loan losses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Net interest income after provision for loan losses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3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3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Total net revenue</w:t>
            </w: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36,359</w:t>
            </w:r>
          </w:p>
        </w:tc>
        <w:tc>
          <w:tcPr>
            <w:tcW w:w="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33,662</w:t>
            </w: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72,342</w:t>
            </w:r>
          </w:p>
        </w:tc>
        <w:tc>
          <w:tcPr>
            <w:tcW w:w="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65,952</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674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Personnel</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21,589</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19,162</w:t>
            </w: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41,971</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37,961</w:t>
            </w:r>
          </w:p>
        </w:tc>
        <w:tc>
          <w:tcPr>
            <w:tcW w:w="0" w:type="dxa"/>
            <w:vAlign w:val="bottom"/>
          </w:tcPr>
          <w:p>
            <w:pPr>
              <w:spacing w:after="0"/>
              <w:rPr>
                <w:sz w:val="1"/>
                <w:szCs w:val="1"/>
                <w:color w:val="auto"/>
              </w:rPr>
            </w:pPr>
          </w:p>
        </w:tc>
      </w:tr>
      <w:tr>
        <w:trPr>
          <w:trHeight w:val="235"/>
        </w:trPr>
        <w:tc>
          <w:tcPr>
            <w:tcW w:w="676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1,408</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2,716</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35"/>
        </w:trPr>
        <w:tc>
          <w:tcPr>
            <w:tcW w:w="67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Other operating expense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3,430</w:t>
            </w:r>
          </w:p>
        </w:tc>
        <w:tc>
          <w:tcPr>
            <w:tcW w:w="3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3,542</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6,958</w:t>
            </w:r>
          </w:p>
        </w:tc>
        <w:tc>
          <w:tcPr>
            <w:tcW w:w="3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Total operating expense</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27,463</w:t>
            </w:r>
          </w:p>
        </w:tc>
        <w:tc>
          <w:tcPr>
            <w:tcW w:w="3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24,901</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53,645</w:t>
            </w:r>
          </w:p>
        </w:tc>
        <w:tc>
          <w:tcPr>
            <w:tcW w:w="3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0C0C0"/>
          </w:tcPr>
          <w:p>
            <w:pPr>
              <w:ind w:left="80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8,896</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18,697</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3,096</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Borders>
              <w:top w:val="single" w:sz="8" w:color="C0C0C0"/>
              <w:bottom w:val="single" w:sz="8" w:color="C0C0C0"/>
            </w:tcBorders>
            <w:shd w:val="clear" w:color="auto" w:fill="C0C0C0"/>
          </w:tcPr>
          <w:p>
            <w:pPr>
              <w:ind w:left="80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C0C0C0"/>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7,509</w:t>
            </w:r>
          </w:p>
        </w:tc>
        <w:tc>
          <w:tcPr>
            <w:tcW w:w="38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0C0C0"/>
          </w:tcPr>
          <w:p>
            <w:pPr>
              <w:spacing w:after="0"/>
              <w:rPr>
                <w:sz w:val="21"/>
                <w:szCs w:val="21"/>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6,513</w:t>
            </w:r>
          </w:p>
        </w:tc>
        <w:tc>
          <w:tcPr>
            <w:tcW w:w="220" w:type="dxa"/>
            <w:vAlign w:val="bottom"/>
            <w:tcBorders>
              <w:top w:val="single" w:sz="8" w:color="C0C0C0"/>
              <w:bottom w:val="single" w:sz="8" w:color="C0C0C0"/>
            </w:tcBorders>
            <w:shd w:val="clear" w:color="auto" w:fill="C0C0C0"/>
          </w:tcPr>
          <w:p>
            <w:pPr>
              <w:spacing w:after="0"/>
              <w:rPr>
                <w:sz w:val="21"/>
                <w:szCs w:val="21"/>
                <w:color w:val="auto"/>
              </w:rPr>
            </w:pPr>
          </w:p>
        </w:tc>
        <w:tc>
          <w:tcPr>
            <w:tcW w:w="10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15,601</w:t>
            </w:r>
          </w:p>
        </w:tc>
        <w:tc>
          <w:tcPr>
            <w:tcW w:w="380" w:type="dxa"/>
            <w:vAlign w:val="bottom"/>
            <w:tcBorders>
              <w:top w:val="single" w:sz="8" w:color="C0C0C0"/>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0C0C0"/>
          </w:tcPr>
          <w:p>
            <w:pPr>
              <w:spacing w:after="0"/>
              <w:rPr>
                <w:sz w:val="21"/>
                <w:szCs w:val="21"/>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shd w:val="clear" w:color="auto" w:fill="C0C0C0"/>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80" w:type="dxa"/>
            <w:vAlign w:val="bottom"/>
          </w:tcPr>
          <w:p>
            <w:pPr>
              <w:spacing w:after="0"/>
              <w:rPr>
                <w:sz w:val="19"/>
                <w:szCs w:val="19"/>
                <w:color w:val="auto"/>
              </w:rPr>
            </w:pPr>
          </w:p>
        </w:tc>
        <w:tc>
          <w:tcPr>
            <w:tcW w:w="2500" w:type="dxa"/>
            <w:vAlign w:val="bottom"/>
            <w:gridSpan w:val="2"/>
          </w:tcPr>
          <w:p>
            <w:pPr>
              <w:jc w:val="right"/>
              <w:ind w:right="760"/>
              <w:spacing w:after="0"/>
              <w:rPr>
                <w:sz w:val="20"/>
                <w:szCs w:val="20"/>
                <w:color w:val="auto"/>
              </w:rPr>
            </w:pPr>
            <w:r>
              <w:rPr>
                <w:rFonts w:ascii="Arial" w:cs="Arial" w:eastAsia="Arial" w:hAnsi="Arial"/>
                <w:sz w:val="18"/>
                <w:szCs w:val="18"/>
                <w:color w:val="auto"/>
                <w:w w:val="94"/>
              </w:rPr>
              <w:t>(Dollars in Thousands)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9"/>
        </w:trPr>
        <w:tc>
          <w:tcPr>
            <w:tcW w:w="4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jc w:val="center"/>
              <w:ind w:right="32"/>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center"/>
              <w:ind w:right="12"/>
              <w:spacing w:after="0"/>
              <w:rPr>
                <w:sz w:val="20"/>
                <w:szCs w:val="20"/>
                <w:color w:val="auto"/>
              </w:rPr>
            </w:pPr>
            <w:r>
              <w:rPr>
                <w:rFonts w:ascii="Arial" w:cs="Arial" w:eastAsia="Arial" w:hAnsi="Arial"/>
                <w:sz w:val="18"/>
                <w:szCs w:val="18"/>
                <w:b w:val="1"/>
                <w:bCs w:val="1"/>
                <w:color w:val="auto"/>
                <w:w w:val="89"/>
              </w:rPr>
              <w:t>Six Months Ended</w:t>
            </w:r>
          </w:p>
        </w:tc>
      </w:tr>
      <w:tr>
        <w:trPr>
          <w:trHeight w:val="266"/>
        </w:trPr>
        <w:tc>
          <w:tcPr>
            <w:tcW w:w="47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8"/>
                <w:szCs w:val="18"/>
                <w:b w:val="1"/>
                <w:bCs w:val="1"/>
                <w:color w:val="auto"/>
                <w:w w:val="85"/>
              </w:rPr>
              <w:t>June 30,</w:t>
            </w:r>
          </w:p>
        </w:tc>
        <w:tc>
          <w:tcPr>
            <w:tcW w:w="62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3"/>
                <w:szCs w:val="23"/>
                <w:color w:val="auto"/>
              </w:rPr>
            </w:pPr>
          </w:p>
        </w:tc>
      </w:tr>
      <w:tr>
        <w:trPr>
          <w:trHeight w:val="250"/>
        </w:trPr>
        <w:tc>
          <w:tcPr>
            <w:tcW w:w="47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2017</w:t>
            </w:r>
          </w:p>
        </w:tc>
      </w:tr>
      <w:tr>
        <w:trPr>
          <w:trHeight w:val="243"/>
        </w:trPr>
        <w:tc>
          <w:tcPr>
            <w:tcW w:w="47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24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6,513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15,601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12,820</w:t>
            </w:r>
          </w:p>
        </w:tc>
      </w:tr>
      <w:tr>
        <w:trPr>
          <w:trHeight w:val="251"/>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income:</w:t>
            </w:r>
          </w:p>
        </w:tc>
        <w:tc>
          <w:tcPr>
            <w:tcW w:w="24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780" w:type="dxa"/>
            <w:vAlign w:val="bottom"/>
          </w:tcPr>
          <w:p>
            <w:pPr>
              <w:ind w:left="280"/>
              <w:spacing w:after="0"/>
              <w:rPr>
                <w:sz w:val="20"/>
                <w:szCs w:val="20"/>
                <w:color w:val="auto"/>
              </w:rPr>
            </w:pPr>
            <w:r>
              <w:rPr>
                <w:rFonts w:ascii="Arial" w:cs="Arial" w:eastAsia="Arial" w:hAnsi="Arial"/>
                <w:sz w:val="18"/>
                <w:szCs w:val="18"/>
                <w:color w:val="auto"/>
                <w:w w:val="99"/>
              </w:rPr>
              <w:t>Net unrealized (loss) gain on securities available-for-sale</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(10,194)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8,345</w:t>
            </w:r>
          </w:p>
        </w:tc>
      </w:tr>
      <w:tr>
        <w:trPr>
          <w:trHeight w:val="235"/>
        </w:trPr>
        <w:tc>
          <w:tcPr>
            <w:tcW w:w="47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24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(2,167)</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2,426</w:t>
            </w:r>
          </w:p>
        </w:tc>
        <w:tc>
          <w:tcPr>
            <w:tcW w:w="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(3,100)</w:t>
            </w:r>
          </w:p>
        </w:tc>
      </w:tr>
      <w:tr>
        <w:trPr>
          <w:trHeight w:val="259"/>
        </w:trPr>
        <w:tc>
          <w:tcPr>
            <w:tcW w:w="4780" w:type="dxa"/>
            <w:vAlign w:val="bottom"/>
            <w:shd w:val="clear" w:color="auto" w:fill="C0C0C0"/>
          </w:tcPr>
          <w:p>
            <w:pPr>
              <w:spacing w:after="0"/>
              <w:rPr>
                <w:sz w:val="22"/>
                <w:szCs w:val="22"/>
                <w:color w:val="auto"/>
              </w:rPr>
            </w:pPr>
          </w:p>
        </w:tc>
        <w:tc>
          <w:tcPr>
            <w:tcW w:w="24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r>
      <w:tr>
        <w:trPr>
          <w:trHeight w:val="235"/>
        </w:trPr>
        <w:tc>
          <w:tcPr>
            <w:tcW w:w="4780" w:type="dxa"/>
            <w:vAlign w:val="bottom"/>
          </w:tcPr>
          <w:p>
            <w:pPr>
              <w:ind w:left="280"/>
              <w:spacing w:after="0"/>
              <w:rPr>
                <w:sz w:val="20"/>
                <w:szCs w:val="20"/>
                <w:color w:val="auto"/>
              </w:rPr>
            </w:pPr>
            <w:r>
              <w:rPr>
                <w:rFonts w:ascii="Arial" w:cs="Arial" w:eastAsia="Arial" w:hAnsi="Arial"/>
                <w:sz w:val="18"/>
                <w:szCs w:val="18"/>
                <w:color w:val="auto"/>
                <w:w w:val="90"/>
              </w:rPr>
              <w:t>Reclassification adjustments for losses included in net income</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24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4780" w:type="dxa"/>
            <w:vAlign w:val="bottom"/>
            <w:shd w:val="clear" w:color="auto" w:fill="C0C0C0"/>
          </w:tcPr>
          <w:p>
            <w:pPr>
              <w:spacing w:after="0"/>
              <w:rPr>
                <w:sz w:val="22"/>
                <w:szCs w:val="22"/>
                <w:color w:val="auto"/>
              </w:rPr>
            </w:pPr>
          </w:p>
        </w:tc>
        <w:tc>
          <w:tcPr>
            <w:tcW w:w="24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r>
      <w:tr>
        <w:trPr>
          <w:trHeight w:val="237"/>
        </w:trPr>
        <w:tc>
          <w:tcPr>
            <w:tcW w:w="478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4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50"/>
        </w:trPr>
        <w:tc>
          <w:tcPr>
            <w:tcW w:w="47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250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7,122</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10,272</w:t>
            </w:r>
          </w:p>
        </w:tc>
        <w:tc>
          <w:tcPr>
            <w:tcW w:w="36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7,795</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18,167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60" w:type="dxa"/>
            <w:vAlign w:val="bottom"/>
          </w:tcPr>
          <w:p>
            <w:pPr>
              <w:ind w:left="488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4"/>
          </w:tcPr>
          <w:p>
            <w:pPr>
              <w:jc w:val="right"/>
              <w:ind w:right="43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15,601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12,820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5,822</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ind w:left="520"/>
              <w:spacing w:after="0"/>
              <w:rPr>
                <w:sz w:val="20"/>
                <w:szCs w:val="20"/>
                <w:color w:val="auto"/>
              </w:rPr>
            </w:pPr>
            <w:r>
              <w:rPr>
                <w:rFonts w:ascii="Arial" w:cs="Arial" w:eastAsia="Arial" w:hAnsi="Arial"/>
                <w:sz w:val="18"/>
                <w:szCs w:val="18"/>
                <w:color w:val="auto"/>
              </w:rPr>
              <w:t>Net losses on sales of securities</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1,477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Increase in income tax liability</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1,637</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Pr>
          <w:p>
            <w:pPr>
              <w:ind w:left="520"/>
              <w:spacing w:after="0"/>
              <w:rPr>
                <w:sz w:val="20"/>
                <w:szCs w:val="20"/>
                <w:color w:val="auto"/>
              </w:rPr>
            </w:pPr>
            <w:r>
              <w:rPr>
                <w:rFonts w:ascii="Arial" w:cs="Arial" w:eastAsia="Arial" w:hAnsi="Arial"/>
                <w:sz w:val="18"/>
                <w:szCs w:val="18"/>
                <w:color w:val="auto"/>
              </w:rPr>
              <w:t>Increase in pension liability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2,463</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ind w:left="520"/>
              <w:spacing w:after="0"/>
              <w:rPr>
                <w:sz w:val="20"/>
                <w:szCs w:val="20"/>
                <w:color w:val="auto"/>
              </w:rPr>
            </w:pPr>
            <w:r>
              <w:rPr>
                <w:rFonts w:ascii="Arial" w:cs="Arial" w:eastAsia="Arial" w:hAnsi="Arial"/>
                <w:sz w:val="18"/>
                <w:szCs w:val="18"/>
                <w:color w:val="auto"/>
              </w:rPr>
              <w:t>Decrease in accounts receivable</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3,473</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Pr>
          <w:p>
            <w:pPr>
              <w:ind w:left="520"/>
              <w:spacing w:after="0"/>
              <w:rPr>
                <w:sz w:val="20"/>
                <w:szCs w:val="20"/>
                <w:color w:val="auto"/>
              </w:rPr>
            </w:pPr>
            <w:r>
              <w:rPr>
                <w:rFonts w:ascii="Arial" w:cs="Arial" w:eastAsia="Arial" w:hAnsi="Arial"/>
                <w:sz w:val="18"/>
                <w:szCs w:val="18"/>
                <w:color w:val="auto"/>
              </w:rPr>
              <w:t>Other operating activities, net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(5,419)</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60" w:type="dxa"/>
            <w:vAlign w:val="bottom"/>
            <w:vMerge w:val="restart"/>
            <w:shd w:val="clear" w:color="auto" w:fill="C0C0C0"/>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vMerge w:val="continue"/>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25,096</w:t>
            </w:r>
          </w:p>
        </w:tc>
        <w:tc>
          <w:tcPr>
            <w:tcW w:w="260" w:type="dxa"/>
            <w:vAlign w:val="bottom"/>
            <w:shd w:val="clear" w:color="auto" w:fill="C0C0C0"/>
          </w:tcPr>
          <w:p>
            <w:pPr>
              <w:spacing w:after="0"/>
              <w:rPr>
                <w:sz w:val="20"/>
                <w:szCs w:val="20"/>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21,468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660" w:type="dxa"/>
            <w:vAlign w:val="bottom"/>
            <w:tcBorders>
              <w:top w:val="single" w:sz="8" w:color="C0C0C0"/>
            </w:tcBorders>
            <w:shd w:val="clear" w:color="auto" w:fill="C0C0C0"/>
          </w:tcPr>
          <w:p>
            <w:pPr>
              <w:spacing w:after="0"/>
              <w:rPr>
                <w:sz w:val="19"/>
                <w:szCs w:val="19"/>
                <w:color w:val="auto"/>
              </w:rPr>
            </w:pPr>
          </w:p>
        </w:tc>
        <w:tc>
          <w:tcPr>
            <w:tcW w:w="32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980" w:type="dxa"/>
            <w:vAlign w:val="bottom"/>
            <w:tcBorders>
              <w:top w:val="single" w:sz="8" w:color="auto"/>
            </w:tcBorders>
            <w:shd w:val="clear" w:color="auto" w:fill="C0C0C0"/>
          </w:tcPr>
          <w:p>
            <w:pPr>
              <w:spacing w:after="0"/>
              <w:rPr>
                <w:sz w:val="19"/>
                <w:szCs w:val="19"/>
                <w:color w:val="auto"/>
              </w:rPr>
            </w:pPr>
          </w:p>
        </w:tc>
        <w:tc>
          <w:tcPr>
            <w:tcW w:w="18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88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Proceeds from sales of securities available-for-sale</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58,520</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17,374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25,694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Purchase of securities available-for-sale</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(60,108)</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(62,279)</w:t>
            </w: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Net increase in loans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(28,620)</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Increase in payments in excess of funding</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(14,733)</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60" w:type="dxa"/>
            <w:vAlign w:val="bottom"/>
            <w:vMerge w:val="restart"/>
            <w:shd w:val="clear" w:color="auto" w:fill="C0C0C0"/>
          </w:tcPr>
          <w:p>
            <w:pPr>
              <w:ind w:left="2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vMerge w:val="continue"/>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(30,367)</w:t>
            </w:r>
          </w:p>
        </w:tc>
        <w:tc>
          <w:tcPr>
            <w:tcW w:w="260" w:type="dxa"/>
            <w:vAlign w:val="bottom"/>
            <w:shd w:val="clear" w:color="auto" w:fill="C0C0C0"/>
          </w:tcPr>
          <w:p>
            <w:pPr>
              <w:spacing w:after="0"/>
              <w:rPr>
                <w:sz w:val="20"/>
                <w:szCs w:val="20"/>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(51,404)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660" w:type="dxa"/>
            <w:vAlign w:val="bottom"/>
            <w:tcBorders>
              <w:top w:val="single" w:sz="8" w:color="C0C0C0"/>
            </w:tcBorders>
            <w:shd w:val="clear" w:color="auto" w:fill="C0C0C0"/>
          </w:tcPr>
          <w:p>
            <w:pPr>
              <w:spacing w:after="0"/>
              <w:rPr>
                <w:sz w:val="19"/>
                <w:szCs w:val="19"/>
                <w:color w:val="auto"/>
              </w:rPr>
            </w:pPr>
          </w:p>
        </w:tc>
        <w:tc>
          <w:tcPr>
            <w:tcW w:w="32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980" w:type="dxa"/>
            <w:vAlign w:val="bottom"/>
            <w:tcBorders>
              <w:top w:val="single" w:sz="8" w:color="auto"/>
            </w:tcBorders>
            <w:shd w:val="clear" w:color="auto" w:fill="C0C0C0"/>
          </w:tcPr>
          <w:p>
            <w:pPr>
              <w:spacing w:after="0"/>
              <w:rPr>
                <w:sz w:val="19"/>
                <w:szCs w:val="19"/>
                <w:color w:val="auto"/>
              </w:rPr>
            </w:pPr>
          </w:p>
        </w:tc>
        <w:tc>
          <w:tcPr>
            <w:tcW w:w="18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88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noninterest-bearing demand deposits</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(16,185)</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Net decrease in interest-bearing demand and savings deposits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(40,588)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Net increase (decrease) in time deposits</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4,422</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Net (decrease) increase in accounts and drafts payable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(36,538)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87,116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(6,144)</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(1,408)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Other financing activities, net</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(96,636)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6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660" w:type="dxa"/>
            <w:vAlign w:val="bottom"/>
            <w:vMerge w:val="continue"/>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(101,907)</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34,317</w:t>
            </w: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228,110</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266,743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6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gridSpan w:val="2"/>
            <w:vMerge w:val="restart"/>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6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vMerge w:val="continue"/>
            <w:shd w:val="clear" w:color="auto" w:fill="C0C0C0"/>
          </w:tcPr>
          <w:p>
            <w:pPr>
              <w:spacing w:after="0"/>
              <w:rPr>
                <w:sz w:val="21"/>
                <w:szCs w:val="21"/>
                <w:color w:val="auto"/>
              </w:rPr>
            </w:pPr>
          </w:p>
        </w:tc>
        <w:tc>
          <w:tcPr>
            <w:tcW w:w="440" w:type="dxa"/>
            <w:vAlign w:val="bottom"/>
            <w:gridSpan w:val="2"/>
            <w:vMerge w:val="continue"/>
            <w:shd w:val="clear" w:color="auto" w:fill="C0C0C0"/>
          </w:tcPr>
          <w:p>
            <w:pPr>
              <w:spacing w:after="0"/>
              <w:rPr>
                <w:sz w:val="21"/>
                <w:szCs w:val="21"/>
                <w:color w:val="auto"/>
              </w:rPr>
            </w:pP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126,203</w:t>
            </w:r>
          </w:p>
        </w:tc>
        <w:tc>
          <w:tcPr>
            <w:tcW w:w="260" w:type="dxa"/>
            <w:vAlign w:val="bottom"/>
            <w:vMerge w:val="continue"/>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301,060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Borders>
              <w:top w:val="single" w:sz="8" w:color="C0C0C0"/>
            </w:tcBorders>
            <w:shd w:val="clear" w:color="auto" w:fill="C0C0C0"/>
          </w:tcPr>
          <w:p>
            <w:pPr>
              <w:spacing w:after="0"/>
              <w:rPr>
                <w:sz w:val="19"/>
                <w:szCs w:val="19"/>
                <w:color w:val="auto"/>
              </w:rPr>
            </w:pPr>
          </w:p>
        </w:tc>
        <w:tc>
          <w:tcPr>
            <w:tcW w:w="32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980" w:type="dxa"/>
            <w:vAlign w:val="bottom"/>
            <w:tcBorders>
              <w:top w:val="single" w:sz="8" w:color="auto"/>
            </w:tcBorders>
            <w:shd w:val="clear" w:color="auto" w:fill="C0C0C0"/>
          </w:tcPr>
          <w:p>
            <w:pPr>
              <w:spacing w:after="0"/>
              <w:rPr>
                <w:sz w:val="19"/>
                <w:szCs w:val="19"/>
                <w:color w:val="auto"/>
              </w:rPr>
            </w:pPr>
          </w:p>
        </w:tc>
        <w:tc>
          <w:tcPr>
            <w:tcW w:w="18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88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680" w:type="dxa"/>
            <w:vAlign w:val="bottom"/>
            <w:gridSpan w:val="2"/>
          </w:tcPr>
          <w:p>
            <w:pPr>
              <w:spacing w:after="0"/>
              <w:rPr>
                <w:sz w:val="20"/>
                <w:szCs w:val="20"/>
                <w:color w:val="auto"/>
              </w:rPr>
            </w:pPr>
            <w:r>
              <w:rPr>
                <w:rFonts w:ascii="Arial" w:cs="Arial" w:eastAsia="Arial" w:hAnsi="Arial"/>
                <w:sz w:val="18"/>
                <w:szCs w:val="18"/>
                <w:color w:val="auto"/>
              </w:rPr>
              <w:t>Supplemental information: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6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1,459</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1,445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All share and per share data have been restated to give effect to the 10% stock dividend issued on December 15, 2017. Certain amounts in prior-period financial statements have been reclassified to conform to the current period’s presentation. For further information, refer to the audited consolidated financial statements and related footnotes included in Cass Information System, Inc.’s (the “Company” or “Cass”) Annual Report on Form 10-K for the year ended December 31, 2017</w:t>
      </w:r>
      <w:r>
        <w:rPr>
          <w:rFonts w:ascii="Arial" w:cs="Arial" w:eastAsia="Arial" w:hAnsi="Arial"/>
          <w:sz w:val="12"/>
          <w:szCs w:val="12"/>
          <w:color w:val="auto"/>
        </w:rPr>
        <w:t>.</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 2018, the Company adopted accounting standard ASC 606, Revenue from Contracts with Customers,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ASC 606 are presented within fee revenue and other income in the Consolidated Statements of Income and are recognized as revenue as the obligation to the customer is satisfied. Services within the scope of ASC 606 include transportation and facility payment and processing fees, bank service fees, and other real estate owned (“OREO”).</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Invoice processing and payment fees </w:t>
      </w:r>
      <w:r>
        <w:rPr>
          <w:rFonts w:ascii="Arial" w:cs="Arial" w:eastAsia="Arial" w:hAnsi="Arial"/>
          <w:sz w:val="18"/>
          <w:szCs w:val="18"/>
          <w:color w:val="auto"/>
        </w:rPr>
        <w:t>– The Company earns fees on a per-item basis for the services rendered on behalf of customers. Fees are earned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a month, representing the period over with the performance obligation is satisfied.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Bank service fees </w:t>
      </w:r>
      <w:r>
        <w:rPr>
          <w:rFonts w:ascii="Arial" w:cs="Arial" w:eastAsia="Arial" w:hAnsi="Arial"/>
          <w:sz w:val="18"/>
          <w:szCs w:val="18"/>
          <w:color w:val="auto"/>
        </w:rPr>
        <w:t>– Revenue from service fees consists of service charges and fees on deposit accounts under depository agreements with customers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deposited funds and, when applicable, pay interest on deposits. Service charges on deposit accounts are primarily all charges that are recognized on a monthly basis representing the period over which the performance obligation is satisfied.</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 The Company currently does not have any OREO and has not in recent years. Net gains or losses would be recorded when other real estate is sold to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and substantially all of the consideration for the transfer of property is received.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intangible assets in accordance with Financial Accounting Standards Board (“FASB”) Accounting Standards Codification (“ASC”) 350, “Goodwill and Other Intangible Assets,” (“FASB ASC 350”), which requires that intangibles with indefinite useful lives be tested annually for impairment and those with finite useful lives be amortized over their useful lives.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b w:val="1"/>
                <w:bCs w:val="1"/>
                <w:color w:val="auto"/>
                <w:w w:val="93"/>
              </w:rPr>
              <w:t>June 30, 2018</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December 31, 2017</w:t>
            </w:r>
          </w:p>
        </w:tc>
      </w:tr>
      <w:tr>
        <w:trPr>
          <w:trHeight w:val="228"/>
        </w:trPr>
        <w:tc>
          <w:tcPr>
            <w:tcW w:w="6280" w:type="dxa"/>
            <w:vAlign w:val="bottom"/>
          </w:tcPr>
          <w:p>
            <w:pPr>
              <w:spacing w:after="0"/>
              <w:rPr>
                <w:sz w:val="19"/>
                <w:szCs w:val="19"/>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Gross Carrying</w:t>
            </w:r>
          </w:p>
        </w:tc>
        <w:tc>
          <w:tcPr>
            <w:tcW w:w="12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9"/>
              </w:rPr>
              <w:t>Accumulated</w:t>
            </w:r>
          </w:p>
        </w:tc>
        <w:tc>
          <w:tcPr>
            <w:tcW w:w="14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9"/>
              </w:rPr>
              <w:t>Gross Carrying</w:t>
            </w:r>
          </w:p>
        </w:tc>
        <w:tc>
          <w:tcPr>
            <w:tcW w:w="1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6"/>
              </w:rPr>
              <w:t>Accumulated</w:t>
            </w:r>
          </w:p>
        </w:tc>
        <w:tc>
          <w:tcPr>
            <w:tcW w:w="20" w:type="dxa"/>
            <w:vAlign w:val="bottom"/>
          </w:tcPr>
          <w:p>
            <w:pPr>
              <w:spacing w:after="0"/>
              <w:rPr>
                <w:sz w:val="19"/>
                <w:szCs w:val="19"/>
                <w:color w:val="auto"/>
              </w:rPr>
            </w:pPr>
          </w:p>
        </w:tc>
      </w:tr>
      <w:tr>
        <w:trPr>
          <w:trHeight w:val="265"/>
        </w:trPr>
        <w:tc>
          <w:tcPr>
            <w:tcW w:w="62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23"/>
                <w:szCs w:val="23"/>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Amount</w:t>
            </w: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3"/>
                <w:szCs w:val="23"/>
                <w:color w:val="auto"/>
              </w:rPr>
            </w:pPr>
          </w:p>
        </w:tc>
        <w:tc>
          <w:tcPr>
            <w:tcW w:w="1140" w:type="dxa"/>
            <w:vAlign w:val="bottom"/>
          </w:tcPr>
          <w:p>
            <w:pPr>
              <w:jc w:val="right"/>
              <w:ind w:right="332"/>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w w:val="90"/>
              </w:rPr>
              <w:t>Amortization</w:t>
            </w:r>
          </w:p>
        </w:tc>
      </w:tr>
      <w:tr>
        <w:trPr>
          <w:trHeight w:val="243"/>
        </w:trPr>
        <w:tc>
          <w:tcPr>
            <w:tcW w:w="62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Assets eligible for amortization:</w:t>
            </w:r>
          </w:p>
        </w:tc>
        <w:tc>
          <w:tcPr>
            <w:tcW w:w="180" w:type="dxa"/>
            <w:vAlign w:val="bottom"/>
            <w:tcBorders>
              <w:top w:val="single" w:sz="8" w:color="auto"/>
            </w:tcBorders>
            <w:shd w:val="clear" w:color="auto" w:fill="C0C0C0"/>
          </w:tcPr>
          <w:p>
            <w:pPr>
              <w:spacing w:after="0"/>
              <w:rPr>
                <w:sz w:val="21"/>
                <w:szCs w:val="21"/>
                <w:color w:val="auto"/>
              </w:rPr>
            </w:pPr>
          </w:p>
        </w:tc>
        <w:tc>
          <w:tcPr>
            <w:tcW w:w="1120" w:type="dxa"/>
            <w:vAlign w:val="bottom"/>
            <w:tcBorders>
              <w:top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1140" w:type="dxa"/>
            <w:vAlign w:val="bottom"/>
            <w:tcBorders>
              <w:top w:val="single" w:sz="8" w:color="auto"/>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(2,887)</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(2,702)</w:t>
            </w:r>
          </w:p>
        </w:tc>
      </w:tr>
      <w:tr>
        <w:trPr>
          <w:trHeight w:val="251"/>
        </w:trPr>
        <w:tc>
          <w:tcPr>
            <w:tcW w:w="6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Patents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5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54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r>
      <w:tr>
        <w:trPr>
          <w:trHeight w:val="251"/>
        </w:trPr>
        <w:tc>
          <w:tcPr>
            <w:tcW w:w="6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5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0C0C0"/>
          </w:tcPr>
          <w:p>
            <w:pPr>
              <w:spacing w:after="0"/>
              <w:rPr>
                <w:sz w:val="21"/>
                <w:szCs w:val="21"/>
                <w:color w:val="auto"/>
              </w:rPr>
            </w:pPr>
          </w:p>
        </w:tc>
        <w:tc>
          <w:tcPr>
            <w:tcW w:w="11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1"/>
                <w:szCs w:val="21"/>
                <w:color w:val="auto"/>
              </w:rPr>
            </w:pP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54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r>
      <w:tr>
        <w:trPr>
          <w:trHeight w:val="251"/>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Unamortized intangible assets: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1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6280" w:type="dxa"/>
            <w:vAlign w:val="bottom"/>
          </w:tcPr>
          <w:p>
            <w:pPr>
              <w:ind w:left="280"/>
              <w:spacing w:after="0" w:line="310"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12,796</w:t>
            </w:r>
          </w:p>
        </w:tc>
        <w:tc>
          <w:tcPr>
            <w:tcW w:w="5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12,796</w:t>
            </w:r>
          </w:p>
        </w:tc>
        <w:tc>
          <w:tcPr>
            <w:tcW w:w="4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r>
      <w:tr>
        <w:trPr>
          <w:trHeight w:val="244"/>
        </w:trPr>
        <w:tc>
          <w:tcPr>
            <w:tcW w:w="628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54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(3,878)</w:t>
            </w:r>
          </w:p>
        </w:tc>
        <w:tc>
          <w:tcPr>
            <w:tcW w:w="30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40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21"/>
                <w:szCs w:val="21"/>
                <w:color w:val="auto"/>
              </w:rPr>
            </w:pPr>
          </w:p>
        </w:tc>
      </w:tr>
      <w:tr>
        <w:trPr>
          <w:trHeight w:val="415"/>
        </w:trPr>
        <w:tc>
          <w:tcPr>
            <w:tcW w:w="6280" w:type="dxa"/>
            <w:vAlign w:val="bottom"/>
          </w:tcPr>
          <w:p>
            <w:pPr>
              <w:spacing w:after="0"/>
              <w:rPr>
                <w:sz w:val="20"/>
                <w:szCs w:val="20"/>
                <w:color w:val="auto"/>
              </w:rPr>
            </w:pPr>
            <w:r>
              <w:rPr>
                <w:rFonts w:ascii="Arial" w:cs="Arial" w:eastAsia="Arial" w:hAnsi="Arial"/>
                <w:sz w:val="29"/>
                <w:szCs w:val="29"/>
                <w:color w:val="auto"/>
                <w:w w:val="99"/>
                <w:vertAlign w:val="superscript"/>
              </w:rPr>
              <w:t>1</w:t>
            </w:r>
            <w:r>
              <w:rPr>
                <w:rFonts w:ascii="Arial" w:cs="Arial" w:eastAsia="Arial" w:hAnsi="Arial"/>
                <w:sz w:val="18"/>
                <w:szCs w:val="18"/>
                <w:color w:val="auto"/>
                <w:w w:val="99"/>
              </w:rPr>
              <w:t>Amortization through December 31, 2001 prior to adoption of FASB ASC 350.</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customer lists are amortized over seven and ten years; the patents over 18 years; the non-compete agreements over two and five years; software over three years; and other intangible assets over 15 years. Amortization of intangible assets amounted to $221,000 and $207,000 for the six-month periods ended June 30, 2018 and 2017, respectively. Estimated annual amortization of intangibles is as follows: $442,000 in 2018, $412,000 in 2019, $406,000 in each of 2020 and 2021, and $88,000 in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and six months ended June 30, 2018 and 2017. The calculations of basic and diluted earnings per share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28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rPr>
              <w:t>Six Months Ended</w:t>
            </w:r>
          </w:p>
        </w:tc>
      </w:tr>
      <w:tr>
        <w:trPr>
          <w:trHeight w:val="266"/>
        </w:trPr>
        <w:tc>
          <w:tcPr>
            <w:tcW w:w="6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3"/>
                <w:szCs w:val="23"/>
                <w:color w:val="auto"/>
              </w:rPr>
            </w:pPr>
          </w:p>
        </w:tc>
      </w:tr>
      <w:tr>
        <w:trPr>
          <w:trHeight w:val="25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r>
      <w:tr>
        <w:trPr>
          <w:trHeight w:val="243"/>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61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7,509</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6,513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15,601</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12,820</w:t>
            </w:r>
          </w:p>
        </w:tc>
      </w:tr>
      <w:tr>
        <w:trPr>
          <w:trHeight w:val="251"/>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12,239,901</w:t>
            </w:r>
          </w:p>
        </w:tc>
        <w:tc>
          <w:tcPr>
            <w:tcW w:w="3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3"/>
              </w:rPr>
              <w:t>12,268,481</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12,236,478</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12,260,515</w:t>
            </w:r>
          </w:p>
        </w:tc>
      </w:tr>
      <w:tr>
        <w:trPr>
          <w:trHeight w:val="237"/>
        </w:trPr>
        <w:tc>
          <w:tcPr>
            <w:tcW w:w="6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37"/>
        </w:trPr>
        <w:tc>
          <w:tcPr>
            <w:tcW w:w="6180" w:type="dxa"/>
            <w:vAlign w:val="bottom"/>
            <w:shd w:val="clear" w:color="auto" w:fill="C0C0C0"/>
          </w:tcPr>
          <w:p>
            <w:pPr>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r>
      <w:tr>
        <w:trPr>
          <w:trHeight w:val="235"/>
        </w:trPr>
        <w:tc>
          <w:tcPr>
            <w:tcW w:w="61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7,509</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6,513</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15,601</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12,820</w:t>
            </w:r>
          </w:p>
        </w:tc>
      </w:tr>
      <w:tr>
        <w:trPr>
          <w:trHeight w:val="251"/>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12,239,901</w:t>
            </w:r>
          </w:p>
        </w:tc>
        <w:tc>
          <w:tcPr>
            <w:tcW w:w="3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3"/>
              </w:rPr>
              <w:t>12,268,481</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12,236,478</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12,260,515</w:t>
            </w:r>
          </w:p>
        </w:tc>
      </w:tr>
      <w:tr>
        <w:trPr>
          <w:trHeight w:val="237"/>
        </w:trPr>
        <w:tc>
          <w:tcPr>
            <w:tcW w:w="6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205,281</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181,009</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197,227</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180,180</w:t>
            </w:r>
          </w:p>
        </w:tc>
      </w:tr>
      <w:tr>
        <w:trPr>
          <w:trHeight w:val="243"/>
        </w:trPr>
        <w:tc>
          <w:tcPr>
            <w:tcW w:w="6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 assuming dilution</w:t>
            </w:r>
          </w:p>
        </w:tc>
        <w:tc>
          <w:tcPr>
            <w:tcW w:w="2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12,445,182</w:t>
            </w:r>
          </w:p>
        </w:tc>
        <w:tc>
          <w:tcPr>
            <w:tcW w:w="38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3"/>
              </w:rPr>
              <w:t>12,449,490</w:t>
            </w:r>
          </w:p>
        </w:tc>
        <w:tc>
          <w:tcPr>
            <w:tcW w:w="34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12,433,705</w:t>
            </w: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12,440,695</w:t>
            </w:r>
          </w:p>
        </w:tc>
      </w:tr>
      <w:tr>
        <w:trPr>
          <w:trHeight w:val="250"/>
        </w:trPr>
        <w:tc>
          <w:tcPr>
            <w:tcW w:w="6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1.25</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2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maintains a treasury stock buyback program pursuant to which the Board of Directors has authorized the repurchase of up to 500,000 shares of the Company’s common stock. As restored by the Board of Directors on October 24, 2017, the program provides that the Company may repurchase up to an aggregate of 500,000 shares of common stock and has no expiration date. The Company repurchased 6,000 and 0 shares during the three-month periods and 15,547 and 0 shares for the six-month periods ended June 30, 2018 and 2017, respectively. As of June 30, 2018, 484,453 shares remained available for repurchase under the program. Repurchases may be made in the open market or through negotiated transactions from time to time depending on market conditions.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5 – Industry Segment Information</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churches as well as supporting the banking needs of the Information Services segment.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Annual Report on Form 10-K for the year ended December 31, 2017.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Funding sources represent average balances and deposits generated by Information Services and Banking Services and there is no allocation methodology used.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Segment interest income is a function of the relative share of average funding sources generated by each segment multiplied by the following rates:</w:t>
      </w:r>
    </w:p>
    <w:p>
      <w:pPr>
        <w:spacing w:after="0" w:line="242" w:lineRule="exact"/>
        <w:rPr>
          <w:sz w:val="20"/>
          <w:szCs w:val="20"/>
          <w:color w:val="auto"/>
        </w:rPr>
      </w:pPr>
    </w:p>
    <w:p>
      <w:pPr>
        <w:ind w:left="540" w:hanging="262"/>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15" w:lineRule="exact"/>
        <w:rPr>
          <w:rFonts w:ascii="Arial" w:cs="Arial" w:eastAsia="Arial" w:hAnsi="Arial"/>
          <w:sz w:val="17"/>
          <w:szCs w:val="17"/>
          <w:color w:val="auto"/>
        </w:rPr>
      </w:pPr>
    </w:p>
    <w:p>
      <w:pPr>
        <w:ind w:left="540" w:hanging="262"/>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8"/>
          <w:szCs w:val="18"/>
          <w:color w:val="auto"/>
        </w:rPr>
        <w:t>Banking Services – a variable rate that is based upon the overall performance of the Company’s earning assets.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Any difference between total segment interest income and overall total Company interest income is included in Corporate, Eliminations, and Other.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Corporate,</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4720" w:type="dxa"/>
            <w:vAlign w:val="bottom"/>
          </w:tcPr>
          <w:p>
            <w:pPr>
              <w:spacing w:after="0"/>
              <w:rPr>
                <w:sz w:val="21"/>
                <w:szCs w:val="21"/>
                <w:color w:val="auto"/>
              </w:rPr>
            </w:pPr>
          </w:p>
        </w:tc>
        <w:tc>
          <w:tcPr>
            <w:tcW w:w="3180" w:type="dxa"/>
            <w:vAlign w:val="bottom"/>
            <w:gridSpan w:val="2"/>
          </w:tcPr>
          <w:p>
            <w:pPr>
              <w:ind w:left="2120"/>
              <w:spacing w:after="0"/>
              <w:rPr>
                <w:sz w:val="20"/>
                <w:szCs w:val="20"/>
                <w:color w:val="auto"/>
              </w:rPr>
            </w:pPr>
            <w:r>
              <w:rPr>
                <w:rFonts w:ascii="Arial" w:cs="Arial" w:eastAsia="Arial" w:hAnsi="Arial"/>
                <w:sz w:val="18"/>
                <w:szCs w:val="18"/>
                <w:b w:val="1"/>
                <w:bCs w:val="1"/>
                <w:color w:val="auto"/>
              </w:rPr>
              <w:t>Information</w:t>
            </w:r>
          </w:p>
        </w:tc>
        <w:tc>
          <w:tcPr>
            <w:tcW w:w="24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Banking</w:t>
            </w: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Eliminations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6"/>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3"/>
              </w:rPr>
              <w:t>Services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3"/>
              </w:rPr>
              <w:t>Services</w:t>
            </w:r>
          </w:p>
        </w:tc>
        <w:tc>
          <w:tcPr>
            <w:tcW w:w="12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and Other</w:t>
            </w: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Total</w:t>
            </w:r>
          </w:p>
        </w:tc>
      </w:tr>
      <w:tr>
        <w:trPr>
          <w:trHeight w:val="243"/>
        </w:trPr>
        <w:tc>
          <w:tcPr>
            <w:tcW w:w="472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June 30, 2018</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25,262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318</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25,640</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5,334</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5,735</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1,068</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12,137</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794</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486</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(486)</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6,068</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2,851</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9,520</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1,775</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807,571</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806,560</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(43,826)</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1,570,305</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Funding Sources</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617,287</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553,237</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1,170,524</w:t>
            </w:r>
          </w:p>
        </w:tc>
      </w:tr>
      <w:tr>
        <w:trPr>
          <w:trHeight w:val="251"/>
        </w:trPr>
        <w:tc>
          <w:tcPr>
            <w:tcW w:w="472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Three Months Ended June 30, 2017</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23,321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355</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124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23,800</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5,043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5,823</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916</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11,782</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470</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323</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6,360</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3,286</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565</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10,211</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2,217</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2,217</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863,562</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742,659</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(12,939)</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1,593,282</w:t>
            </w:r>
          </w:p>
        </w:tc>
      </w:tr>
      <w:tr>
        <w:trPr>
          <w:trHeight w:val="250"/>
        </w:trPr>
        <w:tc>
          <w:tcPr>
            <w:tcW w:w="4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Funding Sources</w:t>
            </w:r>
          </w:p>
        </w:tc>
        <w:tc>
          <w:tcPr>
            <w:tcW w:w="2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594,102</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579,705</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1,173,807</w:t>
            </w:r>
          </w:p>
        </w:tc>
      </w:tr>
      <w:tr>
        <w:trPr>
          <w:trHeight w:val="243"/>
        </w:trPr>
        <w:tc>
          <w:tcPr>
            <w:tcW w:w="472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Six Months Ended June 30, 2018</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50,134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694</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186</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51,014</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10,850</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11,486</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1,777</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24,113</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1,473</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948</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(948)</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12,802</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6,276</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930</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20,008</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1,775</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807,571</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806,560</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(43,826)</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1,570,305</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Funding Sources</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631,022</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574,419</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1,205,441</w:t>
            </w:r>
          </w:p>
        </w:tc>
      </w:tr>
      <w:tr>
        <w:trPr>
          <w:trHeight w:val="251"/>
        </w:trPr>
        <w:tc>
          <w:tcPr>
            <w:tcW w:w="472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Six Months Ended June 30, 2017</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45,645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679</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247</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46,571</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9,772</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11,708</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1,722</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23,202</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950</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Intersegment income (expense)</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623</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(623)</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11,816</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6,742</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1,046</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19,604</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12,433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12,569</w:t>
            </w:r>
          </w:p>
        </w:tc>
      </w:tr>
      <w:tr>
        <w:trPr>
          <w:trHeight w:val="235"/>
        </w:trPr>
        <w:tc>
          <w:tcPr>
            <w:tcW w:w="472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2,217</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2,217</w:t>
            </w:r>
          </w:p>
        </w:tc>
      </w:tr>
      <w:tr>
        <w:trPr>
          <w:trHeight w:val="251"/>
        </w:trPr>
        <w:tc>
          <w:tcPr>
            <w:tcW w:w="47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2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863,562</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742,659</w:t>
            </w:r>
          </w:p>
        </w:tc>
        <w:tc>
          <w:tcPr>
            <w:tcW w:w="3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(12,939)</w:t>
            </w: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1,593,282</w:t>
            </w:r>
          </w:p>
        </w:tc>
      </w:tr>
      <w:tr>
        <w:trPr>
          <w:trHeight w:val="228"/>
        </w:trPr>
        <w:tc>
          <w:tcPr>
            <w:tcW w:w="4720" w:type="dxa"/>
            <w:vAlign w:val="bottom"/>
          </w:tcPr>
          <w:p>
            <w:pPr>
              <w:ind w:left="280"/>
              <w:spacing w:after="0"/>
              <w:rPr>
                <w:sz w:val="20"/>
                <w:szCs w:val="20"/>
                <w:color w:val="auto"/>
              </w:rPr>
            </w:pPr>
            <w:r>
              <w:rPr>
                <w:rFonts w:ascii="Arial" w:cs="Arial" w:eastAsia="Arial" w:hAnsi="Arial"/>
                <w:sz w:val="18"/>
                <w:szCs w:val="18"/>
                <w:color w:val="auto"/>
              </w:rPr>
              <w:t>Funding Sources</w:t>
            </w:r>
          </w:p>
        </w:tc>
        <w:tc>
          <w:tcPr>
            <w:tcW w:w="22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579,321</w:t>
            </w:r>
          </w:p>
        </w:tc>
        <w:tc>
          <w:tcPr>
            <w:tcW w:w="24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589,823</w:t>
            </w:r>
          </w:p>
        </w:tc>
        <w:tc>
          <w:tcPr>
            <w:tcW w:w="34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1,169,144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firstLine="8"/>
        <w:spacing w:after="0" w:line="239" w:lineRule="auto"/>
        <w:tabs>
          <w:tab w:leader="none" w:pos="101"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Presented on a tax-equivalent basis assuming a tax rate of 21% for 2018 and 35% for 2017. The tax-equivalent adjustment was approximately $624,000 and $1,450,000 for the Second Quarter of 2018 and 2017, respectively, and $1,311,000 and $2,871,000 for the First Half of 2018 and 2017,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Note 6 – Loans by Type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6"/>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w w:val="85"/>
              </w:rPr>
              <w:t>December 31,</w:t>
            </w:r>
          </w:p>
        </w:tc>
      </w:tr>
      <w:tr>
        <w:trPr>
          <w:trHeight w:val="266"/>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2017</w:t>
            </w:r>
          </w:p>
        </w:tc>
      </w:tr>
      <w:tr>
        <w:trPr>
          <w:trHeight w:val="243"/>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ind w:left="6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257,236</w:t>
            </w: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236,394</w:t>
            </w:r>
          </w:p>
        </w:tc>
      </w:tr>
      <w:tr>
        <w:trPr>
          <w:trHeight w:val="235"/>
        </w:trPr>
        <w:tc>
          <w:tcPr>
            <w:tcW w:w="564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5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56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88,887</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94,675</w:t>
            </w:r>
          </w:p>
        </w:tc>
      </w:tr>
      <w:tr>
        <w:trPr>
          <w:trHeight w:val="251"/>
        </w:trPr>
        <w:tc>
          <w:tcPr>
            <w:tcW w:w="5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7"/>
              </w:rPr>
              <w:t>21,347</w:t>
            </w: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9,359</w:t>
            </w:r>
          </w:p>
        </w:tc>
      </w:tr>
      <w:tr>
        <w:trPr>
          <w:trHeight w:val="235"/>
        </w:trPr>
        <w:tc>
          <w:tcPr>
            <w:tcW w:w="564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5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310,402</w:t>
            </w: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316,073</w:t>
            </w:r>
          </w:p>
        </w:tc>
      </w:tr>
      <w:tr>
        <w:trPr>
          <w:trHeight w:val="235"/>
        </w:trPr>
        <w:tc>
          <w:tcPr>
            <w:tcW w:w="56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35,212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25,948</w:t>
            </w:r>
          </w:p>
        </w:tc>
      </w:tr>
      <w:tr>
        <w:trPr>
          <w:trHeight w:val="251"/>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1,739</w:t>
            </w: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3,374</w:t>
            </w:r>
          </w:p>
        </w:tc>
      </w:tr>
      <w:tr>
        <w:trPr>
          <w:trHeight w:val="23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50"/>
        </w:trPr>
        <w:tc>
          <w:tcPr>
            <w:tcW w:w="564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 loans</w:t>
            </w: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ind w:left="6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714,861</w:t>
            </w:r>
          </w:p>
        </w:tc>
        <w:tc>
          <w:tcPr>
            <w:tcW w:w="6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686,231</w:t>
            </w:r>
          </w:p>
        </w:tc>
      </w:tr>
      <w:tr>
        <w:trPr>
          <w:trHeight w:val="430"/>
        </w:trPr>
        <w:tc>
          <w:tcPr>
            <w:tcW w:w="7620" w:type="dxa"/>
            <w:vAlign w:val="bottom"/>
            <w:gridSpan w:val="5"/>
          </w:tcPr>
          <w:p>
            <w:pPr>
              <w:spacing w:after="0"/>
              <w:rPr>
                <w:sz w:val="20"/>
                <w:szCs w:val="20"/>
                <w:color w:val="auto"/>
              </w:rPr>
            </w:pPr>
            <w:r>
              <w:rPr>
                <w:rFonts w:ascii="Arial" w:cs="Arial" w:eastAsia="Arial" w:hAnsi="Arial"/>
                <w:sz w:val="18"/>
                <w:szCs w:val="18"/>
                <w:color w:val="auto"/>
                <w:w w:val="87"/>
              </w:rPr>
              <w:t>The following table presents the aging of loans by loan categories at June 30, 2018 and December 31, 2017: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68"/>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tcPr>
          <w:p>
            <w:pPr>
              <w:ind w:left="740"/>
              <w:spacing w:after="0"/>
              <w:rPr>
                <w:sz w:val="20"/>
                <w:szCs w:val="20"/>
                <w:color w:val="auto"/>
              </w:rPr>
            </w:pPr>
            <w:r>
              <w:rPr>
                <w:rFonts w:ascii="Arial" w:cs="Arial" w:eastAsia="Arial" w:hAnsi="Arial"/>
                <w:sz w:val="18"/>
                <w:szCs w:val="18"/>
                <w:b w:val="1"/>
                <w:bCs w:val="1"/>
                <w:color w:val="auto"/>
              </w:rPr>
              <w:t>Performing</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4"/>
          </w:tcPr>
          <w:p>
            <w:pPr>
              <w:ind w:left="160"/>
              <w:spacing w:after="0"/>
              <w:rPr>
                <w:sz w:val="20"/>
                <w:szCs w:val="20"/>
                <w:color w:val="auto"/>
              </w:rPr>
            </w:pPr>
            <w:r>
              <w:rPr>
                <w:rFonts w:ascii="Arial" w:cs="Arial" w:eastAsia="Arial" w:hAnsi="Arial"/>
                <w:sz w:val="18"/>
                <w:szCs w:val="18"/>
                <w:b w:val="1"/>
                <w:bCs w:val="1"/>
                <w:color w:val="auto"/>
              </w:rPr>
              <w:t>Nonperforming</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8"/>
        </w:trPr>
        <w:tc>
          <w:tcPr>
            <w:tcW w:w="5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90 Days</w:t>
            </w: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2"/>
        </w:trPr>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b w:val="1"/>
                <w:bCs w:val="1"/>
                <w:color w:val="auto"/>
              </w:rPr>
              <w:t>30-59</w:t>
            </w:r>
          </w:p>
        </w:tc>
        <w:tc>
          <w:tcPr>
            <w:tcW w:w="620" w:type="dxa"/>
            <w:vAlign w:val="bottom"/>
            <w:gridSpan w:val="2"/>
          </w:tcPr>
          <w:p>
            <w:pPr>
              <w:ind w:left="120"/>
              <w:spacing w:after="0"/>
              <w:rPr>
                <w:sz w:val="20"/>
                <w:szCs w:val="20"/>
                <w:color w:val="auto"/>
              </w:rPr>
            </w:pPr>
            <w:r>
              <w:rPr>
                <w:rFonts w:ascii="Arial" w:cs="Arial" w:eastAsia="Arial" w:hAnsi="Arial"/>
                <w:sz w:val="18"/>
                <w:szCs w:val="18"/>
                <w:b w:val="1"/>
                <w:bCs w:val="1"/>
                <w:color w:val="auto"/>
              </w:rPr>
              <w:t>60-89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and</w:t>
            </w:r>
          </w:p>
        </w:tc>
        <w:tc>
          <w:tcPr>
            <w:tcW w:w="280" w:type="dxa"/>
            <w:vAlign w:val="bottom"/>
          </w:tcPr>
          <w:p>
            <w:pPr>
              <w:spacing w:after="0"/>
              <w:rPr>
                <w:sz w:val="21"/>
                <w:szCs w:val="21"/>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b w:val="1"/>
                <w:bCs w:val="1"/>
                <w:color w:val="auto"/>
              </w:rPr>
              <w:t>Non-</w:t>
            </w:r>
          </w:p>
        </w:tc>
        <w:tc>
          <w:tcPr>
            <w:tcW w:w="36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Total</w:t>
            </w:r>
          </w:p>
        </w:tc>
      </w:tr>
      <w:tr>
        <w:trPr>
          <w:trHeight w:val="266"/>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5"/>
              </w:rPr>
              <w:t>Current</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Days</w:t>
            </w:r>
          </w:p>
        </w:tc>
        <w:tc>
          <w:tcPr>
            <w:tcW w:w="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Days</w:t>
            </w: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2"/>
              </w:rPr>
              <w:t>Over</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accrual</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Loans</w:t>
            </w:r>
          </w:p>
        </w:tc>
      </w:tr>
      <w:tr>
        <w:trPr>
          <w:trHeight w:val="243"/>
        </w:trPr>
        <w:tc>
          <w:tcPr>
            <w:tcW w:w="564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June 30, 2018</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56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257,236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257,236</w:t>
            </w:r>
          </w:p>
        </w:tc>
      </w:tr>
      <w:tr>
        <w:trPr>
          <w:trHeight w:val="251"/>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56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5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88,887</w:t>
            </w: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00" w:type="dxa"/>
            <w:vAlign w:val="bottom"/>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88,887</w:t>
            </w:r>
          </w:p>
        </w:tc>
      </w:tr>
      <w:tr>
        <w:trPr>
          <w:trHeight w:val="235"/>
        </w:trPr>
        <w:tc>
          <w:tcPr>
            <w:tcW w:w="56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21,347</w:t>
            </w:r>
          </w:p>
        </w:tc>
        <w:tc>
          <w:tcPr>
            <w:tcW w:w="24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21,347</w:t>
            </w:r>
          </w:p>
        </w:tc>
      </w:tr>
      <w:tr>
        <w:trPr>
          <w:trHeight w:val="251"/>
        </w:trPr>
        <w:tc>
          <w:tcPr>
            <w:tcW w:w="5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56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310,402</w:t>
            </w:r>
          </w:p>
        </w:tc>
        <w:tc>
          <w:tcPr>
            <w:tcW w:w="24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310,402</w:t>
            </w:r>
          </w:p>
        </w:tc>
      </w:tr>
      <w:tr>
        <w:trPr>
          <w:trHeight w:val="251"/>
        </w:trPr>
        <w:tc>
          <w:tcPr>
            <w:tcW w:w="5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35,212</w:t>
            </w: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00" w:type="dxa"/>
            <w:vAlign w:val="bottom"/>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35,212</w:t>
            </w:r>
          </w:p>
        </w:tc>
      </w:tr>
      <w:tr>
        <w:trPr>
          <w:trHeight w:val="235"/>
        </w:trPr>
        <w:tc>
          <w:tcPr>
            <w:tcW w:w="564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44"/>
        </w:trPr>
        <w:tc>
          <w:tcPr>
            <w:tcW w:w="5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714,861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714,861</w:t>
            </w:r>
          </w:p>
        </w:tc>
      </w:tr>
      <w:tr>
        <w:trPr>
          <w:trHeight w:val="243"/>
        </w:trPr>
        <w:tc>
          <w:tcPr>
            <w:tcW w:w="564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December 31, 2017</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56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236,394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236,394</w:t>
            </w:r>
          </w:p>
        </w:tc>
      </w:tr>
      <w:tr>
        <w:trPr>
          <w:trHeight w:val="251"/>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56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5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94,675</w:t>
            </w: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00" w:type="dxa"/>
            <w:vAlign w:val="bottom"/>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94,675</w:t>
            </w:r>
          </w:p>
        </w:tc>
      </w:tr>
      <w:tr>
        <w:trPr>
          <w:trHeight w:val="235"/>
        </w:trPr>
        <w:tc>
          <w:tcPr>
            <w:tcW w:w="56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9,359</w:t>
            </w:r>
          </w:p>
        </w:tc>
        <w:tc>
          <w:tcPr>
            <w:tcW w:w="24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9,359</w:t>
            </w:r>
          </w:p>
        </w:tc>
      </w:tr>
      <w:tr>
        <w:trPr>
          <w:trHeight w:val="251"/>
        </w:trPr>
        <w:tc>
          <w:tcPr>
            <w:tcW w:w="56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56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316,073</w:t>
            </w:r>
          </w:p>
        </w:tc>
        <w:tc>
          <w:tcPr>
            <w:tcW w:w="24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316,073</w:t>
            </w:r>
          </w:p>
        </w:tc>
      </w:tr>
      <w:tr>
        <w:trPr>
          <w:trHeight w:val="251"/>
        </w:trPr>
        <w:tc>
          <w:tcPr>
            <w:tcW w:w="56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25,948</w:t>
            </w: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00" w:type="dxa"/>
            <w:vAlign w:val="bottom"/>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r>
      <w:tr>
        <w:trPr>
          <w:trHeight w:val="235"/>
        </w:trPr>
        <w:tc>
          <w:tcPr>
            <w:tcW w:w="564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3,374</w:t>
            </w:r>
          </w:p>
        </w:tc>
        <w:tc>
          <w:tcPr>
            <w:tcW w:w="24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244"/>
        </w:trPr>
        <w:tc>
          <w:tcPr>
            <w:tcW w:w="5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gridSpan w:val="2"/>
            <w:shd w:val="clear" w:color="auto" w:fill="C0C0C0"/>
          </w:tcPr>
          <w:p>
            <w:pPr>
              <w:ind w:left="4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408</w:t>
            </w:r>
          </w:p>
        </w:tc>
      </w:tr>
      <w:tr>
        <w:trPr>
          <w:trHeight w:val="250"/>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686,231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686,231</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credit exposure of the loan portfolio by internal credit grade as of June 30, 2018 and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40" w:type="dxa"/>
            <w:vAlign w:val="bottom"/>
          </w:tcPr>
          <w:p>
            <w:pPr>
              <w:jc w:val="center"/>
              <w:ind w:right="192"/>
              <w:spacing w:after="0"/>
              <w:rPr>
                <w:sz w:val="20"/>
                <w:szCs w:val="20"/>
                <w:color w:val="auto"/>
              </w:rPr>
            </w:pPr>
            <w:r>
              <w:rPr>
                <w:rFonts w:ascii="Arial" w:cs="Arial" w:eastAsia="Arial" w:hAnsi="Arial"/>
                <w:sz w:val="18"/>
                <w:szCs w:val="18"/>
                <w:b w:val="1"/>
                <w:bCs w:val="1"/>
                <w:color w:val="auto"/>
                <w:w w:val="86"/>
              </w:rPr>
              <w:t>Loans</w:t>
            </w:r>
          </w:p>
        </w:tc>
        <w:tc>
          <w:tcPr>
            <w:tcW w:w="240" w:type="dxa"/>
            <w:vAlign w:val="bottom"/>
          </w:tcPr>
          <w:p>
            <w:pPr>
              <w:spacing w:after="0"/>
              <w:rPr>
                <w:sz w:val="19"/>
                <w:szCs w:val="19"/>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Performing</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Nonperforming</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4180" w:type="dxa"/>
            <w:vAlign w:val="bottom"/>
          </w:tcPr>
          <w:p>
            <w:pPr>
              <w:spacing w:after="0"/>
              <w:rPr>
                <w:sz w:val="21"/>
                <w:szCs w:val="21"/>
                <w:color w:val="auto"/>
              </w:rPr>
            </w:pPr>
          </w:p>
        </w:tc>
        <w:tc>
          <w:tcPr>
            <w:tcW w:w="3280" w:type="dxa"/>
            <w:vAlign w:val="bottom"/>
            <w:gridSpan w:val="2"/>
          </w:tcPr>
          <w:p>
            <w:pPr>
              <w:jc w:val="center"/>
              <w:ind w:left="1992"/>
              <w:spacing w:after="0"/>
              <w:rPr>
                <w:sz w:val="20"/>
                <w:szCs w:val="20"/>
                <w:color w:val="auto"/>
              </w:rPr>
            </w:pPr>
            <w:r>
              <w:rPr>
                <w:rFonts w:ascii="Arial" w:cs="Arial" w:eastAsia="Arial" w:hAnsi="Arial"/>
                <w:sz w:val="18"/>
                <w:szCs w:val="18"/>
                <w:b w:val="1"/>
                <w:bCs w:val="1"/>
                <w:color w:val="auto"/>
                <w:w w:val="87"/>
              </w:rPr>
              <w:t>Subject to</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Loans Subject to</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Loans Subject</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41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940" w:type="dxa"/>
            <w:vAlign w:val="bottom"/>
          </w:tcPr>
          <w:p>
            <w:pPr>
              <w:jc w:val="center"/>
              <w:ind w:right="192"/>
              <w:spacing w:after="0"/>
              <w:rPr>
                <w:sz w:val="20"/>
                <w:szCs w:val="20"/>
                <w:color w:val="auto"/>
              </w:rPr>
            </w:pPr>
            <w:r>
              <w:rPr>
                <w:rFonts w:ascii="Arial" w:cs="Arial" w:eastAsia="Arial" w:hAnsi="Arial"/>
                <w:sz w:val="18"/>
                <w:szCs w:val="18"/>
                <w:b w:val="1"/>
                <w:bCs w:val="1"/>
                <w:color w:val="auto"/>
                <w:w w:val="93"/>
              </w:rPr>
              <w:t>Normal</w:t>
            </w:r>
          </w:p>
        </w:tc>
        <w:tc>
          <w:tcPr>
            <w:tcW w:w="240" w:type="dxa"/>
            <w:vAlign w:val="bottom"/>
          </w:tcPr>
          <w:p>
            <w:pPr>
              <w:spacing w:after="0"/>
              <w:rPr>
                <w:sz w:val="21"/>
                <w:szCs w:val="21"/>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200" w:type="dxa"/>
            <w:vAlign w:val="bottom"/>
          </w:tcPr>
          <w:p>
            <w:pPr>
              <w:jc w:val="center"/>
              <w:ind w:right="172"/>
              <w:spacing w:after="0"/>
              <w:rPr>
                <w:sz w:val="20"/>
                <w:szCs w:val="20"/>
                <w:color w:val="auto"/>
              </w:rPr>
            </w:pPr>
            <w:r>
              <w:rPr>
                <w:rFonts w:ascii="Arial" w:cs="Arial" w:eastAsia="Arial" w:hAnsi="Arial"/>
                <w:sz w:val="18"/>
                <w:szCs w:val="18"/>
                <w:b w:val="1"/>
                <w:bCs w:val="1"/>
                <w:color w:val="auto"/>
                <w:w w:val="86"/>
              </w:rPr>
              <w:t>to Special</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333"/>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280" w:type="dxa"/>
            <w:vAlign w:val="bottom"/>
            <w:tcBorders>
              <w:bottom w:val="single" w:sz="8" w:color="auto"/>
            </w:tcBorders>
            <w:gridSpan w:val="2"/>
          </w:tcPr>
          <w:p>
            <w:pPr>
              <w:ind w:left="2220"/>
              <w:spacing w:after="0" w:line="326" w:lineRule="exact"/>
              <w:rPr>
                <w:sz w:val="20"/>
                <w:szCs w:val="20"/>
                <w:color w:val="auto"/>
              </w:rPr>
            </w:pPr>
            <w:r>
              <w:rPr>
                <w:rFonts w:ascii="Arial" w:cs="Arial" w:eastAsia="Arial" w:hAnsi="Arial"/>
                <w:sz w:val="18"/>
                <w:szCs w:val="18"/>
                <w:b w:val="1"/>
                <w:bCs w:val="1"/>
                <w:color w:val="auto"/>
              </w:rPr>
              <w:t>Monitoring</w:t>
            </w:r>
            <w:r>
              <w:rPr>
                <w:rFonts w:ascii="Arial" w:cs="Arial" w:eastAsia="Arial" w:hAnsi="Arial"/>
                <w:sz w:val="29"/>
                <w:szCs w:val="29"/>
                <w:b w:val="1"/>
                <w:bCs w:val="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5"/>
              </w:rPr>
              <w:t>Total Loans</w:t>
            </w:r>
          </w:p>
        </w:tc>
      </w:tr>
      <w:tr>
        <w:trPr>
          <w:trHeight w:val="243"/>
        </w:trPr>
        <w:tc>
          <w:tcPr>
            <w:tcW w:w="418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June 30, 2018</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340" w:type="dxa"/>
            <w:vAlign w:val="bottom"/>
          </w:tcPr>
          <w:p>
            <w:pPr>
              <w:ind w:left="22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256,231</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1,005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257,236</w:t>
            </w:r>
          </w:p>
        </w:tc>
      </w:tr>
      <w:tr>
        <w:trPr>
          <w:trHeight w:val="251"/>
        </w:trPr>
        <w:tc>
          <w:tcPr>
            <w:tcW w:w="418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88,715</w:t>
            </w: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88,887</w:t>
            </w: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21,347</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21,347</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310,315</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310,402</w:t>
            </w: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35,212</w:t>
            </w: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35,212</w:t>
            </w: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3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44"/>
        </w:trPr>
        <w:tc>
          <w:tcPr>
            <w:tcW w:w="4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713,597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1,264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714,861</w:t>
            </w:r>
          </w:p>
        </w:tc>
      </w:tr>
      <w:tr>
        <w:trPr>
          <w:trHeight w:val="243"/>
        </w:trPr>
        <w:tc>
          <w:tcPr>
            <w:tcW w:w="418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December 31, 2017</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340" w:type="dxa"/>
            <w:vAlign w:val="bottom"/>
          </w:tcPr>
          <w:p>
            <w:pPr>
              <w:ind w:left="22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234,271</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2,123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236,394</w:t>
            </w:r>
          </w:p>
        </w:tc>
      </w:tr>
      <w:tr>
        <w:trPr>
          <w:trHeight w:val="251"/>
        </w:trPr>
        <w:tc>
          <w:tcPr>
            <w:tcW w:w="418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93,788</w:t>
            </w: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94,675</w:t>
            </w: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9,359</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9,359</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316,042</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316,073</w:t>
            </w: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25,948</w:t>
            </w:r>
          </w:p>
        </w:tc>
        <w:tc>
          <w:tcPr>
            <w:tcW w:w="24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3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3,374</w:t>
            </w:r>
          </w:p>
        </w:tc>
        <w:tc>
          <w:tcPr>
            <w:tcW w:w="24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244"/>
        </w:trPr>
        <w:tc>
          <w:tcPr>
            <w:tcW w:w="4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408</w:t>
            </w:r>
          </w:p>
        </w:tc>
      </w:tr>
      <w:tr>
        <w:trPr>
          <w:trHeight w:val="228"/>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ind w:left="22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683,190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3,041</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686,231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20" w:hanging="112"/>
        <w:spacing w:after="0" w:line="182" w:lineRule="auto"/>
        <w:tabs>
          <w:tab w:leader="none" w:pos="12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2</w:t>
      </w:r>
      <w:r>
        <w:rPr>
          <w:rFonts w:ascii="Arial" w:cs="Arial" w:eastAsia="Arial" w:hAnsi="Arial"/>
          <w:sz w:val="14"/>
          <w:szCs w:val="14"/>
          <w:color w:val="auto"/>
        </w:rPr>
        <w:t xml:space="preserve"> Loans subject to special monitoring possess some credit deficiency or potential weakness which requires a high level of management attention.</w:t>
      </w:r>
    </w:p>
    <w:p>
      <w:pPr>
        <w:spacing w:after="0" w:line="10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There were no impaired loans, loans delinquent 90 days or more and still accruing, or loans classified as troubled debt restructuring at June 30, 2018 and December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loans recorded as other real estate owned as of June 30, 2018 and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2017 to June 30, 2018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3960" w:type="dxa"/>
            <w:vAlign w:val="bottom"/>
            <w:gridSpan w:val="2"/>
          </w:tcPr>
          <w:p>
            <w:pPr>
              <w:ind w:left="2800"/>
              <w:spacing w:after="0"/>
              <w:rPr>
                <w:sz w:val="20"/>
                <w:szCs w:val="20"/>
                <w:color w:val="auto"/>
              </w:rPr>
            </w:pPr>
            <w:r>
              <w:rPr>
                <w:rFonts w:ascii="Arial" w:cs="Arial" w:eastAsia="Arial" w:hAnsi="Arial"/>
                <w:sz w:val="18"/>
                <w:szCs w:val="18"/>
                <w:b w:val="1"/>
                <w:bCs w:val="1"/>
                <w:color w:val="auto"/>
                <w:w w:val="97"/>
              </w:rPr>
              <w:t>December 31,</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Charge-</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gridSpan w:val="3"/>
          </w:tcPr>
          <w:p>
            <w:pPr>
              <w:ind w:left="140"/>
              <w:spacing w:after="0"/>
              <w:rPr>
                <w:sz w:val="20"/>
                <w:szCs w:val="20"/>
                <w:color w:val="auto"/>
              </w:rPr>
            </w:pPr>
            <w:r>
              <w:rPr>
                <w:rFonts w:ascii="Arial" w:cs="Arial" w:eastAsia="Arial" w:hAnsi="Arial"/>
                <w:sz w:val="18"/>
                <w:szCs w:val="18"/>
                <w:b w:val="1"/>
                <w:bCs w:val="1"/>
                <w:color w:val="auto"/>
                <w:w w:val="85"/>
              </w:rPr>
              <w:t>June 30,</w:t>
            </w:r>
          </w:p>
        </w:tc>
      </w:tr>
      <w:tr>
        <w:trPr>
          <w:trHeight w:val="266"/>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Offs</w:t>
            </w:r>
          </w:p>
        </w:tc>
        <w:tc>
          <w:tcPr>
            <w:tcW w:w="10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5"/>
              </w:rPr>
              <w:t>Recoveries</w:t>
            </w: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9"/>
              </w:rPr>
              <w:t>Provision</w:t>
            </w:r>
          </w:p>
        </w:tc>
        <w:tc>
          <w:tcPr>
            <w:tcW w:w="2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3"/>
                <w:szCs w:val="23"/>
                <w:color w:val="auto"/>
              </w:rPr>
            </w:pPr>
          </w:p>
        </w:tc>
      </w:tr>
      <w:tr>
        <w:trPr>
          <w:trHeight w:val="243"/>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3020" w:type="dxa"/>
            <w:vAlign w:val="bottom"/>
            <w:shd w:val="clear" w:color="auto" w:fill="C0C0C0"/>
          </w:tcPr>
          <w:p>
            <w:pPr>
              <w:ind w:left="2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3,652</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3,973</w:t>
            </w: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Real estate</w:t>
            </w:r>
          </w:p>
        </w:tc>
        <w:tc>
          <w:tcPr>
            <w:tcW w:w="3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30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302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1,314</w:t>
            </w: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30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1"/>
                <w:szCs w:val="21"/>
                <w:color w:val="auto"/>
              </w:rPr>
            </w:pPr>
          </w:p>
        </w:tc>
      </w:tr>
      <w:tr>
        <w:trPr>
          <w:trHeight w:val="235"/>
        </w:trPr>
        <w:tc>
          <w:tcPr>
            <w:tcW w:w="376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3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30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3,962</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3,891</w:t>
            </w: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302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r>
        <w:trPr>
          <w:trHeight w:val="251"/>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30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r>
      <w:tr>
        <w:trPr>
          <w:trHeight w:val="250"/>
        </w:trPr>
        <w:tc>
          <w:tcPr>
            <w:tcW w:w="376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3020" w:type="dxa"/>
            <w:vAlign w:val="bottom"/>
            <w:tcBorders>
              <w:top w:val="single" w:sz="8" w:color="auto"/>
              <w:bottom w:val="single" w:sz="8" w:color="auto"/>
            </w:tcBorders>
            <w:shd w:val="clear" w:color="auto" w:fill="C0C0C0"/>
          </w:tcPr>
          <w:p>
            <w:pPr>
              <w:ind w:left="28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10,205</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0"/>
              </w:rPr>
              <w:t>10,215</w:t>
            </w:r>
          </w:p>
        </w:tc>
        <w:tc>
          <w:tcPr>
            <w:tcW w:w="20" w:type="dxa"/>
            <w:vAlign w:val="bottom"/>
          </w:tcPr>
          <w:p>
            <w:pPr>
              <w:spacing w:after="0"/>
              <w:rPr>
                <w:sz w:val="21"/>
                <w:szCs w:val="21"/>
                <w:color w:val="auto"/>
              </w:rPr>
            </w:pPr>
          </w:p>
        </w:tc>
      </w:tr>
      <w:tr>
        <w:trPr>
          <w:trHeight w:val="430"/>
        </w:trPr>
        <w:tc>
          <w:tcPr>
            <w:tcW w:w="3760" w:type="dxa"/>
            <w:vAlign w:val="bottom"/>
          </w:tcPr>
          <w:p>
            <w:pPr>
              <w:spacing w:after="0"/>
              <w:rPr>
                <w:sz w:val="24"/>
                <w:szCs w:val="24"/>
                <w:color w:val="auto"/>
              </w:rPr>
            </w:pPr>
          </w:p>
        </w:tc>
        <w:tc>
          <w:tcPr>
            <w:tcW w:w="3020" w:type="dxa"/>
            <w:vAlign w:val="bottom"/>
          </w:tcPr>
          <w:p>
            <w:pPr>
              <w:jc w:val="right"/>
              <w:ind w:right="832"/>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summary of the activity in the allowance for loan losses from December 31, 2016 to June 30, 2017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19"/>
                <w:szCs w:val="19"/>
                <w:color w:val="auto"/>
              </w:rPr>
            </w:pPr>
          </w:p>
        </w:tc>
        <w:tc>
          <w:tcPr>
            <w:tcW w:w="3280" w:type="dxa"/>
            <w:vAlign w:val="bottom"/>
            <w:gridSpan w:val="2"/>
          </w:tcPr>
          <w:p>
            <w:pPr>
              <w:ind w:left="2120"/>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3"/>
              </w:rPr>
              <w:t>June 30,</w:t>
            </w:r>
          </w:p>
        </w:tc>
      </w:tr>
      <w:tr>
        <w:trPr>
          <w:trHeight w:val="266"/>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Offs</w:t>
            </w: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9"/>
              </w:rPr>
              <w:t>Recoveries</w:t>
            </w:r>
          </w:p>
        </w:tc>
        <w:tc>
          <w:tcPr>
            <w:tcW w:w="10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Provision</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2017</w:t>
            </w:r>
          </w:p>
        </w:tc>
      </w:tr>
      <w:tr>
        <w:trPr>
          <w:trHeight w:val="243"/>
        </w:trPr>
        <w:tc>
          <w:tcPr>
            <w:tcW w:w="40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320" w:type="dxa"/>
            <w:vAlign w:val="bottom"/>
            <w:shd w:val="clear" w:color="auto" w:fill="C0C0C0"/>
          </w:tcPr>
          <w:p>
            <w:pPr>
              <w:ind w:left="2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3,261</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3,426</w:t>
            </w:r>
          </w:p>
        </w:tc>
      </w:tr>
      <w:tr>
        <w:trPr>
          <w:trHeight w:val="235"/>
        </w:trPr>
        <w:tc>
          <w:tcPr>
            <w:tcW w:w="4060" w:type="dxa"/>
            <w:vAlign w:val="bottom"/>
          </w:tcPr>
          <w:p>
            <w:pPr>
              <w:spacing w:after="0"/>
              <w:rPr>
                <w:sz w:val="20"/>
                <w:szCs w:val="20"/>
                <w:color w:val="auto"/>
              </w:rPr>
            </w:pPr>
            <w:r>
              <w:rPr>
                <w:rFonts w:ascii="Arial" w:cs="Arial" w:eastAsia="Arial" w:hAnsi="Arial"/>
                <w:sz w:val="18"/>
                <w:szCs w:val="18"/>
                <w:color w:val="auto"/>
              </w:rPr>
              <w:t>Real estate</w:t>
            </w:r>
          </w:p>
        </w:tc>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40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3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40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3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1,662</w:t>
            </w:r>
          </w:p>
        </w:tc>
        <w:tc>
          <w:tcPr>
            <w:tcW w:w="26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51"/>
        </w:trPr>
        <w:tc>
          <w:tcPr>
            <w:tcW w:w="40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w:t>
            </w:r>
          </w:p>
        </w:tc>
      </w:tr>
      <w:tr>
        <w:trPr>
          <w:trHeight w:val="235"/>
        </w:trPr>
        <w:tc>
          <w:tcPr>
            <w:tcW w:w="406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40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4,027</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4,088</w:t>
            </w:r>
          </w:p>
        </w:tc>
      </w:tr>
      <w:tr>
        <w:trPr>
          <w:trHeight w:val="235"/>
        </w:trPr>
        <w:tc>
          <w:tcPr>
            <w:tcW w:w="40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3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51"/>
        </w:trPr>
        <w:tc>
          <w:tcPr>
            <w:tcW w:w="40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50"/>
        </w:trPr>
        <w:tc>
          <w:tcPr>
            <w:tcW w:w="40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shd w:val="clear" w:color="auto" w:fill="C0C0C0"/>
          </w:tcPr>
          <w:p>
            <w:pPr>
              <w:ind w:left="2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10,175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10,196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June 30, 2018 and December 31, 2017, no amounts have been accrued for any estimated losses for these instruments.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June 30, 2018, the balance of unused loan commitments, standby and commercial letters of credit were $65,586,000, $13,088,000, and $3,836,000,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contractual cash obligations of the Company related to operating lease commitments and time deposits at June 30, 2018: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5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Amount of Commitment Expiration per Period</w:t>
            </w: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Less than</w:t>
            </w:r>
          </w:p>
        </w:tc>
        <w:tc>
          <w:tcPr>
            <w:tcW w:w="260" w:type="dxa"/>
            <w:vAlign w:val="bottom"/>
          </w:tcPr>
          <w:p>
            <w:pPr>
              <w:spacing w:after="0"/>
              <w:rPr>
                <w:sz w:val="19"/>
                <w:szCs w:val="19"/>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9"/>
                <w:szCs w:val="19"/>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Over 5</w:t>
            </w:r>
          </w:p>
        </w:tc>
        <w:tc>
          <w:tcPr>
            <w:tcW w:w="20" w:type="dxa"/>
            <w:vAlign w:val="bottom"/>
          </w:tcPr>
          <w:p>
            <w:pPr>
              <w:spacing w:after="0"/>
              <w:rPr>
                <w:sz w:val="19"/>
                <w:szCs w:val="19"/>
                <w:color w:val="auto"/>
              </w:rPr>
            </w:pPr>
          </w:p>
        </w:tc>
      </w:tr>
      <w:tr>
        <w:trPr>
          <w:trHeight w:val="265"/>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23"/>
                <w:szCs w:val="23"/>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color w:val="auto"/>
                <w:w w:val="97"/>
              </w:rPr>
              <w:t>Total</w:t>
            </w:r>
          </w:p>
        </w:tc>
        <w:tc>
          <w:tcPr>
            <w:tcW w:w="260" w:type="dxa"/>
            <w:vAlign w:val="bottom"/>
          </w:tcPr>
          <w:p>
            <w:pPr>
              <w:spacing w:after="0"/>
              <w:rPr>
                <w:sz w:val="23"/>
                <w:szCs w:val="23"/>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Pr>
          <w:p>
            <w:pPr>
              <w:spacing w:after="0"/>
              <w:rPr>
                <w:sz w:val="23"/>
                <w:szCs w:val="23"/>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Years</w:t>
            </w:r>
          </w:p>
        </w:tc>
        <w:tc>
          <w:tcPr>
            <w:tcW w:w="260" w:type="dxa"/>
            <w:vAlign w:val="bottom"/>
          </w:tcPr>
          <w:p>
            <w:pPr>
              <w:spacing w:after="0"/>
              <w:rPr>
                <w:sz w:val="23"/>
                <w:szCs w:val="23"/>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Years</w:t>
            </w:r>
          </w:p>
        </w:tc>
      </w:tr>
      <w:tr>
        <w:trPr>
          <w:trHeight w:val="243"/>
        </w:trPr>
        <w:tc>
          <w:tcPr>
            <w:tcW w:w="65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Operating lease commitments</w:t>
            </w:r>
          </w:p>
        </w:tc>
        <w:tc>
          <w:tcPr>
            <w:tcW w:w="1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10,420</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1,603</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3,517</w:t>
            </w:r>
          </w:p>
        </w:tc>
        <w:tc>
          <w:tcPr>
            <w:tcW w:w="2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2,744</w:t>
            </w:r>
          </w:p>
        </w:tc>
        <w:tc>
          <w:tcPr>
            <w:tcW w:w="2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2,556</w:t>
            </w:r>
          </w:p>
        </w:tc>
        <w:tc>
          <w:tcPr>
            <w:tcW w:w="20" w:type="dxa"/>
            <w:vAlign w:val="bottom"/>
          </w:tcPr>
          <w:p>
            <w:pPr>
              <w:spacing w:after="0"/>
              <w:rPr>
                <w:sz w:val="21"/>
                <w:szCs w:val="2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56,920</w:t>
            </w:r>
          </w:p>
        </w:tc>
        <w:tc>
          <w:tcPr>
            <w:tcW w:w="2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46,227</w:t>
            </w:r>
          </w:p>
        </w:tc>
        <w:tc>
          <w:tcPr>
            <w:tcW w:w="2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8,235</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2,458</w:t>
            </w: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0"/>
        </w:trPr>
        <w:tc>
          <w:tcPr>
            <w:tcW w:w="652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67,340</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47,830</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11,752</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5,202</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2,556</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 8 – Stock-Based Compensation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six months ended June 30, 2018, 27,037 restricted shares, 28,388 performance-based restricted shares, and 0 SARs were granted under the Omnibus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Beginning on February 2, 2017, restricted shares granted to Company employees are amortized to expense over the three-year cliff vesting period. As of June 30, 2018, the total unrecognized compensation expense related to non-vested restricted shares was $2,082,000, and the related weighted-average period over which it is expected to be recognized is approximately 1.07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7380" w:type="dxa"/>
            <w:vAlign w:val="bottom"/>
          </w:tcPr>
          <w:p>
            <w:pPr>
              <w:spacing w:after="0"/>
              <w:rPr>
                <w:sz w:val="24"/>
                <w:szCs w:val="24"/>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Six Months Ended</w:t>
            </w:r>
          </w:p>
        </w:tc>
      </w:tr>
      <w:tr>
        <w:trPr>
          <w:trHeight w:val="266"/>
        </w:trPr>
        <w:tc>
          <w:tcPr>
            <w:tcW w:w="7380" w:type="dxa"/>
            <w:vAlign w:val="bottom"/>
          </w:tcPr>
          <w:p>
            <w:pPr>
              <w:spacing w:after="0"/>
              <w:rPr>
                <w:sz w:val="23"/>
                <w:szCs w:val="23"/>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5"/>
              </w:rPr>
              <w:t>June 30, 2018</w:t>
            </w:r>
          </w:p>
        </w:tc>
      </w:tr>
      <w:tr>
        <w:trPr>
          <w:trHeight w:val="250"/>
        </w:trPr>
        <w:tc>
          <w:tcPr>
            <w:tcW w:w="7380" w:type="dxa"/>
            <w:vAlign w:val="bottom"/>
            <w:tcBorders>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3"/>
              </w:rPr>
              <w:t>Shares</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7380" w:type="dxa"/>
            <w:vAlign w:val="bottom"/>
            <w:shd w:val="clear" w:color="auto" w:fill="C0C0C0"/>
          </w:tcPr>
          <w:p>
            <w:pPr>
              <w:spacing w:after="0"/>
              <w:rPr>
                <w:sz w:val="20"/>
                <w:szCs w:val="20"/>
                <w:color w:val="auto"/>
              </w:rPr>
            </w:pPr>
            <w:r>
              <w:rPr>
                <w:rFonts w:ascii="Arial" w:cs="Arial" w:eastAsia="Arial" w:hAnsi="Arial"/>
                <w:sz w:val="18"/>
                <w:szCs w:val="18"/>
                <w:color w:val="auto"/>
              </w:rPr>
              <w:t>Balance at December 31, 2017</w:t>
            </w: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78,166</w:t>
            </w:r>
          </w:p>
        </w:tc>
        <w:tc>
          <w:tcPr>
            <w:tcW w:w="4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21"/>
                <w:szCs w:val="21"/>
                <w:color w:val="auto"/>
              </w:rPr>
            </w:pPr>
          </w:p>
        </w:tc>
      </w:tr>
      <w:tr>
        <w:trPr>
          <w:trHeight w:val="235"/>
        </w:trPr>
        <w:tc>
          <w:tcPr>
            <w:tcW w:w="73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27,037</w:t>
            </w:r>
          </w:p>
        </w:tc>
        <w:tc>
          <w:tcPr>
            <w:tcW w:w="4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59.27</w:t>
            </w:r>
          </w:p>
        </w:tc>
      </w:tr>
      <w:tr>
        <w:trPr>
          <w:trHeight w:val="244"/>
        </w:trPr>
        <w:tc>
          <w:tcPr>
            <w:tcW w:w="73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5"/>
              </w:rPr>
              <w:t>(23,758)</w:t>
            </w:r>
          </w:p>
        </w:tc>
        <w:tc>
          <w:tcPr>
            <w:tcW w:w="40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46.83</w:t>
            </w:r>
          </w:p>
        </w:tc>
        <w:tc>
          <w:tcPr>
            <w:tcW w:w="20" w:type="dxa"/>
            <w:vAlign w:val="bottom"/>
          </w:tcPr>
          <w:p>
            <w:pPr>
              <w:spacing w:after="0"/>
              <w:rPr>
                <w:sz w:val="21"/>
                <w:szCs w:val="21"/>
                <w:color w:val="auto"/>
              </w:rPr>
            </w:pPr>
          </w:p>
        </w:tc>
      </w:tr>
      <w:tr>
        <w:trPr>
          <w:trHeight w:val="250"/>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June 30, 2018</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81,445</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54.29</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of 2017, the Company granted three-year performance based restricted stock (“PBRS”) awards which are contingent upon the Company’s achievement of pre-established financial goals over the period from January 1, 2017 through December 31, 2019. The PBRS awards cliff vest on the three year anniversary of their grant date at levels ranging from 0% to 150% of the target opportunity based on the actual achievement of financial goals for the three-year performance period. The aggregate target number of PBRS shares granted was 25,342 with an average grant date fair value of $59.20 per share. The 2018 expense related to these grants is currently estimated to be $690,000 and is based on the grant date fair value of the awards and the Company’s achievement of 132% of the target financial goals. The estimated expense for 2018 and each future period through the vesting date is subject to prospective adjustment based upon changes in the expected achievement of the financial goals.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of 2018, the Company granted three-year PBRS awards which are contingent upon the Company’s achievement of pre-established financial goals over the period from January 1, 2018 through December 31, 2020. The PBRS awards cliff vest on the three year anniversary of their grant date at levels ranging from 0% to 150% of the target opportunity based on the actual achievement of financial goals for the three-year performance period. The aggregate target number of PBRS shares granted was 28,388 with an average grant date fair value of $58.35 per share. The 2018 expense related to these grants is currently estimated to be $729,000 and is based on the grant date fair value of the awards and the Company’s achievement of 144% of the target financial goals. The estimated expense for 2018 and each future period through the vesting date is subject to prospective adjustment based upon changes in the expected achievement of the financial goals.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SARs granted and no expense recognized during the six months ended June 30, 2018. Following is a summary of the activity of the Company’s SARs program for the six-month period ended June 30,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Weighted-</w:t>
            </w: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rPr>
              <w:t>Average</w:t>
            </w:r>
          </w:p>
        </w:tc>
        <w:tc>
          <w:tcPr>
            <w:tcW w:w="260" w:type="dxa"/>
            <w:vAlign w:val="bottom"/>
          </w:tcPr>
          <w:p>
            <w:pPr>
              <w:spacing w:after="0"/>
              <w:rPr>
                <w:sz w:val="19"/>
                <w:szCs w:val="19"/>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Aggregate</w:t>
            </w:r>
          </w:p>
        </w:tc>
      </w:tr>
      <w:tr>
        <w:trPr>
          <w:trHeight w:val="243"/>
        </w:trPr>
        <w:tc>
          <w:tcPr>
            <w:tcW w:w="7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Average</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Remaining</w:t>
            </w:r>
          </w:p>
        </w:tc>
        <w:tc>
          <w:tcPr>
            <w:tcW w:w="26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Intrinsic</w:t>
            </w:r>
          </w:p>
        </w:tc>
      </w:tr>
      <w:tr>
        <w:trPr>
          <w:trHeight w:val="243"/>
        </w:trPr>
        <w:tc>
          <w:tcPr>
            <w:tcW w:w="7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Contractual</w:t>
            </w:r>
          </w:p>
        </w:tc>
        <w:tc>
          <w:tcPr>
            <w:tcW w:w="260" w:type="dxa"/>
            <w:vAlign w:val="bottom"/>
          </w:tcPr>
          <w:p>
            <w:pPr>
              <w:spacing w:after="0"/>
              <w:rPr>
                <w:sz w:val="21"/>
                <w:szCs w:val="21"/>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Value</w:t>
            </w:r>
          </w:p>
        </w:tc>
      </w:tr>
      <w:tr>
        <w:trPr>
          <w:trHeight w:val="266"/>
        </w:trPr>
        <w:tc>
          <w:tcPr>
            <w:tcW w:w="7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Term Years</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w w:val="95"/>
              </w:rPr>
              <w:t>(In thousands)</w:t>
            </w:r>
          </w:p>
        </w:tc>
      </w:tr>
      <w:tr>
        <w:trPr>
          <w:trHeight w:val="243"/>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December 31, 2017</w:t>
            </w: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9"/>
              </w:rPr>
              <w:t>234,236</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34.97</w:t>
            </w:r>
          </w:p>
        </w:tc>
        <w:tc>
          <w:tcPr>
            <w:tcW w:w="11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7,291</w:t>
            </w:r>
          </w:p>
        </w:tc>
      </w:tr>
      <w:tr>
        <w:trPr>
          <w:trHeight w:val="237"/>
        </w:trPr>
        <w:tc>
          <w:tcPr>
            <w:tcW w:w="72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Exercised</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6"/>
              </w:rPr>
              <w:t>(15,271)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22.73</w:t>
            </w: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43"/>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June 30, 2018</w:t>
            </w:r>
          </w:p>
        </w:tc>
        <w:tc>
          <w:tcPr>
            <w:tcW w:w="7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89"/>
              </w:rPr>
              <w:t>218,965</w:t>
            </w:r>
          </w:p>
        </w:tc>
        <w:tc>
          <w:tcPr>
            <w:tcW w:w="2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35.83</w:t>
            </w:r>
          </w:p>
        </w:tc>
        <w:tc>
          <w:tcPr>
            <w:tcW w:w="11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3.94</w:t>
            </w:r>
          </w:p>
        </w:tc>
        <w:tc>
          <w:tcPr>
            <w:tcW w:w="26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6,629</w:t>
            </w:r>
          </w:p>
        </w:tc>
      </w:tr>
      <w:tr>
        <w:trPr>
          <w:trHeight w:val="244"/>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June 30, 2018</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218,965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35.83</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non-vested SARs at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41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Actual</w:t>
            </w:r>
          </w:p>
        </w:tc>
      </w:tr>
      <w:tr>
        <w:trPr>
          <w:trHeight w:val="266"/>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2018</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r>
      <w:tr>
        <w:trPr>
          <w:trHeight w:val="243"/>
        </w:trPr>
        <w:tc>
          <w:tcPr>
            <w:tcW w:w="636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4,294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3,733</w:t>
            </w:r>
          </w:p>
        </w:tc>
      </w:tr>
      <w:tr>
        <w:trPr>
          <w:trHeight w:val="235"/>
        </w:trPr>
        <w:tc>
          <w:tcPr>
            <w:tcW w:w="636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330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3,655</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3,621</w:t>
            </w:r>
          </w:p>
        </w:tc>
      </w:tr>
      <w:tr>
        <w:trPr>
          <w:trHeight w:val="251"/>
        </w:trPr>
        <w:tc>
          <w:tcPr>
            <w:tcW w:w="636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33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(5,206)</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(4,681)</w:t>
            </w:r>
          </w:p>
        </w:tc>
      </w:tr>
      <w:tr>
        <w:trPr>
          <w:trHeight w:val="237"/>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 and deferral</w:t>
            </w:r>
          </w:p>
        </w:tc>
        <w:tc>
          <w:tcPr>
            <w:tcW w:w="3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1,409</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r>
      <w:tr>
        <w:trPr>
          <w:trHeight w:val="250"/>
        </w:trPr>
        <w:tc>
          <w:tcPr>
            <w:tcW w:w="636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Net periodic pension cost</w:t>
            </w:r>
          </w:p>
        </w:tc>
        <w:tc>
          <w:tcPr>
            <w:tcW w:w="3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4,152</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4,055</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Pension costs recorded to expense were $1,049,000 and $1,017,000 for the three-month periods ended June 30, 2018 and 2017, respectively and $2,098,000 and $2,037,000 for the six-month periods ended June 30, 2018 and 2017, respectively. Pension costs increased in 2018 primarily due to a decrease in the discount rate. The Company made no contribution to the plan during the six-month period ended June 30, 2018 and is evaluating the amount of additional contributions, if any, in the remainder of 2018.</w:t>
      </w:r>
    </w:p>
    <w:p>
      <w:pPr>
        <w:spacing w:after="0" w:line="19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2017 and an estimate for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80" w:type="dxa"/>
            <w:vAlign w:val="bottom"/>
          </w:tcPr>
          <w:p>
            <w:pPr>
              <w:spacing w:after="0"/>
              <w:rPr>
                <w:sz w:val="19"/>
                <w:szCs w:val="19"/>
                <w:color w:val="auto"/>
              </w:rPr>
            </w:pPr>
          </w:p>
        </w:tc>
        <w:tc>
          <w:tcPr>
            <w:tcW w:w="42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Estimated</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Actual</w:t>
            </w:r>
          </w:p>
        </w:tc>
      </w:tr>
      <w:tr>
        <w:trPr>
          <w:trHeight w:val="266"/>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2017</w:t>
            </w:r>
          </w:p>
        </w:tc>
      </w:tr>
      <w:tr>
        <w:trPr>
          <w:trHeight w:val="243"/>
        </w:trPr>
        <w:tc>
          <w:tcPr>
            <w:tcW w:w="648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w:t>
            </w:r>
          </w:p>
        </w:tc>
      </w:tr>
      <w:tr>
        <w:trPr>
          <w:trHeight w:val="235"/>
        </w:trPr>
        <w:tc>
          <w:tcPr>
            <w:tcW w:w="64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42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44"/>
        </w:trPr>
        <w:tc>
          <w:tcPr>
            <w:tcW w:w="64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amortization</w:t>
            </w:r>
          </w:p>
        </w:tc>
        <w:tc>
          <w:tcPr>
            <w:tcW w:w="34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581</w:t>
            </w:r>
          </w:p>
        </w:tc>
        <w:tc>
          <w:tcPr>
            <w:tcW w:w="24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324</w:t>
            </w:r>
          </w:p>
        </w:tc>
      </w:tr>
      <w:tr>
        <w:trPr>
          <w:trHeight w:val="250"/>
        </w:trPr>
        <w:tc>
          <w:tcPr>
            <w:tcW w:w="6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Net periodic pension cost</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Pension costs recorded to expense were $256,000 and $209,000 for the three-month periods ended June 30, 2018 and 2017, respectively, and were $511,000 and $418,000 for the six-month periods ended June 30, 2018 and 2017,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 10 – Income Taxes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2018, the Company’s unrecognized tax benefits were approximately $1,836,000, of which $1,669,000 would, if recognized, affect the Company’s effective tax rate. As of December 31, 2017, the Company’s unrecognized tax benefits were approximately $1,632,000, of which $1,464,000 would, if recognized, affect the Company’s effective tax rate. During the next 12 months, the Company may realize a reduction of its unrecognized tax benefits of approximately $313,000 due to the lapse of federal and state statutes of limitations.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 Company had $173,000 and $139,000 of gross interest accrued as of June 30, 2018 and December 31, 2017, respectively. There were no penalties for unrecognized tax benefits accrued at June 30, 2018 and December 31, 2017.</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income tax in the U.S. federal jurisdiction and numerous state jurisdictions. U.S. federal income tax returns for tax years 2014 through 2016 remain subject to examination by the Internal Revenue Service. In addition, the Company is subject to state tax examinations for the tax years 2013 through 2016.</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the Tax Cuts and Jobs Act (“TCJA”) was enacted. Among other things, the new law (i) establishes a new, flat corporate federal statutory income tax rate of 21% beginning January 1, 2018;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TCJA also significantly changes U.S. tax law related to foreign operations, though, such changes do not currently impact the Company on a significant level.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June 30, 2018</w:t>
            </w: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28"/>
        </w:trPr>
        <w:tc>
          <w:tcPr>
            <w:tcW w:w="4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w w:val="92"/>
              </w:rPr>
              <w:t>Gross</w:t>
            </w:r>
          </w:p>
        </w:tc>
        <w:tc>
          <w:tcPr>
            <w:tcW w:w="260" w:type="dxa"/>
            <w:vAlign w:val="bottom"/>
          </w:tcPr>
          <w:p>
            <w:pPr>
              <w:spacing w:after="0"/>
              <w:rPr>
                <w:sz w:val="19"/>
                <w:szCs w:val="19"/>
                <w:color w:val="auto"/>
              </w:rPr>
            </w:pPr>
          </w:p>
        </w:tc>
        <w:tc>
          <w:tcPr>
            <w:tcW w:w="86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2"/>
        </w:trPr>
        <w:tc>
          <w:tcPr>
            <w:tcW w:w="46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4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6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5"/>
              </w:rPr>
              <w:t>Gains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0"/>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343,850</w:t>
            </w:r>
          </w:p>
        </w:tc>
        <w:tc>
          <w:tcPr>
            <w:tcW w:w="28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3,276</w:t>
            </w:r>
          </w:p>
        </w:tc>
        <w:tc>
          <w:tcPr>
            <w:tcW w:w="2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3,441</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343,685</w:t>
            </w:r>
          </w:p>
        </w:tc>
      </w:tr>
      <w:tr>
        <w:trPr>
          <w:trHeight w:val="235"/>
        </w:trPr>
        <w:tc>
          <w:tcPr>
            <w:tcW w:w="46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91,778</w:t>
            </w:r>
          </w:p>
        </w:tc>
        <w:tc>
          <w:tcPr>
            <w:tcW w:w="2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1,848</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89,938</w:t>
            </w:r>
          </w:p>
        </w:tc>
      </w:tr>
      <w:tr>
        <w:trPr>
          <w:trHeight w:val="244"/>
        </w:trPr>
        <w:tc>
          <w:tcPr>
            <w:tcW w:w="46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4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7,240</w:t>
            </w:r>
          </w:p>
        </w:tc>
        <w:tc>
          <w:tcPr>
            <w:tcW w:w="2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7,240</w:t>
            </w:r>
          </w:p>
        </w:tc>
      </w:tr>
      <w:tr>
        <w:trPr>
          <w:trHeight w:val="250"/>
        </w:trPr>
        <w:tc>
          <w:tcPr>
            <w:tcW w:w="4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442,868</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3,284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5,289</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440,863</w:t>
            </w:r>
          </w:p>
        </w:tc>
      </w:tr>
      <w:tr>
        <w:trPr>
          <w:trHeight w:val="493"/>
        </w:trPr>
        <w:tc>
          <w:tcPr>
            <w:tcW w:w="4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w w:val="93"/>
              </w:rPr>
              <w:t>December 31, 2017</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28"/>
        </w:trPr>
        <w:tc>
          <w:tcPr>
            <w:tcW w:w="4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w w:val="92"/>
              </w:rPr>
              <w:t>Gross</w:t>
            </w:r>
          </w:p>
        </w:tc>
        <w:tc>
          <w:tcPr>
            <w:tcW w:w="260" w:type="dxa"/>
            <w:vAlign w:val="bottom"/>
          </w:tcPr>
          <w:p>
            <w:pPr>
              <w:spacing w:after="0"/>
              <w:rPr>
                <w:sz w:val="19"/>
                <w:szCs w:val="19"/>
                <w:color w:val="auto"/>
              </w:rPr>
            </w:pPr>
          </w:p>
        </w:tc>
        <w:tc>
          <w:tcPr>
            <w:tcW w:w="86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2"/>
        </w:trPr>
        <w:tc>
          <w:tcPr>
            <w:tcW w:w="46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4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6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5"/>
              </w:rPr>
              <w:t>Gains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0"/>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2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408,165</w:t>
            </w:r>
          </w:p>
        </w:tc>
        <w:tc>
          <w:tcPr>
            <w:tcW w:w="28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9,528</w:t>
            </w:r>
          </w:p>
        </w:tc>
        <w:tc>
          <w:tcPr>
            <w:tcW w:w="2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417,032</w:t>
            </w:r>
          </w:p>
        </w:tc>
      </w:tr>
      <w:tr>
        <w:trPr>
          <w:trHeight w:val="235"/>
        </w:trPr>
        <w:tc>
          <w:tcPr>
            <w:tcW w:w="46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46,222</w:t>
            </w:r>
          </w:p>
        </w:tc>
        <w:tc>
          <w:tcPr>
            <w:tcW w:w="2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45,500</w:t>
            </w:r>
          </w:p>
        </w:tc>
      </w:tr>
      <w:tr>
        <w:trPr>
          <w:trHeight w:val="244"/>
        </w:trPr>
        <w:tc>
          <w:tcPr>
            <w:tcW w:w="46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24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7,991</w:t>
            </w:r>
          </w:p>
        </w:tc>
        <w:tc>
          <w:tcPr>
            <w:tcW w:w="2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7,991</w:t>
            </w:r>
          </w:p>
        </w:tc>
      </w:tr>
      <w:tr>
        <w:trPr>
          <w:trHeight w:val="250"/>
        </w:trPr>
        <w:tc>
          <w:tcPr>
            <w:tcW w:w="4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462,378</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9,528</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1,383</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470,523</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w w:val="95"/>
              </w:rPr>
              <w:t>The fair values of securities with unrealized losses are as follows: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4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8"/>
                <w:szCs w:val="18"/>
                <w:b w:val="1"/>
                <w:bCs w:val="1"/>
                <w:color w:val="auto"/>
              </w:rPr>
              <w:t>June 30, 2018</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b w:val="1"/>
                <w:bCs w:val="1"/>
                <w:color w:val="auto"/>
                <w:w w:val="88"/>
              </w:rPr>
              <w:t>Less than 12 months</w:t>
            </w: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w w:val="91"/>
              </w:rPr>
              <w:t>12 months or more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980" w:type="dxa"/>
            <w:vAlign w:val="bottom"/>
          </w:tcPr>
          <w:p>
            <w:pPr>
              <w:spacing w:after="0"/>
              <w:rPr>
                <w:sz w:val="19"/>
                <w:szCs w:val="19"/>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0"/>
              </w:rPr>
              <w:t>Estimated</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Unrealized</w:t>
            </w: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Estimated</w:t>
            </w: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9"/>
                <w:szCs w:val="19"/>
                <w:color w:val="auto"/>
              </w:rPr>
            </w:pPr>
          </w:p>
        </w:tc>
      </w:tr>
      <w:tr>
        <w:trPr>
          <w:trHeight w:val="265"/>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3"/>
                <w:szCs w:val="23"/>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w w:val="80"/>
              </w:rPr>
              <w:t>Losses</w:t>
            </w:r>
          </w:p>
        </w:tc>
        <w:tc>
          <w:tcPr>
            <w:tcW w:w="10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w w:val="83"/>
              </w:rPr>
              <w:t>Losses</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3"/>
              </w:rPr>
              <w:t>Losses</w:t>
            </w:r>
          </w:p>
        </w:tc>
      </w:tr>
      <w:tr>
        <w:trPr>
          <w:trHeight w:val="243"/>
        </w:trPr>
        <w:tc>
          <w:tcPr>
            <w:tcW w:w="49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156,545</w:t>
            </w:r>
          </w:p>
        </w:tc>
        <w:tc>
          <w:tcPr>
            <w:tcW w:w="28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2,140</w:t>
            </w:r>
          </w:p>
        </w:tc>
        <w:tc>
          <w:tcPr>
            <w:tcW w:w="30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30,194</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1,301</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186,739</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3,441</w:t>
            </w:r>
          </w:p>
        </w:tc>
        <w:tc>
          <w:tcPr>
            <w:tcW w:w="20" w:type="dxa"/>
            <w:vAlign w:val="bottom"/>
          </w:tcPr>
          <w:p>
            <w:pPr>
              <w:spacing w:after="0"/>
              <w:rPr>
                <w:sz w:val="21"/>
                <w:szCs w:val="2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71,861</w:t>
            </w:r>
          </w:p>
        </w:tc>
        <w:tc>
          <w:tcPr>
            <w:tcW w:w="2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1,245</w:t>
            </w:r>
          </w:p>
        </w:tc>
        <w:tc>
          <w:tcPr>
            <w:tcW w:w="30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10,322</w:t>
            </w:r>
          </w:p>
        </w:tc>
        <w:tc>
          <w:tcPr>
            <w:tcW w:w="2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603</w:t>
            </w:r>
          </w:p>
        </w:tc>
        <w:tc>
          <w:tcPr>
            <w:tcW w:w="3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82,183</w:t>
            </w: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1,848</w:t>
            </w:r>
          </w:p>
        </w:tc>
      </w:tr>
      <w:tr>
        <w:trPr>
          <w:trHeight w:val="250"/>
        </w:trPr>
        <w:tc>
          <w:tcPr>
            <w:tcW w:w="498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228,406</w:t>
            </w:r>
          </w:p>
        </w:tc>
        <w:tc>
          <w:tcPr>
            <w:tcW w:w="28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3,385</w:t>
            </w:r>
          </w:p>
        </w:tc>
        <w:tc>
          <w:tcPr>
            <w:tcW w:w="30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40,516</w:t>
            </w:r>
          </w:p>
        </w:tc>
        <w:tc>
          <w:tcPr>
            <w:tcW w:w="26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1,904</w:t>
            </w:r>
          </w:p>
        </w:tc>
        <w:tc>
          <w:tcPr>
            <w:tcW w:w="3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268,922</w:t>
            </w:r>
          </w:p>
        </w:tc>
        <w:tc>
          <w:tcPr>
            <w:tcW w:w="26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5,289</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51"/>
        </w:trPr>
        <w:tc>
          <w:tcPr>
            <w:tcW w:w="3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b w:val="1"/>
                <w:bCs w:val="1"/>
                <w:color w:val="auto"/>
                <w:w w:val="93"/>
              </w:rPr>
              <w:t>December 31, 2017</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w w:val="88"/>
              </w:rPr>
              <w:t>Less than 12 months</w:t>
            </w:r>
          </w:p>
        </w:tc>
        <w:tc>
          <w:tcPr>
            <w:tcW w:w="3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1"/>
              </w:rPr>
              <w:t>12 months or more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Estimated</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Unrealized</w:t>
            </w: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Estimated</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Unrealized</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9"/>
                <w:szCs w:val="19"/>
                <w:color w:val="auto"/>
              </w:rPr>
            </w:pPr>
          </w:p>
        </w:tc>
      </w:tr>
      <w:tr>
        <w:trPr>
          <w:trHeight w:val="265"/>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20" w:type="dxa"/>
            <w:vAlign w:val="bottom"/>
          </w:tcPr>
          <w:p>
            <w:pPr>
              <w:spacing w:after="0"/>
              <w:rPr>
                <w:sz w:val="23"/>
                <w:szCs w:val="23"/>
                <w:color w:val="auto"/>
              </w:rPr>
            </w:pPr>
          </w:p>
        </w:tc>
        <w:tc>
          <w:tcPr>
            <w:tcW w:w="9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0"/>
              </w:rPr>
              <w:t>Fair Value</w:t>
            </w:r>
          </w:p>
        </w:tc>
        <w:tc>
          <w:tcPr>
            <w:tcW w:w="26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w w:val="83"/>
              </w:rPr>
              <w:t>Losses</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3"/>
                <w:szCs w:val="23"/>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w w:val="80"/>
              </w:rPr>
              <w:t>Losses</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3"/>
              </w:rPr>
              <w:t>Losses</w:t>
            </w:r>
          </w:p>
        </w:tc>
      </w:tr>
      <w:tr>
        <w:trPr>
          <w:trHeight w:val="243"/>
        </w:trPr>
        <w:tc>
          <w:tcPr>
            <w:tcW w:w="36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560" w:type="dxa"/>
            <w:vAlign w:val="bottom"/>
            <w:tcBorders>
              <w:top w:val="single" w:sz="8" w:color="auto"/>
            </w:tcBorders>
            <w:gridSpan w:val="2"/>
            <w:shd w:val="clear" w:color="auto" w:fill="C0C0C0"/>
          </w:tcPr>
          <w:p>
            <w:pPr>
              <w:ind w:left="14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34,755</w:t>
            </w:r>
          </w:p>
        </w:tc>
        <w:tc>
          <w:tcPr>
            <w:tcW w:w="26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123</w:t>
            </w:r>
          </w:p>
        </w:tc>
        <w:tc>
          <w:tcPr>
            <w:tcW w:w="30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31,251</w:t>
            </w:r>
          </w:p>
        </w:tc>
        <w:tc>
          <w:tcPr>
            <w:tcW w:w="28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538</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66,006</w:t>
            </w:r>
          </w:p>
        </w:tc>
        <w:tc>
          <w:tcPr>
            <w:tcW w:w="2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1"/>
                <w:szCs w:val="21"/>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34,183</w:t>
            </w:r>
          </w:p>
        </w:tc>
        <w:tc>
          <w:tcPr>
            <w:tcW w:w="26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11,317</w:t>
            </w: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45,500</w:t>
            </w: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r>
      <w:tr>
        <w:trPr>
          <w:trHeight w:val="250"/>
        </w:trPr>
        <w:tc>
          <w:tcPr>
            <w:tcW w:w="362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gridSpan w:val="2"/>
            <w:shd w:val="clear" w:color="auto" w:fill="C0C0C0"/>
          </w:tcPr>
          <w:p>
            <w:pPr>
              <w:ind w:left="14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68,938</w:t>
            </w:r>
          </w:p>
        </w:tc>
        <w:tc>
          <w:tcPr>
            <w:tcW w:w="26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499</w:t>
            </w:r>
          </w:p>
        </w:tc>
        <w:tc>
          <w:tcPr>
            <w:tcW w:w="30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42,568</w:t>
            </w:r>
          </w:p>
        </w:tc>
        <w:tc>
          <w:tcPr>
            <w:tcW w:w="280" w:type="dxa"/>
            <w:vAlign w:val="bottom"/>
            <w:tcBorders>
              <w:top w:val="single" w:sz="8" w:color="auto"/>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884</w:t>
            </w:r>
          </w:p>
        </w:tc>
        <w:tc>
          <w:tcPr>
            <w:tcW w:w="34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111,506</w:t>
            </w:r>
          </w:p>
        </w:tc>
        <w:tc>
          <w:tcPr>
            <w:tcW w:w="260" w:type="dxa"/>
            <w:vAlign w:val="bottom"/>
            <w:tcBorders>
              <w:top w:val="single" w:sz="8" w:color="auto"/>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163 securities, or 49% of the total (24 greater than 12 months), in an unrealized loss position as of June 30, 2018. There were 64 securities, or 17% of the total (24 greater than 12 months), in an unrealized loss position as of December 31, 2017.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 2018</w:t>
            </w: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Amortized Cost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1"/>
                <w:szCs w:val="21"/>
                <w:color w:val="auto"/>
              </w:rPr>
            </w:pP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Due in 1 year or less</w:t>
            </w:r>
          </w:p>
        </w:tc>
        <w:tc>
          <w:tcPr>
            <w:tcW w:w="3640" w:type="dxa"/>
            <w:vAlign w:val="bottom"/>
            <w:gridSpan w:val="2"/>
            <w:shd w:val="clear" w:color="auto" w:fill="C0C0C0"/>
          </w:tcPr>
          <w:p>
            <w:pPr>
              <w:ind w:left="3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16,570</w:t>
            </w:r>
          </w:p>
        </w:tc>
        <w:tc>
          <w:tcPr>
            <w:tcW w:w="4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16,678</w:t>
            </w:r>
          </w:p>
        </w:tc>
        <w:tc>
          <w:tcPr>
            <w:tcW w:w="20" w:type="dxa"/>
            <w:vAlign w:val="bottom"/>
          </w:tcPr>
          <w:p>
            <w:pPr>
              <w:spacing w:after="0"/>
              <w:rPr>
                <w:sz w:val="21"/>
                <w:szCs w:val="2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102,182</w:t>
            </w:r>
          </w:p>
        </w:tc>
        <w:tc>
          <w:tcPr>
            <w:tcW w:w="4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102,497</w:t>
            </w:r>
          </w:p>
        </w:tc>
      </w:tr>
      <w:tr>
        <w:trPr>
          <w:trHeight w:val="251"/>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Due after 5 years through 10 years</w:t>
            </w:r>
          </w:p>
        </w:tc>
        <w:tc>
          <w:tcPr>
            <w:tcW w:w="3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216,399</w:t>
            </w:r>
          </w:p>
        </w:tc>
        <w:tc>
          <w:tcPr>
            <w:tcW w:w="4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217,126</w:t>
            </w:r>
          </w:p>
        </w:tc>
        <w:tc>
          <w:tcPr>
            <w:tcW w:w="20" w:type="dxa"/>
            <w:vAlign w:val="bottom"/>
          </w:tcPr>
          <w:p>
            <w:pPr>
              <w:spacing w:after="0"/>
              <w:rPr>
                <w:sz w:val="21"/>
                <w:szCs w:val="2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Due after 10 years</w:t>
            </w: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107,717</w:t>
            </w:r>
          </w:p>
        </w:tc>
        <w:tc>
          <w:tcPr>
            <w:tcW w:w="4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104,562</w:t>
            </w:r>
          </w:p>
        </w:tc>
      </w:tr>
      <w:tr>
        <w:trPr>
          <w:trHeight w:val="250"/>
        </w:trPr>
        <w:tc>
          <w:tcPr>
            <w:tcW w:w="574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3640" w:type="dxa"/>
            <w:vAlign w:val="bottom"/>
            <w:tcBorders>
              <w:top w:val="single" w:sz="8" w:color="auto"/>
              <w:bottom w:val="single" w:sz="8" w:color="auto"/>
            </w:tcBorders>
            <w:gridSpan w:val="2"/>
            <w:shd w:val="clear" w:color="auto" w:fill="C0C0C0"/>
          </w:tcPr>
          <w:p>
            <w:pPr>
              <w:ind w:left="33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442,868</w:t>
            </w:r>
          </w:p>
        </w:tc>
        <w:tc>
          <w:tcPr>
            <w:tcW w:w="440" w:type="dxa"/>
            <w:vAlign w:val="bottom"/>
            <w:tcBorders>
              <w:top w:val="single" w:sz="8" w:color="auto"/>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2"/>
              </w:rPr>
              <w:t>440,863</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Proceeds from sales of investment securities classified as available-for-sale were $48,977,000 and $0 for the three months ended June 30, 2018 and 2017, respectively, and were $58,520,000 and $0 for the six months ended June 30, 2018 and 2017, respectively. Gross realized losses were $55,000 and $0 for the three months ended June 30, 2018 and 2017, respectively, and were $42,000 and $0 for the six months ended June 30, 2018 and 2017, respectively. There was one security totaling $3,750,000 pledged to secure public deposits and for other purposes at June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4"/>
          </w:tcPr>
          <w:p>
            <w:pPr>
              <w:ind w:left="52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rPr>
              <w:t>December 31, 2017</w:t>
            </w:r>
          </w:p>
        </w:tc>
      </w:tr>
      <w:tr>
        <w:trPr>
          <w:trHeight w:val="228"/>
        </w:trPr>
        <w:tc>
          <w:tcPr>
            <w:tcW w:w="4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65"/>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Fair Value</w:t>
            </w: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Balance sheet assets: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126,203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126,203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228,110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228,110</w:t>
            </w: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440,863</w:t>
            </w:r>
          </w:p>
        </w:tc>
        <w:tc>
          <w:tcPr>
            <w:tcW w:w="2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440,863</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470,523</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470,523</w:t>
            </w: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Loans, net</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704,646</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697,745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676,026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675,020</w:t>
            </w:r>
          </w:p>
        </w:tc>
      </w:tr>
      <w:tr>
        <w:trPr>
          <w:trHeight w:val="244"/>
        </w:trPr>
        <w:tc>
          <w:tcPr>
            <w:tcW w:w="44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Accrued interest receivable</w:t>
            </w:r>
          </w:p>
        </w:tc>
        <w:tc>
          <w:tcPr>
            <w:tcW w:w="21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6,834</w:t>
            </w:r>
          </w:p>
        </w:tc>
        <w:tc>
          <w:tcPr>
            <w:tcW w:w="24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6,834</w:t>
            </w:r>
          </w:p>
        </w:tc>
        <w:tc>
          <w:tcPr>
            <w:tcW w:w="1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7,413</w:t>
            </w:r>
          </w:p>
        </w:tc>
        <w:tc>
          <w:tcPr>
            <w:tcW w:w="22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7,413</w:t>
            </w:r>
          </w:p>
        </w:tc>
      </w:tr>
      <w:tr>
        <w:trPr>
          <w:trHeight w:val="237"/>
        </w:trPr>
        <w:tc>
          <w:tcPr>
            <w:tcW w:w="44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1,278,546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1,271,645</w:t>
            </w: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1,382,072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1,381,066</w:t>
            </w: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Balance sheet liabilities:</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Deposits</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625,737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622,973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678,088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678,346</w:t>
            </w: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Accounts and drafts payable</w:t>
            </w:r>
          </w:p>
        </w:tc>
        <w:tc>
          <w:tcPr>
            <w:tcW w:w="2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673,704</w:t>
            </w:r>
          </w:p>
        </w:tc>
        <w:tc>
          <w:tcPr>
            <w:tcW w:w="2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673,704</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661,888</w:t>
            </w: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661,888</w:t>
            </w:r>
          </w:p>
        </w:tc>
      </w:tr>
      <w:tr>
        <w:trPr>
          <w:trHeight w:val="237"/>
        </w:trPr>
        <w:tc>
          <w:tcPr>
            <w:tcW w:w="4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Accrued interest payable</w:t>
            </w:r>
          </w:p>
        </w:tc>
        <w:tc>
          <w:tcPr>
            <w:tcW w:w="2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50"/>
        </w:trPr>
        <w:tc>
          <w:tcPr>
            <w:tcW w:w="442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1,299,511</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1,296,747</w:t>
            </w:r>
          </w:p>
        </w:tc>
        <w:tc>
          <w:tcPr>
            <w:tcW w:w="260" w:type="dxa"/>
            <w:vAlign w:val="bottom"/>
            <w:tcBorders>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1,340,031</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1,340,289</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Investment in Securities – </w:t>
      </w:r>
      <w:r>
        <w:rPr>
          <w:rFonts w:ascii="Arial" w:cs="Arial" w:eastAsia="Arial" w:hAnsi="Arial"/>
          <w:sz w:val="18"/>
          <w:szCs w:val="18"/>
          <w:color w:val="auto"/>
        </w:rPr>
        <w:t>The fair value is measured on a recurring basis using Level 2 valuations. Refer to Note 11, “Investment in Securities,” for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and unrealized gains and losses by investment type.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7" w:name="page18"/>
    <w:bookmarkEnd w:id="17"/>
    <w:p>
      <w:pPr>
        <w:jc w:val="both"/>
        <w:spacing w:after="0" w:line="258" w:lineRule="auto"/>
        <w:rPr>
          <w:sz w:val="20"/>
          <w:szCs w:val="20"/>
          <w:color w:val="auto"/>
        </w:rPr>
      </w:pPr>
      <w:r>
        <w:rPr>
          <w:rFonts w:ascii="Arial" w:cs="Arial" w:eastAsia="Arial" w:hAnsi="Arial"/>
          <w:sz w:val="18"/>
          <w:szCs w:val="18"/>
          <w:b w:val="1"/>
          <w:bCs w:val="1"/>
          <w:color w:val="auto"/>
        </w:rPr>
        <w:t xml:space="preserve">Loans –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 The estimated fair values of loans disclosed above as of June 30, 2018 follow the guidance in ASU 2016-01 which prescribes an exit price approach in estimating and disclosing fair value.</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Impaired loans are valued using the expected cash flow method or fair value of the collateral which is based upon an observable market price or a current appraised value and therefore, the fair value is a nonrecurring Level 3 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Receivable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Deposits – </w:t>
      </w:r>
      <w:r>
        <w:rPr>
          <w:rFonts w:ascii="Arial" w:cs="Arial" w:eastAsia="Arial" w:hAnsi="Arial"/>
          <w:sz w:val="16"/>
          <w:szCs w:val="16"/>
          <w:color w:val="auto"/>
        </w:rPr>
        <w:t>The fair value of demand deposits, savings deposits and certain money market deposits is the amount payable on demand at the reporting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Accounts and Drafts Payable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 </w:t>
      </w:r>
      <w:r>
        <w:rPr>
          <w:rFonts w:ascii="Arial" w:cs="Arial" w:eastAsia="Arial" w:hAnsi="Arial"/>
          <w:sz w:val="18"/>
          <w:szCs w:val="18"/>
          <w:color w:val="auto"/>
        </w:rPr>
        <w:t>The carrying amount approximates fair value.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transfers between Levels 1 and 2 of the fair value hierarchy for the six months ended June 30, 2018 and 2017. No financial instruments are measured using Level 3 inputs for the six months ended June 30, 2018 and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13 – Subsequent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FASB ASC 855, “Subsequent Events,” the Company has evaluated subsequent events after the consolidated balance sheet date of June 30, 2018, and there were no events identified that would require additional disclosures to prevent the Company’s unaudited consolidated financial statements from being misleading.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2017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Certain accounting policies that require significant management estimates and are deemed critical to the Company’s results of operations or financial position have been discussed with the Audit Committee of the Board of Directors and are described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The Company performs periodic and systematic detailed reviews of its loan portfolio to assess overall collectability. The level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paragraphs more fully discuss the results of operations and changes in financial condition for the three-month period ended June 30, 2018 (“Second Quarter of 2018”) compared to the three-month period ended June 30, 2017 (“Second Quarter of 2017”) and the six-month period ended June 30, 2018 (“First Half of 2018”) compared to the six-month period ended June 30, 2017 (“First Half of 2017”). The following discussion and analysis should be read in conjunction with the unaudited consolidated financial statements and related notes and with the statistical information and financial data appearing in this report, as well as in the Company’s 2017 Annual Report on Form 10-K. Results of operations for the Second Quarter and First Half of 2018 are not necessarily indicative of the results to be attained for any other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8"/>
                <w:szCs w:val="18"/>
                <w:color w:val="auto"/>
              </w:rPr>
              <w:t>The following table summarizes the Company’s operating results</w:t>
            </w:r>
            <w:r>
              <w:rPr>
                <w:rFonts w:ascii="Arial" w:cs="Arial" w:eastAsia="Arial" w:hAnsi="Arial"/>
                <w:sz w:val="13"/>
                <w:szCs w:val="13"/>
                <w:color w:val="auto"/>
              </w:rPr>
              <w: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68"/>
        </w:trPr>
        <w:tc>
          <w:tcPr>
            <w:tcW w:w="5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First Half of</w:t>
            </w:r>
          </w:p>
        </w:tc>
        <w:tc>
          <w:tcPr>
            <w:tcW w:w="660" w:type="dxa"/>
            <w:vAlign w:val="bottom"/>
            <w:tcBorders>
              <w:bottom w:val="single" w:sz="8" w:color="auto"/>
            </w:tcBorders>
          </w:tcPr>
          <w:p>
            <w:pPr>
              <w:spacing w:after="0"/>
              <w:rPr>
                <w:sz w:val="24"/>
                <w:szCs w:val="24"/>
                <w:color w:val="auto"/>
              </w:rPr>
            </w:pPr>
          </w:p>
        </w:tc>
      </w:tr>
      <w:tr>
        <w:trPr>
          <w:trHeight w:val="228"/>
        </w:trPr>
        <w:tc>
          <w:tcPr>
            <w:tcW w:w="5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r>
      <w:tr>
        <w:trPr>
          <w:trHeight w:val="265"/>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7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2018</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2017</w:t>
            </w:r>
          </w:p>
        </w:tc>
        <w:tc>
          <w:tcPr>
            <w:tcW w:w="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Change</w:t>
            </w:r>
          </w:p>
        </w:tc>
      </w:tr>
      <w:tr>
        <w:trPr>
          <w:trHeight w:val="243"/>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7,509</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6,513</w:t>
            </w: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15.3</w:t>
            </w:r>
          </w:p>
        </w:tc>
        <w:tc>
          <w:tcPr>
            <w:tcW w:w="2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15,601</w:t>
            </w: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8"/>
              </w:rPr>
              <w:t>12,820</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21.7</w:t>
            </w:r>
          </w:p>
        </w:tc>
      </w:t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.52</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1.25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1.03</w:t>
            </w: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51"/>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Return on average assets</w:t>
            </w:r>
          </w:p>
        </w:tc>
        <w:tc>
          <w:tcPr>
            <w:tcW w:w="7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1.70%</w:t>
            </w: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on average equity</w:t>
            </w:r>
          </w:p>
        </w:tc>
        <w:tc>
          <w:tcPr>
            <w:tcW w:w="7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12.13%</w:t>
            </w: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14.29%</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r>
        <w:rPr>
          <w:rFonts w:ascii="Arial" w:cs="Arial" w:eastAsia="Arial" w:hAnsi="Arial"/>
          <w:sz w:val="12"/>
          <w:szCs w:val="12"/>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rPr>
              <w:t>Second Quarter of</w:t>
            </w:r>
          </w:p>
        </w:tc>
        <w:tc>
          <w:tcPr>
            <w:tcW w:w="7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w w:val="95"/>
              </w:rPr>
              <w:t>First Half of</w:t>
            </w:r>
          </w:p>
        </w:tc>
        <w:tc>
          <w:tcPr>
            <w:tcW w:w="720" w:type="dxa"/>
            <w:vAlign w:val="bottom"/>
            <w:tcBorders>
              <w:bottom w:val="single" w:sz="8" w:color="auto"/>
            </w:tcBorders>
          </w:tcPr>
          <w:p>
            <w:pPr>
              <w:spacing w:after="0"/>
              <w:rPr>
                <w:sz w:val="21"/>
                <w:szCs w:val="21"/>
                <w:color w:val="auto"/>
              </w:rPr>
            </w:pPr>
          </w:p>
        </w:tc>
      </w:tr>
      <w:tr>
        <w:trPr>
          <w:trHeight w:val="228"/>
        </w:trPr>
        <w:tc>
          <w:tcPr>
            <w:tcW w:w="3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r>
      <w:tr>
        <w:trPr>
          <w:trHeight w:val="265"/>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3720" w:type="dxa"/>
            <w:vAlign w:val="bottom"/>
            <w:shd w:val="clear" w:color="auto" w:fill="C0C0C0"/>
          </w:tcPr>
          <w:p>
            <w:pPr>
              <w:spacing w:after="0"/>
              <w:rPr>
                <w:sz w:val="20"/>
                <w:szCs w:val="20"/>
                <w:color w:val="auto"/>
              </w:rPr>
            </w:pPr>
            <w:r>
              <w:rPr>
                <w:rFonts w:ascii="Arial" w:cs="Arial" w:eastAsia="Arial" w:hAnsi="Arial"/>
                <w:sz w:val="18"/>
                <w:szCs w:val="18"/>
                <w:color w:val="auto"/>
              </w:rPr>
              <w:t>Transportation invoice volume</w:t>
            </w: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9,628</w:t>
            </w:r>
          </w:p>
        </w:tc>
        <w:tc>
          <w:tcPr>
            <w:tcW w:w="3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9,248</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18,819</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17,623</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w:t>
            </w:r>
          </w:p>
        </w:tc>
      </w:tr>
      <w:tr>
        <w:trPr>
          <w:trHeight w:val="235"/>
        </w:trPr>
        <w:tc>
          <w:tcPr>
            <w:tcW w:w="372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7,172,171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6,231,378</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13,962,918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5"/>
              </w:rPr>
              <w:t>12,108,221</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51"/>
        </w:trPr>
        <w:tc>
          <w:tcPr>
            <w:tcW w:w="3720" w:type="dxa"/>
            <w:vAlign w:val="bottom"/>
            <w:shd w:val="clear" w:color="auto" w:fill="C0C0C0"/>
          </w:tcPr>
          <w:p>
            <w:pPr>
              <w:spacing w:after="0"/>
              <w:rPr>
                <w:sz w:val="20"/>
                <w:szCs w:val="20"/>
                <w:color w:val="auto"/>
              </w:rPr>
            </w:pPr>
            <w:r>
              <w:rPr>
                <w:rFonts w:ascii="Arial" w:cs="Arial" w:eastAsia="Arial" w:hAnsi="Arial"/>
                <w:sz w:val="18"/>
                <w:szCs w:val="18"/>
                <w:color w:val="auto"/>
              </w:rPr>
              <w:t>Facility expense transaction volume*</w:t>
            </w:r>
          </w:p>
        </w:tc>
        <w:tc>
          <w:tcPr>
            <w:tcW w:w="1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7,169</w:t>
            </w:r>
          </w:p>
        </w:tc>
        <w:tc>
          <w:tcPr>
            <w:tcW w:w="32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6,729</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14,290</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13,542</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w:t>
            </w:r>
          </w:p>
        </w:tc>
      </w:tr>
      <w:tr>
        <w:trPr>
          <w:trHeight w:val="235"/>
        </w:trPr>
        <w:tc>
          <w:tcPr>
            <w:tcW w:w="3720" w:type="dxa"/>
            <w:vAlign w:val="bottom"/>
          </w:tcPr>
          <w:p>
            <w:pPr>
              <w:spacing w:after="0"/>
              <w:rPr>
                <w:sz w:val="20"/>
                <w:szCs w:val="20"/>
                <w:color w:val="auto"/>
              </w:rPr>
            </w:pPr>
            <w:r>
              <w:rPr>
                <w:rFonts w:ascii="Arial" w:cs="Arial" w:eastAsia="Arial" w:hAnsi="Arial"/>
                <w:sz w:val="18"/>
                <w:szCs w:val="18"/>
                <w:color w:val="auto"/>
              </w:rPr>
              <w:t>Facility Expense dollar volume*</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3,233,769</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3,079,988</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6,671,972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6,255,901</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8"/>
        </w:trPr>
        <w:tc>
          <w:tcPr>
            <w:tcW w:w="37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Payment and processing revenue</w:t>
            </w:r>
          </w:p>
        </w:tc>
        <w:tc>
          <w:tcPr>
            <w:tcW w:w="1280" w:type="dxa"/>
            <w:vAlign w:val="bottom"/>
            <w:tcBorders>
              <w:bottom w:val="single" w:sz="8" w:color="auto"/>
            </w:tcBorders>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25,221</w:t>
            </w:r>
          </w:p>
        </w:tc>
        <w:tc>
          <w:tcPr>
            <w:tcW w:w="3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23,282</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auto"/>
            </w:tcBorders>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50,048</w:t>
            </w: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45,571</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w:t>
            </w:r>
          </w:p>
        </w:tc>
      </w:tr>
    </w:tbl>
    <w:p>
      <w:pPr>
        <w:spacing w:after="0"/>
        <w:rPr>
          <w:sz w:val="20"/>
          <w:szCs w:val="20"/>
          <w:color w:val="auto"/>
        </w:rPr>
      </w:pPr>
      <w:r>
        <w:rPr>
          <w:rFonts w:ascii="Arial" w:cs="Arial" w:eastAsia="Arial" w:hAnsi="Arial"/>
          <w:sz w:val="14"/>
          <w:szCs w:val="14"/>
          <w:color w:val="auto"/>
        </w:rPr>
        <w:t>*Includes energy, telecom and waste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2018 compared to Second Quarter of 2017:</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Payment and processing fee revenue increased 8%. Highlighting second quarter performance was a 15% increase in transportation dollar volume. Higher carrier and fuel prices, in tandem with higher volume from current accounts, produced the positive result. Transportation invoice volume for the period was up 4%. Facility-related (electricity, gas, waste and telecom expense management) dollar volume was up 5% with facility expense transaction volume up 7%. Again, new customer wins plus higher volume from current accounts generated the favorable outcome.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both"/>
        <w:ind w:right="20"/>
        <w:spacing w:after="0" w:line="370" w:lineRule="auto"/>
        <w:rPr>
          <w:sz w:val="20"/>
          <w:szCs w:val="20"/>
          <w:color w:val="auto"/>
        </w:rPr>
      </w:pPr>
      <w:r>
        <w:rPr>
          <w:rFonts w:ascii="Arial" w:cs="Arial" w:eastAsia="Arial" w:hAnsi="Arial"/>
          <w:sz w:val="15"/>
          <w:szCs w:val="15"/>
          <w:color w:val="auto"/>
        </w:rPr>
        <w:t>Losses of $55,000 on the sales of securities were recognized in the Second Quarter of 2018, compared to $0 in the Second Quarter of 2017. These sales were part of an effort to right size the investment security portfolio given recent changes in both interest rates, which have increased, and tax rates, which have declined.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2018 compared to First Half of 2017:</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Transportation invoice and dollar volumes, as well as expense management transaction and dollar volumes, increased for the same reasons as the Second Quarter.</w:t>
      </w:r>
    </w:p>
    <w:p>
      <w:pPr>
        <w:spacing w:after="0" w:line="26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Losses of $42,000 on the sales of securities were recognized in the First Half of 2018, compared to $0 in the First Half of 2017. These sales were part of an effort to right size the investment security portfolio given recent changes in both interest rates, which have increased, and tax rates, which have declined.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0"/>
              </w:rPr>
              <w:t>Second Quarter of</w:t>
            </w:r>
          </w:p>
        </w:tc>
        <w:tc>
          <w:tcPr>
            <w:tcW w:w="8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First Half of</w:t>
            </w:r>
          </w:p>
        </w:tc>
        <w:tc>
          <w:tcPr>
            <w:tcW w:w="920" w:type="dxa"/>
            <w:vAlign w:val="bottom"/>
            <w:tcBorders>
              <w:bottom w:val="single" w:sz="8" w:color="auto"/>
            </w:tcBorders>
          </w:tcPr>
          <w:p>
            <w:pPr>
              <w:spacing w:after="0"/>
              <w:rPr>
                <w:sz w:val="21"/>
                <w:szCs w:val="21"/>
                <w:color w:val="auto"/>
              </w:rPr>
            </w:pPr>
          </w:p>
        </w:tc>
      </w:tr>
      <w:tr>
        <w:trPr>
          <w:trHeight w:val="228"/>
        </w:trPr>
        <w:tc>
          <w:tcPr>
            <w:tcW w:w="3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r>
      <w:tr>
        <w:trPr>
          <w:trHeight w:val="265"/>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2018</w:t>
            </w:r>
          </w:p>
        </w:tc>
        <w:tc>
          <w:tcPr>
            <w:tcW w:w="16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4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2018</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3180" w:type="dxa"/>
            <w:vAlign w:val="bottom"/>
            <w:shd w:val="clear" w:color="auto" w:fill="C0C0C0"/>
          </w:tcPr>
          <w:p>
            <w:pPr>
              <w:spacing w:after="0"/>
              <w:rPr>
                <w:sz w:val="20"/>
                <w:szCs w:val="20"/>
                <w:color w:val="auto"/>
              </w:rPr>
            </w:pPr>
            <w:r>
              <w:rPr>
                <w:rFonts w:ascii="Arial" w:cs="Arial" w:eastAsia="Arial" w:hAnsi="Arial"/>
                <w:sz w:val="18"/>
                <w:szCs w:val="18"/>
                <w:color w:val="auto"/>
              </w:rPr>
              <w:t>Average earnings assets</w:t>
            </w:r>
          </w:p>
        </w:tc>
        <w:tc>
          <w:tcPr>
            <w:tcW w:w="18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   1,348,188</w:t>
            </w:r>
          </w:p>
        </w:tc>
        <w:tc>
          <w:tcPr>
            <w:tcW w:w="16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   1,332,829</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c>
          <w:tcPr>
            <w:tcW w:w="14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   1,379,393</w:t>
            </w:r>
          </w:p>
        </w:tc>
        <w:tc>
          <w:tcPr>
            <w:tcW w:w="15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   1,324,478</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w:t>
            </w:r>
          </w:p>
        </w:tc>
      </w:tr>
      <w:tr>
        <w:trPr>
          <w:trHeight w:val="235"/>
        </w:trPr>
        <w:tc>
          <w:tcPr>
            <w:tcW w:w="3180" w:type="dxa"/>
            <w:vAlign w:val="bottom"/>
          </w:tcPr>
          <w:p>
            <w:pPr>
              <w:spacing w:after="0"/>
              <w:rPr>
                <w:sz w:val="20"/>
                <w:szCs w:val="20"/>
                <w:color w:val="auto"/>
              </w:rPr>
            </w:pPr>
            <w:r>
              <w:rPr>
                <w:rFonts w:ascii="Arial" w:cs="Arial" w:eastAsia="Arial" w:hAnsi="Arial"/>
                <w:sz w:val="18"/>
                <w:szCs w:val="18"/>
                <w:color w:val="auto"/>
              </w:rPr>
              <w:t>Average interest-bearing liabilities</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365,569</w:t>
            </w: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380,197</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373,703</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386,372</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318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r>
              <w:rPr>
                <w:rFonts w:ascii="Arial" w:cs="Arial" w:eastAsia="Arial" w:hAnsi="Arial"/>
                <w:sz w:val="13"/>
                <w:szCs w:val="13"/>
                <w:color w:val="auto"/>
              </w:rPr>
              <w:t>*</w:t>
            </w:r>
          </w:p>
        </w:tc>
        <w:tc>
          <w:tcPr>
            <w:tcW w:w="18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11,343</w:t>
            </w:r>
          </w:p>
        </w:tc>
        <w:tc>
          <w:tcPr>
            <w:tcW w:w="16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11,312</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w:t>
            </w:r>
          </w:p>
        </w:tc>
        <w:tc>
          <w:tcPr>
            <w:tcW w:w="14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22,640</w:t>
            </w:r>
          </w:p>
        </w:tc>
        <w:tc>
          <w:tcPr>
            <w:tcW w:w="15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22,252</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20" w:type="dxa"/>
            <w:vAlign w:val="bottom"/>
          </w:tcPr>
          <w:p>
            <w:pPr>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13"/>
                <w:szCs w:val="13"/>
                <w:color w:val="auto"/>
              </w:rPr>
              <w:t>*</w:t>
            </w:r>
          </w:p>
        </w:tc>
        <w:tc>
          <w:tcPr>
            <w:tcW w:w="2060" w:type="dxa"/>
            <w:vAlign w:val="bottom"/>
          </w:tcPr>
          <w:p>
            <w:pPr>
              <w:jc w:val="right"/>
              <w:ind w:right="392"/>
              <w:spacing w:after="0"/>
              <w:rPr>
                <w:sz w:val="20"/>
                <w:szCs w:val="20"/>
                <w:color w:val="auto"/>
              </w:rPr>
            </w:pPr>
            <w:r>
              <w:rPr>
                <w:rFonts w:ascii="Arial" w:cs="Arial" w:eastAsia="Arial" w:hAnsi="Arial"/>
                <w:sz w:val="18"/>
                <w:szCs w:val="18"/>
                <w:color w:val="auto"/>
              </w:rPr>
              <w:t>3.37%</w:t>
            </w:r>
          </w:p>
        </w:tc>
        <w:tc>
          <w:tcPr>
            <w:tcW w:w="1940" w:type="dxa"/>
            <w:vAlign w:val="bottom"/>
          </w:tcPr>
          <w:p>
            <w:pPr>
              <w:jc w:val="right"/>
              <w:ind w:right="912"/>
              <w:spacing w:after="0"/>
              <w:rPr>
                <w:sz w:val="20"/>
                <w:szCs w:val="20"/>
                <w:color w:val="auto"/>
              </w:rPr>
            </w:pPr>
            <w:r>
              <w:rPr>
                <w:rFonts w:ascii="Arial" w:cs="Arial" w:eastAsia="Arial" w:hAnsi="Arial"/>
                <w:sz w:val="18"/>
                <w:szCs w:val="18"/>
                <w:color w:val="auto"/>
              </w:rPr>
              <w:t>3.40%</w:t>
            </w:r>
          </w:p>
        </w:tc>
        <w:tc>
          <w:tcPr>
            <w:tcW w:w="1940" w:type="dxa"/>
            <w:vAlign w:val="bottom"/>
          </w:tcPr>
          <w:p>
            <w:pPr>
              <w:jc w:val="right"/>
              <w:ind w:right="392"/>
              <w:spacing w:after="0"/>
              <w:rPr>
                <w:sz w:val="20"/>
                <w:szCs w:val="20"/>
                <w:color w:val="auto"/>
              </w:rPr>
            </w:pPr>
            <w:r>
              <w:rPr>
                <w:rFonts w:ascii="Arial" w:cs="Arial" w:eastAsia="Arial" w:hAnsi="Arial"/>
                <w:sz w:val="18"/>
                <w:szCs w:val="18"/>
                <w:color w:val="auto"/>
              </w:rPr>
              <w:t>3.31%</w:t>
            </w:r>
          </w:p>
        </w:tc>
        <w:tc>
          <w:tcPr>
            <w:tcW w:w="1960" w:type="dxa"/>
            <w:vAlign w:val="bottom"/>
          </w:tcPr>
          <w:p>
            <w:pPr>
              <w:jc w:val="right"/>
              <w:ind w:right="932"/>
              <w:spacing w:after="0"/>
              <w:rPr>
                <w:sz w:val="20"/>
                <w:szCs w:val="20"/>
                <w:color w:val="auto"/>
              </w:rPr>
            </w:pPr>
            <w:r>
              <w:rPr>
                <w:rFonts w:ascii="Arial" w:cs="Arial" w:eastAsia="Arial" w:hAnsi="Arial"/>
                <w:sz w:val="18"/>
                <w:szCs w:val="18"/>
                <w:color w:val="auto"/>
              </w:rPr>
              <w:t>3.39%</w:t>
            </w:r>
          </w:p>
        </w:tc>
      </w:tr>
      <w:tr>
        <w:trPr>
          <w:trHeight w:val="264"/>
        </w:trPr>
        <w:tc>
          <w:tcPr>
            <w:tcW w:w="3520" w:type="dxa"/>
            <w:vAlign w:val="bottom"/>
            <w:shd w:val="clear" w:color="auto" w:fill="C0C0C0"/>
          </w:tcPr>
          <w:p>
            <w:pPr>
              <w:spacing w:after="0"/>
              <w:rPr>
                <w:sz w:val="20"/>
                <w:szCs w:val="20"/>
                <w:color w:val="auto"/>
              </w:rPr>
            </w:pPr>
            <w:r>
              <w:rPr>
                <w:rFonts w:ascii="Arial" w:cs="Arial" w:eastAsia="Arial" w:hAnsi="Arial"/>
                <w:sz w:val="18"/>
                <w:szCs w:val="18"/>
                <w:color w:val="auto"/>
              </w:rPr>
              <w:t>Yield on earning assets</w:t>
            </w:r>
            <w:r>
              <w:rPr>
                <w:rFonts w:ascii="Arial" w:cs="Arial" w:eastAsia="Arial" w:hAnsi="Arial"/>
                <w:sz w:val="13"/>
                <w:szCs w:val="13"/>
                <w:color w:val="auto"/>
              </w:rPr>
              <w:t>*</w:t>
            </w:r>
          </w:p>
        </w:tc>
        <w:tc>
          <w:tcPr>
            <w:tcW w:w="206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3.61%</w:t>
            </w:r>
          </w:p>
        </w:tc>
        <w:tc>
          <w:tcPr>
            <w:tcW w:w="1940" w:type="dxa"/>
            <w:vAlign w:val="bottom"/>
            <w:shd w:val="clear" w:color="auto" w:fill="C0C0C0"/>
          </w:tcPr>
          <w:p>
            <w:pPr>
              <w:jc w:val="right"/>
              <w:ind w:right="912"/>
              <w:spacing w:after="0"/>
              <w:rPr>
                <w:sz w:val="20"/>
                <w:szCs w:val="20"/>
                <w:color w:val="auto"/>
              </w:rPr>
            </w:pPr>
            <w:r>
              <w:rPr>
                <w:rFonts w:ascii="Arial" w:cs="Arial" w:eastAsia="Arial" w:hAnsi="Arial"/>
                <w:sz w:val="18"/>
                <w:szCs w:val="18"/>
                <w:color w:val="auto"/>
              </w:rPr>
              <w:t>3.55%</w:t>
            </w:r>
          </w:p>
        </w:tc>
        <w:tc>
          <w:tcPr>
            <w:tcW w:w="194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3.53%</w:t>
            </w:r>
          </w:p>
        </w:tc>
        <w:tc>
          <w:tcPr>
            <w:tcW w:w="1960" w:type="dxa"/>
            <w:vAlign w:val="bottom"/>
            <w:shd w:val="clear" w:color="auto" w:fill="C0C0C0"/>
          </w:tcPr>
          <w:p>
            <w:pPr>
              <w:jc w:val="right"/>
              <w:ind w:right="932"/>
              <w:spacing w:after="0"/>
              <w:rPr>
                <w:sz w:val="20"/>
                <w:szCs w:val="20"/>
                <w:color w:val="auto"/>
              </w:rPr>
            </w:pPr>
            <w:r>
              <w:rPr>
                <w:rFonts w:ascii="Arial" w:cs="Arial" w:eastAsia="Arial" w:hAnsi="Arial"/>
                <w:sz w:val="18"/>
                <w:szCs w:val="18"/>
                <w:color w:val="auto"/>
              </w:rPr>
              <w:t>3.53%</w:t>
            </w:r>
          </w:p>
        </w:tc>
      </w:tr>
      <w:tr>
        <w:trPr>
          <w:trHeight w:val="228"/>
        </w:trPr>
        <w:tc>
          <w:tcPr>
            <w:tcW w:w="3520" w:type="dxa"/>
            <w:vAlign w:val="bottom"/>
          </w:tcPr>
          <w:p>
            <w:pPr>
              <w:spacing w:after="0"/>
              <w:rPr>
                <w:sz w:val="20"/>
                <w:szCs w:val="20"/>
                <w:color w:val="auto"/>
              </w:rPr>
            </w:pPr>
            <w:r>
              <w:rPr>
                <w:rFonts w:ascii="Arial" w:cs="Arial" w:eastAsia="Arial" w:hAnsi="Arial"/>
                <w:sz w:val="18"/>
                <w:szCs w:val="18"/>
                <w:color w:val="auto"/>
              </w:rPr>
              <w:t>Rate on interest-bearing liabilities</w:t>
            </w:r>
          </w:p>
        </w:tc>
        <w:tc>
          <w:tcPr>
            <w:tcW w:w="2060" w:type="dxa"/>
            <w:vAlign w:val="bottom"/>
          </w:tcPr>
          <w:p>
            <w:pPr>
              <w:jc w:val="right"/>
              <w:ind w:right="392"/>
              <w:spacing w:after="0"/>
              <w:rPr>
                <w:sz w:val="20"/>
                <w:szCs w:val="20"/>
                <w:color w:val="auto"/>
              </w:rPr>
            </w:pPr>
            <w:r>
              <w:rPr>
                <w:rFonts w:ascii="Arial" w:cs="Arial" w:eastAsia="Arial" w:hAnsi="Arial"/>
                <w:sz w:val="18"/>
                <w:szCs w:val="18"/>
                <w:color w:val="auto"/>
              </w:rPr>
              <w:t>.87%</w:t>
            </w:r>
          </w:p>
        </w:tc>
        <w:tc>
          <w:tcPr>
            <w:tcW w:w="1940" w:type="dxa"/>
            <w:vAlign w:val="bottom"/>
          </w:tcPr>
          <w:p>
            <w:pPr>
              <w:jc w:val="right"/>
              <w:ind w:right="912"/>
              <w:spacing w:after="0"/>
              <w:rPr>
                <w:sz w:val="20"/>
                <w:szCs w:val="20"/>
                <w:color w:val="auto"/>
              </w:rPr>
            </w:pPr>
            <w:r>
              <w:rPr>
                <w:rFonts w:ascii="Arial" w:cs="Arial" w:eastAsia="Arial" w:hAnsi="Arial"/>
                <w:sz w:val="18"/>
                <w:szCs w:val="18"/>
                <w:color w:val="auto"/>
              </w:rPr>
              <w:t>.50%</w:t>
            </w:r>
          </w:p>
        </w:tc>
        <w:tc>
          <w:tcPr>
            <w:tcW w:w="1940" w:type="dxa"/>
            <w:vAlign w:val="bottom"/>
          </w:tcPr>
          <w:p>
            <w:pPr>
              <w:jc w:val="right"/>
              <w:ind w:right="392"/>
              <w:spacing w:after="0"/>
              <w:rPr>
                <w:sz w:val="20"/>
                <w:szCs w:val="20"/>
                <w:color w:val="auto"/>
              </w:rPr>
            </w:pPr>
            <w:r>
              <w:rPr>
                <w:rFonts w:ascii="Arial" w:cs="Arial" w:eastAsia="Arial" w:hAnsi="Arial"/>
                <w:sz w:val="18"/>
                <w:szCs w:val="18"/>
                <w:color w:val="auto"/>
              </w:rPr>
              <w:t>.79%</w:t>
            </w:r>
          </w:p>
        </w:tc>
        <w:tc>
          <w:tcPr>
            <w:tcW w:w="1960" w:type="dxa"/>
            <w:vAlign w:val="bottom"/>
          </w:tcPr>
          <w:p>
            <w:pPr>
              <w:jc w:val="right"/>
              <w:ind w:right="932"/>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*Presented on a tax-equivalent basis assuming a tax rate of 21% for 2018 and 35% for 2017. The TCJA reduced the net interest margin and yield on earning assets by approximately 20 basis points in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2018 compared to Second Quarter of 2017:</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 Quarter of 2018 average earning assets increased $15,359,000, or 1.2%, compared to the same period in the prior year. Loans increased $40,129,000, or 6.0%, and average investment securities increased $30,821,000, or 7.4%. These were partially offset by a decrease in average federal funds sold and other short-term investments of $48,962,000, or 32.2%, in the Second Quarter of 2018 compared to the Second Quarter of 2017.</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average interest-bearing liabilities for the Second Quarter of 2018 decreased $14,628,000, or 3.8%, compared to the Second Quarter of 2017 for a variety of reasons, including some customers that shifted excess balances to higher yielding investments. Average accounts and drafts payable increased $11,189,000, or 1.6% in the Second Quarter of 2018 compared to the Second Quarter of 2017.</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Second Quarter of 2018 tax-equivalized net interest income increased $31,000, or 0.3%, compared to the same period in the prior year as a result of the increase in average earning assets and the improving rate environment. However, the lower tax-equivalent adjustment as a result of the federal tax rate decrease in 2018 from the enactment of TCJA in December 2017 negatively impacted the comparison to the Second Quarter of 2017. The federal tax rate decrease also negatively impacted net interest margin and yield on earning assets for the Second Quarter of 2018 compared to the Second Quarter of 2017, but was helped by the improving rate environment.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to the interest rate environment also led to an increase in the rate on interest-bearing liabilities in the Second Quarter of 2018 compared to the Second Quarter of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2018 compared to First Half of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2018 average earning assets increased $54,915,000, or 4.1%, compared to the same period in the prior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ind w:right="20"/>
        <w:spacing w:after="0" w:line="332" w:lineRule="auto"/>
        <w:rPr>
          <w:sz w:val="20"/>
          <w:szCs w:val="20"/>
          <w:color w:val="auto"/>
        </w:rPr>
      </w:pPr>
      <w:r>
        <w:rPr>
          <w:rFonts w:ascii="Arial" w:cs="Arial" w:eastAsia="Arial" w:hAnsi="Arial"/>
          <w:sz w:val="16"/>
          <w:szCs w:val="16"/>
          <w:color w:val="auto"/>
        </w:rPr>
        <w:t>Average investment securities increased $42,183,000, or 10.2%, and loans increased $36,886,000, or 5.6%. These were partially offset by a decrease in average federal funds sold and other short-term investments of $20,631,000, or 14.3%, for the First Half of 2018 as compared to the First Half of 2017.</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Average accounts and drafts payable balances for the First Half of 2018 increased $41,693,000, or 6.1%, and non-interest bearing liabilities increased $38,813,000, or 19.1%, as compared to the First Half of 2017. These were partially offset by a decrease in average total interest bearing deposits of $12,669,000, or 3.3%. This decrease is because of a variety of reasons, including some customers that shifted excess balances to higher yielding investments.</w:t>
      </w:r>
    </w:p>
    <w:p>
      <w:pPr>
        <w:spacing w:after="0" w:line="16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First Half of 2018 tax-equivalized net interest income increased $388,000, or 1.7%, compared to the same period in the prior year as a result of the increase in average earning assets and the improving rate environment. However, the lower tax-equivalent adjustment as a result of the federal tax rate decrease in 2018 from the enactment of TCJA in December 2017 negatively impacted the Comparison to the First Half of 2017. The federal tax rate decrease also negatively impacted net interest margin and yield on earning assets for the First Half of 2018 compared to the First Half of 2017, but was helped by the improving rate environment.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the interest rate environment increased for the same reasons as the Second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 2018</w:t>
            </w:r>
          </w:p>
        </w:tc>
        <w:tc>
          <w:tcPr>
            <w:tcW w:w="6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 2017</w:t>
            </w:r>
          </w:p>
        </w:tc>
        <w:tc>
          <w:tcPr>
            <w:tcW w:w="580" w:type="dxa"/>
            <w:vAlign w:val="bottom"/>
            <w:tcBorders>
              <w:bottom w:val="single" w:sz="8" w:color="auto"/>
            </w:tcBorders>
          </w:tcPr>
          <w:p>
            <w:pPr>
              <w:spacing w:after="0"/>
              <w:rPr>
                <w:sz w:val="21"/>
                <w:szCs w:val="21"/>
                <w:color w:val="auto"/>
              </w:rPr>
            </w:pPr>
          </w:p>
        </w:tc>
      </w:tr>
      <w:tr>
        <w:trPr>
          <w:trHeight w:val="228"/>
        </w:trPr>
        <w:tc>
          <w:tcPr>
            <w:tcW w:w="4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Interest</w:t>
            </w:r>
          </w:p>
        </w:tc>
        <w:tc>
          <w:tcPr>
            <w:tcW w:w="580" w:type="dxa"/>
            <w:vAlign w:val="bottom"/>
          </w:tcPr>
          <w:p>
            <w:pPr>
              <w:spacing w:after="0"/>
              <w:rPr>
                <w:sz w:val="19"/>
                <w:szCs w:val="19"/>
                <w:color w:val="auto"/>
              </w:rPr>
            </w:pPr>
          </w:p>
        </w:tc>
      </w:tr>
      <w:tr>
        <w:trPr>
          <w:trHeight w:val="242"/>
        </w:trPr>
        <w:tc>
          <w:tcPr>
            <w:tcW w:w="4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Average</w:t>
            </w:r>
          </w:p>
        </w:tc>
        <w:tc>
          <w:tcPr>
            <w:tcW w:w="24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Yield/</w:t>
            </w:r>
          </w:p>
        </w:tc>
        <w:tc>
          <w:tcPr>
            <w:tcW w:w="180" w:type="dxa"/>
            <w:vAlign w:val="bottom"/>
          </w:tcPr>
          <w:p>
            <w:pPr>
              <w:spacing w:after="0"/>
              <w:rPr>
                <w:sz w:val="21"/>
                <w:szCs w:val="21"/>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Average</w:t>
            </w: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w:t>
            </w: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w w:val="91"/>
              </w:rPr>
              <w:t>Yield/</w:t>
            </w:r>
          </w:p>
        </w:tc>
      </w:tr>
      <w:tr>
        <w:trPr>
          <w:trHeight w:val="26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6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9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7"/>
              </w:rPr>
              <w:t>Rate</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5"/>
              </w:rPr>
              <w:t>Balance</w:t>
            </w: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Expense</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Rate</w:t>
            </w:r>
          </w:p>
        </w:tc>
      </w:tr>
      <w:tr>
        <w:trPr>
          <w:trHeight w:val="311"/>
        </w:trPr>
        <w:tc>
          <w:tcPr>
            <w:tcW w:w="442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60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Earning assets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18"/>
        </w:trPr>
        <w:tc>
          <w:tcPr>
            <w:tcW w:w="442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2,3</w:t>
            </w:r>
            <w:r>
              <w:rPr>
                <w:rFonts w:ascii="Arial" w:cs="Arial" w:eastAsia="Arial" w:hAnsi="Arial"/>
                <w:sz w:val="18"/>
                <w:szCs w:val="18"/>
                <w:color w:val="auto"/>
              </w:rPr>
              <w:t>:</w:t>
            </w:r>
          </w:p>
        </w:tc>
        <w:tc>
          <w:tcPr>
            <w:tcW w:w="60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Taxable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706,160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7,906</w:t>
            </w:r>
          </w:p>
        </w:tc>
        <w:tc>
          <w:tcPr>
            <w:tcW w:w="64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662,763</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7,071</w:t>
            </w:r>
          </w:p>
        </w:tc>
        <w:tc>
          <w:tcPr>
            <w:tcW w:w="58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318"/>
        </w:trPr>
        <w:tc>
          <w:tcPr>
            <w:tcW w:w="442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60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0C0C0"/>
          </w:tcPr>
          <w:p>
            <w:pPr>
              <w:spacing w:after="0"/>
              <w:rPr>
                <w:sz w:val="24"/>
                <w:szCs w:val="24"/>
                <w:color w:val="auto"/>
              </w:rPr>
            </w:pPr>
          </w:p>
        </w:tc>
        <w:tc>
          <w:tcPr>
            <w:tcW w:w="10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5,277</w:t>
            </w:r>
          </w:p>
        </w:tc>
        <w:tc>
          <w:tcPr>
            <w:tcW w:w="280" w:type="dxa"/>
            <w:vAlign w:val="bottom"/>
            <w:shd w:val="clear" w:color="auto" w:fill="C0C0C0"/>
          </w:tcPr>
          <w:p>
            <w:pPr>
              <w:spacing w:after="0"/>
              <w:rPr>
                <w:sz w:val="24"/>
                <w:szCs w:val="24"/>
                <w:color w:val="auto"/>
              </w:rPr>
            </w:pPr>
          </w:p>
        </w:tc>
        <w:tc>
          <w:tcPr>
            <w:tcW w:w="8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4.03</w:t>
            </w:r>
          </w:p>
        </w:tc>
      </w:tr>
      <w:tr>
        <w:trPr>
          <w:trHeight w:val="311"/>
        </w:trPr>
        <w:tc>
          <w:tcPr>
            <w:tcW w:w="442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80,289</w:t>
            </w:r>
          </w:p>
        </w:tc>
        <w:tc>
          <w:tcPr>
            <w:tcW w:w="2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462</w:t>
            </w: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13,819</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72</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2.09</w:t>
            </w:r>
          </w:p>
        </w:tc>
      </w:tr>
      <w:tr>
        <w:trPr>
          <w:trHeight w:val="311"/>
        </w:trPr>
        <w:tc>
          <w:tcPr>
            <w:tcW w:w="442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369,840</w:t>
            </w:r>
          </w:p>
        </w:tc>
        <w:tc>
          <w:tcPr>
            <w:tcW w:w="240" w:type="dxa"/>
            <w:vAlign w:val="bottom"/>
          </w:tcPr>
          <w:p>
            <w:pPr>
              <w:spacing w:after="0"/>
              <w:rPr>
                <w:sz w:val="24"/>
                <w:szCs w:val="24"/>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2,952</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405,489</w:t>
            </w:r>
          </w:p>
        </w:tc>
        <w:tc>
          <w:tcPr>
            <w:tcW w:w="28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4,090</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4.05</w:t>
            </w: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7,188</w:t>
            </w:r>
          </w:p>
        </w:tc>
        <w:tc>
          <w:tcPr>
            <w:tcW w:w="2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6,139</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.78</w:t>
            </w: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79,832</w:t>
            </w:r>
          </w:p>
        </w:tc>
        <w:tc>
          <w:tcPr>
            <w:tcW w:w="240" w:type="dxa"/>
            <w:vAlign w:val="bottom"/>
          </w:tcPr>
          <w:p>
            <w:pPr>
              <w:spacing w:after="0"/>
              <w:rPr>
                <w:sz w:val="20"/>
                <w:szCs w:val="20"/>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346</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87,510</w:t>
            </w:r>
          </w:p>
        </w:tc>
        <w:tc>
          <w:tcPr>
            <w:tcW w:w="28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205</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.94</w:t>
            </w:r>
          </w:p>
        </w:tc>
      </w:tr>
      <w:tr>
        <w:trPr>
          <w:trHeight w:val="244"/>
        </w:trPr>
        <w:tc>
          <w:tcPr>
            <w:tcW w:w="4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60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102,870</w:t>
            </w:r>
          </w:p>
        </w:tc>
        <w:tc>
          <w:tcPr>
            <w:tcW w:w="2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423</w:t>
            </w:r>
          </w:p>
        </w:tc>
        <w:tc>
          <w:tcPr>
            <w:tcW w:w="6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1.65</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151,832</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279</w:t>
            </w: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.74</w:t>
            </w: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Total earning assets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1,348,188</w:t>
            </w:r>
          </w:p>
        </w:tc>
        <w:tc>
          <w:tcPr>
            <w:tcW w:w="240" w:type="dxa"/>
            <w:vAlign w:val="bottom"/>
          </w:tcPr>
          <w:p>
            <w:pPr>
              <w:spacing w:after="0"/>
              <w:rPr>
                <w:sz w:val="20"/>
                <w:szCs w:val="20"/>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12,137</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1,332,829</w:t>
            </w:r>
          </w:p>
        </w:tc>
        <w:tc>
          <w:tcPr>
            <w:tcW w:w="28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w w:val="90"/>
              </w:rPr>
              <w:t>11,782</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3.55</w:t>
            </w:r>
          </w:p>
        </w:tc>
      </w:tr>
      <w:tr>
        <w:trPr>
          <w:trHeight w:val="251"/>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12,769</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12,443</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22,578</w:t>
            </w:r>
          </w:p>
        </w:tc>
        <w:tc>
          <w:tcPr>
            <w:tcW w:w="2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21,257</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17,085</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16,615</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14,410</w:t>
            </w:r>
          </w:p>
        </w:tc>
        <w:tc>
          <w:tcPr>
            <w:tcW w:w="2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14,518</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176,425</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145,173</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4"/>
        </w:trPr>
        <w:tc>
          <w:tcPr>
            <w:tcW w:w="44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60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(10,213)</w:t>
            </w:r>
          </w:p>
        </w:tc>
        <w:tc>
          <w:tcPr>
            <w:tcW w:w="2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(10,193)</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r>
      <w:tr>
        <w:trPr>
          <w:trHeight w:val="237"/>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1,581,242</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1,532,642</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311"/>
        </w:trPr>
        <w:tc>
          <w:tcPr>
            <w:tcW w:w="442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60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580" w:type="dxa"/>
            <w:vAlign w:val="bottom"/>
            <w:shd w:val="clear" w:color="auto" w:fill="C0C0C0"/>
          </w:tcPr>
          <w:p>
            <w:pPr>
              <w:spacing w:after="0"/>
              <w:rPr>
                <w:sz w:val="24"/>
                <w:szCs w:val="24"/>
                <w:color w:val="auto"/>
              </w:rPr>
            </w:pP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7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301,190</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610</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311,782</w:t>
            </w:r>
          </w:p>
        </w:tc>
        <w:tc>
          <w:tcPr>
            <w:tcW w:w="280" w:type="dxa"/>
            <w:vAlign w:val="bottom"/>
            <w:shd w:val="clear" w:color="auto" w:fill="C0C0C0"/>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331</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w:t>
            </w: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12,250</w:t>
            </w:r>
          </w:p>
        </w:tc>
        <w:tc>
          <w:tcPr>
            <w:tcW w:w="240" w:type="dxa"/>
            <w:vAlign w:val="bottom"/>
          </w:tcPr>
          <w:p>
            <w:pPr>
              <w:spacing w:after="0"/>
              <w:rPr>
                <w:sz w:val="20"/>
                <w:szCs w:val="20"/>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27</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13,271</w:t>
            </w:r>
          </w:p>
        </w:tc>
        <w:tc>
          <w:tcPr>
            <w:tcW w:w="28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15</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.45</w:t>
            </w: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23,171</w:t>
            </w:r>
          </w:p>
        </w:tc>
        <w:tc>
          <w:tcPr>
            <w:tcW w:w="2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86</w:t>
            </w: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23,508</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66</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1.13</w:t>
            </w:r>
          </w:p>
        </w:tc>
      </w:tr>
      <w:tr>
        <w:trPr>
          <w:trHeight w:val="237"/>
        </w:trPr>
        <w:tc>
          <w:tcPr>
            <w:tcW w:w="4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28,958</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71</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31,636</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w:t>
            </w: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deposits</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365,569</w:t>
            </w:r>
          </w:p>
        </w:tc>
        <w:tc>
          <w:tcPr>
            <w:tcW w:w="2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794</w:t>
            </w: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380,197</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470</w:t>
            </w: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w:t>
            </w: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44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236,708</w:t>
            </w:r>
          </w:p>
        </w:tc>
        <w:tc>
          <w:tcPr>
            <w:tcW w:w="2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199,508</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35"/>
        </w:trPr>
        <w:tc>
          <w:tcPr>
            <w:tcW w:w="442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714,277</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703,088</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4"/>
        </w:trPr>
        <w:tc>
          <w:tcPr>
            <w:tcW w:w="44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44,203</w:t>
            </w:r>
          </w:p>
        </w:tc>
        <w:tc>
          <w:tcPr>
            <w:tcW w:w="2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34,466</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Total liabilities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1,360,757</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1,317,259</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4"/>
        </w:trPr>
        <w:tc>
          <w:tcPr>
            <w:tcW w:w="4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60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220,485</w:t>
            </w:r>
          </w:p>
        </w:tc>
        <w:tc>
          <w:tcPr>
            <w:tcW w:w="2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215,383</w:t>
            </w: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spacing w:after="0"/>
              <w:rPr>
                <w:sz w:val="21"/>
                <w:szCs w:val="21"/>
                <w:color w:val="auto"/>
              </w:rPr>
            </w:pPr>
          </w:p>
        </w:tc>
      </w:tr>
      <w:tr>
        <w:trPr>
          <w:trHeight w:val="237"/>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1,581,242</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1,532,642</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6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11,343</w:t>
            </w: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w w:val="90"/>
              </w:rPr>
              <w:t>11,312</w:t>
            </w:r>
          </w:p>
        </w:tc>
        <w:tc>
          <w:tcPr>
            <w:tcW w:w="580" w:type="dxa"/>
            <w:vAlign w:val="bottom"/>
            <w:shd w:val="clear" w:color="auto" w:fill="C0C0C0"/>
          </w:tcPr>
          <w:p>
            <w:pPr>
              <w:spacing w:after="0"/>
              <w:rPr>
                <w:sz w:val="21"/>
                <w:szCs w:val="21"/>
                <w:color w:val="auto"/>
              </w:rPr>
            </w:pP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Net interest margin</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44"/>
        </w:trPr>
        <w:tc>
          <w:tcPr>
            <w:tcW w:w="44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60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3.05</w:t>
            </w:r>
          </w:p>
        </w:tc>
      </w:tr>
    </w:tbl>
    <w:p>
      <w:pPr>
        <w:ind w:left="380" w:hanging="372"/>
        <w:spacing w:after="0" w:line="223"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380" w:hanging="372"/>
        <w:spacing w:after="0" w:line="22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2017 consolidated financial statements, filed with the Company’s 2017 Annual Report on Form 10-K.</w:t>
      </w:r>
    </w:p>
    <w:p>
      <w:pPr>
        <w:ind w:left="380" w:hanging="372"/>
        <w:spacing w:after="0" w:line="22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$81,000 and $91,000 for the Second Quarter of 2018 and 2017, respectively.</w:t>
      </w:r>
    </w:p>
    <w:p>
      <w:pPr>
        <w:ind w:left="380" w:hanging="372"/>
        <w:spacing w:after="0" w:line="22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2018 figures assume a tax rate of 21% and 2017 figures assume a tax rate of 35%. The tax-equivalent adjustment was approximately $624,000 and $1,450,000 for the Second Quarter of 2018 and 2017, respectively. The TCJA reduced the yield/rate by approximately 60 basis points in 2018.</w:t>
      </w: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7"/>
        </w:trPr>
        <w:tc>
          <w:tcPr>
            <w:tcW w:w="4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rPr>
              <w:t>First Half of 2018</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First Half of 2017</w:t>
            </w:r>
          </w:p>
        </w:tc>
        <w:tc>
          <w:tcPr>
            <w:tcW w:w="720" w:type="dxa"/>
            <w:vAlign w:val="bottom"/>
            <w:tcBorders>
              <w:bottom w:val="single" w:sz="8" w:color="auto"/>
            </w:tcBorders>
          </w:tcPr>
          <w:p>
            <w:pPr>
              <w:spacing w:after="0"/>
              <w:rPr>
                <w:sz w:val="20"/>
                <w:szCs w:val="20"/>
                <w:color w:val="auto"/>
              </w:rPr>
            </w:pPr>
          </w:p>
        </w:tc>
      </w:tr>
      <w:tr>
        <w:trPr>
          <w:trHeight w:val="228"/>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Interest</w:t>
            </w:r>
          </w:p>
        </w:tc>
        <w:tc>
          <w:tcPr>
            <w:tcW w:w="720" w:type="dxa"/>
            <w:vAlign w:val="bottom"/>
          </w:tcPr>
          <w:p>
            <w:pPr>
              <w:spacing w:after="0"/>
              <w:rPr>
                <w:sz w:val="19"/>
                <w:szCs w:val="19"/>
                <w:color w:val="auto"/>
              </w:rPr>
            </w:pPr>
          </w:p>
        </w:tc>
      </w:tr>
      <w:tr>
        <w:trPr>
          <w:trHeight w:val="242"/>
        </w:trPr>
        <w:tc>
          <w:tcPr>
            <w:tcW w:w="4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b w:val="1"/>
                <w:bCs w:val="1"/>
                <w:color w:val="auto"/>
                <w:w w:val="95"/>
              </w:rPr>
              <w:t>Average</w:t>
            </w: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Income/</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Yield/</w:t>
            </w:r>
          </w:p>
        </w:tc>
        <w:tc>
          <w:tcPr>
            <w:tcW w:w="180" w:type="dxa"/>
            <w:vAlign w:val="bottom"/>
          </w:tcPr>
          <w:p>
            <w:pPr>
              <w:spacing w:after="0"/>
              <w:rPr>
                <w:sz w:val="21"/>
                <w:szCs w:val="21"/>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b w:val="1"/>
                <w:bCs w:val="1"/>
                <w:color w:val="auto"/>
                <w:w w:val="95"/>
              </w:rPr>
              <w:t>Average</w:t>
            </w: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w:t>
            </w: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Yield/</w:t>
            </w:r>
          </w:p>
        </w:tc>
      </w:tr>
      <w:tr>
        <w:trPr>
          <w:trHeight w:val="266"/>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8"/>
              </w:rPr>
              <w:t>Balance</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Expense</w:t>
            </w: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7"/>
              </w:rPr>
              <w:t>Rate</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8"/>
              </w:rPr>
              <w:t>Balance</w:t>
            </w: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Expense</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Rate</w:t>
            </w:r>
          </w:p>
        </w:tc>
      </w:tr>
      <w:tr>
        <w:trPr>
          <w:trHeight w:val="311"/>
        </w:trPr>
        <w:tc>
          <w:tcPr>
            <w:tcW w:w="492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18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2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Earning 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8"/>
        </w:trPr>
        <w:tc>
          <w:tcPr>
            <w:tcW w:w="492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2,3</w:t>
            </w:r>
            <w:r>
              <w:rPr>
                <w:rFonts w:ascii="Arial" w:cs="Arial" w:eastAsia="Arial" w:hAnsi="Arial"/>
                <w:sz w:val="18"/>
                <w:szCs w:val="18"/>
                <w:color w:val="auto"/>
              </w:rPr>
              <w:t>:</w:t>
            </w:r>
          </w:p>
        </w:tc>
        <w:tc>
          <w:tcPr>
            <w:tcW w:w="18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2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r>
      <w:tr>
        <w:trPr>
          <w:trHeight w:val="235"/>
        </w:trPr>
        <w:tc>
          <w:tcPr>
            <w:tcW w:w="4920" w:type="dxa"/>
            <w:vAlign w:val="bottom"/>
          </w:tcPr>
          <w:p>
            <w:pPr>
              <w:ind w:left="280"/>
              <w:spacing w:after="0"/>
              <w:rPr>
                <w:sz w:val="20"/>
                <w:szCs w:val="20"/>
                <w:color w:val="auto"/>
              </w:rPr>
            </w:pPr>
            <w:r>
              <w:rPr>
                <w:rFonts w:ascii="Arial" w:cs="Arial" w:eastAsia="Arial" w:hAnsi="Arial"/>
                <w:sz w:val="18"/>
                <w:szCs w:val="18"/>
                <w:color w:val="auto"/>
              </w:rPr>
              <w:t>Taxable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696,768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15,430</w:t>
            </w: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656,615</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w w:val="90"/>
              </w:rPr>
              <w:t>13,986</w:t>
            </w: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318"/>
        </w:trPr>
        <w:tc>
          <w:tcPr>
            <w:tcW w:w="492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80" w:type="dxa"/>
            <w:vAlign w:val="bottom"/>
            <w:shd w:val="clear" w:color="auto" w:fill="C0C0C0"/>
          </w:tcPr>
          <w:p>
            <w:pPr>
              <w:spacing w:after="0"/>
              <w:rPr>
                <w:sz w:val="24"/>
                <w:szCs w:val="24"/>
                <w:color w:val="auto"/>
              </w:rPr>
            </w:pP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2,417</w:t>
            </w:r>
          </w:p>
        </w:tc>
        <w:tc>
          <w:tcPr>
            <w:tcW w:w="240" w:type="dxa"/>
            <w:vAlign w:val="bottom"/>
            <w:shd w:val="clear" w:color="auto" w:fill="C0C0C0"/>
          </w:tcPr>
          <w:p>
            <w:pPr>
              <w:spacing w:after="0"/>
              <w:rPr>
                <w:sz w:val="24"/>
                <w:szCs w:val="24"/>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45</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5,684</w:t>
            </w:r>
          </w:p>
        </w:tc>
        <w:tc>
          <w:tcPr>
            <w:tcW w:w="260" w:type="dxa"/>
            <w:vAlign w:val="bottom"/>
            <w:shd w:val="clear" w:color="auto" w:fill="C0C0C0"/>
          </w:tcPr>
          <w:p>
            <w:pPr>
              <w:spacing w:after="0"/>
              <w:rPr>
                <w:sz w:val="24"/>
                <w:szCs w:val="24"/>
                <w:color w:val="auto"/>
              </w:rPr>
            </w:pP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111</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3.94</w:t>
            </w:r>
          </w:p>
        </w:tc>
      </w:tr>
      <w:tr>
        <w:trPr>
          <w:trHeight w:val="311"/>
        </w:trPr>
        <w:tc>
          <w:tcPr>
            <w:tcW w:w="492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49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67,465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756</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13,975</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138</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1.99</w:t>
            </w:r>
          </w:p>
        </w:tc>
      </w:tr>
      <w:tr>
        <w:trPr>
          <w:trHeight w:val="311"/>
        </w:trPr>
        <w:tc>
          <w:tcPr>
            <w:tcW w:w="492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388,448</w:t>
            </w:r>
          </w:p>
        </w:tc>
        <w:tc>
          <w:tcPr>
            <w:tcW w:w="240" w:type="dxa"/>
            <w:vAlign w:val="bottom"/>
          </w:tcPr>
          <w:p>
            <w:pPr>
              <w:spacing w:after="0"/>
              <w:rPr>
                <w:sz w:val="24"/>
                <w:szCs w:val="24"/>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6,199</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399,755</w:t>
            </w:r>
          </w:p>
        </w:tc>
        <w:tc>
          <w:tcPr>
            <w:tcW w:w="260" w:type="dxa"/>
            <w:vAlign w:val="bottom"/>
          </w:tcPr>
          <w:p>
            <w:pPr>
              <w:spacing w:after="0"/>
              <w:rPr>
                <w:sz w:val="24"/>
                <w:szCs w:val="24"/>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8,092</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4.08</w:t>
            </w: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7,351</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54</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6,504</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23</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.71</w:t>
            </w: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8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93,312</w:t>
            </w:r>
          </w:p>
        </w:tc>
        <w:tc>
          <w:tcPr>
            <w:tcW w:w="24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745</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97,682</w:t>
            </w:r>
          </w:p>
        </w:tc>
        <w:tc>
          <w:tcPr>
            <w:tcW w:w="26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403</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.83</w:t>
            </w:r>
          </w:p>
        </w:tc>
      </w:tr>
      <w:tr>
        <w:trPr>
          <w:trHeight w:val="244"/>
        </w:trPr>
        <w:tc>
          <w:tcPr>
            <w:tcW w:w="49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1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123,632</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884</w:t>
            </w:r>
          </w:p>
        </w:tc>
        <w:tc>
          <w:tcPr>
            <w:tcW w:w="7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144,263</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449</w:t>
            </w:r>
          </w:p>
        </w:tc>
        <w:tc>
          <w:tcPr>
            <w:tcW w:w="7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.63</w:t>
            </w: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Total earning assets</w:t>
            </w:r>
          </w:p>
        </w:tc>
        <w:tc>
          <w:tcPr>
            <w:tcW w:w="18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1,379,393</w:t>
            </w:r>
          </w:p>
        </w:tc>
        <w:tc>
          <w:tcPr>
            <w:tcW w:w="24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24,113</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1,324,478</w:t>
            </w:r>
          </w:p>
        </w:tc>
        <w:tc>
          <w:tcPr>
            <w:tcW w:w="26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w w:val="90"/>
              </w:rPr>
              <w:t>23,202</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3.53</w:t>
            </w:r>
          </w:p>
        </w:tc>
      </w:tr>
      <w:tr>
        <w:trPr>
          <w:trHeight w:val="251"/>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492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13,510</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12,741</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1"/>
        </w:trPr>
        <w:tc>
          <w:tcPr>
            <w:tcW w:w="49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22,190</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21,210</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492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17,027</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16,553</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1"/>
        </w:trPr>
        <w:tc>
          <w:tcPr>
            <w:tcW w:w="49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14,465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14,239</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49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169,394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141,453</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4"/>
        </w:trPr>
        <w:tc>
          <w:tcPr>
            <w:tcW w:w="49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1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(10,211)</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(10,186)</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spacing w:after="0"/>
              <w:rPr>
                <w:sz w:val="21"/>
                <w:szCs w:val="21"/>
                <w:color w:val="auto"/>
              </w:rPr>
            </w:pPr>
          </w:p>
        </w:tc>
      </w:tr>
      <w:tr>
        <w:trPr>
          <w:trHeight w:val="2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1,605,768</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1,520,488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311"/>
        </w:trPr>
        <w:tc>
          <w:tcPr>
            <w:tcW w:w="492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18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2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10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800" w:type="dxa"/>
            <w:vAlign w:val="bottom"/>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1"/>
        </w:trPr>
        <w:tc>
          <w:tcPr>
            <w:tcW w:w="49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310,044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1,130</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311,480</w:t>
            </w:r>
          </w:p>
        </w:tc>
        <w:tc>
          <w:tcPr>
            <w:tcW w:w="260" w:type="dxa"/>
            <w:vAlign w:val="bottom"/>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657</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w:t>
            </w:r>
          </w:p>
        </w:tc>
      </w:tr>
      <w:tr>
        <w:trPr>
          <w:trHeight w:val="235"/>
        </w:trPr>
        <w:tc>
          <w:tcPr>
            <w:tcW w:w="492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11,281</w:t>
            </w:r>
          </w:p>
        </w:tc>
        <w:tc>
          <w:tcPr>
            <w:tcW w:w="24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46</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19,302</w:t>
            </w:r>
          </w:p>
        </w:tc>
        <w:tc>
          <w:tcPr>
            <w:tcW w:w="26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45</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.47</w:t>
            </w:r>
          </w:p>
        </w:tc>
      </w:tr>
      <w:tr>
        <w:trPr>
          <w:trHeight w:val="251"/>
        </w:trPr>
        <w:tc>
          <w:tcPr>
            <w:tcW w:w="49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23,278</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161</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23,112</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127</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1.11</w:t>
            </w:r>
          </w:p>
        </w:tc>
      </w:tr>
      <w:tr>
        <w:trPr>
          <w:trHeight w:val="237"/>
        </w:trPr>
        <w:tc>
          <w:tcPr>
            <w:tcW w:w="49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29,100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136</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32,478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121</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w:t>
            </w: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deposits</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373,703</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1,473</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386,372</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950</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.50</w:t>
            </w: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1"/>
        </w:trPr>
        <w:tc>
          <w:tcPr>
            <w:tcW w:w="49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242,264</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203,451</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492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18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727,622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685,929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4"/>
        </w:trPr>
        <w:tc>
          <w:tcPr>
            <w:tcW w:w="49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42,093</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33,550</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spacing w:after="0"/>
              <w:rPr>
                <w:sz w:val="21"/>
                <w:szCs w:val="2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1,385,682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1,309,302</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4"/>
        </w:trPr>
        <w:tc>
          <w:tcPr>
            <w:tcW w:w="49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220,086</w:t>
            </w:r>
          </w:p>
        </w:tc>
        <w:tc>
          <w:tcPr>
            <w:tcW w:w="24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211,186</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spacing w:after="0"/>
              <w:rPr>
                <w:sz w:val="21"/>
                <w:szCs w:val="21"/>
                <w:color w:val="auto"/>
              </w:rPr>
            </w:pPr>
          </w:p>
        </w:tc>
      </w:tr>
      <w:tr>
        <w:trPr>
          <w:trHeight w:val="2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1,605,768</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1,520,488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22,640</w:t>
            </w: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60" w:type="dxa"/>
            <w:vAlign w:val="bottom"/>
            <w:shd w:val="clear" w:color="auto" w:fill="C0C0C0"/>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90"/>
              </w:rPr>
              <w:t>22,252</w:t>
            </w:r>
          </w:p>
        </w:tc>
        <w:tc>
          <w:tcPr>
            <w:tcW w:w="720" w:type="dxa"/>
            <w:vAlign w:val="bottom"/>
            <w:shd w:val="clear" w:color="auto" w:fill="C0C0C0"/>
          </w:tcPr>
          <w:p>
            <w:pPr>
              <w:spacing w:after="0"/>
              <w:rPr>
                <w:sz w:val="21"/>
                <w:szCs w:val="2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58"/>
        </w:trPr>
        <w:tc>
          <w:tcPr>
            <w:tcW w:w="49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180" w:type="dxa"/>
            <w:vAlign w:val="bottom"/>
            <w:tcBorders>
              <w:bottom w:val="single" w:sz="8" w:color="auto"/>
            </w:tcBorders>
            <w:shd w:val="clear" w:color="auto" w:fill="C0C0C0"/>
          </w:tcPr>
          <w:p>
            <w:pPr>
              <w:spacing w:after="0"/>
              <w:rPr>
                <w:sz w:val="22"/>
                <w:szCs w:val="22"/>
                <w:color w:val="auto"/>
              </w:rPr>
            </w:pPr>
          </w:p>
        </w:tc>
        <w:tc>
          <w:tcPr>
            <w:tcW w:w="1080" w:type="dxa"/>
            <w:vAlign w:val="bottom"/>
            <w:tcBorders>
              <w:bottom w:val="single" w:sz="8" w:color="auto"/>
            </w:tcBorders>
            <w:shd w:val="clear" w:color="auto" w:fill="C0C0C0"/>
          </w:tcPr>
          <w:p>
            <w:pPr>
              <w:spacing w:after="0"/>
              <w:rPr>
                <w:sz w:val="22"/>
                <w:szCs w:val="22"/>
                <w:color w:val="auto"/>
              </w:rPr>
            </w:pPr>
          </w:p>
        </w:tc>
        <w:tc>
          <w:tcPr>
            <w:tcW w:w="240" w:type="dxa"/>
            <w:vAlign w:val="bottom"/>
            <w:tcBorders>
              <w:bottom w:val="single" w:sz="8" w:color="auto"/>
            </w:tcBorders>
            <w:shd w:val="clear" w:color="auto" w:fill="C0C0C0"/>
          </w:tcPr>
          <w:p>
            <w:pPr>
              <w:spacing w:after="0"/>
              <w:rPr>
                <w:sz w:val="22"/>
                <w:szCs w:val="22"/>
                <w:color w:val="auto"/>
              </w:rPr>
            </w:pPr>
          </w:p>
        </w:tc>
        <w:tc>
          <w:tcPr>
            <w:tcW w:w="920" w:type="dxa"/>
            <w:vAlign w:val="bottom"/>
            <w:tcBorders>
              <w:bottom w:val="single" w:sz="8" w:color="auto"/>
            </w:tcBorders>
            <w:shd w:val="clear" w:color="auto" w:fill="C0C0C0"/>
          </w:tcPr>
          <w:p>
            <w:pPr>
              <w:spacing w:after="0"/>
              <w:rPr>
                <w:sz w:val="22"/>
                <w:szCs w:val="22"/>
                <w:color w:val="auto"/>
              </w:rPr>
            </w:pPr>
          </w:p>
        </w:tc>
        <w:tc>
          <w:tcPr>
            <w:tcW w:w="7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auto"/>
            </w:tcBorders>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1100" w:type="dxa"/>
            <w:vAlign w:val="bottom"/>
            <w:tcBorders>
              <w:bottom w:val="single" w:sz="8" w:color="auto"/>
            </w:tcBorders>
            <w:shd w:val="clear" w:color="auto" w:fill="C0C0C0"/>
          </w:tcPr>
          <w:p>
            <w:pPr>
              <w:spacing w:after="0"/>
              <w:rPr>
                <w:sz w:val="22"/>
                <w:szCs w:val="22"/>
                <w:color w:val="auto"/>
              </w:rPr>
            </w:pPr>
          </w:p>
        </w:tc>
        <w:tc>
          <w:tcPr>
            <w:tcW w:w="260" w:type="dxa"/>
            <w:vAlign w:val="bottom"/>
            <w:tcBorders>
              <w:bottom w:val="single" w:sz="8" w:color="auto"/>
            </w:tcBorders>
            <w:shd w:val="clear" w:color="auto" w:fill="C0C0C0"/>
          </w:tcPr>
          <w:p>
            <w:pPr>
              <w:spacing w:after="0"/>
              <w:rPr>
                <w:sz w:val="22"/>
                <w:szCs w:val="22"/>
                <w:color w:val="auto"/>
              </w:rPr>
            </w:pPr>
          </w:p>
        </w:tc>
        <w:tc>
          <w:tcPr>
            <w:tcW w:w="800" w:type="dxa"/>
            <w:vAlign w:val="bottom"/>
            <w:tcBorders>
              <w:bottom w:val="single" w:sz="8" w:color="auto"/>
            </w:tcBorders>
            <w:shd w:val="clear" w:color="auto" w:fill="C0C0C0"/>
          </w:tcPr>
          <w:p>
            <w:pPr>
              <w:spacing w:after="0"/>
              <w:rPr>
                <w:sz w:val="22"/>
                <w:szCs w:val="22"/>
                <w:color w:val="auto"/>
              </w:rPr>
            </w:pPr>
          </w:p>
        </w:tc>
        <w:tc>
          <w:tcPr>
            <w:tcW w:w="7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3.03</w:t>
            </w:r>
          </w:p>
        </w:tc>
      </w:tr>
    </w:tbl>
    <w:p>
      <w:pPr>
        <w:ind w:left="380" w:hanging="372"/>
        <w:spacing w:after="0" w:line="223"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380" w:hanging="372"/>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2017 consolidated financial statements, filed with the Company’s 2017 Annual Report on Form 10-K.</w:t>
      </w:r>
    </w:p>
    <w:p>
      <w:pPr>
        <w:ind w:left="380" w:hanging="372"/>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$191,000 and $243,000 for the First Half of 2018 and 2017, respectively.</w:t>
      </w:r>
    </w:p>
    <w:p>
      <w:pPr>
        <w:ind w:left="380" w:hanging="372"/>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2018 figures assume a tax rate of 21% and 2017 figures assume a tax rate of 35%. The tax-equivalent adjustment was approximately $1,311,000 and $2,871,000 for the First Half of 2018 and 2017, respectively. The TCJA reduced the yield/rate by approximately 60 basis points in 2018.</w:t>
      </w: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1"/>
              </w:rPr>
              <w:t>Second Quarter of 2018 Over</w:t>
            </w:r>
          </w:p>
        </w:tc>
      </w:tr>
      <w:tr>
        <w:trPr>
          <w:trHeight w:val="266"/>
        </w:trPr>
        <w:tc>
          <w:tcPr>
            <w:tcW w:w="64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Second Quarter of 2017</w:t>
            </w:r>
          </w:p>
        </w:tc>
      </w:tr>
      <w:tr>
        <w:trPr>
          <w:trHeight w:val="250"/>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340" w:type="dxa"/>
            <w:vAlign w:val="bottom"/>
            <w:tcBorders>
              <w:bottom w:val="single" w:sz="8" w:color="auto"/>
            </w:tcBorders>
          </w:tcPr>
          <w:p>
            <w:pPr>
              <w:spacing w:after="0"/>
              <w:rPr>
                <w:sz w:val="21"/>
                <w:szCs w:val="21"/>
                <w:color w:val="auto"/>
              </w:rPr>
            </w:pPr>
          </w:p>
        </w:tc>
        <w:tc>
          <w:tcPr>
            <w:tcW w:w="780" w:type="dxa"/>
            <w:vAlign w:val="bottom"/>
            <w:tcBorders>
              <w:top w:val="single" w:sz="8" w:color="auto"/>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w w:val="89"/>
              </w:rPr>
              <w:t>Volume</w:t>
            </w:r>
          </w:p>
        </w:tc>
        <w:tc>
          <w:tcPr>
            <w:tcW w:w="2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7"/>
              </w:rPr>
              <w:t>Rate</w:t>
            </w:r>
          </w:p>
        </w:tc>
        <w:tc>
          <w:tcPr>
            <w:tcW w:w="3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21"/>
                <w:szCs w:val="21"/>
                <w:color w:val="auto"/>
              </w:rPr>
            </w:pPr>
          </w:p>
        </w:tc>
      </w:tr>
      <w:tr>
        <w:trPr>
          <w:trHeight w:val="243"/>
        </w:trPr>
        <w:tc>
          <w:tcPr>
            <w:tcW w:w="640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2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640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1,2</w:t>
            </w:r>
            <w:r>
              <w:rPr>
                <w:rFonts w:ascii="Arial" w:cs="Arial" w:eastAsia="Arial" w:hAnsi="Arial"/>
                <w:sz w:val="18"/>
                <w:szCs w:val="18"/>
                <w:color w:val="auto"/>
              </w:rPr>
              <w:t>:</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4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2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476</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21"/>
                <w:szCs w:val="21"/>
                <w:color w:val="auto"/>
              </w:rPr>
            </w:pPr>
          </w:p>
        </w:tc>
      </w:tr>
      <w:tr>
        <w:trPr>
          <w:trHeight w:val="311"/>
        </w:trPr>
        <w:tc>
          <w:tcPr>
            <w:tcW w:w="640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43"/>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2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400" w:type="dxa"/>
            <w:vAlign w:val="bottom"/>
          </w:tcPr>
          <w:p>
            <w:pPr>
              <w:ind w:left="540"/>
              <w:spacing w:after="0"/>
              <w:rPr>
                <w:sz w:val="20"/>
                <w:szCs w:val="20"/>
                <w:color w:val="auto"/>
              </w:rPr>
            </w:pPr>
            <w:r>
              <w:rPr>
                <w:rFonts w:ascii="Arial" w:cs="Arial" w:eastAsia="Arial" w:hAnsi="Arial"/>
                <w:sz w:val="18"/>
                <w:szCs w:val="18"/>
                <w:color w:val="auto"/>
              </w:rPr>
              <w:t>Taxable</w:t>
            </w: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318"/>
        </w:trPr>
        <w:tc>
          <w:tcPr>
            <w:tcW w:w="640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234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0C0C0"/>
          </w:tcPr>
          <w:p>
            <w:pPr>
              <w:spacing w:after="0"/>
              <w:rPr>
                <w:sz w:val="24"/>
                <w:szCs w:val="24"/>
                <w:color w:val="auto"/>
              </w:rPr>
            </w:pP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(801)</w:t>
            </w:r>
          </w:p>
        </w:tc>
        <w:tc>
          <w:tcPr>
            <w:tcW w:w="300" w:type="dxa"/>
            <w:vAlign w:val="bottom"/>
            <w:shd w:val="clear" w:color="auto" w:fill="C0C0C0"/>
          </w:tcPr>
          <w:p>
            <w:pPr>
              <w:spacing w:after="0"/>
              <w:rPr>
                <w:sz w:val="24"/>
                <w:szCs w:val="24"/>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24"/>
                <w:szCs w:val="24"/>
                <w:color w:val="auto"/>
              </w:rPr>
            </w:pPr>
          </w:p>
        </w:tc>
      </w:tr>
      <w:tr>
        <w:trPr>
          <w:trHeight w:val="235"/>
        </w:trPr>
        <w:tc>
          <w:tcPr>
            <w:tcW w:w="640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51"/>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2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37"/>
        </w:trPr>
        <w:tc>
          <w:tcPr>
            <w:tcW w:w="640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2340" w:type="dxa"/>
            <w:vAlign w:val="bottom"/>
            <w:tcBorders>
              <w:top w:val="single" w:sz="8" w:color="C0C0C0"/>
              <w:bottom w:val="single" w:sz="8" w:color="auto"/>
            </w:tcBorders>
            <w:shd w:val="clear" w:color="auto" w:fill="C0C0C0"/>
          </w:tcPr>
          <w:p>
            <w:pPr>
              <w:spacing w:after="0"/>
              <w:rPr>
                <w:sz w:val="20"/>
                <w:szCs w:val="20"/>
                <w:color w:val="auto"/>
              </w:rPr>
            </w:pPr>
          </w:p>
        </w:tc>
        <w:tc>
          <w:tcPr>
            <w:tcW w:w="160" w:type="dxa"/>
            <w:vAlign w:val="bottom"/>
            <w:tcBorders>
              <w:top w:val="single" w:sz="8" w:color="auto"/>
              <w:bottom w:val="single" w:sz="8" w:color="auto"/>
            </w:tcBorders>
            <w:shd w:val="clear" w:color="auto" w:fill="C0C0C0"/>
          </w:tcPr>
          <w:p>
            <w:pPr>
              <w:spacing w:after="0"/>
              <w:rPr>
                <w:sz w:val="20"/>
                <w:szCs w:val="20"/>
                <w:color w:val="auto"/>
              </w:rPr>
            </w:pPr>
          </w:p>
        </w:tc>
        <w:tc>
          <w:tcPr>
            <w:tcW w:w="62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357</w:t>
            </w: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6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20"/>
                <w:szCs w:val="20"/>
                <w:color w:val="auto"/>
              </w:rPr>
            </w:pPr>
          </w:p>
        </w:tc>
      </w:tr>
      <w:tr>
        <w:trPr>
          <w:trHeight w:val="235"/>
        </w:trPr>
        <w:tc>
          <w:tcPr>
            <w:tcW w:w="6400" w:type="dxa"/>
            <w:vAlign w:val="bottom"/>
          </w:tcPr>
          <w:p>
            <w:pPr>
              <w:spacing w:after="0"/>
              <w:rPr>
                <w:sz w:val="20"/>
                <w:szCs w:val="20"/>
                <w:color w:val="auto"/>
              </w:rPr>
            </w:pPr>
            <w:r>
              <w:rPr>
                <w:rFonts w:ascii="Arial" w:cs="Arial" w:eastAsia="Arial" w:hAnsi="Arial"/>
                <w:sz w:val="18"/>
                <w:szCs w:val="18"/>
                <w:color w:val="auto"/>
              </w:rPr>
              <w:t>Interest expense on:</w:t>
            </w: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2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1"/>
                <w:szCs w:val="21"/>
                <w:color w:val="auto"/>
              </w:rPr>
            </w:pPr>
          </w:p>
        </w:tc>
      </w:tr>
      <w:tr>
        <w:trPr>
          <w:trHeight w:val="235"/>
        </w:trPr>
        <w:tc>
          <w:tcPr>
            <w:tcW w:w="640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51"/>
        </w:trPr>
        <w:tc>
          <w:tcPr>
            <w:tcW w:w="6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&gt;=$100</w:t>
            </w:r>
          </w:p>
        </w:tc>
        <w:tc>
          <w:tcPr>
            <w:tcW w:w="2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Other time deposits</w:t>
            </w:r>
          </w:p>
        </w:tc>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37"/>
        </w:trPr>
        <w:tc>
          <w:tcPr>
            <w:tcW w:w="640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2340" w:type="dxa"/>
            <w:vAlign w:val="bottom"/>
            <w:tcBorders>
              <w:top w:val="single" w:sz="8" w:color="C0C0C0"/>
              <w:bottom w:val="single" w:sz="8" w:color="auto"/>
            </w:tcBorders>
            <w:shd w:val="clear" w:color="auto" w:fill="C0C0C0"/>
          </w:tcPr>
          <w:p>
            <w:pPr>
              <w:spacing w:after="0"/>
              <w:rPr>
                <w:sz w:val="20"/>
                <w:szCs w:val="20"/>
                <w:color w:val="auto"/>
              </w:rPr>
            </w:pPr>
          </w:p>
        </w:tc>
        <w:tc>
          <w:tcPr>
            <w:tcW w:w="160" w:type="dxa"/>
            <w:vAlign w:val="bottom"/>
            <w:tcBorders>
              <w:top w:val="single" w:sz="8" w:color="auto"/>
              <w:bottom w:val="single" w:sz="8" w:color="auto"/>
            </w:tcBorders>
            <w:shd w:val="clear" w:color="auto" w:fill="C0C0C0"/>
          </w:tcPr>
          <w:p>
            <w:pPr>
              <w:spacing w:after="0"/>
              <w:rPr>
                <w:sz w:val="20"/>
                <w:szCs w:val="20"/>
                <w:color w:val="auto"/>
              </w:rPr>
            </w:pPr>
          </w:p>
        </w:tc>
        <w:tc>
          <w:tcPr>
            <w:tcW w:w="62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6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343</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0"/>
                <w:szCs w:val="20"/>
                <w:color w:val="auto"/>
              </w:rPr>
            </w:pPr>
          </w:p>
        </w:tc>
      </w:tr>
      <w:tr>
        <w:trPr>
          <w:trHeight w:val="228"/>
        </w:trPr>
        <w:tc>
          <w:tcPr>
            <w:tcW w:w="6400" w:type="dxa"/>
            <w:vAlign w:val="bottom"/>
          </w:tcPr>
          <w:p>
            <w:pPr>
              <w:spacing w:after="0"/>
              <w:rPr>
                <w:sz w:val="20"/>
                <w:szCs w:val="20"/>
                <w:color w:val="auto"/>
              </w:rPr>
            </w:pPr>
            <w:r>
              <w:rPr>
                <w:rFonts w:ascii="Arial" w:cs="Arial" w:eastAsia="Arial" w:hAnsi="Arial"/>
                <w:sz w:val="18"/>
                <w:szCs w:val="18"/>
                <w:color w:val="auto"/>
              </w:rPr>
              <w:t>Net interest income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380" w:hanging="372"/>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380" w:hanging="372"/>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Second Quarter of 2018 and a tax rate of 35% for the Second Quarter of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First Half of 2018 Over</w:t>
            </w:r>
          </w:p>
        </w:tc>
      </w:tr>
      <w:tr>
        <w:trPr>
          <w:trHeight w:val="266"/>
        </w:trPr>
        <w:tc>
          <w:tcPr>
            <w:tcW w:w="86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w w:val="90"/>
              </w:rPr>
              <w:t>First Half of 2017</w:t>
            </w:r>
          </w:p>
        </w:tc>
        <w:tc>
          <w:tcPr>
            <w:tcW w:w="6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7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2"/>
              </w:rPr>
              <w:t>Volume</w:t>
            </w: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7"/>
              </w:rPr>
              <w:t>Rate</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21"/>
                <w:szCs w:val="21"/>
                <w:color w:val="auto"/>
              </w:rPr>
            </w:pPr>
          </w:p>
        </w:tc>
      </w:tr>
      <w:tr>
        <w:trPr>
          <w:trHeight w:val="243"/>
        </w:trPr>
        <w:tc>
          <w:tcPr>
            <w:tcW w:w="860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18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860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1,2</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86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180" w:type="dxa"/>
            <w:vAlign w:val="bottom"/>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876</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21"/>
                <w:szCs w:val="21"/>
                <w:color w:val="auto"/>
              </w:rPr>
            </w:pPr>
          </w:p>
        </w:tc>
      </w:tr>
      <w:tr>
        <w:trPr>
          <w:trHeight w:val="311"/>
        </w:trPr>
        <w:tc>
          <w:tcPr>
            <w:tcW w:w="860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43"/>
        </w:trPr>
        <w:tc>
          <w:tcPr>
            <w:tcW w:w="8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18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600" w:type="dxa"/>
            <w:vAlign w:val="bottom"/>
          </w:tcPr>
          <w:p>
            <w:pPr>
              <w:ind w:left="540"/>
              <w:spacing w:after="0"/>
              <w:rPr>
                <w:sz w:val="20"/>
                <w:szCs w:val="20"/>
                <w:color w:val="auto"/>
              </w:rPr>
            </w:pPr>
            <w:r>
              <w:rPr>
                <w:rFonts w:ascii="Arial" w:cs="Arial" w:eastAsia="Arial" w:hAnsi="Arial"/>
                <w:sz w:val="18"/>
                <w:szCs w:val="18"/>
                <w:color w:val="auto"/>
              </w:rPr>
              <w:t>Taxable</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597</w:t>
            </w:r>
          </w:p>
        </w:tc>
        <w:tc>
          <w:tcPr>
            <w:tcW w:w="38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r>
      <w:tr>
        <w:trPr>
          <w:trHeight w:val="318"/>
        </w:trPr>
        <w:tc>
          <w:tcPr>
            <w:tcW w:w="860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80" w:type="dxa"/>
            <w:vAlign w:val="bottom"/>
            <w:shd w:val="clear" w:color="auto" w:fill="C0C0C0"/>
          </w:tcPr>
          <w:p>
            <w:pPr>
              <w:spacing w:after="0"/>
              <w:rPr>
                <w:sz w:val="24"/>
                <w:szCs w:val="24"/>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0C0C0"/>
          </w:tcPr>
          <w:p>
            <w:pPr>
              <w:spacing w:after="0"/>
              <w:rPr>
                <w:sz w:val="24"/>
                <w:szCs w:val="24"/>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(1,670)</w:t>
            </w:r>
          </w:p>
        </w:tc>
        <w:tc>
          <w:tcPr>
            <w:tcW w:w="300" w:type="dxa"/>
            <w:vAlign w:val="bottom"/>
            <w:shd w:val="clear" w:color="auto" w:fill="C0C0C0"/>
          </w:tcPr>
          <w:p>
            <w:pPr>
              <w:spacing w:after="0"/>
              <w:rPr>
                <w:sz w:val="24"/>
                <w:szCs w:val="24"/>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24"/>
                <w:szCs w:val="24"/>
                <w:color w:val="auto"/>
              </w:rPr>
            </w:pPr>
          </w:p>
        </w:tc>
      </w:tr>
      <w:tr>
        <w:trPr>
          <w:trHeight w:val="235"/>
        </w:trPr>
        <w:tc>
          <w:tcPr>
            <w:tcW w:w="860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51"/>
        </w:trPr>
        <w:tc>
          <w:tcPr>
            <w:tcW w:w="8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1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1"/>
                <w:szCs w:val="21"/>
                <w:color w:val="auto"/>
              </w:rPr>
            </w:pPr>
          </w:p>
        </w:tc>
      </w:tr>
      <w:tr>
        <w:trPr>
          <w:trHeight w:val="237"/>
        </w:trPr>
        <w:tc>
          <w:tcPr>
            <w:tcW w:w="8600" w:type="dxa"/>
            <w:vAlign w:val="bottom"/>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r>
      <w:tr>
        <w:trPr>
          <w:trHeight w:val="237"/>
        </w:trPr>
        <w:tc>
          <w:tcPr>
            <w:tcW w:w="860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180" w:type="dxa"/>
            <w:vAlign w:val="bottom"/>
            <w:tcBorders>
              <w:top w:val="single" w:sz="8" w:color="auto"/>
              <w:bottom w:val="single" w:sz="8" w:color="auto"/>
            </w:tcBorders>
            <w:shd w:val="clear" w:color="auto" w:fill="C0C0C0"/>
          </w:tcPr>
          <w:p>
            <w:pPr>
              <w:spacing w:after="0"/>
              <w:rPr>
                <w:sz w:val="20"/>
                <w:szCs w:val="20"/>
                <w:color w:val="auto"/>
              </w:rPr>
            </w:pPr>
          </w:p>
        </w:tc>
        <w:tc>
          <w:tcPr>
            <w:tcW w:w="5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1,101</w:t>
            </w:r>
          </w:p>
        </w:tc>
        <w:tc>
          <w:tcPr>
            <w:tcW w:w="380" w:type="dxa"/>
            <w:vAlign w:val="bottom"/>
            <w:tcBorders>
              <w:top w:val="single" w:sz="8" w:color="auto"/>
              <w:bottom w:val="single" w:sz="8" w:color="auto"/>
            </w:tcBorders>
            <w:shd w:val="clear" w:color="auto" w:fill="C0C0C0"/>
          </w:tcPr>
          <w:p>
            <w:pPr>
              <w:spacing w:after="0"/>
              <w:rPr>
                <w:sz w:val="20"/>
                <w:szCs w:val="20"/>
                <w:color w:val="auto"/>
              </w:rPr>
            </w:pPr>
          </w:p>
        </w:tc>
        <w:tc>
          <w:tcPr>
            <w:tcW w:w="7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(190)</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20"/>
                <w:szCs w:val="20"/>
                <w:color w:val="auto"/>
              </w:rPr>
            </w:pPr>
          </w:p>
        </w:tc>
      </w:tr>
      <w:tr>
        <w:trPr>
          <w:trHeight w:val="235"/>
        </w:trPr>
        <w:tc>
          <w:tcPr>
            <w:tcW w:w="8600" w:type="dxa"/>
            <w:vAlign w:val="bottom"/>
          </w:tcPr>
          <w:p>
            <w:pPr>
              <w:spacing w:after="0"/>
              <w:rPr>
                <w:sz w:val="20"/>
                <w:szCs w:val="20"/>
                <w:color w:val="auto"/>
              </w:rPr>
            </w:pPr>
            <w:r>
              <w:rPr>
                <w:rFonts w:ascii="Arial" w:cs="Arial" w:eastAsia="Arial" w:hAnsi="Arial"/>
                <w:sz w:val="18"/>
                <w:szCs w:val="18"/>
                <w:color w:val="auto"/>
              </w:rPr>
              <w:t>Interest expense on:</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8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21"/>
                <w:szCs w:val="21"/>
                <w:color w:val="auto"/>
              </w:rPr>
            </w:pPr>
          </w:p>
        </w:tc>
      </w:tr>
      <w:tr>
        <w:trPr>
          <w:trHeight w:val="235"/>
        </w:trPr>
        <w:tc>
          <w:tcPr>
            <w:tcW w:w="860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51"/>
        </w:trPr>
        <w:tc>
          <w:tcPr>
            <w:tcW w:w="86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&gt;=$100</w:t>
            </w:r>
          </w:p>
        </w:tc>
        <w:tc>
          <w:tcPr>
            <w:tcW w:w="1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r>
      <w:tr>
        <w:trPr>
          <w:trHeight w:val="237"/>
        </w:trPr>
        <w:tc>
          <w:tcPr>
            <w:tcW w:w="8600" w:type="dxa"/>
            <w:vAlign w:val="bottom"/>
          </w:tcPr>
          <w:p>
            <w:pPr>
              <w:ind w:left="280"/>
              <w:spacing w:after="0"/>
              <w:rPr>
                <w:sz w:val="20"/>
                <w:szCs w:val="20"/>
                <w:color w:val="auto"/>
              </w:rPr>
            </w:pPr>
            <w:r>
              <w:rPr>
                <w:rFonts w:ascii="Arial" w:cs="Arial" w:eastAsia="Arial" w:hAnsi="Arial"/>
                <w:sz w:val="18"/>
                <w:szCs w:val="18"/>
                <w:color w:val="auto"/>
              </w:rPr>
              <w:t>Other time deposits</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37"/>
        </w:trPr>
        <w:tc>
          <w:tcPr>
            <w:tcW w:w="860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top w:val="single" w:sz="8" w:color="auto"/>
              <w:bottom w:val="single" w:sz="8" w:color="auto"/>
            </w:tcBorders>
            <w:shd w:val="clear" w:color="auto" w:fill="C0C0C0"/>
          </w:tcPr>
          <w:p>
            <w:pPr>
              <w:spacing w:after="0"/>
              <w:rPr>
                <w:sz w:val="20"/>
                <w:szCs w:val="20"/>
                <w:color w:val="auto"/>
              </w:rPr>
            </w:pPr>
          </w:p>
        </w:tc>
        <w:tc>
          <w:tcPr>
            <w:tcW w:w="5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top w:val="single" w:sz="8" w:color="auto"/>
              <w:bottom w:val="single" w:sz="8" w:color="auto"/>
            </w:tcBorders>
            <w:shd w:val="clear" w:color="auto" w:fill="C0C0C0"/>
          </w:tcPr>
          <w:p>
            <w:pPr>
              <w:spacing w:after="0"/>
              <w:rPr>
                <w:sz w:val="20"/>
                <w:szCs w:val="20"/>
                <w:color w:val="auto"/>
              </w:rPr>
            </w:pPr>
          </w:p>
        </w:tc>
        <w:tc>
          <w:tcPr>
            <w:tcW w:w="7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563</w:t>
            </w: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20"/>
                <w:szCs w:val="20"/>
                <w:color w:val="auto"/>
              </w:rPr>
            </w:pPr>
          </w:p>
        </w:tc>
      </w:tr>
      <w:tr>
        <w:trPr>
          <w:trHeight w:val="228"/>
        </w:trPr>
        <w:tc>
          <w:tcPr>
            <w:tcW w:w="8600" w:type="dxa"/>
            <w:vAlign w:val="bottom"/>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(753)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380" w:hanging="372"/>
        <w:spacing w:after="0" w:line="22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First Half of 2018 and a tax rate of 35% for the First Half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determinant of the Company’s operating results can be the provision for loan losses. There was no provision for loan losses during the Second Quarter of 2018 or the Second Quarter of 2017. There was no loan loss provision recorded in the First Half of 2018 or the First Half of 2017. As discussed below, the Company continually analyzes the outstanding loan portfolio based on the performance, financial condition and collateralization of the credits. Net loan recoveries were $5,000 during the Second Quarter of 2018 and the Second Quarter of 2017. Net loan recoveries were $10,000 in the First Half of 2018 and $21,000 during the First Half of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674" w:gutter="0" w:footer="0" w:header="0"/>
        </w:sectPr>
      </w:pPr>
    </w:p>
    <w:bookmarkStart w:id="25" w:name="page26"/>
    <w:bookmarkEnd w:id="25"/>
    <w:p>
      <w:pPr>
        <w:jc w:val="both"/>
        <w:ind w:right="20"/>
        <w:spacing w:after="0" w:line="332" w:lineRule="auto"/>
        <w:rPr>
          <w:sz w:val="20"/>
          <w:szCs w:val="20"/>
          <w:color w:val="auto"/>
        </w:rPr>
      </w:pPr>
      <w:r>
        <w:rPr>
          <w:rFonts w:ascii="Arial" w:cs="Arial" w:eastAsia="Arial" w:hAnsi="Arial"/>
          <w:sz w:val="16"/>
          <w:szCs w:val="16"/>
          <w:color w:val="auto"/>
        </w:rPr>
        <w:t>The ALLL at June 30, 2018 was $10,215,000 and at December 31, 2017 was $10,205,000. The ratio of ALLL to total loans outstanding was 1.43% and 1.49% at June 30, 2018 and December 31, 2017, respectively. There were no nonperforming loans at June 30, 2018 or December 31, 2017.</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is an estimate of the current amount of loans that is probable the Company will be unable to collect according to the original terms.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Asset Quality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provision for loan losses and analysis of the ALLL:</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5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8"/>
                <w:szCs w:val="18"/>
                <w:b w:val="1"/>
                <w:bCs w:val="1"/>
                <w:color w:val="auto"/>
              </w:rPr>
              <w:t>Second Quarter of</w:t>
            </w:r>
          </w:p>
        </w:tc>
        <w:tc>
          <w:tcPr>
            <w:tcW w:w="3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rPr>
              <w:t>First Half of</w:t>
            </w:r>
          </w:p>
        </w:tc>
      </w:tr>
      <w:tr>
        <w:trPr>
          <w:trHeight w:val="250"/>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Allowance at beginning of period</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10,210</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10,191</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10,205</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10,175</w:t>
            </w:r>
          </w:p>
        </w:tc>
      </w:tr>
      <w:tr>
        <w:trPr>
          <w:trHeight w:val="235"/>
        </w:trPr>
        <w:tc>
          <w:tcPr>
            <w:tcW w:w="658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18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51"/>
        </w:trPr>
        <w:tc>
          <w:tcPr>
            <w:tcW w:w="6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charged off</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6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Recoveries on loans previously charged off</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w:t>
            </w: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Net recoveries</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5</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5</w:t>
            </w: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w:t>
            </w:r>
          </w:p>
        </w:tc>
      </w:tr>
      <w:tr>
        <w:trPr>
          <w:trHeight w:val="237"/>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period</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10,215</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10,196</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10,215</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10,196</w:t>
            </w: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Loans outstanding:</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6580" w:type="dxa"/>
            <w:vAlign w:val="bottom"/>
          </w:tcPr>
          <w:p>
            <w:pPr>
              <w:ind w:left="280"/>
              <w:spacing w:after="0"/>
              <w:rPr>
                <w:sz w:val="20"/>
                <w:szCs w:val="20"/>
                <w:color w:val="auto"/>
              </w:rPr>
            </w:pPr>
            <w:r>
              <w:rPr>
                <w:rFonts w:ascii="Arial" w:cs="Arial" w:eastAsia="Arial" w:hAnsi="Arial"/>
                <w:sz w:val="18"/>
                <w:szCs w:val="18"/>
                <w:color w:val="auto"/>
              </w:rPr>
              <w:t>Average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708,169</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668,040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699,185</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662,299</w:t>
            </w:r>
          </w:p>
        </w:tc>
      </w:tr>
      <w:tr>
        <w:trPr>
          <w:trHeight w:val="251"/>
        </w:trPr>
        <w:tc>
          <w:tcPr>
            <w:tcW w:w="6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June 30</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98"/>
              </w:rPr>
              <w:t>714,861</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671,683</w:t>
            </w: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w w:val="98"/>
              </w:rPr>
              <w:t>714,861</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671,683</w:t>
            </w:r>
          </w:p>
        </w:tc>
      </w:tr>
      <w:tr>
        <w:trPr>
          <w:trHeight w:val="235"/>
        </w:trPr>
        <w:tc>
          <w:tcPr>
            <w:tcW w:w="6580" w:type="dxa"/>
            <w:vAlign w:val="bottom"/>
          </w:tcPr>
          <w:p>
            <w:pPr>
              <w:spacing w:after="0"/>
              <w:rPr>
                <w:sz w:val="20"/>
                <w:szCs w:val="20"/>
                <w:color w:val="auto"/>
              </w:rPr>
            </w:pPr>
            <w:r>
              <w:rPr>
                <w:rFonts w:ascii="Arial" w:cs="Arial" w:eastAsia="Arial" w:hAnsi="Arial"/>
                <w:sz w:val="18"/>
                <w:szCs w:val="18"/>
                <w:color w:val="auto"/>
              </w:rPr>
              <w:t>Ratio of ALLL to loans outstanding:</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6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Average</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r>
      <w:tr>
        <w:trPr>
          <w:trHeight w:val="235"/>
        </w:trPr>
        <w:tc>
          <w:tcPr>
            <w:tcW w:w="6580" w:type="dxa"/>
            <w:vAlign w:val="bottom"/>
          </w:tcPr>
          <w:p>
            <w:pPr>
              <w:ind w:left="28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51"/>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Impaired loans:</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6580" w:type="dxa"/>
            <w:vAlign w:val="bottom"/>
          </w:tcPr>
          <w:p>
            <w:pPr>
              <w:ind w:left="280"/>
              <w:spacing w:after="0"/>
              <w:rPr>
                <w:sz w:val="20"/>
                <w:szCs w:val="20"/>
                <w:color w:val="auto"/>
              </w:rPr>
            </w:pPr>
            <w:r>
              <w:rPr>
                <w:rFonts w:ascii="Arial" w:cs="Arial" w:eastAsia="Arial" w:hAnsi="Arial"/>
                <w:sz w:val="18"/>
                <w:szCs w:val="18"/>
                <w:color w:val="auto"/>
              </w:rPr>
              <w:t>Nonaccrual loans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219</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219</w:t>
            </w:r>
          </w:p>
        </w:tc>
      </w:tr>
      <w:tr>
        <w:trPr>
          <w:trHeight w:val="251"/>
        </w:trPr>
        <w:tc>
          <w:tcPr>
            <w:tcW w:w="6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past due 90 days or more</w:t>
            </w:r>
          </w:p>
        </w:tc>
        <w:tc>
          <w:tcPr>
            <w:tcW w:w="1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6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Troubled debt restructurings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impaired loans</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219</w:t>
            </w:r>
          </w:p>
        </w:tc>
      </w:tr>
      <w:tr>
        <w:trPr>
          <w:trHeight w:val="237"/>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Foreclosed assets</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Impaired loans as percentage of average loans</w:t>
            </w:r>
          </w:p>
        </w:tc>
        <w:tc>
          <w:tcPr>
            <w:tcW w:w="18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June 30, 2018 or June 30, 2017.</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operating expenses for the Second Quarter of 2018 were up 10.3%, or $2,562,000, compared to the Second Quarter of 2017 and were up $4,426,000 for the First Half of 2018 compared to the First Half of 2017.</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expense for the Second Quarter of 2018 increased $2,427,000 compared to the Second Quarter of 2017 and increased $4,010,000 to $41,971,000 for the First Half of 2018 compared to the First Half of 2017 due mainly to ongoing strategic investment in technology and staff required to win and support new business, annual salary merit increases, and increased retirement plan costs.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Equipment expense for the Second Quarter of 2018 increased $208,000, or 17.3%, compared to the Second Quarter of 2017 and $212,000, or 8.5%, for the First Half of 2018 from the First Half of 2017. This increase was the result of the continued strategic investment in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assets at June 30, 2018 were $1,570,305,000, a decrease of $86,904,000, or 5.2%, from December 31, 2017. The most significant changes in asset balances during this period were a decrease of $101,907,000 in cash and cash equivalents and a decrease of $29,660,000 in investment securities. Changes in cash and cash equivalents reflect the Company’s daily liquidity position and are affected by the changes in the other asset balances and changes in deposit and accounts and drafts payable balances.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Total liabilities at June 30, 2018 were $1,343,692,000, a decrease of $88,429,000, or 6.2%, from December 31, 2017. Total deposits at June 30, 2018 were $625,737,000, a decrease of $52,351,000, or 7.7%, from December 31, 2017. This deposit outflow is primarily the result of an increasingly competitive interest rate environment. Accounts and drafts payable at June 30, 2018 were $673,704,000, a decrease of $42,184,000, or 5.9%, from December 31, 2017. Total shareholders’ equity at June 30, 2018 was $226,613,000, a $1,525,000, or 0.7%, increase from December 31, 2017. Total shareholders’ equity increased as a result of net income of $15,601,000. This was offset by the change in accumulated other comprehensive loss of $7,806,000 and dividends paid of $6,144,000.</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balance of liquid assets consists of cash and cash equivalents, which include cash and due from banks, interest-bearing deposits in other financial institutions, federal funds sold and other short-term investments was $126,203,000 at June 30, 2018, a decrease of $101,907,000, or 44.7%, from December 31, 2017. At June 30, 2018, these assets represented 8.0% of total assets. These funds are the Company’s and its subsidiaries’ primary source of liquidity to meet future expected and unexpected loan demand, depositor withdrawals or reductions in accounts and drafts payable. Changes in the Company’s daily liquidity position are affected by the changes in the other asset balances and changes in deposit and accounts and drafts payable balances.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$440,863,000 at June 30, 2018, a decrease of $29,660,000 from December 31, 2017. These assets represented 28.1% of total assets at June 30, 2018. Of this total, 78% were state and political subdivision securities. Of the total portfolio, 3.8% mature in one year or less, 23.2% mature in one to five years, and 73.0% mature in five or more years</w:t>
      </w:r>
      <w:r>
        <w:rPr>
          <w:rFonts w:ascii="Arial" w:cs="Arial" w:eastAsia="Arial" w:hAnsi="Arial"/>
          <w:sz w:val="16"/>
          <w:szCs w:val="16"/>
          <w:i w:val="1"/>
          <w:iCs w:val="1"/>
          <w:color w:val="auto"/>
        </w:rPr>
        <w:t>.</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$83,000,000 at the following banks: US Bank, $20,000,000; Wells Fargo Bank, $15,000,000; Frost National Bank, $10,000,000; PNC Bank, $12,000,000; UMB Bank, $20,000,000; and JPM Chase Bank, $6,000,000. The Bank also has secured lines of credit with the Federal Home Loan Bank of $199,898,000 collateralized by commercial mortgage loans. The Company also has secured lines of credit with UMB Bank of $50,000,000 and First Tennessee Bank of $50,000,000 collateralized by state and political subdivision securities. There were no amounts outstanding under any line of credit as of June 30, 2018 or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6"/>
          <w:szCs w:val="16"/>
          <w:color w:val="auto"/>
        </w:rPr>
        <w:t>The deposits of the Company’s banking subsidiary have historically been stable, consisting of a sizable volume of core deposits related to customers that utilize other commercial products of the Bank. However, as mentioned above an increasingly competitive interest rate environment has resulted in deposit outflow. The accounts and drafts payable generated by the Company has also historically been a stable source of funds. The Company is part of the Certificate of Deposit Account Registry Service (“CDARS”) and Insured Cash Sweep (“ICS”) deposit placement programs. Time deposits include $33,288,000 of CDARS deposits and interest-bearing demand deposits include $71,374,000 of ICS deposits. These programs offer the Bank’s customers the ability to maximize Federal Deposit Insurance Corporation (“FDIC”) insurance coverage. The Company uses these programs to retain or attract deposits from existing customers. Net cash flows provided by operating activities were $25,096,000 for the First Half of 2018, compared with $21,468,000 for the First Half of 2017, an increase of $3,628,000.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2018, which are estimated to range from $6 million to $9 million.</w:t>
      </w:r>
    </w:p>
    <w:p>
      <w:pPr>
        <w:spacing w:after="0" w:line="17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establishing the minimum regulatory capital requirements, the Basel III Capital Rules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capital conservation buffer requirement is being phased in beginning January 1, 2016 at 0.625% of risk-weighted assets and increasing each year until fully implemented at 2.5% on January 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93"/>
              </w:rPr>
              <w:t>December 31, 2017</w:t>
            </w:r>
          </w:p>
        </w:tc>
      </w:tr>
      <w:tr>
        <w:trPr>
          <w:trHeight w:val="25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8"/>
              </w:rPr>
              <w:t>Amount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Ratio</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8"/>
              </w:rPr>
              <w:t>Amount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Ratio</w:t>
            </w:r>
          </w:p>
        </w:tc>
      </w:tr>
      <w:tr>
        <w:trPr>
          <w:trHeight w:val="243"/>
        </w:trPr>
        <w:tc>
          <w:tcPr>
            <w:tcW w:w="7360" w:type="dxa"/>
            <w:vAlign w:val="bottom"/>
            <w:shd w:val="clear" w:color="auto" w:fill="C0C0C0"/>
          </w:tcPr>
          <w:p>
            <w:pPr>
              <w:spacing w:after="0"/>
              <w:rPr>
                <w:sz w:val="20"/>
                <w:szCs w:val="20"/>
                <w:color w:val="auto"/>
              </w:rPr>
            </w:pPr>
            <w:r>
              <w:rPr>
                <w:rFonts w:ascii="Arial" w:cs="Arial" w:eastAsia="Arial" w:hAnsi="Arial"/>
                <w:sz w:val="18"/>
                <w:szCs w:val="18"/>
                <w:color w:val="auto"/>
              </w:rPr>
              <w:t>Total capital (to risk-weighted assets)</w:t>
            </w: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736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243,482</w:t>
            </w:r>
          </w:p>
        </w:tc>
        <w:tc>
          <w:tcPr>
            <w:tcW w:w="820" w:type="dxa"/>
            <w:vAlign w:val="bottom"/>
          </w:tcPr>
          <w:p>
            <w:pPr>
              <w:jc w:val="right"/>
              <w:spacing w:after="0"/>
              <w:rPr>
                <w:sz w:val="20"/>
                <w:szCs w:val="20"/>
                <w:color w:val="auto"/>
              </w:rPr>
            </w:pPr>
            <w:r>
              <w:rPr>
                <w:rFonts w:ascii="Arial" w:cs="Arial" w:eastAsia="Arial" w:hAnsi="Arial"/>
                <w:sz w:val="18"/>
                <w:szCs w:val="18"/>
                <w:color w:val="auto"/>
              </w:rPr>
              <w:t>21.86%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234,389</w:t>
            </w:r>
          </w:p>
        </w:tc>
        <w:tc>
          <w:tcPr>
            <w:tcW w:w="820" w:type="dxa"/>
            <w:vAlign w:val="bottom"/>
          </w:tcPr>
          <w:p>
            <w:pPr>
              <w:jc w:val="right"/>
              <w:spacing w:after="0"/>
              <w:rPr>
                <w:sz w:val="20"/>
                <w:szCs w:val="20"/>
                <w:color w:val="auto"/>
              </w:rPr>
            </w:pPr>
            <w:r>
              <w:rPr>
                <w:rFonts w:ascii="Arial" w:cs="Arial" w:eastAsia="Arial" w:hAnsi="Arial"/>
                <w:sz w:val="18"/>
                <w:szCs w:val="18"/>
                <w:color w:val="auto"/>
              </w:rPr>
              <w:t>22.53%</w:t>
            </w:r>
          </w:p>
        </w:tc>
      </w:tr>
      <w:tr>
        <w:trPr>
          <w:trHeight w:val="251"/>
        </w:trPr>
        <w:tc>
          <w:tcPr>
            <w:tcW w:w="7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129,997</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17.80%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122,440</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17.01%</w:t>
            </w:r>
          </w:p>
        </w:tc>
      </w:tr>
      <w:tr>
        <w:trPr>
          <w:trHeight w:val="235"/>
        </w:trPr>
        <w:tc>
          <w:tcPr>
            <w:tcW w:w="736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7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233,267</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20.94%</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224,184</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21.55%</w:t>
            </w:r>
          </w:p>
        </w:tc>
      </w:tr>
      <w:tr>
        <w:trPr>
          <w:trHeight w:val="235"/>
        </w:trPr>
        <w:tc>
          <w:tcPr>
            <w:tcW w:w="7360" w:type="dxa"/>
            <w:vAlign w:val="bottom"/>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122,151</w:t>
            </w:r>
          </w:p>
        </w:tc>
        <w:tc>
          <w:tcPr>
            <w:tcW w:w="820" w:type="dxa"/>
            <w:vAlign w:val="bottom"/>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114,603</w:t>
            </w:r>
          </w:p>
        </w:tc>
        <w:tc>
          <w:tcPr>
            <w:tcW w:w="82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51"/>
        </w:trPr>
        <w:tc>
          <w:tcPr>
            <w:tcW w:w="736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736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233,267</w:t>
            </w:r>
          </w:p>
        </w:tc>
        <w:tc>
          <w:tcPr>
            <w:tcW w:w="820" w:type="dxa"/>
            <w:vAlign w:val="bottom"/>
          </w:tcPr>
          <w:p>
            <w:pPr>
              <w:jc w:val="right"/>
              <w:spacing w:after="0"/>
              <w:rPr>
                <w:sz w:val="20"/>
                <w:szCs w:val="20"/>
                <w:color w:val="auto"/>
              </w:rPr>
            </w:pPr>
            <w:r>
              <w:rPr>
                <w:rFonts w:ascii="Arial" w:cs="Arial" w:eastAsia="Arial" w:hAnsi="Arial"/>
                <w:sz w:val="18"/>
                <w:szCs w:val="18"/>
                <w:color w:val="auto"/>
              </w:rPr>
              <w:t>20.94%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224,184</w:t>
            </w:r>
          </w:p>
        </w:tc>
        <w:tc>
          <w:tcPr>
            <w:tcW w:w="82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51"/>
        </w:trPr>
        <w:tc>
          <w:tcPr>
            <w:tcW w:w="7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122,151</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16.72%</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114,603</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15.93%</w:t>
            </w:r>
          </w:p>
        </w:tc>
      </w:tr>
      <w:tr>
        <w:trPr>
          <w:trHeight w:val="235"/>
        </w:trPr>
        <w:tc>
          <w:tcPr>
            <w:tcW w:w="736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7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233,267</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14.75%</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224,184</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13.87%</w:t>
            </w:r>
          </w:p>
        </w:tc>
      </w:tr>
      <w:tr>
        <w:trPr>
          <w:trHeight w:val="250"/>
        </w:trPr>
        <w:tc>
          <w:tcPr>
            <w:tcW w:w="73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122,151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114,603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Accounting Standards Update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A third-party vendor solution has been selected to assist in the application of ASU 2016-02. The impact of the adoption of this ASU is currently being evaluated but is not expected to have a material impact on the Company’s consolidated financial statements or results of operations.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 Financial Instruments –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impact of the adoption of this ASU is currently being evaluated.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described in the Company’s Annual Report on Form 10-K for the year ended December 31, 2017,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15.0% from an immediate and sustained parallel change in interest rates of 200 basis points. Based on the Company’s most recent evaluation, management does not believe the Company’s risk position at June 30, 2018 has changed materially from that at December 31, 2017.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were no changes in the Second Quarter of 2018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 w:lineRule="exact"/>
        <w:rPr>
          <w:sz w:val="20"/>
          <w:szCs w:val="20"/>
          <w:color w:val="auto"/>
        </w:rPr>
      </w:pPr>
    </w:p>
    <w:p>
      <w:pPr>
        <w:jc w:val="both"/>
        <w:ind w:left="880"/>
        <w:spacing w:after="0" w:line="302" w:lineRule="auto"/>
        <w:rPr>
          <w:sz w:val="20"/>
          <w:szCs w:val="20"/>
          <w:color w:val="auto"/>
        </w:rPr>
      </w:pPr>
      <w:r>
        <w:rPr>
          <w:rFonts w:ascii="Arial" w:cs="Arial" w:eastAsia="Arial" w:hAnsi="Arial"/>
          <w:sz w:val="16"/>
          <w:szCs w:val="16"/>
          <w:color w:val="auto"/>
        </w:rPr>
        <w:t>The Company has included in Part I, Item 1A of its Annual Report on Form 10-K for the year ended December 31, 2017, a description of certain risks and uncertainties that could affect the Company’s business, future performance or financial condition (the “Risk Factors”). There are no material changes to the Risk Factors as disclosed in the Company’s 2017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During the three months ended June 30, 2018, the Company repurchased a total of 6,000 shares of its common stock pursuant to its treasury stock buyback program, as follows: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93"/>
              </w:rPr>
              <w:t>Maximum</w:t>
            </w:r>
          </w:p>
        </w:tc>
      </w:tr>
      <w:tr>
        <w:trPr>
          <w:trHeight w:val="243"/>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8"/>
              </w:rPr>
              <w:t>Number of</w:t>
            </w:r>
          </w:p>
        </w:tc>
      </w:tr>
      <w:tr>
        <w:trPr>
          <w:trHeight w:val="243"/>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Purchased as</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5"/>
              </w:rPr>
              <w:t>Shares that</w:t>
            </w:r>
          </w:p>
        </w:tc>
      </w:tr>
      <w:tr>
        <w:trPr>
          <w:trHeight w:val="243"/>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Part of</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91"/>
              </w:rPr>
              <w:t>May Yet Be</w:t>
            </w:r>
          </w:p>
        </w:tc>
      </w:tr>
      <w:tr>
        <w:trPr>
          <w:trHeight w:val="243"/>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000" w:type="dxa"/>
            <w:vAlign w:val="bottom"/>
          </w:tcPr>
          <w:p>
            <w:pPr>
              <w:jc w:val="center"/>
              <w:ind w:left="812"/>
              <w:spacing w:after="0"/>
              <w:rPr>
                <w:sz w:val="20"/>
                <w:szCs w:val="20"/>
                <w:color w:val="auto"/>
              </w:rPr>
            </w:pPr>
            <w:r>
              <w:rPr>
                <w:rFonts w:ascii="Arial" w:cs="Arial" w:eastAsia="Arial" w:hAnsi="Arial"/>
                <w:sz w:val="18"/>
                <w:szCs w:val="18"/>
                <w:b w:val="1"/>
                <w:bCs w:val="1"/>
                <w:color w:val="auto"/>
                <w:w w:val="88"/>
              </w:rPr>
              <w:t>Total</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6"/>
              </w:rPr>
              <w:t>Purchased</w:t>
            </w:r>
          </w:p>
        </w:tc>
      </w:tr>
      <w:tr>
        <w:trPr>
          <w:trHeight w:val="243"/>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000" w:type="dxa"/>
            <w:vAlign w:val="bottom"/>
          </w:tcPr>
          <w:p>
            <w:pPr>
              <w:jc w:val="center"/>
              <w:ind w:left="832"/>
              <w:spacing w:after="0"/>
              <w:rPr>
                <w:sz w:val="20"/>
                <w:szCs w:val="20"/>
                <w:color w:val="auto"/>
              </w:rPr>
            </w:pPr>
            <w:r>
              <w:rPr>
                <w:rFonts w:ascii="Arial" w:cs="Arial" w:eastAsia="Arial" w:hAnsi="Arial"/>
                <w:sz w:val="18"/>
                <w:szCs w:val="18"/>
                <w:b w:val="1"/>
                <w:bCs w:val="1"/>
                <w:color w:val="auto"/>
                <w:w w:val="88"/>
              </w:rPr>
              <w:t>Number of</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90"/>
              </w:rPr>
              <w:t>Under the</w:t>
            </w:r>
          </w:p>
        </w:tc>
      </w:tr>
      <w:tr>
        <w:trPr>
          <w:trHeight w:val="243"/>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000" w:type="dxa"/>
            <w:vAlign w:val="bottom"/>
          </w:tcPr>
          <w:p>
            <w:pPr>
              <w:jc w:val="center"/>
              <w:ind w:left="832"/>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9"/>
              </w:rPr>
              <w:t>Average Price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1020" w:type="dxa"/>
            <w:vAlign w:val="bottom"/>
          </w:tcPr>
          <w:p>
            <w:pPr>
              <w:jc w:val="center"/>
              <w:ind w:left="52"/>
              <w:spacing w:after="0"/>
              <w:rPr>
                <w:sz w:val="20"/>
                <w:szCs w:val="20"/>
                <w:color w:val="auto"/>
              </w:rPr>
            </w:pPr>
            <w:r>
              <w:rPr>
                <w:rFonts w:ascii="Arial" w:cs="Arial" w:eastAsia="Arial" w:hAnsi="Arial"/>
                <w:sz w:val="18"/>
                <w:szCs w:val="18"/>
                <w:b w:val="1"/>
                <w:bCs w:val="1"/>
                <w:color w:val="auto"/>
                <w:w w:val="84"/>
              </w:rPr>
              <w:t>Plans or</w:t>
            </w:r>
          </w:p>
        </w:tc>
      </w:tr>
      <w:tr>
        <w:trPr>
          <w:trHeight w:val="333"/>
        </w:trPr>
        <w:tc>
          <w:tcPr>
            <w:tcW w:w="20" w:type="dxa"/>
            <w:vAlign w:val="bottom"/>
          </w:tcPr>
          <w:p>
            <w:pPr>
              <w:spacing w:after="0"/>
              <w:rPr>
                <w:sz w:val="24"/>
                <w:szCs w:val="24"/>
                <w:color w:val="auto"/>
              </w:rPr>
            </w:pPr>
          </w:p>
        </w:tc>
        <w:tc>
          <w:tcPr>
            <w:tcW w:w="340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Period</w:t>
            </w:r>
          </w:p>
        </w:tc>
        <w:tc>
          <w:tcPr>
            <w:tcW w:w="200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b w:val="1"/>
                <w:bCs w:val="1"/>
                <w:color w:val="auto"/>
                <w:w w:val="86"/>
              </w:rPr>
              <w:t>Purchased</w:t>
            </w: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6"/>
              </w:rPr>
              <w:t>Paid per Share</w:t>
            </w:r>
          </w:p>
        </w:tc>
        <w:tc>
          <w:tcPr>
            <w:tcW w:w="1320" w:type="dxa"/>
            <w:vAlign w:val="bottom"/>
            <w:tcBorders>
              <w:bottom w:val="single" w:sz="8" w:color="auto"/>
            </w:tcBorders>
          </w:tcPr>
          <w:p>
            <w:pPr>
              <w:jc w:val="center"/>
              <w:spacing w:after="0" w:line="326" w:lineRule="exact"/>
              <w:rPr>
                <w:sz w:val="20"/>
                <w:szCs w:val="20"/>
                <w:color w:val="auto"/>
              </w:rPr>
            </w:pPr>
            <w:r>
              <w:rPr>
                <w:rFonts w:ascii="Arial" w:cs="Arial" w:eastAsia="Arial" w:hAnsi="Arial"/>
                <w:sz w:val="18"/>
                <w:szCs w:val="18"/>
                <w:b w:val="1"/>
                <w:bCs w:val="1"/>
                <w:color w:val="auto"/>
                <w:w w:val="84"/>
              </w:rPr>
              <w:t>Programs</w:t>
            </w:r>
            <w:r>
              <w:rPr>
                <w:rFonts w:ascii="Arial" w:cs="Arial" w:eastAsia="Arial" w:hAnsi="Arial"/>
                <w:sz w:val="29"/>
                <w:szCs w:val="29"/>
                <w:b w:val="1"/>
                <w:bCs w:val="1"/>
                <w:color w:val="auto"/>
                <w:w w:val="84"/>
                <w:vertAlign w:val="superscript"/>
              </w:rPr>
              <w:t>1</w:t>
            </w:r>
          </w:p>
        </w:tc>
        <w:tc>
          <w:tcPr>
            <w:tcW w:w="10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85"/>
              </w:rPr>
              <w:t>Programs</w:t>
            </w:r>
          </w:p>
        </w:tc>
      </w:tr>
      <w:tr>
        <w:trPr>
          <w:trHeight w:val="243"/>
        </w:trPr>
        <w:tc>
          <w:tcPr>
            <w:tcW w:w="20" w:type="dxa"/>
            <w:vAlign w:val="bottom"/>
          </w:tcPr>
          <w:p>
            <w:pPr>
              <w:spacing w:after="0"/>
              <w:rPr>
                <w:sz w:val="21"/>
                <w:szCs w:val="21"/>
                <w:color w:val="auto"/>
              </w:rPr>
            </w:pPr>
          </w:p>
        </w:tc>
        <w:tc>
          <w:tcPr>
            <w:tcW w:w="3400" w:type="dxa"/>
            <w:vAlign w:val="bottom"/>
            <w:shd w:val="clear" w:color="auto" w:fill="C0C0C0"/>
          </w:tcPr>
          <w:p>
            <w:pPr>
              <w:spacing w:after="0"/>
              <w:rPr>
                <w:sz w:val="20"/>
                <w:szCs w:val="20"/>
                <w:color w:val="auto"/>
              </w:rPr>
            </w:pPr>
            <w:r>
              <w:rPr>
                <w:rFonts w:ascii="Arial" w:cs="Arial" w:eastAsia="Arial" w:hAnsi="Arial"/>
                <w:sz w:val="18"/>
                <w:szCs w:val="18"/>
                <w:color w:val="auto"/>
              </w:rPr>
              <w:t>April 1, 2018 – April 30, 2018</w:t>
            </w:r>
          </w:p>
        </w:tc>
        <w:tc>
          <w:tcPr>
            <w:tcW w:w="20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490,453</w:t>
            </w: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May 1, 2018 – May 31, 2018</w:t>
            </w:r>
          </w:p>
        </w:tc>
        <w:tc>
          <w:tcPr>
            <w:tcW w:w="2000" w:type="dxa"/>
            <w:vAlign w:val="bottom"/>
          </w:tcPr>
          <w:p>
            <w:pPr>
              <w:jc w:val="right"/>
              <w:ind w:right="52"/>
              <w:spacing w:after="0"/>
              <w:rPr>
                <w:sz w:val="20"/>
                <w:szCs w:val="20"/>
                <w:color w:val="auto"/>
              </w:rPr>
            </w:pPr>
            <w:r>
              <w:rPr>
                <w:rFonts w:ascii="Arial" w:cs="Arial" w:eastAsia="Arial" w:hAnsi="Arial"/>
                <w:sz w:val="18"/>
                <w:szCs w:val="18"/>
                <w:color w:val="auto"/>
              </w:rPr>
              <w:t>6,000</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58.93</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6,000</w:t>
            </w:r>
          </w:p>
        </w:tc>
        <w:tc>
          <w:tcPr>
            <w:tcW w:w="1020" w:type="dxa"/>
            <w:vAlign w:val="bottom"/>
          </w:tcPr>
          <w:p>
            <w:pPr>
              <w:jc w:val="right"/>
              <w:spacing w:after="0"/>
              <w:rPr>
                <w:sz w:val="20"/>
                <w:szCs w:val="20"/>
                <w:color w:val="auto"/>
              </w:rPr>
            </w:pPr>
            <w:r>
              <w:rPr>
                <w:rFonts w:ascii="Arial" w:cs="Arial" w:eastAsia="Arial" w:hAnsi="Arial"/>
                <w:sz w:val="18"/>
                <w:szCs w:val="18"/>
                <w:color w:val="auto"/>
              </w:rPr>
              <w:t>484,453</w:t>
            </w:r>
          </w:p>
        </w:tc>
      </w:tr>
      <w:tr>
        <w:trPr>
          <w:trHeight w:val="244"/>
        </w:trPr>
        <w:tc>
          <w:tcPr>
            <w:tcW w:w="20" w:type="dxa"/>
            <w:vAlign w:val="bottom"/>
          </w:tcPr>
          <w:p>
            <w:pPr>
              <w:spacing w:after="0"/>
              <w:rPr>
                <w:sz w:val="21"/>
                <w:szCs w:val="21"/>
                <w:color w:val="auto"/>
              </w:rPr>
            </w:pPr>
          </w:p>
        </w:tc>
        <w:tc>
          <w:tcPr>
            <w:tcW w:w="34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June 1, 2018 – June 30, 2018</w:t>
            </w:r>
          </w:p>
        </w:tc>
        <w:tc>
          <w:tcPr>
            <w:tcW w:w="20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484,453</w:t>
            </w:r>
          </w:p>
        </w:tc>
      </w:tr>
      <w:tr>
        <w:trPr>
          <w:trHeight w:val="228"/>
        </w:trPr>
        <w:tc>
          <w:tcPr>
            <w:tcW w:w="3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0" w:type="dxa"/>
            <w:vAlign w:val="bottom"/>
          </w:tcPr>
          <w:p>
            <w:pPr>
              <w:jc w:val="right"/>
              <w:ind w:right="52"/>
              <w:spacing w:after="0"/>
              <w:rPr>
                <w:sz w:val="20"/>
                <w:szCs w:val="20"/>
                <w:color w:val="auto"/>
              </w:rPr>
            </w:pPr>
            <w:r>
              <w:rPr>
                <w:rFonts w:ascii="Arial" w:cs="Arial" w:eastAsia="Arial" w:hAnsi="Arial"/>
                <w:sz w:val="18"/>
                <w:szCs w:val="18"/>
                <w:color w:val="auto"/>
              </w:rPr>
              <w:t>6,000</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58.93</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6,000</w:t>
            </w:r>
          </w:p>
        </w:tc>
        <w:tc>
          <w:tcPr>
            <w:tcW w:w="1020" w:type="dxa"/>
            <w:vAlign w:val="bottom"/>
          </w:tcPr>
          <w:p>
            <w:pPr>
              <w:jc w:val="right"/>
              <w:spacing w:after="0"/>
              <w:rPr>
                <w:sz w:val="20"/>
                <w:szCs w:val="20"/>
                <w:color w:val="auto"/>
              </w:rPr>
            </w:pPr>
            <w:r>
              <w:rPr>
                <w:rFonts w:ascii="Arial" w:cs="Arial" w:eastAsia="Arial" w:hAnsi="Arial"/>
                <w:sz w:val="18"/>
                <w:szCs w:val="18"/>
                <w:color w:val="auto"/>
              </w:rPr>
              <w:t>484,453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10160</wp:posOffset>
            </wp:positionV>
            <wp:extent cx="57975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2" w:lineRule="exact"/>
        <w:rPr>
          <w:sz w:val="20"/>
          <w:szCs w:val="20"/>
          <w:color w:val="auto"/>
        </w:rPr>
      </w:pPr>
    </w:p>
    <w:p>
      <w:pPr>
        <w:jc w:val="both"/>
        <w:ind w:left="1580" w:right="1140" w:hanging="431"/>
        <w:spacing w:after="0" w:line="228" w:lineRule="auto"/>
        <w:tabs>
          <w:tab w:leader="none" w:pos="1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repurchases made during the quarter ended June 30, 2018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October 24, 2017 to restore the aggregate number of shares available for repurchase to 500,000.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 w:lineRule="exact"/>
        <w:rPr>
          <w:sz w:val="20"/>
          <w:szCs w:val="20"/>
          <w:color w:val="auto"/>
        </w:rPr>
      </w:pPr>
    </w:p>
    <w:p>
      <w:pPr>
        <w:ind w:left="1220" w:hanging="523"/>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220" w:hanging="523"/>
        <w:spacing w:after="0" w:line="261"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Second Quarter of 2018.</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5" w:lineRule="exact"/>
        <w:rPr>
          <w:sz w:val="20"/>
          <w:szCs w:val="20"/>
          <w:color w:val="auto"/>
        </w:rPr>
      </w:pPr>
    </w:p>
    <w:p>
      <w:pPr>
        <w:ind w:left="7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 31.1 Certification Pursuant to Section 302 of the Sarbanes-Oxley Act of 2002.</w:t>
        </w:r>
      </w:hyperlink>
    </w:p>
    <w:p>
      <w:pPr>
        <w:spacing w:after="0" w:line="279" w:lineRule="exact"/>
        <w:rPr>
          <w:sz w:val="20"/>
          <w:szCs w:val="20"/>
          <w:color w:val="auto"/>
        </w:rPr>
      </w:pPr>
    </w:p>
    <w:p>
      <w:pPr>
        <w:ind w:left="7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31.2 Certification Pursuant to Section 302 of the Sarbanes-Oxley Act of 2002.</w:t>
        </w:r>
      </w:hyperlink>
    </w:p>
    <w:p>
      <w:pPr>
        <w:spacing w:after="0" w:line="279" w:lineRule="exact"/>
        <w:rPr>
          <w:sz w:val="20"/>
          <w:szCs w:val="20"/>
          <w:color w:val="auto"/>
        </w:rPr>
      </w:pPr>
    </w:p>
    <w:p>
      <w:pPr>
        <w:ind w:left="7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 32.1 Certification Pursuant to 18 U.S.C. Section 1350, as Adopted Pursuant to Section 906 of the Sarbanes-Oxley Act of 2002.</w:t>
        </w:r>
      </w:hyperlink>
    </w:p>
    <w:p>
      <w:pPr>
        <w:spacing w:after="0" w:line="279" w:lineRule="exact"/>
        <w:rPr>
          <w:sz w:val="20"/>
          <w:szCs w:val="20"/>
          <w:color w:val="auto"/>
        </w:rPr>
      </w:pPr>
    </w:p>
    <w:p>
      <w:pPr>
        <w:ind w:left="7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 32.2 Certification Pursuant to 18 U.S.C. Section 1350, as Adopted Pursuant to Section 906 of the Sarbanes-Oxley Act of 2002.</w:t>
        </w:r>
      </w:hyperlink>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Exhibit 101.INS XBRL Instance Document.</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Exhibit 101.SCH XBRL Taxonomy Extension Schema Document.</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Exhibit 101.CAL XBRL Taxonomy Extension Calculation Linkbase Document.</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Exhibit 101.LAB XBRL Taxonomy Extension Label Linkbase Document.</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Exhibit 101.PRE XBRL Taxonomy Extension Presentation Linkbase Document.</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Exhibit 101.DEF XBRL Taxonomy Extension Definition Linkbase Document.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7800" w:type="dxa"/>
            <w:vAlign w:val="bottom"/>
            <w:gridSpan w:val="2"/>
          </w:tcPr>
          <w:p>
            <w:pPr>
              <w:ind w:left="1980"/>
              <w:spacing w:after="0"/>
              <w:rPr>
                <w:sz w:val="20"/>
                <w:szCs w:val="20"/>
                <w:color w:val="auto"/>
              </w:rPr>
            </w:pPr>
            <w:r>
              <w:rPr>
                <w:rFonts w:ascii="Arial" w:cs="Arial" w:eastAsia="Arial" w:hAnsi="Arial"/>
                <w:sz w:val="18"/>
                <w:szCs w:val="18"/>
                <w:color w:val="auto"/>
              </w:rPr>
              <w:t>CASS INFORMATION SYSTEMS, INC.</w:t>
            </w:r>
          </w:p>
        </w:tc>
      </w:tr>
      <w:tr>
        <w:trPr>
          <w:trHeight w:val="495"/>
        </w:trPr>
        <w:tc>
          <w:tcPr>
            <w:tcW w:w="3620" w:type="dxa"/>
            <w:vAlign w:val="bottom"/>
          </w:tcPr>
          <w:p>
            <w:pPr>
              <w:spacing w:after="0"/>
              <w:rPr>
                <w:sz w:val="20"/>
                <w:szCs w:val="20"/>
                <w:color w:val="auto"/>
              </w:rPr>
            </w:pPr>
            <w:r>
              <w:rPr>
                <w:rFonts w:ascii="Arial" w:cs="Arial" w:eastAsia="Arial" w:hAnsi="Arial"/>
                <w:sz w:val="18"/>
                <w:szCs w:val="18"/>
                <w:color w:val="auto"/>
              </w:rPr>
              <w:t>DATE: August 7, 2018</w:t>
            </w:r>
          </w:p>
        </w:tc>
        <w:tc>
          <w:tcPr>
            <w:tcW w:w="2280" w:type="dxa"/>
            <w:vAlign w:val="bottom"/>
          </w:tcPr>
          <w:p>
            <w:pPr>
              <w:ind w:left="198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Eric H. Brunngraber</w:t>
            </w:r>
          </w:p>
        </w:tc>
      </w:tr>
      <w:tr>
        <w:trPr>
          <w:trHeight w:val="228"/>
        </w:trPr>
        <w:tc>
          <w:tcPr>
            <w:tcW w:w="36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0"/>
              </w:rPr>
              <w:t>Eric H. Brunngraber</w:t>
            </w:r>
          </w:p>
        </w:tc>
      </w:tr>
      <w:tr>
        <w:trPr>
          <w:trHeight w:val="243"/>
        </w:trPr>
        <w:tc>
          <w:tcPr>
            <w:tcW w:w="3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520" w:type="dxa"/>
            <w:vAlign w:val="bottom"/>
          </w:tcPr>
          <w:p>
            <w:pPr>
              <w:jc w:val="center"/>
              <w:ind w:right="212"/>
              <w:spacing w:after="0"/>
              <w:rPr>
                <w:sz w:val="20"/>
                <w:szCs w:val="20"/>
                <w:color w:val="auto"/>
              </w:rPr>
            </w:pPr>
            <w:r>
              <w:rPr>
                <w:rFonts w:ascii="Arial" w:cs="Arial" w:eastAsia="Arial" w:hAnsi="Arial"/>
                <w:sz w:val="18"/>
                <w:szCs w:val="18"/>
                <w:color w:val="auto"/>
                <w:w w:val="89"/>
              </w:rPr>
              <w:t>Chairman, President and Chief Executive Officer</w:t>
            </w:r>
          </w:p>
        </w:tc>
      </w:tr>
      <w:tr>
        <w:trPr>
          <w:trHeight w:val="243"/>
        </w:trPr>
        <w:tc>
          <w:tcPr>
            <w:tcW w:w="3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520" w:type="dxa"/>
            <w:vAlign w:val="bottom"/>
          </w:tcPr>
          <w:p>
            <w:pPr>
              <w:jc w:val="center"/>
              <w:ind w:right="212"/>
              <w:spacing w:after="0"/>
              <w:rPr>
                <w:sz w:val="20"/>
                <w:szCs w:val="20"/>
                <w:color w:val="auto"/>
              </w:rPr>
            </w:pPr>
            <w:r>
              <w:rPr>
                <w:rFonts w:ascii="Arial" w:cs="Arial" w:eastAsia="Arial" w:hAnsi="Arial"/>
                <w:sz w:val="18"/>
                <w:szCs w:val="18"/>
                <w:color w:val="auto"/>
                <w:w w:val="92"/>
              </w:rPr>
              <w:t>(Principal Executive Officer)</w:t>
            </w:r>
          </w:p>
        </w:tc>
      </w:tr>
      <w:tr>
        <w:trPr>
          <w:trHeight w:val="738"/>
        </w:trPr>
        <w:tc>
          <w:tcPr>
            <w:tcW w:w="3620" w:type="dxa"/>
            <w:vAlign w:val="bottom"/>
          </w:tcPr>
          <w:p>
            <w:pPr>
              <w:spacing w:after="0"/>
              <w:rPr>
                <w:sz w:val="20"/>
                <w:szCs w:val="20"/>
                <w:color w:val="auto"/>
              </w:rPr>
            </w:pPr>
            <w:r>
              <w:rPr>
                <w:rFonts w:ascii="Arial" w:cs="Arial" w:eastAsia="Arial" w:hAnsi="Arial"/>
                <w:sz w:val="18"/>
                <w:szCs w:val="18"/>
                <w:color w:val="auto"/>
              </w:rPr>
              <w:t>DATE: August 7, 2018</w:t>
            </w:r>
          </w:p>
        </w:tc>
        <w:tc>
          <w:tcPr>
            <w:tcW w:w="2280" w:type="dxa"/>
            <w:vAlign w:val="bottom"/>
          </w:tcPr>
          <w:p>
            <w:pPr>
              <w:ind w:left="198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Stephen Appelbaum</w:t>
            </w:r>
          </w:p>
        </w:tc>
      </w:tr>
      <w:tr>
        <w:trPr>
          <w:trHeight w:val="228"/>
        </w:trPr>
        <w:tc>
          <w:tcPr>
            <w:tcW w:w="36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86"/>
              </w:rPr>
              <w:t>P. Stephen Appelbaum</w:t>
            </w:r>
          </w:p>
        </w:tc>
      </w:tr>
    </w:tbl>
    <w:p>
      <w:pPr>
        <w:spacing w:after="0" w:line="21"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280" w:hanging="272"/>
        <w:spacing w:after="0" w:line="332" w:lineRule="auto"/>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280" w:hanging="272"/>
        <w:spacing w:after="0" w:line="268"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280" w:hanging="272"/>
        <w:spacing w:after="0" w:line="259"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280" w:right="20" w:hanging="272"/>
        <w:spacing w:after="0" w:line="332" w:lineRule="auto"/>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540" w:hanging="262"/>
        <w:spacing w:after="0" w:line="268"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6985</wp:posOffset>
            </wp:positionV>
            <wp:extent cx="1809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8"/>
          <w:szCs w:val="18"/>
          <w:color w:val="auto"/>
        </w:rPr>
        <w:t>Eric H. Brunngraber</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Chairman, President and Chief</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280" w:hanging="272"/>
        <w:spacing w:after="0" w:line="332" w:lineRule="auto"/>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280" w:hanging="272"/>
        <w:spacing w:after="0" w:line="268"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280" w:hanging="272"/>
        <w:spacing w:after="0" w:line="259"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540" w:hanging="262"/>
        <w:spacing w:after="0" w:line="259"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280" w:right="20" w:hanging="272"/>
        <w:spacing w:after="0" w:line="332" w:lineRule="auto"/>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540" w:hanging="262"/>
        <w:spacing w:after="0" w:line="268"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40" w:hanging="262"/>
        <w:spacing w:after="0" w:line="268"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15"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6985</wp:posOffset>
            </wp:positionV>
            <wp:extent cx="20066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ind w:left="8260"/>
        <w:spacing w:after="0"/>
        <w:rPr>
          <w:sz w:val="20"/>
          <w:szCs w:val="20"/>
          <w:color w:val="auto"/>
        </w:rPr>
      </w:pPr>
      <w:r>
        <w:rPr>
          <w:rFonts w:ascii="Arial" w:cs="Arial" w:eastAsia="Arial" w:hAnsi="Arial"/>
          <w:sz w:val="18"/>
          <w:szCs w:val="18"/>
          <w:color w:val="auto"/>
        </w:rPr>
        <w:t>P. Stephen Appelbaum</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Cass Information Systems, Inc. (“the Company”) on Form 10-Q for the period ended June 30, 2018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94" w:lineRule="exact"/>
        <w:rPr>
          <w:sz w:val="20"/>
          <w:szCs w:val="20"/>
          <w:color w:val="auto"/>
        </w:rPr>
      </w:pPr>
    </w:p>
    <w:p>
      <w:pPr>
        <w:ind w:left="540" w:hanging="26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10795</wp:posOffset>
            </wp:positionV>
            <wp:extent cx="18522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Eric H. Brunngraber</w:t>
      </w:r>
    </w:p>
    <w:p>
      <w:pPr>
        <w:spacing w:after="0" w:line="15"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Chairman, President and Chief Executive</w:t>
      </w:r>
    </w:p>
    <w:p>
      <w:pPr>
        <w:spacing w:after="0" w:line="44"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August 7, 2018</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Quarterly Report of Cass Information Systems, Inc. (“the Company”) on Form 10-Q for the period ended June 30, 2018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10795</wp:posOffset>
            </wp:positionV>
            <wp:extent cx="20066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 Stephen Appelbaum</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(Principal Financial and Accounting Officer)</w:t>
      </w:r>
    </w:p>
    <w:p>
      <w:pPr>
        <w:spacing w:after="0" w:line="3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August 7, 2018</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2019-12-28T20:09:18Z</dcterms:created>
  <dcterms:modified xsi:type="dcterms:W3CDTF">2019-12-28T20:09:18Z</dcterms:modified>
</cp:coreProperties>
</file>