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color w:val="auto"/>
        </w:rPr>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ind w:left="5140"/>
        <w:spacing w:after="0" w:line="232" w:lineRule="auto"/>
        <w:rPr>
          <w:sz w:val="20"/>
          <w:szCs w:val="20"/>
          <w:color w:val="auto"/>
        </w:rPr>
      </w:pPr>
      <w:r>
        <w:rPr>
          <w:rFonts w:ascii="Times New Roman" w:cs="Times New Roman" w:eastAsia="Times New Roman" w:hAnsi="Times New Roman"/>
          <w:sz w:val="14"/>
          <w:szCs w:val="14"/>
          <w:b w:val="1"/>
          <w:bCs w:val="1"/>
          <w:color w:val="auto"/>
        </w:rPr>
        <w:t>_________________</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9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225" w:lineRule="exact"/>
        <w:rPr>
          <w:sz w:val="24"/>
          <w:szCs w:val="24"/>
          <w:color w:val="auto"/>
        </w:rPr>
      </w:pPr>
    </w:p>
    <w:p>
      <w:pPr>
        <w:ind w:left="200"/>
        <w:spacing w:after="0"/>
        <w:tabs>
          <w:tab w:leader="none" w:pos="2800" w:val="left"/>
        </w:tabs>
        <w:rPr>
          <w:sz w:val="20"/>
          <w:szCs w:val="20"/>
          <w:color w:val="auto"/>
        </w:rPr>
      </w:pPr>
      <w:r>
        <w:rPr>
          <w:rFonts w:ascii="Times New Roman" w:cs="Times New Roman" w:eastAsia="Times New Roman" w:hAnsi="Times New Roman"/>
          <w:sz w:val="18"/>
          <w:szCs w:val="18"/>
          <w:color w:val="auto"/>
        </w:rPr>
        <w:t>For the quarterly period ended</w:t>
      </w:r>
      <w:r>
        <w:rPr>
          <w:sz w:val="20"/>
          <w:szCs w:val="20"/>
          <w:color w:val="auto"/>
        </w:rPr>
        <w:tab/>
      </w:r>
      <w:r>
        <w:rPr>
          <w:rFonts w:ascii="Times New Roman" w:cs="Times New Roman" w:eastAsia="Times New Roman" w:hAnsi="Times New Roman"/>
          <w:sz w:val="16"/>
          <w:szCs w:val="16"/>
          <w:color w:val="auto"/>
        </w:rPr>
        <w:t>March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1514475</wp:posOffset>
            </wp:positionH>
            <wp:positionV relativeFrom="paragraph">
              <wp:posOffset>-10160</wp:posOffset>
            </wp:positionV>
            <wp:extent cx="12941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413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08" w:lineRule="exact"/>
        <w:rPr>
          <w:sz w:val="24"/>
          <w:szCs w:val="24"/>
          <w:color w:val="auto"/>
        </w:rPr>
      </w:pPr>
    </w:p>
    <w:tbl>
      <w:tblPr>
        <w:tblLayout w:type="fixed"/>
        <w:tblInd w:w="200" w:type="dxa"/>
        <w:tblCellMar>
          <w:top w:w="0" w:type="dxa"/>
          <w:left w:w="0" w:type="dxa"/>
          <w:bottom w:w="0" w:type="dxa"/>
          <w:right w:w="0" w:type="dxa"/>
        </w:tblCellMar>
      </w:tblPr>
      <w:tr>
        <w:trPr>
          <w:trHeight w:val="207"/>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w w:val="99"/>
              </w:rPr>
              <w:t>For the transition period from</w:t>
            </w:r>
          </w:p>
        </w:tc>
        <w:tc>
          <w:tcPr>
            <w:tcW w:w="1320" w:type="dxa"/>
            <w:vAlign w:val="bottom"/>
            <w:tcBorders>
              <w:bottom w:val="single" w:sz="8" w:color="auto"/>
            </w:tcBorders>
          </w:tcPr>
          <w:p>
            <w:pPr>
              <w:spacing w:after="0"/>
              <w:rPr>
                <w:sz w:val="17"/>
                <w:szCs w:val="17"/>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t>
            </w:r>
          </w:p>
        </w:tc>
        <w:tc>
          <w:tcPr>
            <w:tcW w:w="6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760" w:type="dxa"/>
            <w:vAlign w:val="bottom"/>
          </w:tcPr>
          <w:p>
            <w:pPr>
              <w:spacing w:after="0"/>
              <w:rPr>
                <w:sz w:val="17"/>
                <w:szCs w:val="17"/>
                <w:color w:val="auto"/>
              </w:rPr>
            </w:pPr>
          </w:p>
        </w:tc>
      </w:tr>
      <w:tr>
        <w:trPr>
          <w:trHeight w:val="436"/>
        </w:trPr>
        <w:tc>
          <w:tcPr>
            <w:tcW w:w="2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80" w:type="dxa"/>
            <w:vAlign w:val="bottom"/>
            <w:gridSpan w:val="2"/>
          </w:tcPr>
          <w:p>
            <w:pPr>
              <w:jc w:val="center"/>
              <w:ind w:right="2912"/>
              <w:spacing w:after="0"/>
              <w:rPr>
                <w:sz w:val="20"/>
                <w:szCs w:val="20"/>
                <w:color w:val="auto"/>
              </w:rPr>
            </w:pPr>
            <w:r>
              <w:rPr>
                <w:rFonts w:ascii="Times New Roman" w:cs="Times New Roman" w:eastAsia="Times New Roman" w:hAnsi="Times New Roman"/>
                <w:sz w:val="18"/>
                <w:szCs w:val="18"/>
                <w:b w:val="1"/>
                <w:bCs w:val="1"/>
                <w:color w:val="auto"/>
                <w:w w:val="97"/>
              </w:rPr>
              <w:t>Commission File No. 000-20827</w:t>
            </w:r>
          </w:p>
        </w:tc>
      </w:tr>
      <w:tr>
        <w:trPr>
          <w:trHeight w:val="138"/>
        </w:trPr>
        <w:tc>
          <w:tcPr>
            <w:tcW w:w="2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80" w:type="dxa"/>
            <w:vAlign w:val="bottom"/>
            <w:gridSpan w:val="2"/>
          </w:tcPr>
          <w:p>
            <w:pPr>
              <w:jc w:val="right"/>
              <w:ind w:right="3612"/>
              <w:spacing w:after="0" w:line="139" w:lineRule="exact"/>
              <w:rPr>
                <w:sz w:val="20"/>
                <w:szCs w:val="20"/>
                <w:color w:val="auto"/>
              </w:rPr>
            </w:pPr>
            <w:r>
              <w:rPr>
                <w:rFonts w:ascii="Times New Roman" w:cs="Times New Roman" w:eastAsia="Times New Roman" w:hAnsi="Times New Roman"/>
                <w:sz w:val="14"/>
                <w:szCs w:val="14"/>
                <w:b w:val="1"/>
                <w:bCs w:val="1"/>
                <w:color w:val="auto"/>
              </w:rPr>
              <w:t>________________</w:t>
            </w:r>
          </w:p>
        </w:tc>
      </w:tr>
      <w:tr>
        <w:trPr>
          <w:trHeight w:val="256"/>
        </w:trPr>
        <w:tc>
          <w:tcPr>
            <w:tcW w:w="2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6300" w:type="dxa"/>
            <w:vAlign w:val="bottom"/>
            <w:gridSpan w:val="4"/>
          </w:tcPr>
          <w:p>
            <w:pPr>
              <w:jc w:val="center"/>
              <w:ind w:right="2112"/>
              <w:spacing w:after="0"/>
              <w:rPr>
                <w:sz w:val="20"/>
                <w:szCs w:val="20"/>
                <w:color w:val="auto"/>
              </w:rPr>
            </w:pPr>
            <w:r>
              <w:rPr>
                <w:rFonts w:ascii="Times New Roman" w:cs="Times New Roman" w:eastAsia="Times New Roman" w:hAnsi="Times New Roman"/>
                <w:sz w:val="22"/>
                <w:szCs w:val="22"/>
                <w:b w:val="1"/>
                <w:bCs w:val="1"/>
                <w:color w:val="auto"/>
                <w:w w:val="97"/>
              </w:rPr>
              <w:t>CASS INFORMATION SYSTEMS, INC.</w:t>
            </w:r>
          </w:p>
        </w:tc>
      </w:tr>
      <w:tr>
        <w:trPr>
          <w:trHeight w:val="228"/>
        </w:trPr>
        <w:tc>
          <w:tcPr>
            <w:tcW w:w="2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80" w:type="dxa"/>
            <w:vAlign w:val="bottom"/>
            <w:gridSpan w:val="3"/>
          </w:tcPr>
          <w:p>
            <w:pPr>
              <w:jc w:val="center"/>
              <w:ind w:right="2332"/>
              <w:spacing w:after="0"/>
              <w:rPr>
                <w:sz w:val="20"/>
                <w:szCs w:val="20"/>
                <w:color w:val="auto"/>
              </w:rPr>
            </w:pPr>
            <w:r>
              <w:rPr>
                <w:rFonts w:ascii="Times New Roman" w:cs="Times New Roman" w:eastAsia="Times New Roman" w:hAnsi="Times New Roman"/>
                <w:sz w:val="18"/>
                <w:szCs w:val="18"/>
                <w:color w:val="auto"/>
                <w:w w:val="97"/>
              </w:rPr>
              <w:t>(Exact name of registrant as specified in its charter)</w:t>
            </w:r>
          </w:p>
        </w:tc>
      </w:tr>
      <w:tr>
        <w:trPr>
          <w:trHeight w:val="447"/>
        </w:trPr>
        <w:tc>
          <w:tcPr>
            <w:tcW w:w="2140" w:type="dxa"/>
            <w:vAlign w:val="bottom"/>
          </w:tcPr>
          <w:p>
            <w:pPr>
              <w:spacing w:after="0"/>
              <w:rPr>
                <w:sz w:val="24"/>
                <w:szCs w:val="24"/>
                <w:color w:val="auto"/>
              </w:rPr>
            </w:pPr>
          </w:p>
        </w:tc>
        <w:tc>
          <w:tcPr>
            <w:tcW w:w="1320" w:type="dxa"/>
            <w:vAlign w:val="bottom"/>
          </w:tcPr>
          <w:p>
            <w:pPr>
              <w:jc w:val="center"/>
              <w:ind w:right="292"/>
              <w:spacing w:after="0"/>
              <w:rPr>
                <w:sz w:val="20"/>
                <w:szCs w:val="20"/>
                <w:color w:val="auto"/>
              </w:rPr>
            </w:pPr>
            <w:r>
              <w:rPr>
                <w:rFonts w:ascii="Times New Roman" w:cs="Times New Roman" w:eastAsia="Times New Roman" w:hAnsi="Times New Roman"/>
                <w:sz w:val="18"/>
                <w:szCs w:val="18"/>
                <w:b w:val="1"/>
                <w:bCs w:val="1"/>
                <w:color w:val="auto"/>
                <w:w w:val="96"/>
              </w:rPr>
              <w:t>Missouri</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80" w:type="dxa"/>
            <w:vAlign w:val="bottom"/>
            <w:gridSpan w:val="2"/>
          </w:tcPr>
          <w:p>
            <w:pPr>
              <w:jc w:val="right"/>
              <w:ind w:right="772"/>
              <w:spacing w:after="0"/>
              <w:rPr>
                <w:sz w:val="20"/>
                <w:szCs w:val="20"/>
                <w:color w:val="auto"/>
              </w:rPr>
            </w:pPr>
            <w:r>
              <w:rPr>
                <w:rFonts w:ascii="Times New Roman" w:cs="Times New Roman" w:eastAsia="Times New Roman" w:hAnsi="Times New Roman"/>
                <w:sz w:val="18"/>
                <w:szCs w:val="18"/>
                <w:b w:val="1"/>
                <w:bCs w:val="1"/>
                <w:color w:val="auto"/>
              </w:rPr>
              <w:t>43-1265338</w:t>
            </w:r>
          </w:p>
        </w:tc>
      </w:tr>
      <w:tr>
        <w:trPr>
          <w:trHeight w:val="216"/>
        </w:trPr>
        <w:tc>
          <w:tcPr>
            <w:tcW w:w="4280" w:type="dxa"/>
            <w:vAlign w:val="bottom"/>
            <w:gridSpan w:val="4"/>
          </w:tcPr>
          <w:p>
            <w:pPr>
              <w:jc w:val="center"/>
              <w:ind w:left="852"/>
              <w:spacing w:after="0"/>
              <w:rPr>
                <w:sz w:val="20"/>
                <w:szCs w:val="20"/>
                <w:color w:val="auto"/>
              </w:rPr>
            </w:pPr>
            <w:r>
              <w:rPr>
                <w:rFonts w:ascii="Times New Roman" w:cs="Times New Roman" w:eastAsia="Times New Roman" w:hAnsi="Times New Roman"/>
                <w:sz w:val="18"/>
                <w:szCs w:val="18"/>
                <w:color w:val="auto"/>
                <w:w w:val="97"/>
              </w:rPr>
              <w:t>(State or other jurisdiction of incorporation or</w:t>
            </w:r>
          </w:p>
        </w:tc>
        <w:tc>
          <w:tcPr>
            <w:tcW w:w="720" w:type="dxa"/>
            <w:vAlign w:val="bottom"/>
          </w:tcPr>
          <w:p>
            <w:pPr>
              <w:spacing w:after="0"/>
              <w:rPr>
                <w:sz w:val="18"/>
                <w:szCs w:val="18"/>
                <w:color w:val="auto"/>
              </w:rPr>
            </w:pPr>
          </w:p>
        </w:tc>
        <w:tc>
          <w:tcPr>
            <w:tcW w:w="4760" w:type="dxa"/>
            <w:vAlign w:val="bottom"/>
          </w:tcPr>
          <w:p>
            <w:pPr>
              <w:jc w:val="center"/>
              <w:ind w:left="2112"/>
              <w:spacing w:after="0"/>
              <w:rPr>
                <w:sz w:val="20"/>
                <w:szCs w:val="20"/>
                <w:color w:val="auto"/>
              </w:rPr>
            </w:pPr>
            <w:r>
              <w:rPr>
                <w:rFonts w:ascii="Times New Roman" w:cs="Times New Roman" w:eastAsia="Times New Roman" w:hAnsi="Times New Roman"/>
                <w:sz w:val="18"/>
                <w:szCs w:val="18"/>
                <w:color w:val="auto"/>
                <w:w w:val="97"/>
              </w:rPr>
              <w:t>(I.R.S. Employer Identification No.)</w:t>
            </w:r>
          </w:p>
        </w:tc>
      </w:tr>
      <w:tr>
        <w:trPr>
          <w:trHeight w:val="214"/>
        </w:trPr>
        <w:tc>
          <w:tcPr>
            <w:tcW w:w="2140" w:type="dxa"/>
            <w:vAlign w:val="bottom"/>
          </w:tcPr>
          <w:p>
            <w:pPr>
              <w:spacing w:after="0"/>
              <w:rPr>
                <w:sz w:val="18"/>
                <w:szCs w:val="18"/>
                <w:color w:val="auto"/>
              </w:rPr>
            </w:pPr>
          </w:p>
        </w:tc>
        <w:tc>
          <w:tcPr>
            <w:tcW w:w="1320" w:type="dxa"/>
            <w:vAlign w:val="bottom"/>
          </w:tcPr>
          <w:p>
            <w:pPr>
              <w:jc w:val="center"/>
              <w:ind w:right="292"/>
              <w:spacing w:after="0"/>
              <w:rPr>
                <w:sz w:val="20"/>
                <w:szCs w:val="20"/>
                <w:color w:val="auto"/>
              </w:rPr>
            </w:pPr>
            <w:r>
              <w:rPr>
                <w:rFonts w:ascii="Times New Roman" w:cs="Times New Roman" w:eastAsia="Times New Roman" w:hAnsi="Times New Roman"/>
                <w:sz w:val="18"/>
                <w:szCs w:val="18"/>
                <w:color w:val="auto"/>
                <w:w w:val="97"/>
              </w:rPr>
              <w:t>organization)</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760" w:type="dxa"/>
            <w:vAlign w:val="bottom"/>
          </w:tcPr>
          <w:p>
            <w:pPr>
              <w:spacing w:after="0"/>
              <w:rPr>
                <w:sz w:val="18"/>
                <w:szCs w:val="18"/>
                <w:color w:val="auto"/>
              </w:rPr>
            </w:pPr>
          </w:p>
        </w:tc>
      </w:tr>
      <w:tr>
        <w:trPr>
          <w:trHeight w:val="216"/>
        </w:trPr>
        <w:tc>
          <w:tcPr>
            <w:tcW w:w="4280" w:type="dxa"/>
            <w:vAlign w:val="bottom"/>
            <w:gridSpan w:val="4"/>
          </w:tcPr>
          <w:p>
            <w:pPr>
              <w:jc w:val="center"/>
              <w:ind w:left="852"/>
              <w:spacing w:after="0"/>
              <w:rPr>
                <w:sz w:val="20"/>
                <w:szCs w:val="20"/>
                <w:color w:val="auto"/>
              </w:rPr>
            </w:pPr>
            <w:r>
              <w:rPr>
                <w:rFonts w:ascii="Times New Roman" w:cs="Times New Roman" w:eastAsia="Times New Roman" w:hAnsi="Times New Roman"/>
                <w:sz w:val="18"/>
                <w:szCs w:val="18"/>
                <w:b w:val="1"/>
                <w:bCs w:val="1"/>
                <w:color w:val="auto"/>
                <w:w w:val="97"/>
              </w:rPr>
              <w:t>12444 Powerscourt Drive, Suite 550</w:t>
            </w:r>
          </w:p>
        </w:tc>
        <w:tc>
          <w:tcPr>
            <w:tcW w:w="720" w:type="dxa"/>
            <w:vAlign w:val="bottom"/>
          </w:tcPr>
          <w:p>
            <w:pPr>
              <w:spacing w:after="0"/>
              <w:rPr>
                <w:sz w:val="18"/>
                <w:szCs w:val="18"/>
                <w:color w:val="auto"/>
              </w:rPr>
            </w:pPr>
          </w:p>
        </w:tc>
        <w:tc>
          <w:tcPr>
            <w:tcW w:w="4760" w:type="dxa"/>
            <w:vAlign w:val="bottom"/>
          </w:tcPr>
          <w:p>
            <w:pPr>
              <w:spacing w:after="0"/>
              <w:rPr>
                <w:sz w:val="18"/>
                <w:szCs w:val="18"/>
                <w:color w:val="auto"/>
              </w:rPr>
            </w:pPr>
          </w:p>
        </w:tc>
      </w:tr>
      <w:tr>
        <w:trPr>
          <w:trHeight w:val="218"/>
        </w:trPr>
        <w:tc>
          <w:tcPr>
            <w:tcW w:w="3460" w:type="dxa"/>
            <w:vAlign w:val="bottom"/>
            <w:gridSpan w:val="2"/>
          </w:tcPr>
          <w:p>
            <w:pPr>
              <w:jc w:val="center"/>
              <w:ind w:left="1672"/>
              <w:spacing w:after="0"/>
              <w:rPr>
                <w:sz w:val="20"/>
                <w:szCs w:val="20"/>
                <w:color w:val="auto"/>
              </w:rPr>
            </w:pPr>
            <w:r>
              <w:rPr>
                <w:rFonts w:ascii="Times New Roman" w:cs="Times New Roman" w:eastAsia="Times New Roman" w:hAnsi="Times New Roman"/>
                <w:sz w:val="18"/>
                <w:szCs w:val="18"/>
                <w:b w:val="1"/>
                <w:bCs w:val="1"/>
                <w:color w:val="auto"/>
                <w:w w:val="97"/>
              </w:rPr>
              <w:t>St. Louis, Missouri</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80" w:type="dxa"/>
            <w:vAlign w:val="bottom"/>
            <w:gridSpan w:val="2"/>
          </w:tcPr>
          <w:p>
            <w:pPr>
              <w:jc w:val="right"/>
              <w:ind w:right="972"/>
              <w:spacing w:after="0"/>
              <w:rPr>
                <w:sz w:val="20"/>
                <w:szCs w:val="20"/>
                <w:color w:val="auto"/>
              </w:rPr>
            </w:pPr>
            <w:r>
              <w:rPr>
                <w:rFonts w:ascii="Times New Roman" w:cs="Times New Roman" w:eastAsia="Times New Roman" w:hAnsi="Times New Roman"/>
                <w:sz w:val="18"/>
                <w:szCs w:val="18"/>
                <w:b w:val="1"/>
                <w:bCs w:val="1"/>
                <w:color w:val="auto"/>
              </w:rPr>
              <w:t>63131</w:t>
            </w:r>
          </w:p>
        </w:tc>
      </w:tr>
      <w:tr>
        <w:trPr>
          <w:trHeight w:val="228"/>
        </w:trPr>
        <w:tc>
          <w:tcPr>
            <w:tcW w:w="4280" w:type="dxa"/>
            <w:vAlign w:val="bottom"/>
            <w:gridSpan w:val="4"/>
          </w:tcPr>
          <w:p>
            <w:pPr>
              <w:jc w:val="center"/>
              <w:ind w:left="852"/>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720" w:type="dxa"/>
            <w:vAlign w:val="bottom"/>
          </w:tcPr>
          <w:p>
            <w:pPr>
              <w:spacing w:after="0"/>
              <w:rPr>
                <w:sz w:val="19"/>
                <w:szCs w:val="19"/>
                <w:color w:val="auto"/>
              </w:rPr>
            </w:pPr>
          </w:p>
        </w:tc>
        <w:tc>
          <w:tcPr>
            <w:tcW w:w="4760" w:type="dxa"/>
            <w:vAlign w:val="bottom"/>
          </w:tcPr>
          <w:p>
            <w:pPr>
              <w:jc w:val="center"/>
              <w:ind w:left="2112"/>
              <w:spacing w:after="0"/>
              <w:rPr>
                <w:sz w:val="20"/>
                <w:szCs w:val="20"/>
                <w:color w:val="auto"/>
              </w:rPr>
            </w:pPr>
            <w:r>
              <w:rPr>
                <w:rFonts w:ascii="Times New Roman" w:cs="Times New Roman" w:eastAsia="Times New Roman" w:hAnsi="Times New Roman"/>
                <w:sz w:val="18"/>
                <w:szCs w:val="18"/>
                <w:color w:val="auto"/>
                <w:w w:val="95"/>
              </w:rPr>
              <w:t>(Zip Code)</w:t>
            </w:r>
          </w:p>
        </w:tc>
      </w:tr>
      <w:tr>
        <w:trPr>
          <w:trHeight w:val="432"/>
        </w:trPr>
        <w:tc>
          <w:tcPr>
            <w:tcW w:w="2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80" w:type="dxa"/>
            <w:vAlign w:val="bottom"/>
            <w:gridSpan w:val="2"/>
          </w:tcPr>
          <w:p>
            <w:pPr>
              <w:jc w:val="right"/>
              <w:ind w:right="3612"/>
              <w:spacing w:after="0"/>
              <w:rPr>
                <w:sz w:val="20"/>
                <w:szCs w:val="20"/>
                <w:color w:val="auto"/>
              </w:rPr>
            </w:pPr>
            <w:r>
              <w:rPr>
                <w:rFonts w:ascii="Times New Roman" w:cs="Times New Roman" w:eastAsia="Times New Roman" w:hAnsi="Times New Roman"/>
                <w:sz w:val="18"/>
                <w:szCs w:val="18"/>
                <w:b w:val="1"/>
                <w:bCs w:val="1"/>
                <w:color w:val="auto"/>
              </w:rPr>
              <w:t>(314) 506-5500</w:t>
            </w:r>
          </w:p>
        </w:tc>
      </w:tr>
    </w:tbl>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4"/>
          <w:szCs w:val="14"/>
          <w:b w:val="1"/>
          <w:bCs w:val="1"/>
          <w:color w:val="auto"/>
        </w:rPr>
        <w:t>_________________</w:t>
      </w:r>
    </w:p>
    <w:p>
      <w:pPr>
        <w:spacing w:after="0" w:line="191" w:lineRule="exact"/>
        <w:rPr>
          <w:sz w:val="24"/>
          <w:szCs w:val="24"/>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5720"/>
        <w:spacing w:after="0"/>
        <w:tabs>
          <w:tab w:leader="none" w:pos="6400" w:val="left"/>
          <w:tab w:leader="none" w:pos="844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X</w:t>
      </w:r>
      <w:r>
        <w:rPr>
          <w:sz w:val="20"/>
          <w:szCs w:val="20"/>
          <w:color w:val="auto"/>
        </w:rPr>
        <w:tab/>
      </w: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5682615</wp:posOffset>
            </wp:positionH>
            <wp:positionV relativeFrom="paragraph">
              <wp:posOffset>23495</wp:posOffset>
            </wp:positionV>
            <wp:extent cx="3086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23495</wp:posOffset>
            </wp:positionV>
            <wp:extent cx="3086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259" w:lineRule="exact"/>
        <w:rPr>
          <w:sz w:val="24"/>
          <w:szCs w:val="24"/>
          <w:color w:val="auto"/>
        </w:rPr>
      </w:pPr>
    </w:p>
    <w:p>
      <w:pPr>
        <w:jc w:val="both"/>
        <w:ind w:firstLine="198"/>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and posted pursuant to Rule 405 of Regulation S-T (§ 232.405 of this chapter) during the preceding 12 months (or for such shorter period that the registrant was required to submit and post such files).</w:t>
      </w:r>
    </w:p>
    <w:p>
      <w:pPr>
        <w:spacing w:after="0" w:line="2" w:lineRule="exact"/>
        <w:rPr>
          <w:sz w:val="24"/>
          <w:szCs w:val="24"/>
          <w:color w:val="auto"/>
        </w:rPr>
      </w:pPr>
    </w:p>
    <w:p>
      <w:pPr>
        <w:ind w:left="5720"/>
        <w:spacing w:after="0"/>
        <w:tabs>
          <w:tab w:leader="none" w:pos="6400" w:val="left"/>
          <w:tab w:leader="none" w:pos="844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X</w:t>
      </w:r>
      <w:r>
        <w:rPr>
          <w:sz w:val="20"/>
          <w:szCs w:val="20"/>
          <w:color w:val="auto"/>
        </w:rPr>
        <w:tab/>
      </w: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5682615</wp:posOffset>
            </wp:positionH>
            <wp:positionV relativeFrom="paragraph">
              <wp:posOffset>23495</wp:posOffset>
            </wp:positionV>
            <wp:extent cx="3086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23495</wp:posOffset>
            </wp:positionV>
            <wp:extent cx="3086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232" w:lineRule="exact"/>
        <w:rPr>
          <w:sz w:val="24"/>
          <w:szCs w:val="24"/>
          <w:color w:val="auto"/>
        </w:rPr>
      </w:pPr>
    </w:p>
    <w:p>
      <w:pPr>
        <w:jc w:val="both"/>
        <w:ind w:firstLine="198"/>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00" w:lineRule="exact"/>
        <w:rPr>
          <w:sz w:val="24"/>
          <w:szCs w:val="24"/>
          <w:color w:val="auto"/>
        </w:rPr>
      </w:pPr>
    </w:p>
    <w:tbl>
      <w:tblPr>
        <w:tblLayout w:type="fixed"/>
        <w:tblInd w:w="580" w:type="dxa"/>
        <w:tblCellMar>
          <w:top w:w="0" w:type="dxa"/>
          <w:left w:w="0" w:type="dxa"/>
          <w:bottom w:w="0" w:type="dxa"/>
          <w:right w:w="0" w:type="dxa"/>
        </w:tblCellMar>
      </w:tblPr>
      <w:tr>
        <w:trPr>
          <w:trHeight w:val="236"/>
        </w:trPr>
        <w:tc>
          <w:tcPr>
            <w:tcW w:w="2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Large Accelerated Filer  X</w:t>
            </w:r>
          </w:p>
        </w:tc>
        <w:tc>
          <w:tcPr>
            <w:tcW w:w="22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Accelerated Filer</w:t>
            </w:r>
          </w:p>
        </w:tc>
        <w:tc>
          <w:tcPr>
            <w:tcW w:w="48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21"/>
        </w:trPr>
        <w:tc>
          <w:tcPr>
            <w:tcW w:w="1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480"/>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w w:val="99"/>
              </w:rPr>
              <w:t>Non-Accelerated Filer</w:t>
            </w: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w w:val="99"/>
              </w:rPr>
              <w:t>Smaller Reporting Company</w:t>
            </w:r>
          </w:p>
        </w:tc>
        <w:tc>
          <w:tcPr>
            <w:tcW w:w="480" w:type="dxa"/>
            <w:vAlign w:val="bottom"/>
            <w:tcBorders>
              <w:bottom w:val="single" w:sz="8" w:color="auto"/>
            </w:tcBorders>
          </w:tcPr>
          <w:p>
            <w:pPr>
              <w:spacing w:after="0"/>
              <w:rPr>
                <w:sz w:val="24"/>
                <w:szCs w:val="24"/>
                <w:color w:val="auto"/>
              </w:rPr>
            </w:pPr>
          </w:p>
        </w:tc>
        <w:tc>
          <w:tcPr>
            <w:tcW w:w="22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Emerging Growth Company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4953635</wp:posOffset>
            </wp:positionH>
            <wp:positionV relativeFrom="paragraph">
              <wp:posOffset>-8255</wp:posOffset>
            </wp:positionV>
            <wp:extent cx="3086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182"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revised financial accounting standards provided pursuant to Section 13(a) of the Exchange Act. _____</w:t>
      </w:r>
    </w:p>
    <w:p>
      <w:pPr>
        <w:spacing w:after="0" w:line="213"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ectPr>
          <w:pgSz w:w="11900" w:h="16838" w:orient="portrait"/>
          <w:cols w:equalWidth="0" w:num="1">
            <w:col w:w="11420"/>
          </w:cols>
          <w:pgMar w:left="240" w:top="233" w:right="239" w:bottom="1440" w:gutter="0" w:footer="0" w:header="0"/>
        </w:sectPr>
      </w:pPr>
    </w:p>
    <w:p>
      <w:pPr>
        <w:spacing w:after="0" w:line="23" w:lineRule="exact"/>
        <w:rPr>
          <w:sz w:val="24"/>
          <w:szCs w:val="24"/>
          <w:color w:val="auto"/>
        </w:rPr>
      </w:pPr>
    </w:p>
    <w:p>
      <w:pPr>
        <w:ind w:left="5720"/>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3966845</wp:posOffset>
            </wp:positionH>
            <wp:positionV relativeFrom="paragraph">
              <wp:posOffset>38100</wp:posOffset>
            </wp:positionV>
            <wp:extent cx="3086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-107950</wp:posOffset>
            </wp:positionH>
            <wp:positionV relativeFrom="paragraph">
              <wp:posOffset>23495</wp:posOffset>
            </wp:positionV>
            <wp:extent cx="3086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3">
            <w:col w:w="7740" w:space="720"/>
            <w:col w:w="220" w:space="440"/>
            <w:col w:w="2300"/>
          </w:cols>
          <w:pgMar w:left="240" w:top="233" w:right="239" w:bottom="1440" w:gutter="0" w:footer="0" w:header="0"/>
          <w:type w:val="continuous"/>
        </w:sectPr>
      </w:pPr>
    </w:p>
    <w:p>
      <w:pPr>
        <w:spacing w:after="0" w:line="52" w:lineRule="exact"/>
        <w:rPr>
          <w:sz w:val="24"/>
          <w:szCs w:val="24"/>
          <w:color w:val="auto"/>
        </w:rPr>
      </w:pPr>
    </w:p>
    <w:p>
      <w:pPr>
        <w:ind w:firstLine="198"/>
        <w:spacing w:after="0" w:line="275" w:lineRule="auto"/>
        <w:rPr>
          <w:sz w:val="20"/>
          <w:szCs w:val="20"/>
          <w:color w:val="auto"/>
        </w:rPr>
      </w:pPr>
      <w:r>
        <w:rPr>
          <w:rFonts w:ascii="Times New Roman" w:cs="Times New Roman" w:eastAsia="Times New Roman" w:hAnsi="Times New Roman"/>
          <w:sz w:val="18"/>
          <w:szCs w:val="18"/>
          <w:color w:val="auto"/>
        </w:rPr>
        <w:t>The number of shares outstanding of the registrant's only class of common stock as of April 25, 2019: Common stock, par value $.50 per share – 14,526,274 shares outstanding.</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4"/>
              </w:rPr>
              <w:t>Item 1.</w:t>
            </w:r>
          </w:p>
        </w:tc>
        <w:tc>
          <w:tcPr>
            <w:tcW w:w="9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FINANCIAL STATEMENTS</w:t>
            </w: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6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0" w:type="dxa"/>
            <w:vAlign w:val="bottom"/>
            <w:shd w:val="clear" w:color="auto" w:fill="C0C0C0"/>
          </w:tcPr>
          <w:p>
            <w:pPr>
              <w:spacing w:after="0"/>
              <w:rPr>
                <w:sz w:val="19"/>
                <w:szCs w:val="19"/>
                <w:color w:val="auto"/>
              </w:rPr>
            </w:pPr>
          </w:p>
        </w:tc>
        <w:tc>
          <w:tcPr>
            <w:tcW w:w="9680" w:type="dxa"/>
            <w:vAlign w:val="bottom"/>
            <w:shd w:val="clear" w:color="auto" w:fill="C0C0C0"/>
          </w:tcPr>
          <w:p>
            <w:pPr>
              <w:ind w:left="220"/>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96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9680" w:type="dxa"/>
            <w:vAlign w:val="bottom"/>
            <w:shd w:val="clear" w:color="auto" w:fill="C0C0C0"/>
          </w:tcPr>
          <w:p>
            <w:pPr>
              <w:ind w:left="480"/>
              <w:spacing w:after="0"/>
              <w:rPr>
                <w:sz w:val="20"/>
                <w:szCs w:val="20"/>
                <w:color w:val="auto"/>
              </w:rPr>
            </w:pPr>
            <w:r>
              <w:rPr>
                <w:rFonts w:ascii="Times New Roman" w:cs="Times New Roman" w:eastAsia="Times New Roman" w:hAnsi="Times New Roman"/>
                <w:sz w:val="18"/>
                <w:szCs w:val="18"/>
                <w:color w:val="auto"/>
              </w:rPr>
              <w:t>March 31, 2019 (unaudited) and December 31, 2018</w:t>
            </w:r>
          </w:p>
        </w:tc>
        <w:tc>
          <w:tcPr>
            <w:tcW w:w="9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60" w:type="dxa"/>
            <w:vAlign w:val="bottom"/>
            <w:shd w:val="clear" w:color="auto" w:fill="C0C0C0"/>
          </w:tcPr>
          <w:p>
            <w:pPr>
              <w:spacing w:after="0"/>
              <w:rPr>
                <w:sz w:val="22"/>
                <w:szCs w:val="22"/>
                <w:color w:val="auto"/>
              </w:rPr>
            </w:pPr>
          </w:p>
        </w:tc>
        <w:tc>
          <w:tcPr>
            <w:tcW w:w="9680" w:type="dxa"/>
            <w:vAlign w:val="bottom"/>
            <w:shd w:val="clear" w:color="auto" w:fill="C0C0C0"/>
          </w:tcPr>
          <w:p>
            <w:pPr>
              <w:spacing w:after="0"/>
              <w:rPr>
                <w:sz w:val="22"/>
                <w:szCs w:val="22"/>
                <w:color w:val="auto"/>
              </w:rPr>
            </w:pPr>
          </w:p>
        </w:tc>
        <w:tc>
          <w:tcPr>
            <w:tcW w:w="960" w:type="dxa"/>
            <w:vAlign w:val="bottom"/>
            <w:shd w:val="clear" w:color="auto" w:fill="C0C0C0"/>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 Statements of Income</w:t>
            </w: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Three months ended March 31, 2019 and 2018 (unaudited)</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6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0" w:type="dxa"/>
            <w:vAlign w:val="bottom"/>
            <w:shd w:val="clear" w:color="auto" w:fill="C0C0C0"/>
          </w:tcPr>
          <w:p>
            <w:pPr>
              <w:spacing w:after="0"/>
              <w:rPr>
                <w:sz w:val="19"/>
                <w:szCs w:val="19"/>
                <w:color w:val="auto"/>
              </w:rPr>
            </w:pPr>
          </w:p>
        </w:tc>
        <w:tc>
          <w:tcPr>
            <w:tcW w:w="9680" w:type="dxa"/>
            <w:vAlign w:val="bottom"/>
            <w:shd w:val="clear" w:color="auto" w:fill="C0C0C0"/>
          </w:tcPr>
          <w:p>
            <w:pPr>
              <w:ind w:left="220"/>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tc>
        <w:tc>
          <w:tcPr>
            <w:tcW w:w="96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9680" w:type="dxa"/>
            <w:vAlign w:val="bottom"/>
            <w:shd w:val="clear" w:color="auto" w:fill="C0C0C0"/>
          </w:tcPr>
          <w:p>
            <w:pPr>
              <w:ind w:left="480"/>
              <w:spacing w:after="0"/>
              <w:rPr>
                <w:sz w:val="20"/>
                <w:szCs w:val="20"/>
                <w:color w:val="auto"/>
              </w:rPr>
            </w:pPr>
            <w:r>
              <w:rPr>
                <w:rFonts w:ascii="Times New Roman" w:cs="Times New Roman" w:eastAsia="Times New Roman" w:hAnsi="Times New Roman"/>
                <w:sz w:val="18"/>
                <w:szCs w:val="18"/>
                <w:color w:val="auto"/>
              </w:rPr>
              <w:t>Three months ended March 31, 2019 and 2018 (unaudited)</w:t>
            </w:r>
          </w:p>
        </w:tc>
        <w:tc>
          <w:tcPr>
            <w:tcW w:w="9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60" w:type="dxa"/>
            <w:vAlign w:val="bottom"/>
            <w:shd w:val="clear" w:color="auto" w:fill="C0C0C0"/>
          </w:tcPr>
          <w:p>
            <w:pPr>
              <w:spacing w:after="0"/>
              <w:rPr>
                <w:sz w:val="22"/>
                <w:szCs w:val="22"/>
                <w:color w:val="auto"/>
              </w:rPr>
            </w:pPr>
          </w:p>
        </w:tc>
        <w:tc>
          <w:tcPr>
            <w:tcW w:w="9680" w:type="dxa"/>
            <w:vAlign w:val="bottom"/>
            <w:shd w:val="clear" w:color="auto" w:fill="C0C0C0"/>
          </w:tcPr>
          <w:p>
            <w:pPr>
              <w:spacing w:after="0"/>
              <w:rPr>
                <w:sz w:val="22"/>
                <w:szCs w:val="22"/>
                <w:color w:val="auto"/>
              </w:rPr>
            </w:pPr>
          </w:p>
        </w:tc>
        <w:tc>
          <w:tcPr>
            <w:tcW w:w="960" w:type="dxa"/>
            <w:vAlign w:val="bottom"/>
            <w:shd w:val="clear" w:color="auto" w:fill="C0C0C0"/>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Three months ended March 31, 2019 and 2018 (unaudited)</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6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0" w:type="dxa"/>
            <w:vAlign w:val="bottom"/>
            <w:shd w:val="clear" w:color="auto" w:fill="C0C0C0"/>
          </w:tcPr>
          <w:p>
            <w:pPr>
              <w:spacing w:after="0"/>
              <w:rPr>
                <w:sz w:val="19"/>
                <w:szCs w:val="19"/>
                <w:color w:val="auto"/>
              </w:rPr>
            </w:pPr>
          </w:p>
        </w:tc>
        <w:tc>
          <w:tcPr>
            <w:tcW w:w="9680" w:type="dxa"/>
            <w:vAlign w:val="bottom"/>
            <w:shd w:val="clear" w:color="auto" w:fill="C0C0C0"/>
          </w:tcPr>
          <w:p>
            <w:pPr>
              <w:ind w:left="220"/>
              <w:spacing w:after="0"/>
              <w:rPr>
                <w:sz w:val="20"/>
                <w:szCs w:val="20"/>
                <w:color w:val="auto"/>
              </w:rPr>
            </w:pPr>
            <w:r>
              <w:rPr>
                <w:rFonts w:ascii="Times New Roman" w:cs="Times New Roman" w:eastAsia="Times New Roman" w:hAnsi="Times New Roman"/>
                <w:sz w:val="18"/>
                <w:szCs w:val="18"/>
                <w:color w:val="auto"/>
              </w:rPr>
              <w:t>Consolidated Statements of Shareholders’ Equity</w:t>
            </w:r>
          </w:p>
        </w:tc>
        <w:tc>
          <w:tcPr>
            <w:tcW w:w="96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9680" w:type="dxa"/>
            <w:vAlign w:val="bottom"/>
            <w:shd w:val="clear" w:color="auto" w:fill="C0C0C0"/>
          </w:tcPr>
          <w:p>
            <w:pPr>
              <w:ind w:left="480"/>
              <w:spacing w:after="0"/>
              <w:rPr>
                <w:sz w:val="20"/>
                <w:szCs w:val="20"/>
                <w:color w:val="auto"/>
              </w:rPr>
            </w:pPr>
            <w:r>
              <w:rPr>
                <w:rFonts w:ascii="Times New Roman" w:cs="Times New Roman" w:eastAsia="Times New Roman" w:hAnsi="Times New Roman"/>
                <w:sz w:val="18"/>
                <w:szCs w:val="18"/>
                <w:color w:val="auto"/>
              </w:rPr>
              <w:t>Three months ended March 31, 2019 and 2018 (unaudited)</w:t>
            </w:r>
          </w:p>
        </w:tc>
        <w:tc>
          <w:tcPr>
            <w:tcW w:w="9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60" w:type="dxa"/>
            <w:vAlign w:val="bottom"/>
            <w:shd w:val="clear" w:color="auto" w:fill="C0C0C0"/>
          </w:tcPr>
          <w:p>
            <w:pPr>
              <w:spacing w:after="0"/>
              <w:rPr>
                <w:sz w:val="22"/>
                <w:szCs w:val="22"/>
                <w:color w:val="auto"/>
              </w:rPr>
            </w:pPr>
          </w:p>
        </w:tc>
        <w:tc>
          <w:tcPr>
            <w:tcW w:w="9680" w:type="dxa"/>
            <w:vAlign w:val="bottom"/>
            <w:shd w:val="clear" w:color="auto" w:fill="C0C0C0"/>
          </w:tcPr>
          <w:p>
            <w:pPr>
              <w:spacing w:after="0"/>
              <w:rPr>
                <w:sz w:val="22"/>
                <w:szCs w:val="22"/>
                <w:color w:val="auto"/>
              </w:rPr>
            </w:pPr>
          </w:p>
        </w:tc>
        <w:tc>
          <w:tcPr>
            <w:tcW w:w="960" w:type="dxa"/>
            <w:vAlign w:val="bottom"/>
            <w:shd w:val="clear" w:color="auto" w:fill="C0C0C0"/>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6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0" w:type="dxa"/>
            <w:vAlign w:val="bottom"/>
            <w:shd w:val="clear" w:color="auto" w:fill="C0C0C0"/>
          </w:tcPr>
          <w:p>
            <w:pPr>
              <w:ind w:left="260"/>
              <w:spacing w:after="0"/>
              <w:rPr>
                <w:sz w:val="20"/>
                <w:szCs w:val="20"/>
                <w:color w:val="auto"/>
              </w:rPr>
            </w:pPr>
            <w:r>
              <w:rPr>
                <w:rFonts w:ascii="Times New Roman" w:cs="Times New Roman" w:eastAsia="Times New Roman" w:hAnsi="Times New Roman"/>
                <w:sz w:val="18"/>
                <w:szCs w:val="18"/>
                <w:color w:val="auto"/>
                <w:w w:val="94"/>
              </w:rPr>
              <w:t>Item 2.</w:t>
            </w:r>
          </w:p>
        </w:tc>
        <w:tc>
          <w:tcPr>
            <w:tcW w:w="9680" w:type="dxa"/>
            <w:vAlign w:val="bottom"/>
            <w:shd w:val="clear" w:color="auto" w:fill="C0C0C0"/>
          </w:tcPr>
          <w:p>
            <w:pPr>
              <w:ind w:left="2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9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60" w:type="dxa"/>
            <w:vAlign w:val="bottom"/>
            <w:shd w:val="clear" w:color="auto" w:fill="C0C0C0"/>
          </w:tcPr>
          <w:p>
            <w:pPr>
              <w:spacing w:after="0"/>
              <w:rPr>
                <w:sz w:val="22"/>
                <w:szCs w:val="22"/>
                <w:color w:val="auto"/>
              </w:rPr>
            </w:pPr>
          </w:p>
        </w:tc>
        <w:tc>
          <w:tcPr>
            <w:tcW w:w="9680" w:type="dxa"/>
            <w:vAlign w:val="bottom"/>
            <w:shd w:val="clear" w:color="auto" w:fill="C0C0C0"/>
          </w:tcPr>
          <w:p>
            <w:pPr>
              <w:spacing w:after="0"/>
              <w:rPr>
                <w:sz w:val="22"/>
                <w:szCs w:val="22"/>
                <w:color w:val="auto"/>
              </w:rPr>
            </w:pPr>
          </w:p>
        </w:tc>
        <w:tc>
          <w:tcPr>
            <w:tcW w:w="960" w:type="dxa"/>
            <w:vAlign w:val="bottom"/>
            <w:shd w:val="clear" w:color="auto" w:fill="C0C0C0"/>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4"/>
              </w:rPr>
              <w:t>Item 3.</w:t>
            </w:r>
          </w:p>
        </w:tc>
        <w:tc>
          <w:tcPr>
            <w:tcW w:w="9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6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0" w:type="dxa"/>
            <w:vAlign w:val="bottom"/>
            <w:shd w:val="clear" w:color="auto" w:fill="C0C0C0"/>
          </w:tcPr>
          <w:p>
            <w:pPr>
              <w:ind w:left="260"/>
              <w:spacing w:after="0"/>
              <w:rPr>
                <w:sz w:val="20"/>
                <w:szCs w:val="20"/>
                <w:color w:val="auto"/>
              </w:rPr>
            </w:pPr>
            <w:r>
              <w:rPr>
                <w:rFonts w:ascii="Times New Roman" w:cs="Times New Roman" w:eastAsia="Times New Roman" w:hAnsi="Times New Roman"/>
                <w:sz w:val="18"/>
                <w:szCs w:val="18"/>
                <w:color w:val="auto"/>
                <w:w w:val="94"/>
              </w:rPr>
              <w:t>Item 4.</w:t>
            </w:r>
          </w:p>
        </w:tc>
        <w:tc>
          <w:tcPr>
            <w:tcW w:w="9680" w:type="dxa"/>
            <w:vAlign w:val="bottom"/>
            <w:shd w:val="clear" w:color="auto" w:fill="C0C0C0"/>
          </w:tcPr>
          <w:p>
            <w:pPr>
              <w:ind w:left="220"/>
              <w:spacing w:after="0"/>
              <w:rPr>
                <w:sz w:val="20"/>
                <w:szCs w:val="20"/>
                <w:color w:val="auto"/>
              </w:rPr>
            </w:pPr>
            <w:r>
              <w:rPr>
                <w:rFonts w:ascii="Times New Roman" w:cs="Times New Roman" w:eastAsia="Times New Roman" w:hAnsi="Times New Roman"/>
                <w:sz w:val="18"/>
                <w:szCs w:val="18"/>
                <w:color w:val="auto"/>
              </w:rPr>
              <w:t>CONTROLS AND PROCEDURES</w:t>
            </w:r>
          </w:p>
        </w:tc>
        <w:tc>
          <w:tcPr>
            <w:tcW w:w="9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vMerge w:val="restart"/>
          </w:tcPr>
          <w:p>
            <w:pPr>
              <w:spacing w:after="0"/>
              <w:rPr>
                <w:sz w:val="22"/>
                <w:szCs w:val="22"/>
                <w:color w:val="auto"/>
              </w:rPr>
            </w:pPr>
          </w:p>
        </w:tc>
        <w:tc>
          <w:tcPr>
            <w:tcW w:w="760" w:type="dxa"/>
            <w:vAlign w:val="bottom"/>
            <w:shd w:val="clear" w:color="auto" w:fill="C0C0C0"/>
          </w:tcPr>
          <w:p>
            <w:pPr>
              <w:spacing w:after="0"/>
              <w:rPr>
                <w:sz w:val="22"/>
                <w:szCs w:val="22"/>
                <w:color w:val="auto"/>
              </w:rPr>
            </w:pPr>
          </w:p>
        </w:tc>
        <w:tc>
          <w:tcPr>
            <w:tcW w:w="9680" w:type="dxa"/>
            <w:vAlign w:val="bottom"/>
            <w:shd w:val="clear" w:color="auto" w:fill="C0C0C0"/>
          </w:tcPr>
          <w:p>
            <w:pPr>
              <w:spacing w:after="0"/>
              <w:rPr>
                <w:sz w:val="22"/>
                <w:szCs w:val="22"/>
                <w:color w:val="auto"/>
              </w:rPr>
            </w:pPr>
          </w:p>
        </w:tc>
        <w:tc>
          <w:tcPr>
            <w:tcW w:w="960" w:type="dxa"/>
            <w:vAlign w:val="bottom"/>
            <w:shd w:val="clear" w:color="auto" w:fill="C0C0C0"/>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1"/>
              </w:rPr>
              <w:t>PART II –</w:t>
            </w:r>
          </w:p>
        </w:tc>
        <w:tc>
          <w:tcPr>
            <w:tcW w:w="96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Other Information </w:t>
            </w:r>
            <w:r>
              <w:rPr>
                <w:rFonts w:ascii="Times New Roman" w:cs="Times New Roman" w:eastAsia="Times New Roman" w:hAnsi="Times New Roman"/>
                <w:sz w:val="18"/>
                <w:szCs w:val="18"/>
                <w:color w:val="auto"/>
              </w:rPr>
              <w:t>– Items 1. – 6.</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440" w:type="dxa"/>
            <w:vAlign w:val="bottom"/>
            <w:gridSpan w:val="2"/>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440" w:type="dxa"/>
            <w:vAlign w:val="bottom"/>
            <w:gridSpan w:val="2"/>
            <w:shd w:val="clear" w:color="auto" w:fill="C0C0C0"/>
          </w:tcPr>
          <w:p>
            <w:pPr>
              <w:ind w:left="260"/>
              <w:spacing w:after="0"/>
              <w:rPr>
                <w:sz w:val="20"/>
                <w:szCs w:val="20"/>
                <w:color w:val="auto"/>
              </w:rPr>
            </w:pPr>
            <w:r>
              <w:rPr>
                <w:rFonts w:ascii="Times New Roman" w:cs="Times New Roman" w:eastAsia="Times New Roman" w:hAnsi="Times New Roman"/>
                <w:sz w:val="18"/>
                <w:szCs w:val="18"/>
                <w:color w:val="auto"/>
              </w:rPr>
              <w:t>SIGNATURES</w:t>
            </w:r>
          </w:p>
        </w:tc>
        <w:tc>
          <w:tcPr>
            <w:tcW w:w="9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30"/>
        </w:trPr>
        <w:tc>
          <w:tcPr>
            <w:tcW w:w="10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Forward-looking Statements - Factors That May Affect Future Results</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report may contain or incorporate by reference forward-looking statements made pursuant to the safe harbor provisions of Section 27A of the Securities Act of 1933, as amended, and Section 21E of the Securities Exchange Act of 1934, as amended. Although we believe that, in making any such statements, our expectations are based on reasonable assumptions, forward-looking statements are not guarantees of future performance and involve risks, uncertainties, and other factors beyond our control, which may cause future performance to be materially different from expected performance summarized in the forward-looking statements. These risks, uncertainties and other factors are discussed in Part I, Item 1A, “Risk Factors” of the Company’s 2018 Annual Report on Form 10-K, filed with the Securities and Exchange Commission (“SEC”), which may be updated from time to time in our future filings with the SEC. We undertake no obligation to publicly update or revise any forward-looking statements to reflect changed assumptions, the occurrence of anticipated or unanticipated events, or changes to future results over time</w:t>
      </w:r>
      <w:r>
        <w:rPr>
          <w:rFonts w:ascii="Times New Roman" w:cs="Times New Roman" w:eastAsia="Times New Roman" w:hAnsi="Times New Roman"/>
          <w:sz w:val="13"/>
          <w:szCs w:val="13"/>
          <w:color w:val="auto"/>
        </w:rPr>
        <w: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87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7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160" w:type="dxa"/>
            <w:vAlign w:val="bottom"/>
          </w:tcPr>
          <w:p>
            <w:pPr>
              <w:jc w:val="center"/>
              <w:ind w:left="1092"/>
              <w:spacing w:after="0"/>
              <w:rPr>
                <w:sz w:val="20"/>
                <w:szCs w:val="20"/>
                <w:color w:val="auto"/>
              </w:rPr>
            </w:pPr>
            <w:r>
              <w:rPr>
                <w:rFonts w:ascii="Times New Roman" w:cs="Times New Roman" w:eastAsia="Times New Roman" w:hAnsi="Times New Roman"/>
                <w:sz w:val="18"/>
                <w:szCs w:val="18"/>
                <w:b w:val="1"/>
                <w:bCs w:val="1"/>
                <w:color w:val="auto"/>
                <w:w w:val="97"/>
              </w:rPr>
              <w:t>CASS INFORMATION SYSTEMS, INC. AND SUBSIDIARIES</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160" w:type="dxa"/>
            <w:vAlign w:val="bottom"/>
          </w:tcPr>
          <w:p>
            <w:pPr>
              <w:jc w:val="center"/>
              <w:ind w:left="1112"/>
              <w:spacing w:after="0"/>
              <w:rPr>
                <w:sz w:val="20"/>
                <w:szCs w:val="20"/>
                <w:color w:val="auto"/>
              </w:rPr>
            </w:pPr>
            <w:r>
              <w:rPr>
                <w:rFonts w:ascii="Times New Roman" w:cs="Times New Roman" w:eastAsia="Times New Roman" w:hAnsi="Times New Roman"/>
                <w:sz w:val="18"/>
                <w:szCs w:val="18"/>
                <w:b w:val="1"/>
                <w:bCs w:val="1"/>
                <w:color w:val="auto"/>
                <w:w w:val="97"/>
              </w:rPr>
              <w:t>CONSOLIDATED BALANCE SHEETS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160" w:type="dxa"/>
            <w:vAlign w:val="bottom"/>
          </w:tcPr>
          <w:p>
            <w:pPr>
              <w:jc w:val="center"/>
              <w:ind w:left="1112"/>
              <w:spacing w:after="0"/>
              <w:rPr>
                <w:sz w:val="20"/>
                <w:szCs w:val="20"/>
                <w:color w:val="auto"/>
              </w:rPr>
            </w:pPr>
            <w:r>
              <w:rPr>
                <w:rFonts w:ascii="Times New Roman" w:cs="Times New Roman" w:eastAsia="Times New Roman" w:hAnsi="Times New Roman"/>
                <w:sz w:val="18"/>
                <w:szCs w:val="18"/>
                <w:color w:val="auto"/>
                <w:w w:val="97"/>
              </w:rPr>
              <w:t>(Dollars in Thousands except Share and Per Share Data)</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2"/>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4"/>
              </w:rPr>
              <w:t>2019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5"/>
              </w:rPr>
              <w:t>December 31,</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71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gridSpan w:val="4"/>
          </w:tcPr>
          <w:p>
            <w:pPr>
              <w:jc w:val="center"/>
              <w:ind w:left="52"/>
              <w:spacing w:after="0"/>
              <w:rPr>
                <w:sz w:val="20"/>
                <w:szCs w:val="20"/>
                <w:color w:val="auto"/>
              </w:rPr>
            </w:pPr>
            <w:r>
              <w:rPr>
                <w:rFonts w:ascii="Times New Roman" w:cs="Times New Roman" w:eastAsia="Times New Roman" w:hAnsi="Times New Roman"/>
                <w:sz w:val="18"/>
                <w:szCs w:val="18"/>
                <w:b w:val="1"/>
                <w:bCs w:val="1"/>
                <w:color w:val="auto"/>
                <w:w w:val="96"/>
              </w:rPr>
              <w:t>(Unaudited)</w:t>
            </w: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3"/>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80" w:type="dxa"/>
            <w:vAlign w:val="bottom"/>
            <w:gridSpan w:val="3"/>
            <w:shd w:val="clear" w:color="auto" w:fill="C0C0C0"/>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2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due from banks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15,090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15,042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680" w:type="dxa"/>
            <w:vAlign w:val="bottom"/>
            <w:gridSpan w:val="3"/>
            <w:shd w:val="clear" w:color="auto" w:fill="C0C0C0"/>
          </w:tcPr>
          <w:p>
            <w:pPr>
              <w:spacing w:after="0"/>
              <w:rPr>
                <w:sz w:val="20"/>
                <w:szCs w:val="20"/>
                <w:color w:val="auto"/>
              </w:rPr>
            </w:pPr>
            <w:r>
              <w:rPr>
                <w:rFonts w:ascii="Times New Roman" w:cs="Times New Roman" w:eastAsia="Times New Roman" w:hAnsi="Times New Roman"/>
                <w:sz w:val="18"/>
                <w:szCs w:val="18"/>
                <w:color w:val="auto"/>
              </w:rPr>
              <w:t>Interest-bearing deposits in other financial institutions</w:t>
            </w:r>
          </w:p>
        </w:tc>
        <w:tc>
          <w:tcPr>
            <w:tcW w:w="360" w:type="dxa"/>
            <w:vAlign w:val="bottom"/>
            <w:shd w:val="clear" w:color="auto" w:fill="C0C0C0"/>
          </w:tcPr>
          <w:p>
            <w:pPr>
              <w:spacing w:after="0"/>
              <w:rPr>
                <w:sz w:val="22"/>
                <w:szCs w:val="22"/>
                <w:color w:val="auto"/>
              </w:rPr>
            </w:pPr>
          </w:p>
        </w:tc>
        <w:tc>
          <w:tcPr>
            <w:tcW w:w="1000" w:type="dxa"/>
            <w:vAlign w:val="bottom"/>
            <w:gridSpan w:val="3"/>
            <w:shd w:val="clear" w:color="auto" w:fill="C0C0C0"/>
          </w:tcPr>
          <w:p>
            <w:pPr>
              <w:jc w:val="right"/>
              <w:ind w:right="120"/>
              <w:spacing w:after="0"/>
              <w:rPr>
                <w:sz w:val="20"/>
                <w:szCs w:val="20"/>
                <w:color w:val="auto"/>
              </w:rPr>
            </w:pPr>
            <w:r>
              <w:rPr>
                <w:rFonts w:ascii="Times New Roman" w:cs="Times New Roman" w:eastAsia="Times New Roman" w:hAnsi="Times New Roman"/>
                <w:sz w:val="18"/>
                <w:szCs w:val="18"/>
                <w:color w:val="auto"/>
              </w:rPr>
              <w:t>113,937</w:t>
            </w:r>
          </w:p>
        </w:tc>
        <w:tc>
          <w:tcPr>
            <w:tcW w:w="240" w:type="dxa"/>
            <w:vAlign w:val="bottom"/>
            <w:shd w:val="clear" w:color="auto" w:fill="C0C0C0"/>
          </w:tcPr>
          <w:p>
            <w:pPr>
              <w:spacing w:after="0"/>
              <w:rPr>
                <w:sz w:val="22"/>
                <w:szCs w:val="22"/>
                <w:color w:val="auto"/>
              </w:rPr>
            </w:pPr>
          </w:p>
        </w:tc>
        <w:tc>
          <w:tcPr>
            <w:tcW w:w="1120" w:type="dxa"/>
            <w:vAlign w:val="bottom"/>
            <w:gridSpan w:val="3"/>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179,281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Federal funds sold and other short-term investments</w:t>
            </w:r>
          </w:p>
        </w:tc>
        <w:tc>
          <w:tcPr>
            <w:tcW w:w="360" w:type="dxa"/>
            <w:vAlign w:val="bottom"/>
          </w:tcPr>
          <w:p>
            <w:pPr>
              <w:spacing w:after="0"/>
              <w:rPr>
                <w:sz w:val="20"/>
                <w:szCs w:val="20"/>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55,327</w:t>
            </w:r>
          </w:p>
        </w:tc>
        <w:tc>
          <w:tcPr>
            <w:tcW w:w="24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36,610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80" w:type="dxa"/>
            <w:vAlign w:val="bottom"/>
            <w:tcBorders>
              <w:top w:val="single" w:sz="8" w:color="C0C0C0"/>
            </w:tcBorders>
            <w:gridSpan w:val="3"/>
            <w:shd w:val="clear" w:color="auto" w:fill="C0C0C0"/>
          </w:tcPr>
          <w:p>
            <w:pPr>
              <w:ind w:left="5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Borders>
              <w:top w:val="single" w:sz="8" w:color="C0C0C0"/>
            </w:tcBorders>
            <w:shd w:val="clear" w:color="auto" w:fill="C0C0C0"/>
          </w:tcPr>
          <w:p>
            <w:pPr>
              <w:spacing w:after="0"/>
              <w:rPr>
                <w:sz w:val="21"/>
                <w:szCs w:val="21"/>
                <w:color w:val="auto"/>
              </w:rPr>
            </w:pPr>
          </w:p>
        </w:tc>
        <w:tc>
          <w:tcPr>
            <w:tcW w:w="180" w:type="dxa"/>
            <w:vAlign w:val="bottom"/>
            <w:tcBorders>
              <w:top w:val="single" w:sz="8" w:color="C0C0C0"/>
            </w:tcBorders>
            <w:shd w:val="clear" w:color="auto" w:fill="C0C0C0"/>
          </w:tcPr>
          <w:p>
            <w:pPr>
              <w:spacing w:after="0"/>
              <w:rPr>
                <w:sz w:val="21"/>
                <w:szCs w:val="21"/>
                <w:color w:val="auto"/>
              </w:rPr>
            </w:pPr>
          </w:p>
        </w:tc>
        <w:tc>
          <w:tcPr>
            <w:tcW w:w="7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184,354</w:t>
            </w:r>
          </w:p>
        </w:tc>
        <w:tc>
          <w:tcPr>
            <w:tcW w:w="120" w:type="dxa"/>
            <w:vAlign w:val="bottom"/>
            <w:tcBorders>
              <w:top w:val="single" w:sz="8" w:color="C0C0C0"/>
            </w:tcBorders>
            <w:shd w:val="clear" w:color="auto" w:fill="C0C0C0"/>
          </w:tcPr>
          <w:p>
            <w:pPr>
              <w:spacing w:after="0"/>
              <w:rPr>
                <w:sz w:val="21"/>
                <w:szCs w:val="21"/>
                <w:color w:val="auto"/>
              </w:rPr>
            </w:pPr>
          </w:p>
        </w:tc>
        <w:tc>
          <w:tcPr>
            <w:tcW w:w="240" w:type="dxa"/>
            <w:vAlign w:val="bottom"/>
            <w:tcBorders>
              <w:top w:val="single" w:sz="8" w:color="C0C0C0"/>
            </w:tcBorders>
            <w:shd w:val="clear" w:color="auto" w:fill="C0C0C0"/>
          </w:tcPr>
          <w:p>
            <w:pPr>
              <w:spacing w:after="0"/>
              <w:rPr>
                <w:sz w:val="21"/>
                <w:szCs w:val="21"/>
                <w:color w:val="auto"/>
              </w:rPr>
            </w:pPr>
          </w:p>
        </w:tc>
        <w:tc>
          <w:tcPr>
            <w:tcW w:w="440" w:type="dxa"/>
            <w:vAlign w:val="bottom"/>
            <w:tcBorders>
              <w:top w:val="single" w:sz="8" w:color="C0C0C0"/>
            </w:tcBorders>
            <w:gridSpan w:val="2"/>
            <w:shd w:val="clear" w:color="auto" w:fill="C0C0C0"/>
          </w:tcPr>
          <w:p>
            <w:pPr>
              <w:spacing w:after="0"/>
              <w:rPr>
                <w:sz w:val="21"/>
                <w:szCs w:val="21"/>
                <w:color w:val="auto"/>
              </w:rPr>
            </w:pPr>
          </w:p>
        </w:tc>
        <w:tc>
          <w:tcPr>
            <w:tcW w:w="6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230,933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8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available-for-sale, at fair value</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441,189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vMerge w:val="restart"/>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680" w:type="dxa"/>
            <w:vAlign w:val="bottom"/>
            <w:gridSpan w:val="3"/>
            <w:shd w:val="clear" w:color="auto" w:fill="C0C0C0"/>
          </w:tcPr>
          <w:p>
            <w:pPr>
              <w:spacing w:after="0"/>
              <w:rPr>
                <w:sz w:val="20"/>
                <w:szCs w:val="20"/>
                <w:color w:val="auto"/>
              </w:rPr>
            </w:pPr>
            <w:r>
              <w:rPr>
                <w:rFonts w:ascii="Times New Roman" w:cs="Times New Roman" w:eastAsia="Times New Roman" w:hAnsi="Times New Roman"/>
                <w:sz w:val="18"/>
                <w:szCs w:val="18"/>
                <w:color w:val="auto"/>
              </w:rPr>
              <w:t>Loans</w:t>
            </w:r>
          </w:p>
        </w:tc>
        <w:tc>
          <w:tcPr>
            <w:tcW w:w="360" w:type="dxa"/>
            <w:vAlign w:val="bottom"/>
            <w:shd w:val="clear" w:color="auto" w:fill="C0C0C0"/>
          </w:tcPr>
          <w:p>
            <w:pPr>
              <w:spacing w:after="0"/>
              <w:rPr>
                <w:sz w:val="21"/>
                <w:szCs w:val="21"/>
                <w:color w:val="auto"/>
              </w:rPr>
            </w:pPr>
          </w:p>
        </w:tc>
        <w:tc>
          <w:tcPr>
            <w:tcW w:w="1000" w:type="dxa"/>
            <w:vAlign w:val="bottom"/>
            <w:gridSpan w:val="3"/>
            <w:shd w:val="clear" w:color="auto" w:fill="C0C0C0"/>
          </w:tcPr>
          <w:p>
            <w:pPr>
              <w:jc w:val="right"/>
              <w:ind w:right="120"/>
              <w:spacing w:after="0"/>
              <w:rPr>
                <w:sz w:val="20"/>
                <w:szCs w:val="20"/>
                <w:color w:val="auto"/>
              </w:rPr>
            </w:pPr>
            <w:r>
              <w:rPr>
                <w:rFonts w:ascii="Times New Roman" w:cs="Times New Roman" w:eastAsia="Times New Roman" w:hAnsi="Times New Roman"/>
                <w:sz w:val="18"/>
                <w:szCs w:val="18"/>
                <w:color w:val="auto"/>
              </w:rPr>
              <w:t>751,309</w:t>
            </w:r>
          </w:p>
        </w:tc>
        <w:tc>
          <w:tcPr>
            <w:tcW w:w="240" w:type="dxa"/>
            <w:vAlign w:val="bottom"/>
            <w:shd w:val="clear" w:color="auto" w:fill="C0C0C0"/>
          </w:tcPr>
          <w:p>
            <w:pPr>
              <w:spacing w:after="0"/>
              <w:rPr>
                <w:sz w:val="21"/>
                <w:szCs w:val="21"/>
                <w:color w:val="auto"/>
              </w:rPr>
            </w:pPr>
          </w:p>
        </w:tc>
        <w:tc>
          <w:tcPr>
            <w:tcW w:w="1120" w:type="dxa"/>
            <w:vAlign w:val="bottom"/>
            <w:gridSpan w:val="3"/>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721,587</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Less: Allowance for loan losses</w:t>
            </w:r>
          </w:p>
        </w:tc>
        <w:tc>
          <w:tcPr>
            <w:tcW w:w="360" w:type="dxa"/>
            <w:vAlign w:val="bottom"/>
          </w:tcPr>
          <w:p>
            <w:pPr>
              <w:spacing w:after="0"/>
              <w:rPr>
                <w:sz w:val="20"/>
                <w:szCs w:val="20"/>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10,486</w:t>
            </w:r>
          </w:p>
        </w:tc>
        <w:tc>
          <w:tcPr>
            <w:tcW w:w="24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10,225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0" w:type="dxa"/>
            <w:vAlign w:val="bottom"/>
            <w:tcBorders>
              <w:top w:val="single" w:sz="8" w:color="C0C0C0"/>
            </w:tcBorders>
            <w:shd w:val="clear" w:color="auto" w:fill="C0C0C0"/>
          </w:tcPr>
          <w:p>
            <w:pPr>
              <w:spacing w:after="0"/>
              <w:rPr>
                <w:sz w:val="21"/>
                <w:szCs w:val="21"/>
                <w:color w:val="auto"/>
              </w:rPr>
            </w:pPr>
          </w:p>
        </w:tc>
        <w:tc>
          <w:tcPr>
            <w:tcW w:w="7940" w:type="dxa"/>
            <w:vAlign w:val="bottom"/>
            <w:tcBorders>
              <w:top w:val="single" w:sz="8" w:color="C0C0C0"/>
            </w:tcBorders>
            <w:gridSpan w:val="2"/>
            <w:shd w:val="clear" w:color="auto" w:fill="C0C0C0"/>
          </w:tcPr>
          <w:p>
            <w:pPr>
              <w:ind w:left="320"/>
              <w:spacing w:after="0"/>
              <w:rPr>
                <w:sz w:val="20"/>
                <w:szCs w:val="20"/>
                <w:color w:val="auto"/>
              </w:rPr>
            </w:pPr>
            <w:r>
              <w:rPr>
                <w:rFonts w:ascii="Times New Roman" w:cs="Times New Roman" w:eastAsia="Times New Roman" w:hAnsi="Times New Roman"/>
                <w:sz w:val="18"/>
                <w:szCs w:val="18"/>
                <w:color w:val="auto"/>
              </w:rPr>
              <w:t>Loans, net</w:t>
            </w:r>
          </w:p>
        </w:tc>
        <w:tc>
          <w:tcPr>
            <w:tcW w:w="360" w:type="dxa"/>
            <w:vAlign w:val="bottom"/>
            <w:tcBorders>
              <w:top w:val="single" w:sz="8" w:color="C0C0C0"/>
            </w:tcBorders>
            <w:shd w:val="clear" w:color="auto" w:fill="C0C0C0"/>
          </w:tcPr>
          <w:p>
            <w:pPr>
              <w:spacing w:after="0"/>
              <w:rPr>
                <w:sz w:val="21"/>
                <w:szCs w:val="21"/>
                <w:color w:val="auto"/>
              </w:rPr>
            </w:pPr>
          </w:p>
        </w:tc>
        <w:tc>
          <w:tcPr>
            <w:tcW w:w="180" w:type="dxa"/>
            <w:vAlign w:val="bottom"/>
            <w:tcBorders>
              <w:top w:val="single" w:sz="8" w:color="C0C0C0"/>
            </w:tcBorders>
            <w:shd w:val="clear" w:color="auto" w:fill="C0C0C0"/>
          </w:tcPr>
          <w:p>
            <w:pPr>
              <w:spacing w:after="0"/>
              <w:rPr>
                <w:sz w:val="21"/>
                <w:szCs w:val="21"/>
                <w:color w:val="auto"/>
              </w:rPr>
            </w:pPr>
          </w:p>
        </w:tc>
        <w:tc>
          <w:tcPr>
            <w:tcW w:w="7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740,823</w:t>
            </w:r>
          </w:p>
        </w:tc>
        <w:tc>
          <w:tcPr>
            <w:tcW w:w="120" w:type="dxa"/>
            <w:vAlign w:val="bottom"/>
            <w:tcBorders>
              <w:top w:val="single" w:sz="8" w:color="C0C0C0"/>
            </w:tcBorders>
            <w:shd w:val="clear" w:color="auto" w:fill="C0C0C0"/>
          </w:tcPr>
          <w:p>
            <w:pPr>
              <w:spacing w:after="0"/>
              <w:rPr>
                <w:sz w:val="21"/>
                <w:szCs w:val="21"/>
                <w:color w:val="auto"/>
              </w:rPr>
            </w:pPr>
          </w:p>
        </w:tc>
        <w:tc>
          <w:tcPr>
            <w:tcW w:w="240" w:type="dxa"/>
            <w:vAlign w:val="bottom"/>
            <w:tcBorders>
              <w:top w:val="single" w:sz="8" w:color="C0C0C0"/>
            </w:tcBorders>
            <w:shd w:val="clear" w:color="auto" w:fill="C0C0C0"/>
          </w:tcPr>
          <w:p>
            <w:pPr>
              <w:spacing w:after="0"/>
              <w:rPr>
                <w:sz w:val="21"/>
                <w:szCs w:val="21"/>
                <w:color w:val="auto"/>
              </w:rPr>
            </w:pPr>
          </w:p>
        </w:tc>
        <w:tc>
          <w:tcPr>
            <w:tcW w:w="440" w:type="dxa"/>
            <w:vAlign w:val="bottom"/>
            <w:tcBorders>
              <w:top w:val="single" w:sz="8" w:color="C0C0C0"/>
            </w:tcBorders>
            <w:gridSpan w:val="2"/>
            <w:shd w:val="clear" w:color="auto" w:fill="C0C0C0"/>
          </w:tcPr>
          <w:p>
            <w:pPr>
              <w:spacing w:after="0"/>
              <w:rPr>
                <w:sz w:val="21"/>
                <w:szCs w:val="21"/>
                <w:color w:val="auto"/>
              </w:rPr>
            </w:pPr>
          </w:p>
        </w:tc>
        <w:tc>
          <w:tcPr>
            <w:tcW w:w="6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711,362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8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680" w:type="dxa"/>
            <w:vAlign w:val="bottom"/>
            <w:gridSpan w:val="3"/>
            <w:shd w:val="clear" w:color="auto" w:fill="C0C0C0"/>
          </w:tcPr>
          <w:p>
            <w:pPr>
              <w:spacing w:after="0"/>
              <w:rPr>
                <w:sz w:val="20"/>
                <w:szCs w:val="20"/>
                <w:color w:val="auto"/>
              </w:rPr>
            </w:pPr>
            <w:r>
              <w:rPr>
                <w:rFonts w:ascii="Times New Roman" w:cs="Times New Roman" w:eastAsia="Times New Roman" w:hAnsi="Times New Roman"/>
                <w:sz w:val="18"/>
                <w:szCs w:val="18"/>
                <w:color w:val="auto"/>
              </w:rPr>
              <w:t>Investment in bank-owned life insurance</w:t>
            </w:r>
          </w:p>
        </w:tc>
        <w:tc>
          <w:tcPr>
            <w:tcW w:w="360" w:type="dxa"/>
            <w:vAlign w:val="bottom"/>
            <w:shd w:val="clear" w:color="auto" w:fill="C0C0C0"/>
          </w:tcPr>
          <w:p>
            <w:pPr>
              <w:spacing w:after="0"/>
              <w:rPr>
                <w:sz w:val="22"/>
                <w:szCs w:val="22"/>
                <w:color w:val="auto"/>
              </w:rPr>
            </w:pPr>
          </w:p>
        </w:tc>
        <w:tc>
          <w:tcPr>
            <w:tcW w:w="1000" w:type="dxa"/>
            <w:vAlign w:val="bottom"/>
            <w:gridSpan w:val="3"/>
            <w:shd w:val="clear" w:color="auto" w:fill="C0C0C0"/>
          </w:tcPr>
          <w:p>
            <w:pPr>
              <w:jc w:val="right"/>
              <w:ind w:right="120"/>
              <w:spacing w:after="0"/>
              <w:rPr>
                <w:sz w:val="20"/>
                <w:szCs w:val="20"/>
                <w:color w:val="auto"/>
              </w:rPr>
            </w:pPr>
            <w:r>
              <w:rPr>
                <w:rFonts w:ascii="Times New Roman" w:cs="Times New Roman" w:eastAsia="Times New Roman" w:hAnsi="Times New Roman"/>
                <w:sz w:val="18"/>
                <w:szCs w:val="18"/>
                <w:color w:val="auto"/>
              </w:rPr>
              <w:t>17,495</w:t>
            </w:r>
          </w:p>
        </w:tc>
        <w:tc>
          <w:tcPr>
            <w:tcW w:w="240" w:type="dxa"/>
            <w:vAlign w:val="bottom"/>
            <w:shd w:val="clear" w:color="auto" w:fill="C0C0C0"/>
          </w:tcPr>
          <w:p>
            <w:pPr>
              <w:spacing w:after="0"/>
              <w:rPr>
                <w:sz w:val="22"/>
                <w:szCs w:val="22"/>
                <w:color w:val="auto"/>
              </w:rPr>
            </w:pPr>
          </w:p>
        </w:tc>
        <w:tc>
          <w:tcPr>
            <w:tcW w:w="1120" w:type="dxa"/>
            <w:vAlign w:val="bottom"/>
            <w:gridSpan w:val="3"/>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17,384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Payments in excess of funding</w:t>
            </w:r>
          </w:p>
        </w:tc>
        <w:tc>
          <w:tcPr>
            <w:tcW w:w="360" w:type="dxa"/>
            <w:vAlign w:val="bottom"/>
          </w:tcPr>
          <w:p>
            <w:pPr>
              <w:spacing w:after="0"/>
              <w:rPr>
                <w:sz w:val="19"/>
                <w:szCs w:val="19"/>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162,953</w:t>
            </w:r>
          </w:p>
        </w:tc>
        <w:tc>
          <w:tcPr>
            <w:tcW w:w="24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160,777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680" w:type="dxa"/>
            <w:vAlign w:val="bottom"/>
            <w:gridSpan w:val="3"/>
            <w:shd w:val="clear" w:color="auto" w:fill="C0C0C0"/>
          </w:tcPr>
          <w:p>
            <w:pPr>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shd w:val="clear" w:color="auto" w:fill="C0C0C0"/>
          </w:tcPr>
          <w:p>
            <w:pPr>
              <w:spacing w:after="0"/>
              <w:rPr>
                <w:sz w:val="22"/>
                <w:szCs w:val="22"/>
                <w:color w:val="auto"/>
              </w:rPr>
            </w:pPr>
          </w:p>
        </w:tc>
        <w:tc>
          <w:tcPr>
            <w:tcW w:w="1000" w:type="dxa"/>
            <w:vAlign w:val="bottom"/>
            <w:gridSpan w:val="3"/>
            <w:shd w:val="clear" w:color="auto" w:fill="C0C0C0"/>
          </w:tcPr>
          <w:p>
            <w:pPr>
              <w:jc w:val="right"/>
              <w:ind w:right="120"/>
              <w:spacing w:after="0"/>
              <w:rPr>
                <w:sz w:val="20"/>
                <w:szCs w:val="20"/>
                <w:color w:val="auto"/>
              </w:rPr>
            </w:pPr>
            <w:r>
              <w:rPr>
                <w:rFonts w:ascii="Times New Roman" w:cs="Times New Roman" w:eastAsia="Times New Roman" w:hAnsi="Times New Roman"/>
                <w:sz w:val="18"/>
                <w:szCs w:val="18"/>
                <w:color w:val="auto"/>
              </w:rPr>
              <w:t>12,569</w:t>
            </w:r>
          </w:p>
        </w:tc>
        <w:tc>
          <w:tcPr>
            <w:tcW w:w="240" w:type="dxa"/>
            <w:vAlign w:val="bottom"/>
            <w:shd w:val="clear" w:color="auto" w:fill="C0C0C0"/>
          </w:tcPr>
          <w:p>
            <w:pPr>
              <w:spacing w:after="0"/>
              <w:rPr>
                <w:sz w:val="22"/>
                <w:szCs w:val="22"/>
                <w:color w:val="auto"/>
              </w:rPr>
            </w:pPr>
          </w:p>
        </w:tc>
        <w:tc>
          <w:tcPr>
            <w:tcW w:w="1120" w:type="dxa"/>
            <w:vAlign w:val="bottom"/>
            <w:gridSpan w:val="3"/>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12,569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360" w:type="dxa"/>
            <w:vAlign w:val="bottom"/>
          </w:tcPr>
          <w:p>
            <w:pPr>
              <w:spacing w:after="0"/>
              <w:rPr>
                <w:sz w:val="19"/>
                <w:szCs w:val="19"/>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1,446</w:t>
            </w:r>
          </w:p>
        </w:tc>
        <w:tc>
          <w:tcPr>
            <w:tcW w:w="24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680" w:type="dxa"/>
            <w:vAlign w:val="bottom"/>
            <w:gridSpan w:val="3"/>
            <w:shd w:val="clear" w:color="auto" w:fill="C0C0C0"/>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shd w:val="clear" w:color="auto" w:fill="C0C0C0"/>
          </w:tcPr>
          <w:p>
            <w:pPr>
              <w:spacing w:after="0"/>
              <w:rPr>
                <w:sz w:val="22"/>
                <w:szCs w:val="22"/>
                <w:color w:val="auto"/>
              </w:rPr>
            </w:pPr>
          </w:p>
        </w:tc>
        <w:tc>
          <w:tcPr>
            <w:tcW w:w="1000" w:type="dxa"/>
            <w:vAlign w:val="bottom"/>
            <w:gridSpan w:val="3"/>
            <w:shd w:val="clear" w:color="auto" w:fill="C0C0C0"/>
          </w:tcPr>
          <w:p>
            <w:pPr>
              <w:jc w:val="right"/>
              <w:ind w:right="120"/>
              <w:spacing w:after="0"/>
              <w:rPr>
                <w:sz w:val="20"/>
                <w:szCs w:val="20"/>
                <w:color w:val="auto"/>
              </w:rPr>
            </w:pPr>
            <w:r>
              <w:rPr>
                <w:rFonts w:ascii="Times New Roman" w:cs="Times New Roman" w:eastAsia="Times New Roman" w:hAnsi="Times New Roman"/>
                <w:sz w:val="18"/>
                <w:szCs w:val="18"/>
                <w:color w:val="auto"/>
              </w:rPr>
              <w:t>102,408</w:t>
            </w:r>
          </w:p>
        </w:tc>
        <w:tc>
          <w:tcPr>
            <w:tcW w:w="240" w:type="dxa"/>
            <w:vAlign w:val="bottom"/>
            <w:shd w:val="clear" w:color="auto" w:fill="C0C0C0"/>
          </w:tcPr>
          <w:p>
            <w:pPr>
              <w:spacing w:after="0"/>
              <w:rPr>
                <w:sz w:val="22"/>
                <w:szCs w:val="22"/>
                <w:color w:val="auto"/>
              </w:rPr>
            </w:pPr>
          </w:p>
        </w:tc>
        <w:tc>
          <w:tcPr>
            <w:tcW w:w="1120" w:type="dxa"/>
            <w:vAlign w:val="bottom"/>
            <w:gridSpan w:val="3"/>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97,032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6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1,684,881</w:t>
            </w:r>
          </w:p>
        </w:tc>
        <w:tc>
          <w:tcPr>
            <w:tcW w:w="12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1,695,176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680" w:type="dxa"/>
            <w:vAlign w:val="bottom"/>
            <w:gridSpan w:val="3"/>
            <w:shd w:val="clear" w:color="auto" w:fill="C0C0C0"/>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2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Liabilities:</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8680" w:type="dxa"/>
            <w:vAlign w:val="bottom"/>
            <w:gridSpan w:val="3"/>
            <w:shd w:val="clear" w:color="auto" w:fill="C0C0C0"/>
          </w:tcPr>
          <w:p>
            <w:pPr>
              <w:spacing w:after="0"/>
              <w:rPr>
                <w:sz w:val="20"/>
                <w:szCs w:val="20"/>
                <w:color w:val="auto"/>
              </w:rPr>
            </w:pPr>
            <w:r>
              <w:rPr>
                <w:rFonts w:ascii="Times New Roman" w:cs="Times New Roman" w:eastAsia="Times New Roman" w:hAnsi="Times New Roman"/>
                <w:sz w:val="18"/>
                <w:szCs w:val="18"/>
                <w:color w:val="auto"/>
              </w:rPr>
              <w:t>Deposits:</w:t>
            </w:r>
          </w:p>
        </w:tc>
        <w:tc>
          <w:tcPr>
            <w:tcW w:w="3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2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Noninterest-bearing</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271,178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313,258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680" w:type="dxa"/>
            <w:vAlign w:val="bottom"/>
            <w:gridSpan w:val="3"/>
            <w:shd w:val="clear" w:color="auto" w:fill="C0C0C0"/>
          </w:tcPr>
          <w:p>
            <w:pPr>
              <w:ind w:left="260"/>
              <w:spacing w:after="0"/>
              <w:rPr>
                <w:sz w:val="20"/>
                <w:szCs w:val="20"/>
                <w:color w:val="auto"/>
              </w:rPr>
            </w:pPr>
            <w:r>
              <w:rPr>
                <w:rFonts w:ascii="Times New Roman" w:cs="Times New Roman" w:eastAsia="Times New Roman" w:hAnsi="Times New Roman"/>
                <w:sz w:val="18"/>
                <w:szCs w:val="18"/>
                <w:color w:val="auto"/>
              </w:rPr>
              <w:t>Interest-bearing</w:t>
            </w:r>
          </w:p>
        </w:tc>
        <w:tc>
          <w:tcPr>
            <w:tcW w:w="360" w:type="dxa"/>
            <w:vAlign w:val="bottom"/>
            <w:shd w:val="clear" w:color="auto" w:fill="C0C0C0"/>
          </w:tcPr>
          <w:p>
            <w:pPr>
              <w:spacing w:after="0"/>
              <w:rPr>
                <w:sz w:val="22"/>
                <w:szCs w:val="22"/>
                <w:color w:val="auto"/>
              </w:rPr>
            </w:pPr>
          </w:p>
        </w:tc>
        <w:tc>
          <w:tcPr>
            <w:tcW w:w="1000" w:type="dxa"/>
            <w:vAlign w:val="bottom"/>
            <w:gridSpan w:val="3"/>
            <w:shd w:val="clear" w:color="auto" w:fill="C0C0C0"/>
          </w:tcPr>
          <w:p>
            <w:pPr>
              <w:jc w:val="right"/>
              <w:ind w:right="120"/>
              <w:spacing w:after="0"/>
              <w:rPr>
                <w:sz w:val="20"/>
                <w:szCs w:val="20"/>
                <w:color w:val="auto"/>
              </w:rPr>
            </w:pPr>
            <w:r>
              <w:rPr>
                <w:rFonts w:ascii="Times New Roman" w:cs="Times New Roman" w:eastAsia="Times New Roman" w:hAnsi="Times New Roman"/>
                <w:sz w:val="18"/>
                <w:szCs w:val="18"/>
                <w:color w:val="auto"/>
              </w:rPr>
              <w:t>384,254</w:t>
            </w:r>
          </w:p>
        </w:tc>
        <w:tc>
          <w:tcPr>
            <w:tcW w:w="240" w:type="dxa"/>
            <w:vAlign w:val="bottom"/>
            <w:shd w:val="clear" w:color="auto" w:fill="C0C0C0"/>
          </w:tcPr>
          <w:p>
            <w:pPr>
              <w:spacing w:after="0"/>
              <w:rPr>
                <w:sz w:val="22"/>
                <w:szCs w:val="22"/>
                <w:color w:val="auto"/>
              </w:rPr>
            </w:pPr>
          </w:p>
        </w:tc>
        <w:tc>
          <w:tcPr>
            <w:tcW w:w="1120" w:type="dxa"/>
            <w:vAlign w:val="bottom"/>
            <w:gridSpan w:val="3"/>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408,668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Borders>
              <w:bottom w:val="single" w:sz="8" w:color="C0C0C0"/>
            </w:tcBorders>
            <w:gridSpan w:val="3"/>
          </w:tcPr>
          <w:p>
            <w:pPr>
              <w:ind w:left="520"/>
              <w:spacing w:after="0"/>
              <w:rPr>
                <w:sz w:val="20"/>
                <w:szCs w:val="20"/>
                <w:color w:val="auto"/>
              </w:rPr>
            </w:pPr>
            <w:r>
              <w:rPr>
                <w:rFonts w:ascii="Times New Roman" w:cs="Times New Roman" w:eastAsia="Times New Roman" w:hAnsi="Times New Roman"/>
                <w:sz w:val="18"/>
                <w:szCs w:val="18"/>
                <w:color w:val="auto"/>
              </w:rPr>
              <w:t>Total deposits</w:t>
            </w:r>
          </w:p>
        </w:tc>
        <w:tc>
          <w:tcPr>
            <w:tcW w:w="36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655,432</w:t>
            </w:r>
          </w:p>
        </w:tc>
        <w:tc>
          <w:tcPr>
            <w:tcW w:w="12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gridSpan w:val="2"/>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721,926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80" w:type="dxa"/>
            <w:vAlign w:val="bottom"/>
            <w:gridSpan w:val="3"/>
            <w:shd w:val="clear" w:color="auto" w:fill="C0C0C0"/>
          </w:tcPr>
          <w:p>
            <w:pPr>
              <w:spacing w:after="0"/>
              <w:rPr>
                <w:sz w:val="20"/>
                <w:szCs w:val="20"/>
                <w:color w:val="auto"/>
              </w:rPr>
            </w:pPr>
            <w:r>
              <w:rPr>
                <w:rFonts w:ascii="Times New Roman" w:cs="Times New Roman" w:eastAsia="Times New Roman" w:hAnsi="Times New Roman"/>
                <w:sz w:val="18"/>
                <w:szCs w:val="18"/>
                <w:color w:val="auto"/>
              </w:rPr>
              <w:t>Accounts and drafts payable</w:t>
            </w:r>
          </w:p>
        </w:tc>
        <w:tc>
          <w:tcPr>
            <w:tcW w:w="3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739,357</w:t>
            </w:r>
          </w:p>
        </w:tc>
        <w:tc>
          <w:tcPr>
            <w:tcW w:w="1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440" w:type="dxa"/>
            <w:vAlign w:val="bottom"/>
            <w:gridSpan w:val="2"/>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694,360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60" w:type="dxa"/>
            <w:vAlign w:val="bottom"/>
          </w:tcPr>
          <w:p>
            <w:pPr>
              <w:spacing w:after="0"/>
              <w:rPr>
                <w:sz w:val="20"/>
                <w:szCs w:val="20"/>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55,612</w:t>
            </w:r>
          </w:p>
        </w:tc>
        <w:tc>
          <w:tcPr>
            <w:tcW w:w="24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49,042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tcBorders>
              <w:top w:val="single" w:sz="8" w:color="C0C0C0"/>
              <w:bottom w:val="single" w:sz="8" w:color="C0C0C0"/>
            </w:tcBorders>
            <w:gridSpan w:val="3"/>
            <w:shd w:val="clear" w:color="auto" w:fill="C0C0C0"/>
          </w:tcPr>
          <w:p>
            <w:pPr>
              <w:ind w:left="52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top w:val="single" w:sz="8" w:color="C0C0C0"/>
              <w:bottom w:val="single" w:sz="8" w:color="C0C0C0"/>
            </w:tcBorders>
            <w:shd w:val="clear" w:color="auto" w:fill="C0C0C0"/>
          </w:tcPr>
          <w:p>
            <w:pPr>
              <w:spacing w:after="0"/>
              <w:rPr>
                <w:sz w:val="20"/>
                <w:szCs w:val="20"/>
                <w:color w:val="auto"/>
              </w:rPr>
            </w:pPr>
          </w:p>
        </w:tc>
        <w:tc>
          <w:tcPr>
            <w:tcW w:w="180" w:type="dxa"/>
            <w:vAlign w:val="bottom"/>
            <w:tcBorders>
              <w:top w:val="single" w:sz="8" w:color="C0C0C0"/>
              <w:bottom w:val="single" w:sz="8" w:color="C0C0C0"/>
            </w:tcBorders>
            <w:shd w:val="clear" w:color="auto" w:fill="C0C0C0"/>
          </w:tcPr>
          <w:p>
            <w:pPr>
              <w:spacing w:after="0"/>
              <w:rPr>
                <w:sz w:val="20"/>
                <w:szCs w:val="20"/>
                <w:color w:val="auto"/>
              </w:rPr>
            </w:pPr>
          </w:p>
        </w:tc>
        <w:tc>
          <w:tcPr>
            <w:tcW w:w="7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w w:val="94"/>
              </w:rPr>
              <w:t>1,450,401</w:t>
            </w:r>
          </w:p>
        </w:tc>
        <w:tc>
          <w:tcPr>
            <w:tcW w:w="120" w:type="dxa"/>
            <w:vAlign w:val="bottom"/>
            <w:tcBorders>
              <w:top w:val="single" w:sz="8" w:color="C0C0C0"/>
              <w:bottom w:val="single" w:sz="8" w:color="C0C0C0"/>
            </w:tcBorders>
            <w:shd w:val="clear" w:color="auto" w:fill="C0C0C0"/>
          </w:tcPr>
          <w:p>
            <w:pPr>
              <w:spacing w:after="0"/>
              <w:rPr>
                <w:sz w:val="20"/>
                <w:szCs w:val="20"/>
                <w:color w:val="auto"/>
              </w:rPr>
            </w:pPr>
          </w:p>
        </w:tc>
        <w:tc>
          <w:tcPr>
            <w:tcW w:w="240" w:type="dxa"/>
            <w:vAlign w:val="bottom"/>
            <w:tcBorders>
              <w:top w:val="single" w:sz="8" w:color="C0C0C0"/>
              <w:bottom w:val="single" w:sz="8" w:color="C0C0C0"/>
            </w:tcBorders>
            <w:shd w:val="clear" w:color="auto" w:fill="C0C0C0"/>
          </w:tcPr>
          <w:p>
            <w:pPr>
              <w:spacing w:after="0"/>
              <w:rPr>
                <w:sz w:val="20"/>
                <w:szCs w:val="20"/>
                <w:color w:val="auto"/>
              </w:rPr>
            </w:pPr>
          </w:p>
        </w:tc>
        <w:tc>
          <w:tcPr>
            <w:tcW w:w="440" w:type="dxa"/>
            <w:vAlign w:val="bottom"/>
            <w:tcBorders>
              <w:top w:val="single" w:sz="8" w:color="C0C0C0"/>
              <w:bottom w:val="single" w:sz="8" w:color="C0C0C0"/>
            </w:tcBorders>
            <w:gridSpan w:val="2"/>
            <w:shd w:val="clear" w:color="auto" w:fill="C0C0C0"/>
          </w:tcPr>
          <w:p>
            <w:pPr>
              <w:spacing w:after="0"/>
              <w:rPr>
                <w:sz w:val="20"/>
                <w:szCs w:val="20"/>
                <w:color w:val="auto"/>
              </w:rPr>
            </w:pPr>
          </w:p>
        </w:tc>
        <w:tc>
          <w:tcPr>
            <w:tcW w:w="6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w w:val="91"/>
              </w:rPr>
              <w:t>1,465,328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40" w:type="dxa"/>
            <w:vAlign w:val="bottom"/>
            <w:shd w:val="clear" w:color="auto" w:fill="C0C0C0"/>
          </w:tcPr>
          <w:p>
            <w:pPr>
              <w:spacing w:after="0"/>
              <w:rPr>
                <w:sz w:val="19"/>
                <w:szCs w:val="19"/>
                <w:color w:val="auto"/>
              </w:rPr>
            </w:pPr>
          </w:p>
        </w:tc>
        <w:tc>
          <w:tcPr>
            <w:tcW w:w="780" w:type="dxa"/>
            <w:vAlign w:val="bottom"/>
            <w:shd w:val="clear" w:color="auto" w:fill="C0C0C0"/>
          </w:tcPr>
          <w:p>
            <w:pPr>
              <w:spacing w:after="0"/>
              <w:rPr>
                <w:sz w:val="19"/>
                <w:szCs w:val="19"/>
                <w:color w:val="auto"/>
              </w:rPr>
            </w:pPr>
          </w:p>
        </w:tc>
        <w:tc>
          <w:tcPr>
            <w:tcW w:w="7160" w:type="dxa"/>
            <w:vAlign w:val="bottom"/>
            <w:shd w:val="clear" w:color="auto" w:fill="C0C0C0"/>
          </w:tcPr>
          <w:p>
            <w:pPr>
              <w:spacing w:after="0"/>
              <w:rPr>
                <w:sz w:val="19"/>
                <w:szCs w:val="19"/>
                <w:color w:val="auto"/>
              </w:rPr>
            </w:pPr>
          </w:p>
        </w:tc>
        <w:tc>
          <w:tcPr>
            <w:tcW w:w="36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70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420" w:type="dxa"/>
            <w:vAlign w:val="bottom"/>
            <w:shd w:val="clear" w:color="auto" w:fill="C0C0C0"/>
          </w:tcPr>
          <w:p>
            <w:pPr>
              <w:spacing w:after="0"/>
              <w:rPr>
                <w:sz w:val="19"/>
                <w:szCs w:val="19"/>
                <w:color w:val="auto"/>
              </w:rPr>
            </w:pPr>
          </w:p>
        </w:tc>
        <w:tc>
          <w:tcPr>
            <w:tcW w:w="20" w:type="dxa"/>
            <w:vAlign w:val="bottom"/>
            <w:shd w:val="clear" w:color="auto" w:fill="C0C0C0"/>
          </w:tcPr>
          <w:p>
            <w:pPr>
              <w:spacing w:after="0"/>
              <w:rPr>
                <w:sz w:val="19"/>
                <w:szCs w:val="19"/>
                <w:color w:val="auto"/>
              </w:rPr>
            </w:pPr>
          </w:p>
        </w:tc>
        <w:tc>
          <w:tcPr>
            <w:tcW w:w="68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86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Shareholders’ Equity:</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7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8680" w:type="dxa"/>
            <w:vAlign w:val="bottom"/>
            <w:gridSpan w:val="3"/>
            <w:shd w:val="clear" w:color="auto" w:fill="C0C0C0"/>
          </w:tcPr>
          <w:p>
            <w:pPr>
              <w:spacing w:after="0"/>
              <w:rPr>
                <w:sz w:val="20"/>
                <w:szCs w:val="20"/>
                <w:color w:val="auto"/>
              </w:rPr>
            </w:pPr>
            <w:r>
              <w:rPr>
                <w:rFonts w:ascii="Times New Roman" w:cs="Times New Roman" w:eastAsia="Times New Roman" w:hAnsi="Times New Roman"/>
                <w:sz w:val="18"/>
                <w:szCs w:val="18"/>
                <w:color w:val="auto"/>
              </w:rPr>
              <w:t>Preferred stock, par value $.50 per share; 2,000,000 shares authorized and no shares issued</w:t>
            </w:r>
          </w:p>
        </w:tc>
        <w:tc>
          <w:tcPr>
            <w:tcW w:w="3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20" w:type="dxa"/>
            <w:vAlign w:val="bottom"/>
            <w:gridSpan w:val="2"/>
            <w:shd w:val="clear" w:color="auto" w:fill="C0C0C0"/>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2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stock, par value $.50 per share; 40,000,000 shares authorized and 15,505,772 shares issued at March 31, 2019</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6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and December 31, 2018</w:t>
            </w:r>
          </w:p>
        </w:tc>
        <w:tc>
          <w:tcPr>
            <w:tcW w:w="360" w:type="dxa"/>
            <w:vAlign w:val="bottom"/>
          </w:tcPr>
          <w:p>
            <w:pPr>
              <w:spacing w:after="0"/>
              <w:rPr>
                <w:sz w:val="21"/>
                <w:szCs w:val="21"/>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7,753</w:t>
            </w:r>
          </w:p>
        </w:tc>
        <w:tc>
          <w:tcPr>
            <w:tcW w:w="240" w:type="dxa"/>
            <w:vAlign w:val="bottom"/>
          </w:tcPr>
          <w:p>
            <w:pPr>
              <w:spacing w:after="0"/>
              <w:rPr>
                <w:sz w:val="21"/>
                <w:szCs w:val="21"/>
                <w:color w:val="auto"/>
              </w:rPr>
            </w:pPr>
          </w:p>
        </w:tc>
        <w:tc>
          <w:tcPr>
            <w:tcW w:w="11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7,753</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680" w:type="dxa"/>
            <w:vAlign w:val="bottom"/>
            <w:gridSpan w:val="3"/>
            <w:shd w:val="clear" w:color="auto" w:fill="C0C0C0"/>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shd w:val="clear" w:color="auto" w:fill="C0C0C0"/>
          </w:tcPr>
          <w:p>
            <w:pPr>
              <w:spacing w:after="0"/>
              <w:rPr>
                <w:sz w:val="22"/>
                <w:szCs w:val="22"/>
                <w:color w:val="auto"/>
              </w:rPr>
            </w:pPr>
          </w:p>
        </w:tc>
        <w:tc>
          <w:tcPr>
            <w:tcW w:w="1000" w:type="dxa"/>
            <w:vAlign w:val="bottom"/>
            <w:gridSpan w:val="3"/>
            <w:shd w:val="clear" w:color="auto" w:fill="C0C0C0"/>
          </w:tcPr>
          <w:p>
            <w:pPr>
              <w:jc w:val="right"/>
              <w:ind w:right="120"/>
              <w:spacing w:after="0"/>
              <w:rPr>
                <w:sz w:val="20"/>
                <w:szCs w:val="20"/>
                <w:color w:val="auto"/>
              </w:rPr>
            </w:pPr>
            <w:r>
              <w:rPr>
                <w:rFonts w:ascii="Times New Roman" w:cs="Times New Roman" w:eastAsia="Times New Roman" w:hAnsi="Times New Roman"/>
                <w:sz w:val="18"/>
                <w:szCs w:val="18"/>
                <w:color w:val="auto"/>
              </w:rPr>
              <w:t>205,310</w:t>
            </w:r>
          </w:p>
        </w:tc>
        <w:tc>
          <w:tcPr>
            <w:tcW w:w="240" w:type="dxa"/>
            <w:vAlign w:val="bottom"/>
            <w:shd w:val="clear" w:color="auto" w:fill="C0C0C0"/>
          </w:tcPr>
          <w:p>
            <w:pPr>
              <w:spacing w:after="0"/>
              <w:rPr>
                <w:sz w:val="22"/>
                <w:szCs w:val="22"/>
                <w:color w:val="auto"/>
              </w:rPr>
            </w:pPr>
          </w:p>
        </w:tc>
        <w:tc>
          <w:tcPr>
            <w:tcW w:w="1120" w:type="dxa"/>
            <w:vAlign w:val="bottom"/>
            <w:gridSpan w:val="3"/>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205,770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360" w:type="dxa"/>
            <w:vAlign w:val="bottom"/>
          </w:tcPr>
          <w:p>
            <w:pPr>
              <w:spacing w:after="0"/>
              <w:rPr>
                <w:sz w:val="19"/>
                <w:szCs w:val="19"/>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79,558</w:t>
            </w:r>
          </w:p>
        </w:tc>
        <w:tc>
          <w:tcPr>
            <w:tcW w:w="24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75,171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680" w:type="dxa"/>
            <w:vAlign w:val="bottom"/>
            <w:gridSpan w:val="3"/>
            <w:shd w:val="clear" w:color="auto" w:fill="C0C0C0"/>
          </w:tcPr>
          <w:p>
            <w:pPr>
              <w:spacing w:after="0"/>
              <w:rPr>
                <w:sz w:val="20"/>
                <w:szCs w:val="20"/>
                <w:color w:val="auto"/>
              </w:rPr>
            </w:pPr>
            <w:r>
              <w:rPr>
                <w:rFonts w:ascii="Times New Roman" w:cs="Times New Roman" w:eastAsia="Times New Roman" w:hAnsi="Times New Roman"/>
                <w:sz w:val="18"/>
                <w:szCs w:val="18"/>
                <w:color w:val="auto"/>
              </w:rPr>
              <w:t>Common shares in treasury, at cost (979,498 shares at March 31, 2019 and 894,486 shares at December 31, 2018)</w:t>
            </w:r>
          </w:p>
        </w:tc>
        <w:tc>
          <w:tcPr>
            <w:tcW w:w="360" w:type="dxa"/>
            <w:vAlign w:val="bottom"/>
            <w:shd w:val="clear" w:color="auto" w:fill="C0C0C0"/>
          </w:tcPr>
          <w:p>
            <w:pPr>
              <w:spacing w:after="0"/>
              <w:rPr>
                <w:sz w:val="22"/>
                <w:szCs w:val="22"/>
                <w:color w:val="auto"/>
              </w:rPr>
            </w:pPr>
          </w:p>
        </w:tc>
        <w:tc>
          <w:tcPr>
            <w:tcW w:w="1000" w:type="dxa"/>
            <w:vAlign w:val="bottom"/>
            <w:gridSpan w:val="3"/>
            <w:shd w:val="clear" w:color="auto" w:fill="C0C0C0"/>
          </w:tcPr>
          <w:p>
            <w:pPr>
              <w:jc w:val="right"/>
              <w:ind w:right="120"/>
              <w:spacing w:after="0"/>
              <w:rPr>
                <w:sz w:val="20"/>
                <w:szCs w:val="20"/>
                <w:color w:val="auto"/>
              </w:rPr>
            </w:pPr>
            <w:r>
              <w:rPr>
                <w:rFonts w:ascii="Times New Roman" w:cs="Times New Roman" w:eastAsia="Times New Roman" w:hAnsi="Times New Roman"/>
                <w:sz w:val="18"/>
                <w:szCs w:val="18"/>
                <w:color w:val="auto"/>
              </w:rPr>
              <w:t>(44,685)</w:t>
            </w:r>
          </w:p>
        </w:tc>
        <w:tc>
          <w:tcPr>
            <w:tcW w:w="240" w:type="dxa"/>
            <w:vAlign w:val="bottom"/>
            <w:shd w:val="clear" w:color="auto" w:fill="C0C0C0"/>
          </w:tcPr>
          <w:p>
            <w:pPr>
              <w:spacing w:after="0"/>
              <w:rPr>
                <w:sz w:val="22"/>
                <w:szCs w:val="22"/>
                <w:color w:val="auto"/>
              </w:rPr>
            </w:pPr>
          </w:p>
        </w:tc>
        <w:tc>
          <w:tcPr>
            <w:tcW w:w="1120" w:type="dxa"/>
            <w:vAlign w:val="bottom"/>
            <w:gridSpan w:val="3"/>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(39,974)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60" w:type="dxa"/>
            <w:vAlign w:val="bottom"/>
          </w:tcPr>
          <w:p>
            <w:pPr>
              <w:spacing w:after="0"/>
              <w:rPr>
                <w:sz w:val="20"/>
                <w:szCs w:val="20"/>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(13,456)</w:t>
            </w:r>
          </w:p>
        </w:tc>
        <w:tc>
          <w:tcPr>
            <w:tcW w:w="24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(18,872)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80" w:type="dxa"/>
            <w:vAlign w:val="bottom"/>
            <w:tcBorders>
              <w:top w:val="single" w:sz="8" w:color="C0C0C0"/>
            </w:tcBorders>
            <w:gridSpan w:val="3"/>
            <w:shd w:val="clear" w:color="auto" w:fill="C0C0C0"/>
          </w:tcPr>
          <w:p>
            <w:pPr>
              <w:ind w:left="5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60" w:type="dxa"/>
            <w:vAlign w:val="bottom"/>
            <w:tcBorders>
              <w:top w:val="single" w:sz="8" w:color="C0C0C0"/>
            </w:tcBorders>
            <w:shd w:val="clear" w:color="auto" w:fill="C0C0C0"/>
          </w:tcPr>
          <w:p>
            <w:pPr>
              <w:spacing w:after="0"/>
              <w:rPr>
                <w:sz w:val="21"/>
                <w:szCs w:val="21"/>
                <w:color w:val="auto"/>
              </w:rPr>
            </w:pPr>
          </w:p>
        </w:tc>
        <w:tc>
          <w:tcPr>
            <w:tcW w:w="180" w:type="dxa"/>
            <w:vAlign w:val="bottom"/>
            <w:tcBorders>
              <w:top w:val="single" w:sz="8" w:color="C0C0C0"/>
            </w:tcBorders>
            <w:shd w:val="clear" w:color="auto" w:fill="C0C0C0"/>
          </w:tcPr>
          <w:p>
            <w:pPr>
              <w:spacing w:after="0"/>
              <w:rPr>
                <w:sz w:val="21"/>
                <w:szCs w:val="21"/>
                <w:color w:val="auto"/>
              </w:rPr>
            </w:pPr>
          </w:p>
        </w:tc>
        <w:tc>
          <w:tcPr>
            <w:tcW w:w="7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234,480</w:t>
            </w:r>
          </w:p>
        </w:tc>
        <w:tc>
          <w:tcPr>
            <w:tcW w:w="120" w:type="dxa"/>
            <w:vAlign w:val="bottom"/>
            <w:tcBorders>
              <w:top w:val="single" w:sz="8" w:color="C0C0C0"/>
            </w:tcBorders>
            <w:shd w:val="clear" w:color="auto" w:fill="C0C0C0"/>
          </w:tcPr>
          <w:p>
            <w:pPr>
              <w:spacing w:after="0"/>
              <w:rPr>
                <w:sz w:val="21"/>
                <w:szCs w:val="21"/>
                <w:color w:val="auto"/>
              </w:rPr>
            </w:pPr>
          </w:p>
        </w:tc>
        <w:tc>
          <w:tcPr>
            <w:tcW w:w="240" w:type="dxa"/>
            <w:vAlign w:val="bottom"/>
            <w:tcBorders>
              <w:top w:val="single" w:sz="8" w:color="C0C0C0"/>
            </w:tcBorders>
            <w:shd w:val="clear" w:color="auto" w:fill="C0C0C0"/>
          </w:tcPr>
          <w:p>
            <w:pPr>
              <w:spacing w:after="0"/>
              <w:rPr>
                <w:sz w:val="21"/>
                <w:szCs w:val="21"/>
                <w:color w:val="auto"/>
              </w:rPr>
            </w:pPr>
          </w:p>
        </w:tc>
        <w:tc>
          <w:tcPr>
            <w:tcW w:w="440" w:type="dxa"/>
            <w:vAlign w:val="bottom"/>
            <w:tcBorders>
              <w:top w:val="single" w:sz="8" w:color="C0C0C0"/>
            </w:tcBorders>
            <w:gridSpan w:val="2"/>
            <w:shd w:val="clear" w:color="auto" w:fill="C0C0C0"/>
          </w:tcPr>
          <w:p>
            <w:pPr>
              <w:spacing w:after="0"/>
              <w:rPr>
                <w:sz w:val="21"/>
                <w:szCs w:val="21"/>
                <w:color w:val="auto"/>
              </w:rPr>
            </w:pPr>
          </w:p>
        </w:tc>
        <w:tc>
          <w:tcPr>
            <w:tcW w:w="6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229,848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1,684,881</w:t>
            </w:r>
          </w:p>
        </w:tc>
        <w:tc>
          <w:tcPr>
            <w:tcW w:w="12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1,695,176</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460" w:type="dxa"/>
            <w:vAlign w:val="bottom"/>
          </w:tcPr>
          <w:p>
            <w:pPr>
              <w:spacing w:after="0"/>
              <w:rPr>
                <w:sz w:val="20"/>
                <w:szCs w:val="20"/>
                <w:color w:val="auto"/>
              </w:rPr>
            </w:pPr>
          </w:p>
        </w:tc>
        <w:tc>
          <w:tcPr>
            <w:tcW w:w="1960" w:type="dxa"/>
            <w:vAlign w:val="bottom"/>
            <w:gridSpan w:val="9"/>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9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4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gridSpan w:val="2"/>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gridSpan w:val="2"/>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46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b w:val="1"/>
                <w:bCs w:val="1"/>
                <w:color w:val="auto"/>
              </w:rPr>
              <w:t>Fee Revenue and Other Income:</w:t>
            </w:r>
          </w:p>
        </w:tc>
        <w:tc>
          <w:tcPr>
            <w:tcW w:w="2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4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48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Information services payment and processing revenue</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26,457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946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Bank service fees</w:t>
            </w:r>
          </w:p>
        </w:tc>
        <w:tc>
          <w:tcPr>
            <w:tcW w:w="22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720" w:type="dxa"/>
            <w:vAlign w:val="bottom"/>
            <w:gridSpan w:val="3"/>
            <w:shd w:val="clear" w:color="auto" w:fill="C0C0C0"/>
          </w:tcPr>
          <w:p>
            <w:pPr>
              <w:jc w:val="right"/>
              <w:ind w:right="120"/>
              <w:spacing w:after="0"/>
              <w:rPr>
                <w:sz w:val="20"/>
                <w:szCs w:val="20"/>
                <w:color w:val="auto"/>
              </w:rPr>
            </w:pPr>
            <w:r>
              <w:rPr>
                <w:rFonts w:ascii="Times New Roman" w:cs="Times New Roman" w:eastAsia="Times New Roman" w:hAnsi="Times New Roman"/>
                <w:sz w:val="18"/>
                <w:szCs w:val="18"/>
                <w:color w:val="auto"/>
              </w:rPr>
              <w:t>376</w:t>
            </w:r>
          </w:p>
        </w:tc>
        <w:tc>
          <w:tcPr>
            <w:tcW w:w="240" w:type="dxa"/>
            <w:vAlign w:val="bottom"/>
            <w:shd w:val="clear" w:color="auto" w:fill="C0C0C0"/>
          </w:tcPr>
          <w:p>
            <w:pPr>
              <w:spacing w:after="0"/>
              <w:rPr>
                <w:sz w:val="22"/>
                <w:szCs w:val="22"/>
                <w:color w:val="auto"/>
              </w:rPr>
            </w:pPr>
          </w:p>
        </w:tc>
        <w:tc>
          <w:tcPr>
            <w:tcW w:w="620" w:type="dxa"/>
            <w:vAlign w:val="bottom"/>
            <w:gridSpan w:val="2"/>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Gains on sales of securities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946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720" w:type="dxa"/>
            <w:vAlign w:val="bottom"/>
            <w:gridSpan w:val="3"/>
            <w:shd w:val="clear" w:color="auto" w:fill="C0C0C0"/>
          </w:tcPr>
          <w:p>
            <w:pPr>
              <w:jc w:val="right"/>
              <w:ind w:right="120"/>
              <w:spacing w:after="0"/>
              <w:rPr>
                <w:sz w:val="20"/>
                <w:szCs w:val="20"/>
                <w:color w:val="auto"/>
              </w:rPr>
            </w:pPr>
            <w:r>
              <w:rPr>
                <w:rFonts w:ascii="Times New Roman" w:cs="Times New Roman" w:eastAsia="Times New Roman" w:hAnsi="Times New Roman"/>
                <w:sz w:val="18"/>
                <w:szCs w:val="18"/>
                <w:color w:val="auto"/>
              </w:rPr>
              <w:t>169</w:t>
            </w:r>
          </w:p>
        </w:tc>
        <w:tc>
          <w:tcPr>
            <w:tcW w:w="240" w:type="dxa"/>
            <w:vAlign w:val="bottom"/>
            <w:shd w:val="clear" w:color="auto" w:fill="C0C0C0"/>
          </w:tcPr>
          <w:p>
            <w:pPr>
              <w:spacing w:after="0"/>
              <w:rPr>
                <w:sz w:val="22"/>
                <w:szCs w:val="22"/>
                <w:color w:val="auto"/>
              </w:rPr>
            </w:pPr>
          </w:p>
        </w:tc>
        <w:tc>
          <w:tcPr>
            <w:tcW w:w="620" w:type="dxa"/>
            <w:vAlign w:val="bottom"/>
            <w:gridSpan w:val="2"/>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fee revenue and other income</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27,013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25,374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9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946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2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4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48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fees on loans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8,629</w:t>
            </w:r>
          </w:p>
        </w:tc>
        <w:tc>
          <w:tcPr>
            <w:tcW w:w="2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946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Interest and dividends on securities:</w:t>
            </w:r>
          </w:p>
        </w:tc>
        <w:tc>
          <w:tcPr>
            <w:tcW w:w="22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48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24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480" w:type="dxa"/>
            <w:vAlign w:val="bottom"/>
            <w:shd w:val="clear" w:color="auto" w:fill="C0C0C0"/>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Taxable</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642</w:t>
            </w:r>
          </w:p>
        </w:tc>
        <w:tc>
          <w:tcPr>
            <w:tcW w:w="2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9460" w:type="dxa"/>
            <w:vAlign w:val="bottom"/>
            <w:shd w:val="clear" w:color="auto" w:fill="C0C0C0"/>
          </w:tcPr>
          <w:p>
            <w:pPr>
              <w:ind w:left="520"/>
              <w:spacing w:after="0"/>
              <w:rPr>
                <w:sz w:val="20"/>
                <w:szCs w:val="20"/>
                <w:color w:val="auto"/>
              </w:rPr>
            </w:pPr>
            <w:r>
              <w:rPr>
                <w:rFonts w:ascii="Times New Roman" w:cs="Times New Roman" w:eastAsia="Times New Roman" w:hAnsi="Times New Roman"/>
                <w:sz w:val="18"/>
                <w:szCs w:val="18"/>
                <w:color w:val="auto"/>
              </w:rPr>
              <w:t>Exempt from federal income taxes</w:t>
            </w:r>
          </w:p>
        </w:tc>
        <w:tc>
          <w:tcPr>
            <w:tcW w:w="22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720" w:type="dxa"/>
            <w:vAlign w:val="bottom"/>
            <w:gridSpan w:val="3"/>
            <w:shd w:val="clear" w:color="auto" w:fill="C0C0C0"/>
          </w:tcPr>
          <w:p>
            <w:pPr>
              <w:jc w:val="right"/>
              <w:ind w:right="120"/>
              <w:spacing w:after="0"/>
              <w:rPr>
                <w:sz w:val="20"/>
                <w:szCs w:val="20"/>
                <w:color w:val="auto"/>
              </w:rPr>
            </w:pPr>
            <w:r>
              <w:rPr>
                <w:rFonts w:ascii="Times New Roman" w:cs="Times New Roman" w:eastAsia="Times New Roman" w:hAnsi="Times New Roman"/>
                <w:sz w:val="18"/>
                <w:szCs w:val="18"/>
                <w:color w:val="auto"/>
              </w:rPr>
              <w:t>2,037</w:t>
            </w:r>
          </w:p>
        </w:tc>
        <w:tc>
          <w:tcPr>
            <w:tcW w:w="240" w:type="dxa"/>
            <w:vAlign w:val="bottom"/>
            <w:shd w:val="clear" w:color="auto" w:fill="C0C0C0"/>
          </w:tcPr>
          <w:p>
            <w:pPr>
              <w:spacing w:after="0"/>
              <w:rPr>
                <w:sz w:val="22"/>
                <w:szCs w:val="22"/>
                <w:color w:val="auto"/>
              </w:rPr>
            </w:pPr>
          </w:p>
        </w:tc>
        <w:tc>
          <w:tcPr>
            <w:tcW w:w="620" w:type="dxa"/>
            <w:vAlign w:val="bottom"/>
            <w:gridSpan w:val="2"/>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Interest on federal funds sold and other short-term investments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1,589</w:t>
            </w:r>
          </w:p>
        </w:tc>
        <w:tc>
          <w:tcPr>
            <w:tcW w:w="2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60" w:type="dxa"/>
            <w:vAlign w:val="bottom"/>
            <w:tcBorders>
              <w:top w:val="single" w:sz="8" w:color="C0C0C0"/>
              <w:bottom w:val="single" w:sz="8" w:color="C0C0C0"/>
            </w:tcBorders>
            <w:shd w:val="clear" w:color="auto" w:fill="C0C0C0"/>
          </w:tcPr>
          <w:p>
            <w:pPr>
              <w:ind w:left="520"/>
              <w:spacing w:after="0"/>
              <w:rPr>
                <w:sz w:val="20"/>
                <w:szCs w:val="20"/>
                <w:color w:val="auto"/>
              </w:rPr>
            </w:pPr>
            <w:r>
              <w:rPr>
                <w:rFonts w:ascii="Times New Roman" w:cs="Times New Roman" w:eastAsia="Times New Roman" w:hAnsi="Times New Roman"/>
                <w:sz w:val="18"/>
                <w:szCs w:val="18"/>
                <w:color w:val="auto"/>
              </w:rPr>
              <w:t>Total interest income</w:t>
            </w:r>
          </w:p>
        </w:tc>
        <w:tc>
          <w:tcPr>
            <w:tcW w:w="220" w:type="dxa"/>
            <w:vAlign w:val="bottom"/>
            <w:tcBorders>
              <w:top w:val="single" w:sz="8" w:color="C0C0C0"/>
              <w:bottom w:val="single" w:sz="8" w:color="C0C0C0"/>
            </w:tcBorders>
            <w:shd w:val="clear" w:color="auto" w:fill="C0C0C0"/>
          </w:tcPr>
          <w:p>
            <w:pPr>
              <w:spacing w:after="0"/>
              <w:rPr>
                <w:sz w:val="20"/>
                <w:szCs w:val="20"/>
                <w:color w:val="auto"/>
              </w:rPr>
            </w:pPr>
          </w:p>
        </w:tc>
        <w:tc>
          <w:tcPr>
            <w:tcW w:w="140" w:type="dxa"/>
            <w:vAlign w:val="bottom"/>
            <w:tcBorders>
              <w:top w:val="single" w:sz="8" w:color="C0C0C0"/>
              <w:bottom w:val="single" w:sz="8" w:color="C0C0C0"/>
            </w:tcBorders>
            <w:shd w:val="clear" w:color="auto" w:fill="C0C0C0"/>
          </w:tcPr>
          <w:p>
            <w:pPr>
              <w:spacing w:after="0"/>
              <w:rPr>
                <w:sz w:val="20"/>
                <w:szCs w:val="20"/>
                <w:color w:val="auto"/>
              </w:rPr>
            </w:pPr>
          </w:p>
        </w:tc>
        <w:tc>
          <w:tcPr>
            <w:tcW w:w="120" w:type="dxa"/>
            <w:vAlign w:val="bottom"/>
            <w:tcBorders>
              <w:top w:val="single" w:sz="8" w:color="C0C0C0"/>
              <w:bottom w:val="single" w:sz="8" w:color="C0C0C0"/>
            </w:tcBorders>
            <w:shd w:val="clear" w:color="auto" w:fill="C0C0C0"/>
          </w:tcPr>
          <w:p>
            <w:pPr>
              <w:spacing w:after="0"/>
              <w:rPr>
                <w:sz w:val="20"/>
                <w:szCs w:val="20"/>
                <w:color w:val="auto"/>
              </w:rPr>
            </w:pPr>
          </w:p>
        </w:tc>
        <w:tc>
          <w:tcPr>
            <w:tcW w:w="4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w w:val="92"/>
              </w:rPr>
              <w:t>12,897</w:t>
            </w:r>
          </w:p>
        </w:tc>
        <w:tc>
          <w:tcPr>
            <w:tcW w:w="120" w:type="dxa"/>
            <w:vAlign w:val="bottom"/>
            <w:tcBorders>
              <w:top w:val="single" w:sz="8" w:color="C0C0C0"/>
              <w:bottom w:val="single" w:sz="8" w:color="C0C0C0"/>
            </w:tcBorders>
            <w:shd w:val="clear" w:color="auto" w:fill="C0C0C0"/>
          </w:tcPr>
          <w:p>
            <w:pPr>
              <w:spacing w:after="0"/>
              <w:rPr>
                <w:sz w:val="20"/>
                <w:szCs w:val="20"/>
                <w:color w:val="auto"/>
              </w:rPr>
            </w:pPr>
          </w:p>
        </w:tc>
        <w:tc>
          <w:tcPr>
            <w:tcW w:w="240" w:type="dxa"/>
            <w:vAlign w:val="bottom"/>
            <w:tcBorders>
              <w:top w:val="single" w:sz="8" w:color="C0C0C0"/>
              <w:bottom w:val="single" w:sz="8" w:color="C0C0C0"/>
            </w:tcBorders>
            <w:shd w:val="clear" w:color="auto" w:fill="C0C0C0"/>
          </w:tcPr>
          <w:p>
            <w:pPr>
              <w:spacing w:after="0"/>
              <w:rPr>
                <w:sz w:val="20"/>
                <w:szCs w:val="20"/>
                <w:color w:val="auto"/>
              </w:rPr>
            </w:pPr>
          </w:p>
        </w:tc>
        <w:tc>
          <w:tcPr>
            <w:tcW w:w="140" w:type="dxa"/>
            <w:vAlign w:val="bottom"/>
            <w:tcBorders>
              <w:top w:val="single" w:sz="8" w:color="C0C0C0"/>
              <w:bottom w:val="single" w:sz="8" w:color="C0C0C0"/>
            </w:tcBorders>
            <w:shd w:val="clear" w:color="auto" w:fill="C0C0C0"/>
          </w:tcPr>
          <w:p>
            <w:pPr>
              <w:spacing w:after="0"/>
              <w:rPr>
                <w:sz w:val="20"/>
                <w:szCs w:val="20"/>
                <w:color w:val="auto"/>
              </w:rPr>
            </w:pPr>
          </w:p>
        </w:tc>
        <w:tc>
          <w:tcPr>
            <w:tcW w:w="4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w w:val="92"/>
              </w:rPr>
              <w:t>11,288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946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48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48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946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Interest on deposits</w:t>
            </w:r>
          </w:p>
        </w:tc>
        <w:tc>
          <w:tcPr>
            <w:tcW w:w="22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720" w:type="dxa"/>
            <w:vAlign w:val="bottom"/>
            <w:gridSpan w:val="3"/>
            <w:shd w:val="clear" w:color="auto" w:fill="C0C0C0"/>
          </w:tcPr>
          <w:p>
            <w:pPr>
              <w:jc w:val="right"/>
              <w:ind w:right="120"/>
              <w:spacing w:after="0"/>
              <w:rPr>
                <w:sz w:val="20"/>
                <w:szCs w:val="20"/>
                <w:color w:val="auto"/>
              </w:rPr>
            </w:pPr>
            <w:r>
              <w:rPr>
                <w:rFonts w:ascii="Times New Roman" w:cs="Times New Roman" w:eastAsia="Times New Roman" w:hAnsi="Times New Roman"/>
                <w:sz w:val="18"/>
                <w:szCs w:val="18"/>
                <w:color w:val="auto"/>
              </w:rPr>
              <w:t>1,290</w:t>
            </w:r>
          </w:p>
        </w:tc>
        <w:tc>
          <w:tcPr>
            <w:tcW w:w="240" w:type="dxa"/>
            <w:vAlign w:val="bottom"/>
            <w:shd w:val="clear" w:color="auto" w:fill="C0C0C0"/>
          </w:tcPr>
          <w:p>
            <w:pPr>
              <w:spacing w:after="0"/>
              <w:rPr>
                <w:sz w:val="22"/>
                <w:szCs w:val="22"/>
                <w:color w:val="auto"/>
              </w:rPr>
            </w:pPr>
          </w:p>
        </w:tc>
        <w:tc>
          <w:tcPr>
            <w:tcW w:w="620" w:type="dxa"/>
            <w:vAlign w:val="bottom"/>
            <w:gridSpan w:val="2"/>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Net interest income</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11,607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10,609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946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Provision for loan losses</w:t>
            </w:r>
          </w:p>
        </w:tc>
        <w:tc>
          <w:tcPr>
            <w:tcW w:w="22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720" w:type="dxa"/>
            <w:vAlign w:val="bottom"/>
            <w:gridSpan w:val="3"/>
            <w:shd w:val="clear" w:color="auto" w:fill="C0C0C0"/>
          </w:tcPr>
          <w:p>
            <w:pPr>
              <w:jc w:val="right"/>
              <w:ind w:right="120"/>
              <w:spacing w:after="0"/>
              <w:rPr>
                <w:sz w:val="20"/>
                <w:szCs w:val="20"/>
                <w:color w:val="auto"/>
              </w:rPr>
            </w:pPr>
            <w:r>
              <w:rPr>
                <w:rFonts w:ascii="Times New Roman" w:cs="Times New Roman" w:eastAsia="Times New Roman" w:hAnsi="Times New Roman"/>
                <w:sz w:val="18"/>
                <w:szCs w:val="18"/>
                <w:color w:val="auto"/>
              </w:rPr>
              <w:t>250</w:t>
            </w:r>
          </w:p>
        </w:tc>
        <w:tc>
          <w:tcPr>
            <w:tcW w:w="24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48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60" w:type="dxa"/>
            <w:vAlign w:val="bottom"/>
            <w:tcBorders>
              <w:bottom w:val="single" w:sz="8" w:color="C0C0C0"/>
            </w:tcBorders>
          </w:tcPr>
          <w:p>
            <w:pPr>
              <w:ind w:left="800"/>
              <w:spacing w:after="0"/>
              <w:rPr>
                <w:sz w:val="20"/>
                <w:szCs w:val="20"/>
                <w:color w:val="auto"/>
              </w:rPr>
            </w:pPr>
            <w:r>
              <w:rPr>
                <w:rFonts w:ascii="Times New Roman" w:cs="Times New Roman" w:eastAsia="Times New Roman" w:hAnsi="Times New Roman"/>
                <w:sz w:val="18"/>
                <w:szCs w:val="18"/>
                <w:color w:val="auto"/>
              </w:rPr>
              <w:t>Net interest income after provision for loan losses</w:t>
            </w:r>
          </w:p>
        </w:tc>
        <w:tc>
          <w:tcPr>
            <w:tcW w:w="22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11,357</w:t>
            </w:r>
          </w:p>
        </w:tc>
        <w:tc>
          <w:tcPr>
            <w:tcW w:w="12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10,609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60" w:type="dxa"/>
            <w:vAlign w:val="bottom"/>
            <w:shd w:val="clear" w:color="auto" w:fill="C0C0C0"/>
          </w:tcPr>
          <w:p>
            <w:pPr>
              <w:ind w:left="800"/>
              <w:spacing w:after="0"/>
              <w:rPr>
                <w:sz w:val="20"/>
                <w:szCs w:val="20"/>
                <w:color w:val="auto"/>
              </w:rPr>
            </w:pPr>
            <w:r>
              <w:rPr>
                <w:rFonts w:ascii="Times New Roman" w:cs="Times New Roman" w:eastAsia="Times New Roman" w:hAnsi="Times New Roman"/>
                <w:sz w:val="18"/>
                <w:szCs w:val="18"/>
                <w:color w:val="auto"/>
              </w:rPr>
              <w:t>Total net revenue</w:t>
            </w:r>
          </w:p>
        </w:tc>
        <w:tc>
          <w:tcPr>
            <w:tcW w:w="2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48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w w:val="92"/>
              </w:rPr>
              <w:t>38,370</w:t>
            </w:r>
          </w:p>
        </w:tc>
        <w:tc>
          <w:tcPr>
            <w:tcW w:w="12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48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w w:val="92"/>
              </w:rPr>
              <w:t>35,983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vMerge w:val="restart"/>
          </w:tcPr>
          <w:p>
            <w:pPr>
              <w:spacing w:after="0"/>
              <w:rPr>
                <w:sz w:val="22"/>
                <w:szCs w:val="22"/>
                <w:color w:val="auto"/>
              </w:rPr>
            </w:pPr>
          </w:p>
        </w:tc>
        <w:tc>
          <w:tcPr>
            <w:tcW w:w="9460" w:type="dxa"/>
            <w:vAlign w:val="bottom"/>
            <w:shd w:val="clear" w:color="auto" w:fill="C0C0C0"/>
          </w:tcPr>
          <w:p>
            <w:pPr>
              <w:spacing w:after="0"/>
              <w:rPr>
                <w:sz w:val="22"/>
                <w:szCs w:val="22"/>
                <w:color w:val="auto"/>
              </w:rPr>
            </w:pPr>
          </w:p>
        </w:tc>
        <w:tc>
          <w:tcPr>
            <w:tcW w:w="22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48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24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480" w:type="dxa"/>
            <w:vAlign w:val="bottom"/>
            <w:shd w:val="clear" w:color="auto" w:fill="C0C0C0"/>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946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22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720" w:type="dxa"/>
            <w:vAlign w:val="bottom"/>
            <w:gridSpan w:val="3"/>
            <w:shd w:val="clear" w:color="auto" w:fill="C0C0C0"/>
          </w:tcPr>
          <w:p>
            <w:pPr>
              <w:jc w:val="right"/>
              <w:ind w:right="120"/>
              <w:spacing w:after="0"/>
              <w:rPr>
                <w:sz w:val="20"/>
                <w:szCs w:val="20"/>
                <w:color w:val="auto"/>
              </w:rPr>
            </w:pPr>
            <w:r>
              <w:rPr>
                <w:rFonts w:ascii="Times New Roman" w:cs="Times New Roman" w:eastAsia="Times New Roman" w:hAnsi="Times New Roman"/>
                <w:sz w:val="18"/>
                <w:szCs w:val="18"/>
                <w:color w:val="auto"/>
              </w:rPr>
              <w:t>22,277</w:t>
            </w:r>
          </w:p>
        </w:tc>
        <w:tc>
          <w:tcPr>
            <w:tcW w:w="240" w:type="dxa"/>
            <w:vAlign w:val="bottom"/>
            <w:shd w:val="clear" w:color="auto" w:fill="C0C0C0"/>
          </w:tcPr>
          <w:p>
            <w:pPr>
              <w:spacing w:after="0"/>
              <w:rPr>
                <w:sz w:val="22"/>
                <w:szCs w:val="22"/>
                <w:color w:val="auto"/>
              </w:rPr>
            </w:pPr>
          </w:p>
        </w:tc>
        <w:tc>
          <w:tcPr>
            <w:tcW w:w="620" w:type="dxa"/>
            <w:vAlign w:val="bottom"/>
            <w:gridSpan w:val="2"/>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20,382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Occupancy</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959</w:t>
            </w:r>
          </w:p>
        </w:tc>
        <w:tc>
          <w:tcPr>
            <w:tcW w:w="2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946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Equipment</w:t>
            </w:r>
          </w:p>
        </w:tc>
        <w:tc>
          <w:tcPr>
            <w:tcW w:w="22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720" w:type="dxa"/>
            <w:vAlign w:val="bottom"/>
            <w:gridSpan w:val="3"/>
            <w:shd w:val="clear" w:color="auto" w:fill="C0C0C0"/>
          </w:tcPr>
          <w:p>
            <w:pPr>
              <w:jc w:val="right"/>
              <w:ind w:right="120"/>
              <w:spacing w:after="0"/>
              <w:rPr>
                <w:sz w:val="20"/>
                <w:szCs w:val="20"/>
                <w:color w:val="auto"/>
              </w:rPr>
            </w:pPr>
            <w:r>
              <w:rPr>
                <w:rFonts w:ascii="Times New Roman" w:cs="Times New Roman" w:eastAsia="Times New Roman" w:hAnsi="Times New Roman"/>
                <w:sz w:val="18"/>
                <w:szCs w:val="18"/>
                <w:color w:val="auto"/>
              </w:rPr>
              <w:t>1,469</w:t>
            </w:r>
          </w:p>
        </w:tc>
        <w:tc>
          <w:tcPr>
            <w:tcW w:w="240" w:type="dxa"/>
            <w:vAlign w:val="bottom"/>
            <w:shd w:val="clear" w:color="auto" w:fill="C0C0C0"/>
          </w:tcPr>
          <w:p>
            <w:pPr>
              <w:spacing w:after="0"/>
              <w:rPr>
                <w:sz w:val="22"/>
                <w:szCs w:val="22"/>
                <w:color w:val="auto"/>
              </w:rPr>
            </w:pPr>
          </w:p>
        </w:tc>
        <w:tc>
          <w:tcPr>
            <w:tcW w:w="620" w:type="dxa"/>
            <w:vAlign w:val="bottom"/>
            <w:gridSpan w:val="2"/>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107</w:t>
            </w:r>
          </w:p>
        </w:tc>
        <w:tc>
          <w:tcPr>
            <w:tcW w:w="2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946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Other operating expense</w:t>
            </w:r>
          </w:p>
        </w:tc>
        <w:tc>
          <w:tcPr>
            <w:tcW w:w="22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720" w:type="dxa"/>
            <w:vAlign w:val="bottom"/>
            <w:gridSpan w:val="3"/>
            <w:shd w:val="clear" w:color="auto" w:fill="C0C0C0"/>
          </w:tcPr>
          <w:p>
            <w:pPr>
              <w:jc w:val="right"/>
              <w:ind w:right="120"/>
              <w:spacing w:after="0"/>
              <w:rPr>
                <w:sz w:val="20"/>
                <w:szCs w:val="20"/>
                <w:color w:val="auto"/>
              </w:rPr>
            </w:pPr>
            <w:r>
              <w:rPr>
                <w:rFonts w:ascii="Times New Roman" w:cs="Times New Roman" w:eastAsia="Times New Roman" w:hAnsi="Times New Roman"/>
                <w:sz w:val="18"/>
                <w:szCs w:val="18"/>
                <w:color w:val="auto"/>
              </w:rPr>
              <w:t>3,650</w:t>
            </w:r>
          </w:p>
        </w:tc>
        <w:tc>
          <w:tcPr>
            <w:tcW w:w="240" w:type="dxa"/>
            <w:vAlign w:val="bottom"/>
            <w:shd w:val="clear" w:color="auto" w:fill="C0C0C0"/>
          </w:tcPr>
          <w:p>
            <w:pPr>
              <w:spacing w:after="0"/>
              <w:rPr>
                <w:sz w:val="22"/>
                <w:szCs w:val="22"/>
                <w:color w:val="auto"/>
              </w:rPr>
            </w:pPr>
          </w:p>
        </w:tc>
        <w:tc>
          <w:tcPr>
            <w:tcW w:w="620" w:type="dxa"/>
            <w:vAlign w:val="bottom"/>
            <w:gridSpan w:val="2"/>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60" w:type="dxa"/>
            <w:vAlign w:val="bottom"/>
            <w:tcBorders>
              <w:bottom w:val="single" w:sz="8" w:color="C0C0C0"/>
            </w:tcBorders>
          </w:tcPr>
          <w:p>
            <w:pPr>
              <w:ind w:left="520"/>
              <w:spacing w:after="0"/>
              <w:rPr>
                <w:sz w:val="20"/>
                <w:szCs w:val="20"/>
                <w:color w:val="auto"/>
              </w:rPr>
            </w:pPr>
            <w:r>
              <w:rPr>
                <w:rFonts w:ascii="Times New Roman" w:cs="Times New Roman" w:eastAsia="Times New Roman" w:hAnsi="Times New Roman"/>
                <w:sz w:val="18"/>
                <w:szCs w:val="18"/>
                <w:color w:val="auto"/>
              </w:rPr>
              <w:t>Total operating expense</w:t>
            </w:r>
          </w:p>
        </w:tc>
        <w:tc>
          <w:tcPr>
            <w:tcW w:w="22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28,462</w:t>
            </w:r>
          </w:p>
        </w:tc>
        <w:tc>
          <w:tcPr>
            <w:tcW w:w="12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26,182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460" w:type="dxa"/>
            <w:vAlign w:val="bottom"/>
            <w:shd w:val="clear" w:color="auto" w:fill="C0C0C0"/>
          </w:tcPr>
          <w:p>
            <w:pPr>
              <w:ind w:left="80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48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9,908</w:t>
            </w:r>
          </w:p>
        </w:tc>
        <w:tc>
          <w:tcPr>
            <w:tcW w:w="1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48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9,801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1,745</w:t>
            </w:r>
          </w:p>
        </w:tc>
        <w:tc>
          <w:tcPr>
            <w:tcW w:w="2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460" w:type="dxa"/>
            <w:vAlign w:val="bottom"/>
            <w:tcBorders>
              <w:top w:val="single" w:sz="8" w:color="C0C0C0"/>
              <w:bottom w:val="single" w:sz="8" w:color="C0C0C0"/>
            </w:tcBorders>
            <w:shd w:val="clear" w:color="auto" w:fill="C0C0C0"/>
          </w:tcPr>
          <w:p>
            <w:pPr>
              <w:ind w:left="80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top w:val="single" w:sz="8" w:color="C0C0C0"/>
              <w:bottom w:val="single" w:sz="8" w:color="C0C0C0"/>
            </w:tcBorders>
            <w:gridSpan w:val="2"/>
            <w:shd w:val="clear" w:color="auto" w:fill="C0C0C0"/>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0C0C0"/>
              <w:bottom w:val="single" w:sz="8" w:color="C0C0C0"/>
            </w:tcBorders>
            <w:shd w:val="clear" w:color="auto" w:fill="C0C0C0"/>
          </w:tcPr>
          <w:p>
            <w:pPr>
              <w:spacing w:after="0"/>
              <w:rPr>
                <w:sz w:val="21"/>
                <w:szCs w:val="21"/>
                <w:color w:val="auto"/>
              </w:rPr>
            </w:pPr>
          </w:p>
        </w:tc>
        <w:tc>
          <w:tcPr>
            <w:tcW w:w="4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8,163</w:t>
            </w:r>
          </w:p>
        </w:tc>
        <w:tc>
          <w:tcPr>
            <w:tcW w:w="120" w:type="dxa"/>
            <w:vAlign w:val="bottom"/>
            <w:tcBorders>
              <w:top w:val="single" w:sz="8" w:color="C0C0C0"/>
              <w:bottom w:val="single" w:sz="8" w:color="C0C0C0"/>
            </w:tcBorders>
            <w:shd w:val="clear" w:color="auto" w:fill="C0C0C0"/>
          </w:tcPr>
          <w:p>
            <w:pPr>
              <w:spacing w:after="0"/>
              <w:rPr>
                <w:sz w:val="21"/>
                <w:szCs w:val="21"/>
                <w:color w:val="auto"/>
              </w:rPr>
            </w:pPr>
          </w:p>
        </w:tc>
        <w:tc>
          <w:tcPr>
            <w:tcW w:w="240" w:type="dxa"/>
            <w:vAlign w:val="bottom"/>
            <w:tcBorders>
              <w:top w:val="single" w:sz="8" w:color="C0C0C0"/>
              <w:bottom w:val="single" w:sz="8" w:color="C0C0C0"/>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0C0C0"/>
              <w:bottom w:val="single" w:sz="8" w:color="C0C0C0"/>
            </w:tcBorders>
            <w:shd w:val="clear" w:color="auto" w:fill="C0C0C0"/>
          </w:tcPr>
          <w:p>
            <w:pPr>
              <w:spacing w:after="0"/>
              <w:rPr>
                <w:sz w:val="21"/>
                <w:szCs w:val="21"/>
                <w:color w:val="auto"/>
              </w:rPr>
            </w:pPr>
          </w:p>
        </w:tc>
        <w:tc>
          <w:tcPr>
            <w:tcW w:w="4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8,092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946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48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480" w:type="dxa"/>
            <w:vAlign w:val="bottom"/>
            <w:shd w:val="clear" w:color="auto" w:fill="C0C0C0"/>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946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2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720" w:type="dxa"/>
            <w:vAlign w:val="bottom"/>
            <w:gridSpan w:val="3"/>
            <w:shd w:val="clear" w:color="auto" w:fill="C0C0C0"/>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shd w:val="clear" w:color="auto" w:fill="C0C0C0"/>
          </w:tcPr>
          <w:p>
            <w:pPr>
              <w:spacing w:after="0"/>
              <w:rPr>
                <w:sz w:val="22"/>
                <w:szCs w:val="22"/>
                <w:color w:val="auto"/>
              </w:rPr>
            </w:pPr>
          </w:p>
        </w:tc>
        <w:tc>
          <w:tcPr>
            <w:tcW w:w="620" w:type="dxa"/>
            <w:vAlign w:val="bottom"/>
            <w:gridSpan w:val="2"/>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gridSpan w:val="6"/>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6"/>
              </w:rPr>
              <w:t>Three Months Ended</w:t>
            </w:r>
          </w:p>
        </w:tc>
      </w:tr>
      <w:tr>
        <w:trPr>
          <w:trHeight w:val="266"/>
        </w:trPr>
        <w:tc>
          <w:tcPr>
            <w:tcW w:w="712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gridSpan w:val="5"/>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50"/>
        </w:trPr>
        <w:tc>
          <w:tcPr>
            <w:tcW w:w="712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2"/>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gridSpan w:val="2"/>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43"/>
        </w:trPr>
        <w:tc>
          <w:tcPr>
            <w:tcW w:w="712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r>
              <w:rPr>
                <w:rFonts w:ascii="Times New Roman" w:cs="Times New Roman" w:eastAsia="Times New Roman" w:hAnsi="Times New Roman"/>
                <w:sz w:val="18"/>
                <w:szCs w:val="18"/>
                <w:color w:val="auto"/>
              </w:rPr>
              <w:t>:</w:t>
            </w:r>
          </w:p>
        </w:tc>
        <w:tc>
          <w:tcPr>
            <w:tcW w:w="252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r>
      <w:tr>
        <w:trPr>
          <w:trHeight w:val="228"/>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8,163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8,092</w:t>
            </w:r>
          </w:p>
        </w:tc>
      </w:tr>
      <w:tr>
        <w:trPr>
          <w:trHeight w:val="258"/>
        </w:trPr>
        <w:tc>
          <w:tcPr>
            <w:tcW w:w="712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520" w:type="dxa"/>
            <w:vAlign w:val="bottom"/>
            <w:shd w:val="clear" w:color="auto" w:fill="C0C0C0"/>
          </w:tcPr>
          <w:p>
            <w:pPr>
              <w:spacing w:after="0"/>
              <w:rPr>
                <w:sz w:val="22"/>
                <w:szCs w:val="22"/>
                <w:color w:val="auto"/>
              </w:rPr>
            </w:pPr>
          </w:p>
        </w:tc>
        <w:tc>
          <w:tcPr>
            <w:tcW w:w="8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52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520" w:type="dxa"/>
            <w:vAlign w:val="bottom"/>
            <w:shd w:val="clear" w:color="auto" w:fill="C0C0C0"/>
          </w:tcPr>
          <w:p>
            <w:pPr>
              <w:spacing w:after="0"/>
              <w:rPr>
                <w:sz w:val="22"/>
                <w:szCs w:val="22"/>
                <w:color w:val="auto"/>
              </w:rPr>
            </w:pPr>
          </w:p>
        </w:tc>
      </w:tr>
      <w:tr>
        <w:trPr>
          <w:trHeight w:val="228"/>
        </w:trPr>
        <w:tc>
          <w:tcPr>
            <w:tcW w:w="7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unrealized gain (loss) on securities available-for-sale</w:t>
            </w:r>
          </w:p>
        </w:tc>
        <w:tc>
          <w:tcPr>
            <w:tcW w:w="2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7,137</w:t>
            </w:r>
          </w:p>
        </w:tc>
        <w:tc>
          <w:tcPr>
            <w:tcW w:w="2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(9,774)</w:t>
            </w:r>
          </w:p>
        </w:tc>
      </w:tr>
      <w:tr>
        <w:trPr>
          <w:trHeight w:val="258"/>
        </w:trPr>
        <w:tc>
          <w:tcPr>
            <w:tcW w:w="7120" w:type="dxa"/>
            <w:vAlign w:val="bottom"/>
            <w:shd w:val="clear" w:color="auto" w:fill="C0C0C0"/>
          </w:tcPr>
          <w:p>
            <w:pPr>
              <w:ind w:left="540"/>
              <w:spacing w:after="0"/>
              <w:rPr>
                <w:sz w:val="20"/>
                <w:szCs w:val="20"/>
                <w:color w:val="auto"/>
              </w:rPr>
            </w:pPr>
            <w:r>
              <w:rPr>
                <w:rFonts w:ascii="Times New Roman" w:cs="Times New Roman" w:eastAsia="Times New Roman" w:hAnsi="Times New Roman"/>
                <w:sz w:val="18"/>
                <w:szCs w:val="18"/>
                <w:color w:val="auto"/>
              </w:rPr>
              <w:t>Tax effect</w:t>
            </w:r>
          </w:p>
        </w:tc>
        <w:tc>
          <w:tcPr>
            <w:tcW w:w="2520" w:type="dxa"/>
            <w:vAlign w:val="bottom"/>
            <w:shd w:val="clear" w:color="auto" w:fill="C0C0C0"/>
          </w:tcPr>
          <w:p>
            <w:pPr>
              <w:spacing w:after="0"/>
              <w:rPr>
                <w:sz w:val="22"/>
                <w:szCs w:val="22"/>
                <w:color w:val="auto"/>
              </w:rPr>
            </w:pPr>
          </w:p>
        </w:tc>
        <w:tc>
          <w:tcPr>
            <w:tcW w:w="80" w:type="dxa"/>
            <w:vAlign w:val="bottom"/>
            <w:shd w:val="clear" w:color="auto" w:fill="C0C0C0"/>
          </w:tcPr>
          <w:p>
            <w:pPr>
              <w:spacing w:after="0"/>
              <w:rPr>
                <w:sz w:val="22"/>
                <w:szCs w:val="22"/>
                <w:color w:val="auto"/>
              </w:rPr>
            </w:pPr>
          </w:p>
        </w:tc>
        <w:tc>
          <w:tcPr>
            <w:tcW w:w="800" w:type="dxa"/>
            <w:vAlign w:val="bottom"/>
            <w:gridSpan w:val="3"/>
            <w:shd w:val="clear" w:color="auto" w:fill="C0C0C0"/>
          </w:tcPr>
          <w:p>
            <w:pPr>
              <w:jc w:val="right"/>
              <w:ind w:right="100"/>
              <w:spacing w:after="0"/>
              <w:rPr>
                <w:sz w:val="20"/>
                <w:szCs w:val="20"/>
                <w:color w:val="auto"/>
              </w:rPr>
            </w:pPr>
            <w:r>
              <w:rPr>
                <w:rFonts w:ascii="Times New Roman" w:cs="Times New Roman" w:eastAsia="Times New Roman" w:hAnsi="Times New Roman"/>
                <w:sz w:val="18"/>
                <w:szCs w:val="18"/>
                <w:color w:val="auto"/>
              </w:rPr>
              <w:t>(1,699)</w:t>
            </w:r>
          </w:p>
        </w:tc>
        <w:tc>
          <w:tcPr>
            <w:tcW w:w="280" w:type="dxa"/>
            <w:vAlign w:val="bottom"/>
            <w:shd w:val="clear" w:color="auto" w:fill="C0C0C0"/>
          </w:tcPr>
          <w:p>
            <w:pPr>
              <w:spacing w:after="0"/>
              <w:rPr>
                <w:sz w:val="22"/>
                <w:szCs w:val="22"/>
                <w:color w:val="auto"/>
              </w:rPr>
            </w:pPr>
          </w:p>
        </w:tc>
        <w:tc>
          <w:tcPr>
            <w:tcW w:w="620" w:type="dxa"/>
            <w:vAlign w:val="bottom"/>
            <w:gridSpan w:val="2"/>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2,326</w:t>
            </w:r>
          </w:p>
        </w:tc>
      </w:tr>
      <w:tr>
        <w:trPr>
          <w:trHeight w:val="228"/>
        </w:trPr>
        <w:tc>
          <w:tcPr>
            <w:tcW w:w="7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Reclassification adjustments for gains included in net income</w:t>
            </w:r>
          </w:p>
        </w:tc>
        <w:tc>
          <w:tcPr>
            <w:tcW w:w="2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58"/>
        </w:trPr>
        <w:tc>
          <w:tcPr>
            <w:tcW w:w="7120" w:type="dxa"/>
            <w:vAlign w:val="bottom"/>
            <w:shd w:val="clear" w:color="auto" w:fill="C0C0C0"/>
          </w:tcPr>
          <w:p>
            <w:pPr>
              <w:ind w:left="540"/>
              <w:spacing w:after="0"/>
              <w:rPr>
                <w:sz w:val="20"/>
                <w:szCs w:val="20"/>
                <w:color w:val="auto"/>
              </w:rPr>
            </w:pPr>
            <w:r>
              <w:rPr>
                <w:rFonts w:ascii="Times New Roman" w:cs="Times New Roman" w:eastAsia="Times New Roman" w:hAnsi="Times New Roman"/>
                <w:sz w:val="18"/>
                <w:szCs w:val="18"/>
                <w:color w:val="auto"/>
              </w:rPr>
              <w:t>Tax effect</w:t>
            </w:r>
          </w:p>
        </w:tc>
        <w:tc>
          <w:tcPr>
            <w:tcW w:w="2520" w:type="dxa"/>
            <w:vAlign w:val="bottom"/>
            <w:shd w:val="clear" w:color="auto" w:fill="C0C0C0"/>
          </w:tcPr>
          <w:p>
            <w:pPr>
              <w:spacing w:after="0"/>
              <w:rPr>
                <w:sz w:val="22"/>
                <w:szCs w:val="22"/>
                <w:color w:val="auto"/>
              </w:rPr>
            </w:pPr>
          </w:p>
        </w:tc>
        <w:tc>
          <w:tcPr>
            <w:tcW w:w="80" w:type="dxa"/>
            <w:vAlign w:val="bottom"/>
            <w:shd w:val="clear" w:color="auto" w:fill="C0C0C0"/>
          </w:tcPr>
          <w:p>
            <w:pPr>
              <w:spacing w:after="0"/>
              <w:rPr>
                <w:sz w:val="22"/>
                <w:szCs w:val="22"/>
                <w:color w:val="auto"/>
              </w:rPr>
            </w:pPr>
          </w:p>
        </w:tc>
        <w:tc>
          <w:tcPr>
            <w:tcW w:w="800" w:type="dxa"/>
            <w:vAlign w:val="bottom"/>
            <w:gridSpan w:val="3"/>
            <w:shd w:val="clear" w:color="auto" w:fill="C0C0C0"/>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0C0C0"/>
          </w:tcPr>
          <w:p>
            <w:pPr>
              <w:spacing w:after="0"/>
              <w:rPr>
                <w:sz w:val="22"/>
                <w:szCs w:val="22"/>
                <w:color w:val="auto"/>
              </w:rPr>
            </w:pPr>
          </w:p>
        </w:tc>
        <w:tc>
          <w:tcPr>
            <w:tcW w:w="620" w:type="dxa"/>
            <w:vAlign w:val="bottom"/>
            <w:gridSpan w:val="2"/>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7"/>
        </w:trPr>
        <w:tc>
          <w:tcPr>
            <w:tcW w:w="7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50"/>
        </w:trPr>
        <w:tc>
          <w:tcPr>
            <w:tcW w:w="7120" w:type="dxa"/>
            <w:vAlign w:val="bottom"/>
            <w:tcBorders>
              <w:top w:val="single" w:sz="8" w:color="C0C0C0"/>
              <w:bottom w:val="single" w:sz="8" w:color="C0C0C0"/>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2600" w:type="dxa"/>
            <w:vAlign w:val="bottom"/>
            <w:tcBorders>
              <w:top w:val="single" w:sz="8" w:color="C0C0C0"/>
              <w:bottom w:val="single" w:sz="8" w:color="C0C0C0"/>
            </w:tcBorders>
            <w:gridSpan w:val="2"/>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0C0C0"/>
              <w:bottom w:val="single" w:sz="8" w:color="C0C0C0"/>
            </w:tcBorders>
            <w:shd w:val="clear" w:color="auto" w:fill="C0C0C0"/>
          </w:tcPr>
          <w:p>
            <w:pPr>
              <w:spacing w:after="0"/>
              <w:rPr>
                <w:sz w:val="21"/>
                <w:szCs w:val="21"/>
                <w:color w:val="auto"/>
              </w:rPr>
            </w:pPr>
          </w:p>
        </w:tc>
        <w:tc>
          <w:tcPr>
            <w:tcW w:w="5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13,579</w:t>
            </w:r>
          </w:p>
        </w:tc>
        <w:tc>
          <w:tcPr>
            <w:tcW w:w="100" w:type="dxa"/>
            <w:vAlign w:val="bottom"/>
            <w:tcBorders>
              <w:top w:val="single" w:sz="8" w:color="C0C0C0"/>
              <w:bottom w:val="single" w:sz="8" w:color="C0C0C0"/>
            </w:tcBorders>
            <w:shd w:val="clear" w:color="auto" w:fill="C0C0C0"/>
          </w:tcPr>
          <w:p>
            <w:pPr>
              <w:spacing w:after="0"/>
              <w:rPr>
                <w:sz w:val="21"/>
                <w:szCs w:val="21"/>
                <w:color w:val="auto"/>
              </w:rPr>
            </w:pPr>
          </w:p>
        </w:tc>
        <w:tc>
          <w:tcPr>
            <w:tcW w:w="280" w:type="dxa"/>
            <w:vAlign w:val="bottom"/>
            <w:tcBorders>
              <w:top w:val="single" w:sz="8" w:color="C0C0C0"/>
              <w:bottom w:val="single" w:sz="8" w:color="C0C0C0"/>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0C0C0"/>
              <w:bottom w:val="single" w:sz="8" w:color="C0C0C0"/>
            </w:tcBorders>
            <w:shd w:val="clear" w:color="auto" w:fill="C0C0C0"/>
          </w:tcPr>
          <w:p>
            <w:pPr>
              <w:spacing w:after="0"/>
              <w:rPr>
                <w:sz w:val="21"/>
                <w:szCs w:val="21"/>
                <w:color w:val="auto"/>
              </w:rPr>
            </w:pPr>
          </w:p>
        </w:tc>
        <w:tc>
          <w:tcPr>
            <w:tcW w:w="5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673</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93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3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2"/>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2"/>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30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6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8,163</w:t>
            </w:r>
          </w:p>
        </w:tc>
        <w:tc>
          <w:tcPr>
            <w:tcW w:w="120" w:type="dxa"/>
            <w:vAlign w:val="bottom"/>
          </w:tcPr>
          <w:p>
            <w:pPr>
              <w:spacing w:after="0"/>
              <w:rPr>
                <w:sz w:val="19"/>
                <w:szCs w:val="19"/>
                <w:color w:val="auto"/>
              </w:rPr>
            </w:pPr>
          </w:p>
        </w:tc>
        <w:tc>
          <w:tcPr>
            <w:tcW w:w="4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930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6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62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400" w:type="dxa"/>
            <w:vAlign w:val="bottom"/>
            <w:shd w:val="clear" w:color="auto" w:fill="C0C0C0"/>
          </w:tcPr>
          <w:p>
            <w:pPr>
              <w:spacing w:after="0"/>
              <w:rPr>
                <w:sz w:val="22"/>
                <w:szCs w:val="22"/>
                <w:color w:val="auto"/>
              </w:rPr>
            </w:pPr>
          </w:p>
        </w:tc>
        <w:tc>
          <w:tcPr>
            <w:tcW w:w="60" w:type="dxa"/>
            <w:vAlign w:val="bottom"/>
            <w:shd w:val="clear" w:color="auto" w:fill="C0C0C0"/>
          </w:tcPr>
          <w:p>
            <w:pPr>
              <w:spacing w:after="0"/>
              <w:rPr>
                <w:sz w:val="22"/>
                <w:szCs w:val="22"/>
                <w:color w:val="auto"/>
              </w:rPr>
            </w:pPr>
          </w:p>
        </w:tc>
        <w:tc>
          <w:tcPr>
            <w:tcW w:w="600" w:type="dxa"/>
            <w:vAlign w:val="bottom"/>
            <w:shd w:val="clear" w:color="auto" w:fill="C0C0C0"/>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3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9300" w:type="dxa"/>
            <w:vAlign w:val="bottom"/>
            <w:shd w:val="clear" w:color="auto" w:fill="C0C0C0"/>
          </w:tcPr>
          <w:p>
            <w:pPr>
              <w:ind w:left="520"/>
              <w:spacing w:after="0"/>
              <w:rPr>
                <w:sz w:val="20"/>
                <w:szCs w:val="20"/>
                <w:color w:val="auto"/>
              </w:rPr>
            </w:pPr>
            <w:r>
              <w:rPr>
                <w:rFonts w:ascii="Times New Roman" w:cs="Times New Roman" w:eastAsia="Times New Roman" w:hAnsi="Times New Roman"/>
                <w:sz w:val="18"/>
                <w:szCs w:val="18"/>
                <w:color w:val="auto"/>
              </w:rPr>
              <w:t>Net gains on sales of securities</w:t>
            </w:r>
          </w:p>
        </w:tc>
        <w:tc>
          <w:tcPr>
            <w:tcW w:w="160" w:type="dxa"/>
            <w:vAlign w:val="bottom"/>
            <w:shd w:val="clear" w:color="auto" w:fill="C0C0C0"/>
          </w:tcPr>
          <w:p>
            <w:pPr>
              <w:spacing w:after="0"/>
              <w:rPr>
                <w:sz w:val="22"/>
                <w:szCs w:val="22"/>
                <w:color w:val="auto"/>
              </w:rPr>
            </w:pPr>
          </w:p>
        </w:tc>
        <w:tc>
          <w:tcPr>
            <w:tcW w:w="880" w:type="dxa"/>
            <w:vAlign w:val="bottom"/>
            <w:gridSpan w:val="3"/>
            <w:shd w:val="clear" w:color="auto" w:fill="C0C0C0"/>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shd w:val="clear" w:color="auto" w:fill="C0C0C0"/>
          </w:tcPr>
          <w:p>
            <w:pPr>
              <w:spacing w:after="0"/>
              <w:rPr>
                <w:sz w:val="22"/>
                <w:szCs w:val="22"/>
                <w:color w:val="auto"/>
              </w:rPr>
            </w:pPr>
          </w:p>
        </w:tc>
        <w:tc>
          <w:tcPr>
            <w:tcW w:w="660" w:type="dxa"/>
            <w:vAlign w:val="bottom"/>
            <w:gridSpan w:val="2"/>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3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9300" w:type="dxa"/>
            <w:vAlign w:val="bottom"/>
            <w:shd w:val="clear" w:color="auto" w:fill="C0C0C0"/>
          </w:tcPr>
          <w:p>
            <w:pPr>
              <w:ind w:left="5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60" w:type="dxa"/>
            <w:vAlign w:val="bottom"/>
            <w:shd w:val="clear" w:color="auto" w:fill="C0C0C0"/>
          </w:tcPr>
          <w:p>
            <w:pPr>
              <w:spacing w:after="0"/>
              <w:rPr>
                <w:sz w:val="22"/>
                <w:szCs w:val="22"/>
                <w:color w:val="auto"/>
              </w:rPr>
            </w:pPr>
          </w:p>
        </w:tc>
        <w:tc>
          <w:tcPr>
            <w:tcW w:w="760" w:type="dxa"/>
            <w:vAlign w:val="bottom"/>
            <w:gridSpan w:val="2"/>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0C0C0"/>
          </w:tcPr>
          <w:p>
            <w:pPr>
              <w:spacing w:after="0"/>
              <w:rPr>
                <w:sz w:val="22"/>
                <w:szCs w:val="22"/>
                <w:color w:val="auto"/>
              </w:rPr>
            </w:pPr>
          </w:p>
        </w:tc>
        <w:tc>
          <w:tcPr>
            <w:tcW w:w="400" w:type="dxa"/>
            <w:vAlign w:val="bottom"/>
            <w:shd w:val="clear" w:color="auto" w:fill="C0C0C0"/>
          </w:tcPr>
          <w:p>
            <w:pPr>
              <w:spacing w:after="0"/>
              <w:rPr>
                <w:sz w:val="22"/>
                <w:szCs w:val="22"/>
                <w:color w:val="auto"/>
              </w:rPr>
            </w:pPr>
          </w:p>
        </w:tc>
        <w:tc>
          <w:tcPr>
            <w:tcW w:w="60" w:type="dxa"/>
            <w:vAlign w:val="bottom"/>
            <w:shd w:val="clear" w:color="auto" w:fill="C0C0C0"/>
          </w:tcPr>
          <w:p>
            <w:pPr>
              <w:spacing w:after="0"/>
              <w:rPr>
                <w:sz w:val="22"/>
                <w:szCs w:val="22"/>
                <w:color w:val="auto"/>
              </w:rPr>
            </w:pPr>
          </w:p>
        </w:tc>
        <w:tc>
          <w:tcPr>
            <w:tcW w:w="6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3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Increase in income tax liability</w:t>
            </w:r>
          </w:p>
        </w:tc>
        <w:tc>
          <w:tcPr>
            <w:tcW w:w="1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9300" w:type="dxa"/>
            <w:vAlign w:val="bottom"/>
            <w:shd w:val="clear" w:color="auto" w:fill="C0C0C0"/>
          </w:tcPr>
          <w:p>
            <w:pPr>
              <w:ind w:left="520"/>
              <w:spacing w:after="0"/>
              <w:rPr>
                <w:sz w:val="20"/>
                <w:szCs w:val="20"/>
                <w:color w:val="auto"/>
              </w:rPr>
            </w:pPr>
            <w:r>
              <w:rPr>
                <w:rFonts w:ascii="Times New Roman" w:cs="Times New Roman" w:eastAsia="Times New Roman" w:hAnsi="Times New Roman"/>
                <w:sz w:val="18"/>
                <w:szCs w:val="18"/>
                <w:color w:val="auto"/>
              </w:rPr>
              <w:t>Increase in pension liability</w:t>
            </w:r>
          </w:p>
        </w:tc>
        <w:tc>
          <w:tcPr>
            <w:tcW w:w="160" w:type="dxa"/>
            <w:vAlign w:val="bottom"/>
            <w:shd w:val="clear" w:color="auto" w:fill="C0C0C0"/>
          </w:tcPr>
          <w:p>
            <w:pPr>
              <w:spacing w:after="0"/>
              <w:rPr>
                <w:sz w:val="22"/>
                <w:szCs w:val="22"/>
                <w:color w:val="auto"/>
              </w:rPr>
            </w:pPr>
          </w:p>
        </w:tc>
        <w:tc>
          <w:tcPr>
            <w:tcW w:w="760" w:type="dxa"/>
            <w:vAlign w:val="bottom"/>
            <w:gridSpan w:val="2"/>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20" w:type="dxa"/>
            <w:vAlign w:val="bottom"/>
            <w:shd w:val="clear" w:color="auto" w:fill="C0C0C0"/>
          </w:tcPr>
          <w:p>
            <w:pPr>
              <w:spacing w:after="0"/>
              <w:rPr>
                <w:sz w:val="22"/>
                <w:szCs w:val="22"/>
                <w:color w:val="auto"/>
              </w:rPr>
            </w:pPr>
          </w:p>
        </w:tc>
        <w:tc>
          <w:tcPr>
            <w:tcW w:w="400" w:type="dxa"/>
            <w:vAlign w:val="bottom"/>
            <w:shd w:val="clear" w:color="auto" w:fill="C0C0C0"/>
          </w:tcPr>
          <w:p>
            <w:pPr>
              <w:spacing w:after="0"/>
              <w:rPr>
                <w:sz w:val="22"/>
                <w:szCs w:val="22"/>
                <w:color w:val="auto"/>
              </w:rPr>
            </w:pPr>
          </w:p>
        </w:tc>
        <w:tc>
          <w:tcPr>
            <w:tcW w:w="660" w:type="dxa"/>
            <w:vAlign w:val="bottom"/>
            <w:gridSpan w:val="2"/>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3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(Increase) decrease in accounts receivable</w:t>
            </w:r>
          </w:p>
        </w:tc>
        <w:tc>
          <w:tcPr>
            <w:tcW w:w="160" w:type="dxa"/>
            <w:vAlign w:val="bottom"/>
          </w:tcPr>
          <w:p>
            <w:pPr>
              <w:spacing w:after="0"/>
              <w:rPr>
                <w:sz w:val="19"/>
                <w:szCs w:val="19"/>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(485)</w:t>
            </w:r>
          </w:p>
        </w:tc>
        <w:tc>
          <w:tcPr>
            <w:tcW w:w="4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9300" w:type="dxa"/>
            <w:vAlign w:val="bottom"/>
            <w:shd w:val="clear" w:color="auto" w:fill="C0C0C0"/>
          </w:tcPr>
          <w:p>
            <w:pPr>
              <w:ind w:left="520"/>
              <w:spacing w:after="0"/>
              <w:rPr>
                <w:sz w:val="20"/>
                <w:szCs w:val="20"/>
                <w:color w:val="auto"/>
              </w:rPr>
            </w:pPr>
            <w:r>
              <w:rPr>
                <w:rFonts w:ascii="Times New Roman" w:cs="Times New Roman" w:eastAsia="Times New Roman" w:hAnsi="Times New Roman"/>
                <w:sz w:val="18"/>
                <w:szCs w:val="18"/>
                <w:color w:val="auto"/>
              </w:rPr>
              <w:t>Other operating activities, net</w:t>
            </w:r>
          </w:p>
        </w:tc>
        <w:tc>
          <w:tcPr>
            <w:tcW w:w="160" w:type="dxa"/>
            <w:vAlign w:val="bottom"/>
            <w:shd w:val="clear" w:color="auto" w:fill="C0C0C0"/>
          </w:tcPr>
          <w:p>
            <w:pPr>
              <w:spacing w:after="0"/>
              <w:rPr>
                <w:sz w:val="22"/>
                <w:szCs w:val="22"/>
                <w:color w:val="auto"/>
              </w:rPr>
            </w:pPr>
          </w:p>
        </w:tc>
        <w:tc>
          <w:tcPr>
            <w:tcW w:w="760" w:type="dxa"/>
            <w:vAlign w:val="bottom"/>
            <w:gridSpan w:val="2"/>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20" w:type="dxa"/>
            <w:vAlign w:val="bottom"/>
            <w:shd w:val="clear" w:color="auto" w:fill="C0C0C0"/>
          </w:tcPr>
          <w:p>
            <w:pPr>
              <w:spacing w:after="0"/>
              <w:rPr>
                <w:sz w:val="22"/>
                <w:szCs w:val="22"/>
                <w:color w:val="auto"/>
              </w:rPr>
            </w:pPr>
          </w:p>
        </w:tc>
        <w:tc>
          <w:tcPr>
            <w:tcW w:w="400" w:type="dxa"/>
            <w:vAlign w:val="bottom"/>
            <w:shd w:val="clear" w:color="auto" w:fill="C0C0C0"/>
          </w:tcPr>
          <w:p>
            <w:pPr>
              <w:spacing w:after="0"/>
              <w:rPr>
                <w:sz w:val="22"/>
                <w:szCs w:val="22"/>
                <w:color w:val="auto"/>
              </w:rPr>
            </w:pPr>
          </w:p>
        </w:tc>
        <w:tc>
          <w:tcPr>
            <w:tcW w:w="660" w:type="dxa"/>
            <w:vAlign w:val="bottom"/>
            <w:gridSpan w:val="2"/>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9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930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6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sales of securities available-for-sale</w:t>
            </w:r>
          </w:p>
        </w:tc>
        <w:tc>
          <w:tcPr>
            <w:tcW w:w="1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930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Proceeds from maturities of securities available-for-sale</w:t>
            </w:r>
          </w:p>
        </w:tc>
        <w:tc>
          <w:tcPr>
            <w:tcW w:w="160" w:type="dxa"/>
            <w:vAlign w:val="bottom"/>
            <w:shd w:val="clear" w:color="auto" w:fill="C0C0C0"/>
          </w:tcPr>
          <w:p>
            <w:pPr>
              <w:spacing w:after="0"/>
              <w:rPr>
                <w:sz w:val="22"/>
                <w:szCs w:val="22"/>
                <w:color w:val="auto"/>
              </w:rPr>
            </w:pPr>
          </w:p>
        </w:tc>
        <w:tc>
          <w:tcPr>
            <w:tcW w:w="760" w:type="dxa"/>
            <w:vAlign w:val="bottom"/>
            <w:gridSpan w:val="2"/>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4,824</w:t>
            </w:r>
          </w:p>
        </w:tc>
        <w:tc>
          <w:tcPr>
            <w:tcW w:w="120" w:type="dxa"/>
            <w:vAlign w:val="bottom"/>
            <w:shd w:val="clear" w:color="auto" w:fill="C0C0C0"/>
          </w:tcPr>
          <w:p>
            <w:pPr>
              <w:spacing w:after="0"/>
              <w:rPr>
                <w:sz w:val="22"/>
                <w:szCs w:val="22"/>
                <w:color w:val="auto"/>
              </w:rPr>
            </w:pPr>
          </w:p>
        </w:tc>
        <w:tc>
          <w:tcPr>
            <w:tcW w:w="400" w:type="dxa"/>
            <w:vAlign w:val="bottom"/>
            <w:shd w:val="clear" w:color="auto" w:fill="C0C0C0"/>
          </w:tcPr>
          <w:p>
            <w:pPr>
              <w:spacing w:after="0"/>
              <w:rPr>
                <w:sz w:val="22"/>
                <w:szCs w:val="22"/>
                <w:color w:val="auto"/>
              </w:rPr>
            </w:pPr>
          </w:p>
        </w:tc>
        <w:tc>
          <w:tcPr>
            <w:tcW w:w="660" w:type="dxa"/>
            <w:vAlign w:val="bottom"/>
            <w:gridSpan w:val="2"/>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11,030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securities available-for-sale</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930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Net increase in loans</w:t>
            </w:r>
          </w:p>
        </w:tc>
        <w:tc>
          <w:tcPr>
            <w:tcW w:w="160" w:type="dxa"/>
            <w:vAlign w:val="bottom"/>
            <w:shd w:val="clear" w:color="auto" w:fill="C0C0C0"/>
          </w:tcPr>
          <w:p>
            <w:pPr>
              <w:spacing w:after="0"/>
              <w:rPr>
                <w:sz w:val="22"/>
                <w:szCs w:val="22"/>
                <w:color w:val="auto"/>
              </w:rPr>
            </w:pPr>
          </w:p>
        </w:tc>
        <w:tc>
          <w:tcPr>
            <w:tcW w:w="880" w:type="dxa"/>
            <w:vAlign w:val="bottom"/>
            <w:gridSpan w:val="3"/>
            <w:shd w:val="clear" w:color="auto" w:fill="C0C0C0"/>
          </w:tcPr>
          <w:p>
            <w:pPr>
              <w:jc w:val="right"/>
              <w:ind w:right="120"/>
              <w:spacing w:after="0"/>
              <w:rPr>
                <w:sz w:val="20"/>
                <w:szCs w:val="20"/>
                <w:color w:val="auto"/>
              </w:rPr>
            </w:pPr>
            <w:r>
              <w:rPr>
                <w:rFonts w:ascii="Times New Roman" w:cs="Times New Roman" w:eastAsia="Times New Roman" w:hAnsi="Times New Roman"/>
                <w:sz w:val="18"/>
                <w:szCs w:val="18"/>
                <w:color w:val="auto"/>
              </w:rPr>
              <w:t>(29,711)</w:t>
            </w:r>
          </w:p>
        </w:tc>
        <w:tc>
          <w:tcPr>
            <w:tcW w:w="400" w:type="dxa"/>
            <w:vAlign w:val="bottom"/>
            <w:shd w:val="clear" w:color="auto" w:fill="C0C0C0"/>
          </w:tcPr>
          <w:p>
            <w:pPr>
              <w:spacing w:after="0"/>
              <w:rPr>
                <w:sz w:val="22"/>
                <w:szCs w:val="22"/>
                <w:color w:val="auto"/>
              </w:rPr>
            </w:pPr>
          </w:p>
        </w:tc>
        <w:tc>
          <w:tcPr>
            <w:tcW w:w="660" w:type="dxa"/>
            <w:vAlign w:val="bottom"/>
            <w:gridSpan w:val="2"/>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(15,764)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Increase in payments in excess of funding</w:t>
            </w:r>
          </w:p>
        </w:tc>
        <w:tc>
          <w:tcPr>
            <w:tcW w:w="160" w:type="dxa"/>
            <w:vAlign w:val="bottom"/>
          </w:tcPr>
          <w:p>
            <w:pPr>
              <w:spacing w:after="0"/>
              <w:rPr>
                <w:sz w:val="19"/>
                <w:szCs w:val="19"/>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(2,176)</w:t>
            </w:r>
          </w:p>
        </w:tc>
        <w:tc>
          <w:tcPr>
            <w:tcW w:w="4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930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Purchases of premises and equipment, net</w:t>
            </w:r>
          </w:p>
        </w:tc>
        <w:tc>
          <w:tcPr>
            <w:tcW w:w="160" w:type="dxa"/>
            <w:vAlign w:val="bottom"/>
            <w:shd w:val="clear" w:color="auto" w:fill="C0C0C0"/>
          </w:tcPr>
          <w:p>
            <w:pPr>
              <w:spacing w:after="0"/>
              <w:rPr>
                <w:sz w:val="22"/>
                <w:szCs w:val="22"/>
                <w:color w:val="auto"/>
              </w:rPr>
            </w:pPr>
          </w:p>
        </w:tc>
        <w:tc>
          <w:tcPr>
            <w:tcW w:w="880" w:type="dxa"/>
            <w:vAlign w:val="bottom"/>
            <w:gridSpan w:val="3"/>
            <w:shd w:val="clear" w:color="auto" w:fill="C0C0C0"/>
          </w:tcPr>
          <w:p>
            <w:pPr>
              <w:jc w:val="right"/>
              <w:ind w:right="120"/>
              <w:spacing w:after="0"/>
              <w:rPr>
                <w:sz w:val="20"/>
                <w:szCs w:val="20"/>
                <w:color w:val="auto"/>
              </w:rPr>
            </w:pPr>
            <w:r>
              <w:rPr>
                <w:rFonts w:ascii="Times New Roman" w:cs="Times New Roman" w:eastAsia="Times New Roman" w:hAnsi="Times New Roman"/>
                <w:sz w:val="18"/>
                <w:szCs w:val="18"/>
                <w:color w:val="auto"/>
              </w:rPr>
              <w:t>(646)</w:t>
            </w:r>
          </w:p>
        </w:tc>
        <w:tc>
          <w:tcPr>
            <w:tcW w:w="400" w:type="dxa"/>
            <w:vAlign w:val="bottom"/>
            <w:shd w:val="clear" w:color="auto" w:fill="C0C0C0"/>
          </w:tcPr>
          <w:p>
            <w:pPr>
              <w:spacing w:after="0"/>
              <w:rPr>
                <w:sz w:val="22"/>
                <w:szCs w:val="22"/>
                <w:color w:val="auto"/>
              </w:rPr>
            </w:pPr>
          </w:p>
        </w:tc>
        <w:tc>
          <w:tcPr>
            <w:tcW w:w="660" w:type="dxa"/>
            <w:vAlign w:val="bottom"/>
            <w:gridSpan w:val="2"/>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(26,608)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(31,784)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9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930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6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noninterest-bearing demand deposits</w:t>
            </w:r>
          </w:p>
        </w:tc>
        <w:tc>
          <w:tcPr>
            <w:tcW w:w="160" w:type="dxa"/>
            <w:vAlign w:val="bottom"/>
          </w:tcPr>
          <w:p>
            <w:pPr>
              <w:spacing w:after="0"/>
              <w:rPr>
                <w:sz w:val="19"/>
                <w:szCs w:val="19"/>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(42,080)</w:t>
            </w:r>
          </w:p>
        </w:tc>
        <w:tc>
          <w:tcPr>
            <w:tcW w:w="4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930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Net decrease in interest-bearing demand and savings deposits</w:t>
            </w:r>
          </w:p>
        </w:tc>
        <w:tc>
          <w:tcPr>
            <w:tcW w:w="160" w:type="dxa"/>
            <w:vAlign w:val="bottom"/>
            <w:shd w:val="clear" w:color="auto" w:fill="C0C0C0"/>
          </w:tcPr>
          <w:p>
            <w:pPr>
              <w:spacing w:after="0"/>
              <w:rPr>
                <w:sz w:val="22"/>
                <w:szCs w:val="22"/>
                <w:color w:val="auto"/>
              </w:rPr>
            </w:pPr>
          </w:p>
        </w:tc>
        <w:tc>
          <w:tcPr>
            <w:tcW w:w="880" w:type="dxa"/>
            <w:vAlign w:val="bottom"/>
            <w:gridSpan w:val="3"/>
            <w:shd w:val="clear" w:color="auto" w:fill="C0C0C0"/>
          </w:tcPr>
          <w:p>
            <w:pPr>
              <w:jc w:val="right"/>
              <w:ind w:right="120"/>
              <w:spacing w:after="0"/>
              <w:rPr>
                <w:sz w:val="20"/>
                <w:szCs w:val="20"/>
                <w:color w:val="auto"/>
              </w:rPr>
            </w:pPr>
            <w:r>
              <w:rPr>
                <w:rFonts w:ascii="Times New Roman" w:cs="Times New Roman" w:eastAsia="Times New Roman" w:hAnsi="Times New Roman"/>
                <w:sz w:val="18"/>
                <w:szCs w:val="18"/>
                <w:color w:val="auto"/>
              </w:rPr>
              <w:t>(26,095)</w:t>
            </w:r>
          </w:p>
        </w:tc>
        <w:tc>
          <w:tcPr>
            <w:tcW w:w="400" w:type="dxa"/>
            <w:vAlign w:val="bottom"/>
            <w:shd w:val="clear" w:color="auto" w:fill="C0C0C0"/>
          </w:tcPr>
          <w:p>
            <w:pPr>
              <w:spacing w:after="0"/>
              <w:rPr>
                <w:sz w:val="22"/>
                <w:szCs w:val="22"/>
                <w:color w:val="auto"/>
              </w:rPr>
            </w:pPr>
          </w:p>
        </w:tc>
        <w:tc>
          <w:tcPr>
            <w:tcW w:w="660" w:type="dxa"/>
            <w:vAlign w:val="bottom"/>
            <w:gridSpan w:val="2"/>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(15,149)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time deposits</w:t>
            </w:r>
          </w:p>
        </w:tc>
        <w:tc>
          <w:tcPr>
            <w:tcW w:w="1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930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Net increase in accounts and drafts payable</w:t>
            </w:r>
          </w:p>
        </w:tc>
        <w:tc>
          <w:tcPr>
            <w:tcW w:w="160" w:type="dxa"/>
            <w:vAlign w:val="bottom"/>
            <w:shd w:val="clear" w:color="auto" w:fill="C0C0C0"/>
          </w:tcPr>
          <w:p>
            <w:pPr>
              <w:spacing w:after="0"/>
              <w:rPr>
                <w:sz w:val="22"/>
                <w:szCs w:val="22"/>
                <w:color w:val="auto"/>
              </w:rPr>
            </w:pPr>
          </w:p>
        </w:tc>
        <w:tc>
          <w:tcPr>
            <w:tcW w:w="760" w:type="dxa"/>
            <w:vAlign w:val="bottom"/>
            <w:gridSpan w:val="2"/>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39,892</w:t>
            </w:r>
          </w:p>
        </w:tc>
        <w:tc>
          <w:tcPr>
            <w:tcW w:w="120" w:type="dxa"/>
            <w:vAlign w:val="bottom"/>
            <w:shd w:val="clear" w:color="auto" w:fill="C0C0C0"/>
          </w:tcPr>
          <w:p>
            <w:pPr>
              <w:spacing w:after="0"/>
              <w:rPr>
                <w:sz w:val="22"/>
                <w:szCs w:val="22"/>
                <w:color w:val="auto"/>
              </w:rPr>
            </w:pPr>
          </w:p>
        </w:tc>
        <w:tc>
          <w:tcPr>
            <w:tcW w:w="400" w:type="dxa"/>
            <w:vAlign w:val="bottom"/>
            <w:shd w:val="clear" w:color="auto" w:fill="C0C0C0"/>
          </w:tcPr>
          <w:p>
            <w:pPr>
              <w:spacing w:after="0"/>
              <w:rPr>
                <w:sz w:val="22"/>
                <w:szCs w:val="22"/>
                <w:color w:val="auto"/>
              </w:rPr>
            </w:pPr>
          </w:p>
        </w:tc>
        <w:tc>
          <w:tcPr>
            <w:tcW w:w="660" w:type="dxa"/>
            <w:vAlign w:val="bottom"/>
            <w:gridSpan w:val="2"/>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27,825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paid</w:t>
            </w:r>
          </w:p>
        </w:tc>
        <w:tc>
          <w:tcPr>
            <w:tcW w:w="160" w:type="dxa"/>
            <w:vAlign w:val="bottom"/>
          </w:tcPr>
          <w:p>
            <w:pPr>
              <w:spacing w:after="0"/>
              <w:rPr>
                <w:sz w:val="19"/>
                <w:szCs w:val="19"/>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(3,776)</w:t>
            </w:r>
          </w:p>
        </w:tc>
        <w:tc>
          <w:tcPr>
            <w:tcW w:w="4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930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Purchase of common shares for treasury</w:t>
            </w:r>
          </w:p>
        </w:tc>
        <w:tc>
          <w:tcPr>
            <w:tcW w:w="160" w:type="dxa"/>
            <w:vAlign w:val="bottom"/>
            <w:shd w:val="clear" w:color="auto" w:fill="C0C0C0"/>
          </w:tcPr>
          <w:p>
            <w:pPr>
              <w:spacing w:after="0"/>
              <w:rPr>
                <w:sz w:val="22"/>
                <w:szCs w:val="22"/>
                <w:color w:val="auto"/>
              </w:rPr>
            </w:pPr>
          </w:p>
        </w:tc>
        <w:tc>
          <w:tcPr>
            <w:tcW w:w="880" w:type="dxa"/>
            <w:vAlign w:val="bottom"/>
            <w:gridSpan w:val="3"/>
            <w:shd w:val="clear" w:color="auto" w:fill="C0C0C0"/>
          </w:tcPr>
          <w:p>
            <w:pPr>
              <w:jc w:val="right"/>
              <w:ind w:right="120"/>
              <w:spacing w:after="0"/>
              <w:rPr>
                <w:sz w:val="20"/>
                <w:szCs w:val="20"/>
                <w:color w:val="auto"/>
              </w:rPr>
            </w:pPr>
            <w:r>
              <w:rPr>
                <w:rFonts w:ascii="Times New Roman" w:cs="Times New Roman" w:eastAsia="Times New Roman" w:hAnsi="Times New Roman"/>
                <w:sz w:val="18"/>
                <w:szCs w:val="18"/>
                <w:color w:val="auto"/>
              </w:rPr>
              <w:t>(5,701)</w:t>
            </w:r>
          </w:p>
        </w:tc>
        <w:tc>
          <w:tcPr>
            <w:tcW w:w="400" w:type="dxa"/>
            <w:vAlign w:val="bottom"/>
            <w:shd w:val="clear" w:color="auto" w:fill="C0C0C0"/>
          </w:tcPr>
          <w:p>
            <w:pPr>
              <w:spacing w:after="0"/>
              <w:rPr>
                <w:sz w:val="22"/>
                <w:szCs w:val="22"/>
                <w:color w:val="auto"/>
              </w:rPr>
            </w:pPr>
          </w:p>
        </w:tc>
        <w:tc>
          <w:tcPr>
            <w:tcW w:w="660" w:type="dxa"/>
            <w:vAlign w:val="bottom"/>
            <w:gridSpan w:val="2"/>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16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(327)</w:t>
            </w:r>
          </w:p>
        </w:tc>
        <w:tc>
          <w:tcPr>
            <w:tcW w:w="4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300" w:type="dxa"/>
            <w:vAlign w:val="bottom"/>
            <w:tcBorders>
              <w:top w:val="single" w:sz="8" w:color="C0C0C0"/>
            </w:tcBorders>
            <w:shd w:val="clear" w:color="auto" w:fill="C0C0C0"/>
          </w:tcPr>
          <w:p>
            <w:pPr>
              <w:ind w:left="5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0" w:type="dxa"/>
            <w:vAlign w:val="bottom"/>
            <w:tcBorders>
              <w:top w:val="single" w:sz="8" w:color="C0C0C0"/>
            </w:tcBorders>
            <w:shd w:val="clear" w:color="auto" w:fill="C0C0C0"/>
          </w:tcPr>
          <w:p>
            <w:pPr>
              <w:spacing w:after="0"/>
              <w:rPr>
                <w:sz w:val="21"/>
                <w:szCs w:val="21"/>
                <w:color w:val="auto"/>
              </w:rPr>
            </w:pPr>
          </w:p>
        </w:tc>
        <w:tc>
          <w:tcPr>
            <w:tcW w:w="140" w:type="dxa"/>
            <w:vAlign w:val="bottom"/>
            <w:tcBorders>
              <w:top w:val="single" w:sz="8" w:color="C0C0C0"/>
            </w:tcBorders>
            <w:shd w:val="clear" w:color="auto" w:fill="C0C0C0"/>
          </w:tcPr>
          <w:p>
            <w:pPr>
              <w:spacing w:after="0"/>
              <w:rPr>
                <w:sz w:val="21"/>
                <w:szCs w:val="21"/>
                <w:color w:val="auto"/>
              </w:rPr>
            </w:pPr>
          </w:p>
        </w:tc>
        <w:tc>
          <w:tcPr>
            <w:tcW w:w="6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w w:val="97"/>
              </w:rPr>
              <w:t>(36,406)</w:t>
            </w:r>
          </w:p>
        </w:tc>
        <w:tc>
          <w:tcPr>
            <w:tcW w:w="120" w:type="dxa"/>
            <w:vAlign w:val="bottom"/>
            <w:tcBorders>
              <w:top w:val="single" w:sz="8" w:color="C0C0C0"/>
            </w:tcBorders>
            <w:shd w:val="clear" w:color="auto" w:fill="C0C0C0"/>
          </w:tcPr>
          <w:p>
            <w:pPr>
              <w:spacing w:after="0"/>
              <w:rPr>
                <w:sz w:val="21"/>
                <w:szCs w:val="21"/>
                <w:color w:val="auto"/>
              </w:rPr>
            </w:pPr>
          </w:p>
        </w:tc>
        <w:tc>
          <w:tcPr>
            <w:tcW w:w="400" w:type="dxa"/>
            <w:vAlign w:val="bottom"/>
            <w:tcBorders>
              <w:top w:val="single" w:sz="8" w:color="C0C0C0"/>
            </w:tcBorders>
            <w:shd w:val="clear" w:color="auto" w:fill="C0C0C0"/>
          </w:tcPr>
          <w:p>
            <w:pPr>
              <w:spacing w:after="0"/>
              <w:rPr>
                <w:sz w:val="21"/>
                <w:szCs w:val="21"/>
                <w:color w:val="auto"/>
              </w:rPr>
            </w:pPr>
          </w:p>
        </w:tc>
        <w:tc>
          <w:tcPr>
            <w:tcW w:w="60" w:type="dxa"/>
            <w:vAlign w:val="bottom"/>
            <w:tcBorders>
              <w:top w:val="single" w:sz="8" w:color="C0C0C0"/>
            </w:tcBorders>
            <w:shd w:val="clear" w:color="auto" w:fill="C0C0C0"/>
          </w:tcPr>
          <w:p>
            <w:pPr>
              <w:spacing w:after="0"/>
              <w:rPr>
                <w:sz w:val="21"/>
                <w:szCs w:val="21"/>
                <w:color w:val="auto"/>
              </w:rPr>
            </w:pPr>
          </w:p>
        </w:tc>
        <w:tc>
          <w:tcPr>
            <w:tcW w:w="6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w w:val="94"/>
              </w:rPr>
              <w:t>(14,903)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(46,579)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(28,528)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930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60" w:type="dxa"/>
            <w:vAlign w:val="bottom"/>
            <w:shd w:val="clear" w:color="auto" w:fill="C0C0C0"/>
          </w:tcPr>
          <w:p>
            <w:pPr>
              <w:spacing w:after="0"/>
              <w:rPr>
                <w:sz w:val="22"/>
                <w:szCs w:val="22"/>
                <w:color w:val="auto"/>
              </w:rPr>
            </w:pPr>
          </w:p>
        </w:tc>
        <w:tc>
          <w:tcPr>
            <w:tcW w:w="760" w:type="dxa"/>
            <w:vAlign w:val="bottom"/>
            <w:gridSpan w:val="2"/>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230,933</w:t>
            </w:r>
          </w:p>
        </w:tc>
        <w:tc>
          <w:tcPr>
            <w:tcW w:w="120" w:type="dxa"/>
            <w:vAlign w:val="bottom"/>
            <w:shd w:val="clear" w:color="auto" w:fill="C0C0C0"/>
          </w:tcPr>
          <w:p>
            <w:pPr>
              <w:spacing w:after="0"/>
              <w:rPr>
                <w:sz w:val="22"/>
                <w:szCs w:val="22"/>
                <w:color w:val="auto"/>
              </w:rPr>
            </w:pPr>
          </w:p>
        </w:tc>
        <w:tc>
          <w:tcPr>
            <w:tcW w:w="400" w:type="dxa"/>
            <w:vAlign w:val="bottom"/>
            <w:shd w:val="clear" w:color="auto" w:fill="C0C0C0"/>
          </w:tcPr>
          <w:p>
            <w:pPr>
              <w:spacing w:after="0"/>
              <w:rPr>
                <w:sz w:val="22"/>
                <w:szCs w:val="22"/>
                <w:color w:val="auto"/>
              </w:rPr>
            </w:pPr>
          </w:p>
        </w:tc>
        <w:tc>
          <w:tcPr>
            <w:tcW w:w="660" w:type="dxa"/>
            <w:vAlign w:val="bottom"/>
            <w:gridSpan w:val="2"/>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228,110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184,354</w:t>
            </w:r>
          </w:p>
        </w:tc>
        <w:tc>
          <w:tcPr>
            <w:tcW w:w="120" w:type="dxa"/>
            <w:vAlign w:val="bottom"/>
          </w:tcPr>
          <w:p>
            <w:pPr>
              <w:spacing w:after="0"/>
              <w:rPr>
                <w:sz w:val="21"/>
                <w:szCs w:val="21"/>
                <w:color w:val="auto"/>
              </w:rPr>
            </w:pPr>
          </w:p>
        </w:tc>
        <w:tc>
          <w:tcPr>
            <w:tcW w:w="4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199,582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9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930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Supplemental information:</w:t>
            </w:r>
          </w:p>
        </w:tc>
        <w:tc>
          <w:tcPr>
            <w:tcW w:w="1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6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3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Cash paid for interest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20" w:type="dxa"/>
            <w:vAlign w:val="bottom"/>
          </w:tcPr>
          <w:p>
            <w:pPr>
              <w:spacing w:after="0"/>
              <w:rPr>
                <w:sz w:val="19"/>
                <w:szCs w:val="19"/>
                <w:color w:val="auto"/>
              </w:rPr>
            </w:pPr>
          </w:p>
        </w:tc>
        <w:tc>
          <w:tcPr>
            <w:tcW w:w="4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9300" w:type="dxa"/>
            <w:vAlign w:val="bottom"/>
            <w:shd w:val="clear" w:color="auto" w:fill="C0C0C0"/>
          </w:tcPr>
          <w:p>
            <w:pPr>
              <w:ind w:left="5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60" w:type="dxa"/>
            <w:vAlign w:val="bottom"/>
            <w:shd w:val="clear" w:color="auto" w:fill="C0C0C0"/>
          </w:tcPr>
          <w:p>
            <w:pPr>
              <w:spacing w:after="0"/>
              <w:rPr>
                <w:sz w:val="22"/>
                <w:szCs w:val="22"/>
                <w:color w:val="auto"/>
              </w:rPr>
            </w:pPr>
          </w:p>
        </w:tc>
        <w:tc>
          <w:tcPr>
            <w:tcW w:w="760" w:type="dxa"/>
            <w:vAlign w:val="bottom"/>
            <w:gridSpan w:val="2"/>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0C0C0"/>
          </w:tcPr>
          <w:p>
            <w:pPr>
              <w:spacing w:after="0"/>
              <w:rPr>
                <w:sz w:val="22"/>
                <w:szCs w:val="22"/>
                <w:color w:val="auto"/>
              </w:rPr>
            </w:pPr>
          </w:p>
        </w:tc>
        <w:tc>
          <w:tcPr>
            <w:tcW w:w="400" w:type="dxa"/>
            <w:vAlign w:val="bottom"/>
            <w:shd w:val="clear" w:color="auto" w:fill="C0C0C0"/>
          </w:tcPr>
          <w:p>
            <w:pPr>
              <w:spacing w:after="0"/>
              <w:rPr>
                <w:sz w:val="22"/>
                <w:szCs w:val="22"/>
                <w:color w:val="auto"/>
              </w:rPr>
            </w:pPr>
          </w:p>
        </w:tc>
        <w:tc>
          <w:tcPr>
            <w:tcW w:w="660" w:type="dxa"/>
            <w:vAlign w:val="bottom"/>
            <w:gridSpan w:val="2"/>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Accumulated</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60" w:type="dxa"/>
            <w:vAlign w:val="bottom"/>
          </w:tcPr>
          <w:p>
            <w:pPr>
              <w:spacing w:after="0"/>
              <w:rPr>
                <w:sz w:val="21"/>
                <w:szCs w:val="21"/>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20" w:type="dxa"/>
            <w:vAlign w:val="bottom"/>
          </w:tcPr>
          <w:p>
            <w:pPr>
              <w:spacing w:after="0"/>
              <w:rPr>
                <w:sz w:val="21"/>
                <w:szCs w:val="21"/>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160" w:type="dxa"/>
            <w:vAlign w:val="bottom"/>
          </w:tcPr>
          <w:p>
            <w:pPr>
              <w:spacing w:after="0"/>
              <w:rPr>
                <w:sz w:val="21"/>
                <w:szCs w:val="21"/>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120" w:type="dxa"/>
            <w:vAlign w:val="bottom"/>
          </w:tcPr>
          <w:p>
            <w:pPr>
              <w:spacing w:after="0"/>
              <w:rPr>
                <w:sz w:val="23"/>
                <w:szCs w:val="23"/>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23"/>
                <w:szCs w:val="23"/>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60" w:type="dxa"/>
            <w:vAlign w:val="bottom"/>
          </w:tcPr>
          <w:p>
            <w:pPr>
              <w:spacing w:after="0"/>
              <w:rPr>
                <w:sz w:val="23"/>
                <w:szCs w:val="23"/>
                <w:color w:val="auto"/>
              </w:rPr>
            </w:pPr>
          </w:p>
        </w:tc>
        <w:tc>
          <w:tcPr>
            <w:tcW w:w="13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(Loss) Income</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60" w:type="dxa"/>
            <w:vAlign w:val="bottom"/>
            <w:tcBorders>
              <w:top w:val="single" w:sz="8" w:color="C0C0C0"/>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Balance, December 31, 2017</w:t>
            </w:r>
          </w:p>
        </w:tc>
        <w:tc>
          <w:tcPr>
            <w:tcW w:w="120" w:type="dxa"/>
            <w:vAlign w:val="bottom"/>
            <w:tcBorders>
              <w:top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6,524</w:t>
            </w:r>
          </w:p>
        </w:tc>
        <w:tc>
          <w:tcPr>
            <w:tcW w:w="160" w:type="dxa"/>
            <w:vAlign w:val="bottom"/>
            <w:tcBorders>
              <w:top w:val="single" w:sz="8" w:color="C0C0C0"/>
            </w:tcBorders>
            <w:shd w:val="clear" w:color="auto" w:fill="C0C0C0"/>
          </w:tcPr>
          <w:p>
            <w:pPr>
              <w:spacing w:after="0"/>
              <w:rPr>
                <w:sz w:val="19"/>
                <w:szCs w:val="19"/>
                <w:color w:val="auto"/>
              </w:rPr>
            </w:pPr>
          </w:p>
        </w:tc>
        <w:tc>
          <w:tcPr>
            <w:tcW w:w="12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204,631</w:t>
            </w:r>
          </w:p>
        </w:tc>
        <w:tc>
          <w:tcPr>
            <w:tcW w:w="180" w:type="dxa"/>
            <w:vAlign w:val="bottom"/>
            <w:tcBorders>
              <w:top w:val="single" w:sz="8" w:color="C0C0C0"/>
            </w:tcBorders>
            <w:shd w:val="clear" w:color="auto" w:fill="C0C0C0"/>
          </w:tcPr>
          <w:p>
            <w:pPr>
              <w:spacing w:after="0"/>
              <w:rPr>
                <w:sz w:val="19"/>
                <w:szCs w:val="19"/>
                <w:color w:val="auto"/>
              </w:rPr>
            </w:pPr>
          </w:p>
        </w:tc>
        <w:tc>
          <w:tcPr>
            <w:tcW w:w="200" w:type="dxa"/>
            <w:vAlign w:val="bottom"/>
            <w:tcBorders>
              <w:top w:val="single" w:sz="8" w:color="auto"/>
            </w:tcBorders>
            <w:shd w:val="clear" w:color="auto" w:fill="C0C0C0"/>
          </w:tcPr>
          <w:p>
            <w:pPr>
              <w:jc w:val="right"/>
              <w:ind w:right="36"/>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59,314</w:t>
            </w:r>
          </w:p>
        </w:tc>
        <w:tc>
          <w:tcPr>
            <w:tcW w:w="160" w:type="dxa"/>
            <w:vAlign w:val="bottom"/>
            <w:tcBorders>
              <w:top w:val="single" w:sz="8" w:color="C0C0C0"/>
            </w:tcBorders>
            <w:shd w:val="clear" w:color="auto" w:fill="C0C0C0"/>
          </w:tcPr>
          <w:p>
            <w:pPr>
              <w:spacing w:after="0"/>
              <w:rPr>
                <w:sz w:val="19"/>
                <w:szCs w:val="19"/>
                <w:color w:val="auto"/>
              </w:rPr>
            </w:pPr>
          </w:p>
        </w:tc>
        <w:tc>
          <w:tcPr>
            <w:tcW w:w="10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(32,061)</w:t>
            </w:r>
          </w:p>
        </w:tc>
        <w:tc>
          <w:tcPr>
            <w:tcW w:w="160" w:type="dxa"/>
            <w:vAlign w:val="bottom"/>
            <w:tcBorders>
              <w:top w:val="single" w:sz="8" w:color="C0C0C0"/>
            </w:tcBorders>
            <w:shd w:val="clear" w:color="auto" w:fill="C0C0C0"/>
          </w:tcPr>
          <w:p>
            <w:pPr>
              <w:spacing w:after="0"/>
              <w:rPr>
                <w:sz w:val="19"/>
                <w:szCs w:val="19"/>
                <w:color w:val="auto"/>
              </w:rPr>
            </w:pPr>
          </w:p>
        </w:tc>
        <w:tc>
          <w:tcPr>
            <w:tcW w:w="100" w:type="dxa"/>
            <w:vAlign w:val="bottom"/>
            <w:tcBorders>
              <w:top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(13,320)</w:t>
            </w:r>
          </w:p>
        </w:tc>
        <w:tc>
          <w:tcPr>
            <w:tcW w:w="160" w:type="dxa"/>
            <w:vAlign w:val="bottom"/>
            <w:tcBorders>
              <w:top w:val="single" w:sz="8" w:color="C0C0C0"/>
            </w:tcBorders>
            <w:shd w:val="clear" w:color="auto" w:fill="C0C0C0"/>
          </w:tcPr>
          <w:p>
            <w:pPr>
              <w:spacing w:after="0"/>
              <w:rPr>
                <w:sz w:val="19"/>
                <w:szCs w:val="19"/>
                <w:color w:val="auto"/>
              </w:rPr>
            </w:pPr>
          </w:p>
        </w:tc>
        <w:tc>
          <w:tcPr>
            <w:tcW w:w="20" w:type="dxa"/>
            <w:vAlign w:val="bottom"/>
            <w:tcBorders>
              <w:top w:val="single" w:sz="8" w:color="C0C0C0"/>
            </w:tcBorders>
            <w:shd w:val="clear" w:color="auto" w:fill="C0C0C0"/>
          </w:tcPr>
          <w:p>
            <w:pPr>
              <w:spacing w:after="0"/>
              <w:rPr>
                <w:sz w:val="19"/>
                <w:szCs w:val="19"/>
                <w:color w:val="auto"/>
              </w:rPr>
            </w:pPr>
          </w:p>
        </w:tc>
        <w:tc>
          <w:tcPr>
            <w:tcW w:w="16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225,088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vMerge w:val="restart"/>
          </w:tcPr>
          <w:p>
            <w:pPr>
              <w:spacing w:after="0"/>
              <w:rPr>
                <w:sz w:val="22"/>
                <w:szCs w:val="22"/>
                <w:color w:val="auto"/>
              </w:rPr>
            </w:pPr>
          </w:p>
        </w:tc>
        <w:tc>
          <w:tcPr>
            <w:tcW w:w="516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60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76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200" w:type="dxa"/>
            <w:vAlign w:val="bottom"/>
            <w:shd w:val="clear" w:color="auto" w:fill="C0C0C0"/>
          </w:tcPr>
          <w:p>
            <w:pPr>
              <w:spacing w:after="0"/>
              <w:rPr>
                <w:sz w:val="22"/>
                <w:szCs w:val="22"/>
                <w:color w:val="auto"/>
              </w:rPr>
            </w:pPr>
          </w:p>
        </w:tc>
        <w:tc>
          <w:tcPr>
            <w:tcW w:w="62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82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108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2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720" w:type="dxa"/>
            <w:vAlign w:val="bottom"/>
            <w:shd w:val="clear" w:color="auto" w:fill="C0C0C0"/>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516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Cash dividends ($.20 per share)</w:t>
            </w:r>
          </w:p>
        </w:tc>
        <w:tc>
          <w:tcPr>
            <w:tcW w:w="120" w:type="dxa"/>
            <w:vAlign w:val="bottom"/>
            <w:shd w:val="clear" w:color="auto" w:fill="C0C0C0"/>
          </w:tcPr>
          <w:p>
            <w:pPr>
              <w:spacing w:after="0"/>
              <w:rPr>
                <w:sz w:val="22"/>
                <w:szCs w:val="22"/>
                <w:color w:val="auto"/>
              </w:rPr>
            </w:pPr>
          </w:p>
        </w:tc>
        <w:tc>
          <w:tcPr>
            <w:tcW w:w="60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76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200" w:type="dxa"/>
            <w:vAlign w:val="bottom"/>
            <w:shd w:val="clear" w:color="auto" w:fill="C0C0C0"/>
          </w:tcPr>
          <w:p>
            <w:pPr>
              <w:spacing w:after="0"/>
              <w:rPr>
                <w:sz w:val="22"/>
                <w:szCs w:val="22"/>
                <w:color w:val="auto"/>
              </w:rPr>
            </w:pPr>
          </w:p>
        </w:tc>
        <w:tc>
          <w:tcPr>
            <w:tcW w:w="6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16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82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108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2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7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23,456 common shares pursuant</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 stock-based compensation plan, net</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(721)</w:t>
            </w: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516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Exercise of SARs</w:t>
            </w:r>
          </w:p>
        </w:tc>
        <w:tc>
          <w:tcPr>
            <w:tcW w:w="120" w:type="dxa"/>
            <w:vAlign w:val="bottom"/>
            <w:shd w:val="clear" w:color="auto" w:fill="C0C0C0"/>
          </w:tcPr>
          <w:p>
            <w:pPr>
              <w:spacing w:after="0"/>
              <w:rPr>
                <w:sz w:val="22"/>
                <w:szCs w:val="22"/>
                <w:color w:val="auto"/>
              </w:rPr>
            </w:pPr>
          </w:p>
        </w:tc>
        <w:tc>
          <w:tcPr>
            <w:tcW w:w="60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940" w:type="dxa"/>
            <w:vAlign w:val="bottom"/>
            <w:gridSpan w:val="2"/>
            <w:shd w:val="clear" w:color="auto" w:fill="C0C0C0"/>
          </w:tcPr>
          <w:p>
            <w:pPr>
              <w:jc w:val="right"/>
              <w:ind w:right="180"/>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shd w:val="clear" w:color="auto" w:fill="C0C0C0"/>
          </w:tcPr>
          <w:p>
            <w:pPr>
              <w:spacing w:after="0"/>
              <w:rPr>
                <w:sz w:val="22"/>
                <w:szCs w:val="22"/>
                <w:color w:val="auto"/>
              </w:rPr>
            </w:pPr>
          </w:p>
        </w:tc>
        <w:tc>
          <w:tcPr>
            <w:tcW w:w="62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8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108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2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7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638</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516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Purchase of 11,456 common shares</w:t>
            </w:r>
          </w:p>
        </w:tc>
        <w:tc>
          <w:tcPr>
            <w:tcW w:w="120" w:type="dxa"/>
            <w:vAlign w:val="bottom"/>
            <w:shd w:val="clear" w:color="auto" w:fill="C0C0C0"/>
          </w:tcPr>
          <w:p>
            <w:pPr>
              <w:spacing w:after="0"/>
              <w:rPr>
                <w:sz w:val="22"/>
                <w:szCs w:val="22"/>
                <w:color w:val="auto"/>
              </w:rPr>
            </w:pPr>
          </w:p>
        </w:tc>
        <w:tc>
          <w:tcPr>
            <w:tcW w:w="60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76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200" w:type="dxa"/>
            <w:vAlign w:val="bottom"/>
            <w:shd w:val="clear" w:color="auto" w:fill="C0C0C0"/>
          </w:tcPr>
          <w:p>
            <w:pPr>
              <w:spacing w:after="0"/>
              <w:rPr>
                <w:sz w:val="22"/>
                <w:szCs w:val="22"/>
                <w:color w:val="auto"/>
              </w:rPr>
            </w:pPr>
          </w:p>
        </w:tc>
        <w:tc>
          <w:tcPr>
            <w:tcW w:w="62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8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6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108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2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7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(7,418)</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60" w:type="dxa"/>
            <w:vAlign w:val="bottom"/>
            <w:tcBorders>
              <w:top w:val="single" w:sz="8" w:color="C0C0C0"/>
              <w:bottom w:val="single" w:sz="8" w:color="C0C0C0"/>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Balance, March 31, 2018</w:t>
            </w:r>
          </w:p>
        </w:tc>
        <w:tc>
          <w:tcPr>
            <w:tcW w:w="120" w:type="dxa"/>
            <w:vAlign w:val="bottom"/>
            <w:tcBorders>
              <w:top w:val="single" w:sz="8" w:color="auto"/>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6,524</w:t>
            </w:r>
          </w:p>
        </w:tc>
        <w:tc>
          <w:tcPr>
            <w:tcW w:w="160" w:type="dxa"/>
            <w:vAlign w:val="bottom"/>
            <w:tcBorders>
              <w:top w:val="single" w:sz="8" w:color="C0C0C0"/>
              <w:bottom w:val="single" w:sz="8" w:color="C0C0C0"/>
            </w:tcBorders>
            <w:shd w:val="clear" w:color="auto" w:fill="C0C0C0"/>
          </w:tcPr>
          <w:p>
            <w:pPr>
              <w:spacing w:after="0"/>
              <w:rPr>
                <w:sz w:val="20"/>
                <w:szCs w:val="20"/>
                <w:color w:val="auto"/>
              </w:rPr>
            </w:pPr>
          </w:p>
        </w:tc>
        <w:tc>
          <w:tcPr>
            <w:tcW w:w="1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204,479</w:t>
            </w:r>
          </w:p>
        </w:tc>
        <w:tc>
          <w:tcPr>
            <w:tcW w:w="180" w:type="dxa"/>
            <w:vAlign w:val="bottom"/>
            <w:tcBorders>
              <w:top w:val="single" w:sz="8" w:color="C0C0C0"/>
              <w:bottom w:val="single" w:sz="8" w:color="C0C0C0"/>
            </w:tcBorders>
            <w:shd w:val="clear" w:color="auto" w:fill="C0C0C0"/>
          </w:tcPr>
          <w:p>
            <w:pPr>
              <w:spacing w:after="0"/>
              <w:rPr>
                <w:sz w:val="20"/>
                <w:szCs w:val="20"/>
                <w:color w:val="auto"/>
              </w:rPr>
            </w:pPr>
          </w:p>
        </w:tc>
        <w:tc>
          <w:tcPr>
            <w:tcW w:w="200" w:type="dxa"/>
            <w:vAlign w:val="bottom"/>
            <w:tcBorders>
              <w:top w:val="single" w:sz="8" w:color="auto"/>
              <w:bottom w:val="single" w:sz="8" w:color="auto"/>
            </w:tcBorders>
            <w:shd w:val="clear" w:color="auto" w:fill="C0C0C0"/>
          </w:tcPr>
          <w:p>
            <w:pPr>
              <w:jc w:val="right"/>
              <w:ind w:right="36"/>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64,458</w:t>
            </w:r>
          </w:p>
        </w:tc>
        <w:tc>
          <w:tcPr>
            <w:tcW w:w="160" w:type="dxa"/>
            <w:vAlign w:val="bottom"/>
            <w:tcBorders>
              <w:top w:val="single" w:sz="8" w:color="C0C0C0"/>
              <w:bottom w:val="single" w:sz="8" w:color="C0C0C0"/>
            </w:tcBorders>
            <w:shd w:val="clear" w:color="auto" w:fill="C0C0C0"/>
          </w:tcPr>
          <w:p>
            <w:pPr>
              <w:spacing w:after="0"/>
              <w:rPr>
                <w:sz w:val="20"/>
                <w:szCs w:val="20"/>
                <w:color w:val="auto"/>
              </w:rPr>
            </w:pPr>
          </w:p>
        </w:tc>
        <w:tc>
          <w:tcPr>
            <w:tcW w:w="1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(32,301)</w:t>
            </w:r>
          </w:p>
        </w:tc>
        <w:tc>
          <w:tcPr>
            <w:tcW w:w="160" w:type="dxa"/>
            <w:vAlign w:val="bottom"/>
            <w:tcBorders>
              <w:top w:val="single" w:sz="8" w:color="C0C0C0"/>
              <w:bottom w:val="single" w:sz="8" w:color="C0C0C0"/>
            </w:tcBorders>
            <w:shd w:val="clear" w:color="auto" w:fill="C0C0C0"/>
          </w:tcPr>
          <w:p>
            <w:pPr>
              <w:spacing w:after="0"/>
              <w:rPr>
                <w:sz w:val="20"/>
                <w:szCs w:val="20"/>
                <w:color w:val="auto"/>
              </w:rPr>
            </w:pPr>
          </w:p>
        </w:tc>
        <w:tc>
          <w:tcPr>
            <w:tcW w:w="100" w:type="dxa"/>
            <w:vAlign w:val="bottom"/>
            <w:tcBorders>
              <w:top w:val="single" w:sz="8" w:color="auto"/>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(20,738)</w:t>
            </w:r>
          </w:p>
        </w:tc>
        <w:tc>
          <w:tcPr>
            <w:tcW w:w="160" w:type="dxa"/>
            <w:vAlign w:val="bottom"/>
            <w:tcBorders>
              <w:top w:val="single" w:sz="8" w:color="C0C0C0"/>
              <w:bottom w:val="single" w:sz="8" w:color="C0C0C0"/>
            </w:tcBorders>
            <w:shd w:val="clear" w:color="auto" w:fill="C0C0C0"/>
          </w:tcPr>
          <w:p>
            <w:pPr>
              <w:spacing w:after="0"/>
              <w:rPr>
                <w:sz w:val="20"/>
                <w:szCs w:val="20"/>
                <w:color w:val="auto"/>
              </w:rPr>
            </w:pPr>
          </w:p>
        </w:tc>
        <w:tc>
          <w:tcPr>
            <w:tcW w:w="20" w:type="dxa"/>
            <w:vAlign w:val="bottom"/>
            <w:tcBorders>
              <w:top w:val="single" w:sz="8" w:color="C0C0C0"/>
              <w:bottom w:val="single" w:sz="8" w:color="C0C0C0"/>
            </w:tcBorders>
            <w:shd w:val="clear" w:color="auto" w:fill="C0C0C0"/>
          </w:tcPr>
          <w:p>
            <w:pPr>
              <w:spacing w:after="0"/>
              <w:rPr>
                <w:sz w:val="20"/>
                <w:szCs w:val="20"/>
                <w:color w:val="auto"/>
              </w:rPr>
            </w:pPr>
          </w:p>
        </w:tc>
        <w:tc>
          <w:tcPr>
            <w:tcW w:w="16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222,422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60" w:type="dxa"/>
            <w:vAlign w:val="bottom"/>
            <w:tcBorders>
              <w:bottom w:val="single" w:sz="8" w:color="auto"/>
            </w:tcBorders>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600" w:type="dxa"/>
            <w:vAlign w:val="bottom"/>
            <w:tcBorders>
              <w:bottom w:val="single" w:sz="8" w:color="auto"/>
            </w:tcBorders>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760" w:type="dxa"/>
            <w:vAlign w:val="bottom"/>
            <w:tcBorders>
              <w:bottom w:val="single" w:sz="8" w:color="auto"/>
            </w:tcBorders>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620" w:type="dxa"/>
            <w:vAlign w:val="bottom"/>
            <w:tcBorders>
              <w:bottom w:val="single" w:sz="8" w:color="auto"/>
            </w:tcBorders>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1080" w:type="dxa"/>
            <w:vAlign w:val="bottom"/>
            <w:tcBorders>
              <w:bottom w:val="single" w:sz="8" w:color="auto"/>
            </w:tcBorders>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20" w:type="dxa"/>
            <w:vAlign w:val="bottom"/>
            <w:tcBorders>
              <w:bottom w:val="single" w:sz="8" w:color="auto"/>
            </w:tcBorders>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1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0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76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62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2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08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2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720" w:type="dxa"/>
            <w:vAlign w:val="bottom"/>
            <w:shd w:val="clear" w:color="auto" w:fill="C0C0C0"/>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2018</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7,753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205,770</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75,171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(39,974)</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(18,872)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229,848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vMerge w:val="restart"/>
          </w:tcPr>
          <w:p>
            <w:pPr>
              <w:spacing w:after="0"/>
              <w:rPr>
                <w:sz w:val="22"/>
                <w:szCs w:val="22"/>
                <w:color w:val="auto"/>
              </w:rPr>
            </w:pPr>
          </w:p>
        </w:tc>
        <w:tc>
          <w:tcPr>
            <w:tcW w:w="5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16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6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8,163</w:t>
            </w:r>
          </w:p>
        </w:tc>
        <w:tc>
          <w:tcPr>
            <w:tcW w:w="1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8,163</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($.26 per share)</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6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Issuance of 25,124 common shares pursuant</w:t>
            </w:r>
          </w:p>
        </w:tc>
        <w:tc>
          <w:tcPr>
            <w:tcW w:w="12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5160" w:type="dxa"/>
            <w:vAlign w:val="bottom"/>
            <w:shd w:val="clear" w:color="auto" w:fill="C0C0C0"/>
          </w:tcPr>
          <w:p>
            <w:pPr>
              <w:ind w:left="260"/>
              <w:spacing w:after="0"/>
              <w:rPr>
                <w:sz w:val="20"/>
                <w:szCs w:val="20"/>
                <w:color w:val="auto"/>
              </w:rPr>
            </w:pPr>
            <w:r>
              <w:rPr>
                <w:rFonts w:ascii="Times New Roman" w:cs="Times New Roman" w:eastAsia="Times New Roman" w:hAnsi="Times New Roman"/>
                <w:sz w:val="18"/>
                <w:szCs w:val="18"/>
                <w:color w:val="auto"/>
              </w:rPr>
              <w:t>to stock-based compensation plan, net</w:t>
            </w:r>
          </w:p>
        </w:tc>
        <w:tc>
          <w:tcPr>
            <w:tcW w:w="120" w:type="dxa"/>
            <w:vAlign w:val="bottom"/>
            <w:shd w:val="clear" w:color="auto" w:fill="C0C0C0"/>
          </w:tcPr>
          <w:p>
            <w:pPr>
              <w:spacing w:after="0"/>
              <w:rPr>
                <w:sz w:val="22"/>
                <w:szCs w:val="22"/>
                <w:color w:val="auto"/>
              </w:rPr>
            </w:pPr>
          </w:p>
        </w:tc>
        <w:tc>
          <w:tcPr>
            <w:tcW w:w="60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940" w:type="dxa"/>
            <w:vAlign w:val="bottom"/>
            <w:gridSpan w:val="2"/>
            <w:shd w:val="clear" w:color="auto" w:fill="C0C0C0"/>
          </w:tcPr>
          <w:p>
            <w:pPr>
              <w:jc w:val="right"/>
              <w:ind w:right="180"/>
              <w:spacing w:after="0"/>
              <w:rPr>
                <w:sz w:val="20"/>
                <w:szCs w:val="20"/>
                <w:color w:val="auto"/>
              </w:rPr>
            </w:pPr>
            <w:r>
              <w:rPr>
                <w:rFonts w:ascii="Times New Roman" w:cs="Times New Roman" w:eastAsia="Times New Roman" w:hAnsi="Times New Roman"/>
                <w:sz w:val="18"/>
                <w:szCs w:val="18"/>
                <w:color w:val="auto"/>
              </w:rPr>
              <w:t>(1,014)</w:t>
            </w:r>
          </w:p>
        </w:tc>
        <w:tc>
          <w:tcPr>
            <w:tcW w:w="200" w:type="dxa"/>
            <w:vAlign w:val="bottom"/>
            <w:shd w:val="clear" w:color="auto" w:fill="C0C0C0"/>
          </w:tcPr>
          <w:p>
            <w:pPr>
              <w:spacing w:after="0"/>
              <w:rPr>
                <w:sz w:val="22"/>
                <w:szCs w:val="22"/>
                <w:color w:val="auto"/>
              </w:rPr>
            </w:pPr>
          </w:p>
        </w:tc>
        <w:tc>
          <w:tcPr>
            <w:tcW w:w="62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8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6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108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2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7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SARs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(303)</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516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shd w:val="clear" w:color="auto" w:fill="C0C0C0"/>
          </w:tcPr>
          <w:p>
            <w:pPr>
              <w:spacing w:after="0"/>
              <w:rPr>
                <w:sz w:val="22"/>
                <w:szCs w:val="22"/>
                <w:color w:val="auto"/>
              </w:rPr>
            </w:pPr>
          </w:p>
        </w:tc>
        <w:tc>
          <w:tcPr>
            <w:tcW w:w="60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940" w:type="dxa"/>
            <w:vAlign w:val="bottom"/>
            <w:gridSpan w:val="2"/>
            <w:shd w:val="clear" w:color="auto" w:fill="C0C0C0"/>
          </w:tcPr>
          <w:p>
            <w:pPr>
              <w:jc w:val="right"/>
              <w:ind w:right="180"/>
              <w:spacing w:after="0"/>
              <w:rPr>
                <w:sz w:val="20"/>
                <w:szCs w:val="20"/>
                <w:color w:val="auto"/>
              </w:rPr>
            </w:pPr>
            <w:r>
              <w:rPr>
                <w:rFonts w:ascii="Times New Roman" w:cs="Times New Roman" w:eastAsia="Times New Roman" w:hAnsi="Times New Roman"/>
                <w:sz w:val="18"/>
                <w:szCs w:val="18"/>
                <w:color w:val="auto"/>
              </w:rPr>
              <w:t>857</w:t>
            </w:r>
          </w:p>
        </w:tc>
        <w:tc>
          <w:tcPr>
            <w:tcW w:w="200" w:type="dxa"/>
            <w:vAlign w:val="bottom"/>
            <w:shd w:val="clear" w:color="auto" w:fill="C0C0C0"/>
          </w:tcPr>
          <w:p>
            <w:pPr>
              <w:spacing w:after="0"/>
              <w:rPr>
                <w:sz w:val="22"/>
                <w:szCs w:val="22"/>
                <w:color w:val="auto"/>
              </w:rPr>
            </w:pPr>
          </w:p>
        </w:tc>
        <w:tc>
          <w:tcPr>
            <w:tcW w:w="62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82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108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2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7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107,815 common shares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516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shd w:val="clear" w:color="auto" w:fill="C0C0C0"/>
          </w:tcPr>
          <w:p>
            <w:pPr>
              <w:spacing w:after="0"/>
              <w:rPr>
                <w:sz w:val="22"/>
                <w:szCs w:val="22"/>
                <w:color w:val="auto"/>
              </w:rPr>
            </w:pPr>
          </w:p>
        </w:tc>
        <w:tc>
          <w:tcPr>
            <w:tcW w:w="60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76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200" w:type="dxa"/>
            <w:vAlign w:val="bottom"/>
            <w:shd w:val="clear" w:color="auto" w:fill="C0C0C0"/>
          </w:tcPr>
          <w:p>
            <w:pPr>
              <w:spacing w:after="0"/>
              <w:rPr>
                <w:sz w:val="22"/>
                <w:szCs w:val="22"/>
                <w:color w:val="auto"/>
              </w:rPr>
            </w:pPr>
          </w:p>
        </w:tc>
        <w:tc>
          <w:tcPr>
            <w:tcW w:w="62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82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1240" w:type="dxa"/>
            <w:vAlign w:val="bottom"/>
            <w:gridSpan w:val="2"/>
            <w:shd w:val="clear" w:color="auto" w:fill="C0C0C0"/>
          </w:tcPr>
          <w:p>
            <w:pPr>
              <w:jc w:val="right"/>
              <w:ind w:right="160"/>
              <w:spacing w:after="0"/>
              <w:rPr>
                <w:sz w:val="20"/>
                <w:szCs w:val="20"/>
                <w:color w:val="auto"/>
              </w:rPr>
            </w:pPr>
            <w:r>
              <w:rPr>
                <w:rFonts w:ascii="Times New Roman" w:cs="Times New Roman" w:eastAsia="Times New Roman" w:hAnsi="Times New Roman"/>
                <w:sz w:val="18"/>
                <w:szCs w:val="18"/>
                <w:color w:val="auto"/>
              </w:rPr>
              <w:t>5,416</w:t>
            </w:r>
          </w:p>
        </w:tc>
        <w:tc>
          <w:tcPr>
            <w:tcW w:w="2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7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5,416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March 31, 2019</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205,310</w:t>
            </w:r>
          </w:p>
        </w:tc>
        <w:tc>
          <w:tcPr>
            <w:tcW w:w="18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79,558</w:t>
            </w: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(44,685)</w:t>
            </w: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(13,456)</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234,480</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1 - Basis of Presentation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U.S. generally accepted accounting principles for interim financial information and with the instructions to Form 10-Q and Rule 10-01 of Regulation S-X. Accordingly, they do not include all of the information and footnotes required by U.S. generally accepted accounting principles for complete financial statements. In the opinion of management, all adjustments, consisting of normal recurring accruals, considered necessary for a fair presentation have been included. All share and per share data in the unaudited consolidated financial statements and accompanying notes have been restated to give effect to the 20% stock dividend paid on December 14, 2018. Certain amounts in prior-period financial statements have been reclassified to conform to the current period’s presentation. For further information, refer to the audited consolidated financial statements and related footnotes included in Cass Information System, Inc.’s (the “Company” or “Cass”) Annual Report on Form 10-K for the year ended December 31, 2018.</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Intangible Assets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Company accounts for intangible assets in accordance with Financial Accounting Standards Board (“FASB”) Accounting Standards Codification (“ASC”) 350, “Goodwill and Other Intangible Assets,” (“FASB ASC 350”), which requires that intangibles with indefinite useful lives be tested annually for impairment and those with finite useful lives be amortized over their useful lives.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Details of the Company’s intangible assets are as follows: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68"/>
        </w:trPr>
        <w:tc>
          <w:tcPr>
            <w:tcW w:w="6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7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w w:val="96"/>
              </w:rPr>
              <w:t>December 31, 2018</w:t>
            </w:r>
          </w:p>
        </w:tc>
        <w:tc>
          <w:tcPr>
            <w:tcW w:w="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6260" w:type="dxa"/>
            <w:vAlign w:val="bottom"/>
          </w:tcPr>
          <w:p>
            <w:pPr>
              <w:spacing w:after="0"/>
              <w:rPr>
                <w:sz w:val="20"/>
                <w:szCs w:val="20"/>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Gross Carrying</w:t>
            </w: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Gross Carrying</w:t>
            </w: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w w:val="96"/>
              </w:rPr>
              <w:t>Accumulated</w:t>
            </w:r>
          </w:p>
        </w:tc>
        <w:tc>
          <w:tcPr>
            <w:tcW w:w="20" w:type="dxa"/>
            <w:vAlign w:val="bottom"/>
          </w:tcPr>
          <w:p>
            <w:pPr>
              <w:spacing w:after="0"/>
              <w:rPr>
                <w:sz w:val="20"/>
                <w:szCs w:val="20"/>
                <w:color w:val="auto"/>
              </w:rPr>
            </w:pPr>
          </w:p>
        </w:tc>
      </w:tr>
      <w:tr>
        <w:trPr>
          <w:trHeight w:val="263"/>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80" w:type="dxa"/>
            <w:vAlign w:val="bottom"/>
          </w:tcPr>
          <w:p>
            <w:pPr>
              <w:spacing w:after="0"/>
              <w:rPr>
                <w:sz w:val="22"/>
                <w:szCs w:val="22"/>
                <w:color w:val="auto"/>
              </w:rPr>
            </w:pPr>
          </w:p>
        </w:tc>
        <w:tc>
          <w:tcPr>
            <w:tcW w:w="112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20" w:type="dxa"/>
            <w:vAlign w:val="bottom"/>
          </w:tcPr>
          <w:p>
            <w:pPr>
              <w:spacing w:after="0"/>
              <w:rPr>
                <w:sz w:val="22"/>
                <w:szCs w:val="22"/>
                <w:color w:val="auto"/>
              </w:rPr>
            </w:pPr>
          </w:p>
        </w:tc>
        <w:tc>
          <w:tcPr>
            <w:tcW w:w="112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6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w w:val="97"/>
              </w:rPr>
              <w:t>Amortization</w:t>
            </w:r>
          </w:p>
        </w:tc>
      </w:tr>
      <w:tr>
        <w:trPr>
          <w:trHeight w:val="243"/>
        </w:trPr>
        <w:tc>
          <w:tcPr>
            <w:tcW w:w="6260" w:type="dxa"/>
            <w:vAlign w:val="bottom"/>
            <w:tcBorders>
              <w:top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Assets eligible for amortization:</w:t>
            </w:r>
          </w:p>
        </w:tc>
        <w:tc>
          <w:tcPr>
            <w:tcW w:w="180" w:type="dxa"/>
            <w:vAlign w:val="bottom"/>
            <w:tcBorders>
              <w:top w:val="single" w:sz="8" w:color="auto"/>
            </w:tcBorders>
            <w:shd w:val="clear" w:color="auto" w:fill="C0C0C0"/>
          </w:tcPr>
          <w:p>
            <w:pPr>
              <w:spacing w:after="0"/>
              <w:rPr>
                <w:sz w:val="21"/>
                <w:szCs w:val="21"/>
                <w:color w:val="auto"/>
              </w:rPr>
            </w:pPr>
          </w:p>
        </w:tc>
        <w:tc>
          <w:tcPr>
            <w:tcW w:w="1120" w:type="dxa"/>
            <w:vAlign w:val="bottom"/>
            <w:tcBorders>
              <w:top w:val="single" w:sz="8" w:color="auto"/>
            </w:tcBorders>
            <w:shd w:val="clear" w:color="auto" w:fill="C0C0C0"/>
          </w:tcPr>
          <w:p>
            <w:pPr>
              <w:spacing w:after="0"/>
              <w:rPr>
                <w:sz w:val="21"/>
                <w:szCs w:val="21"/>
                <w:color w:val="auto"/>
              </w:rPr>
            </w:pPr>
          </w:p>
        </w:tc>
        <w:tc>
          <w:tcPr>
            <w:tcW w:w="560" w:type="dxa"/>
            <w:vAlign w:val="bottom"/>
            <w:tcBorders>
              <w:top w:val="single" w:sz="8" w:color="auto"/>
            </w:tcBorders>
            <w:shd w:val="clear" w:color="auto" w:fill="C0C0C0"/>
          </w:tcPr>
          <w:p>
            <w:pPr>
              <w:spacing w:after="0"/>
              <w:rPr>
                <w:sz w:val="21"/>
                <w:szCs w:val="21"/>
                <w:color w:val="auto"/>
              </w:rPr>
            </w:pPr>
          </w:p>
        </w:tc>
        <w:tc>
          <w:tcPr>
            <w:tcW w:w="720" w:type="dxa"/>
            <w:vAlign w:val="bottom"/>
            <w:tcBorders>
              <w:top w:val="single" w:sz="8" w:color="auto"/>
            </w:tcBorders>
            <w:shd w:val="clear" w:color="auto" w:fill="C0C0C0"/>
          </w:tcPr>
          <w:p>
            <w:pPr>
              <w:spacing w:after="0"/>
              <w:rPr>
                <w:sz w:val="21"/>
                <w:szCs w:val="21"/>
                <w:color w:val="auto"/>
              </w:rPr>
            </w:pPr>
          </w:p>
        </w:tc>
        <w:tc>
          <w:tcPr>
            <w:tcW w:w="320" w:type="dxa"/>
            <w:vAlign w:val="bottom"/>
            <w:tcBorders>
              <w:top w:val="single" w:sz="8" w:color="auto"/>
            </w:tcBorders>
            <w:shd w:val="clear" w:color="auto" w:fill="C0C0C0"/>
          </w:tcPr>
          <w:p>
            <w:pPr>
              <w:spacing w:after="0"/>
              <w:rPr>
                <w:sz w:val="21"/>
                <w:szCs w:val="21"/>
                <w:color w:val="auto"/>
              </w:rPr>
            </w:pPr>
          </w:p>
        </w:tc>
        <w:tc>
          <w:tcPr>
            <w:tcW w:w="1120" w:type="dxa"/>
            <w:vAlign w:val="bottom"/>
            <w:tcBorders>
              <w:top w:val="single" w:sz="8" w:color="auto"/>
            </w:tcBorders>
            <w:shd w:val="clear" w:color="auto" w:fill="C0C0C0"/>
          </w:tcPr>
          <w:p>
            <w:pPr>
              <w:spacing w:after="0"/>
              <w:rPr>
                <w:sz w:val="21"/>
                <w:szCs w:val="21"/>
                <w:color w:val="auto"/>
              </w:rPr>
            </w:pPr>
          </w:p>
        </w:tc>
        <w:tc>
          <w:tcPr>
            <w:tcW w:w="620" w:type="dxa"/>
            <w:vAlign w:val="bottom"/>
            <w:tcBorders>
              <w:top w:val="single" w:sz="8" w:color="auto"/>
            </w:tcBorders>
            <w:shd w:val="clear" w:color="auto" w:fill="C0C0C0"/>
          </w:tcPr>
          <w:p>
            <w:pPr>
              <w:spacing w:after="0"/>
              <w:rPr>
                <w:sz w:val="21"/>
                <w:szCs w:val="21"/>
                <w:color w:val="auto"/>
              </w:rPr>
            </w:pPr>
          </w:p>
        </w:tc>
        <w:tc>
          <w:tcPr>
            <w:tcW w:w="520" w:type="dxa"/>
            <w:vAlign w:val="bottom"/>
            <w:tcBorders>
              <w:top w:val="single" w:sz="8" w:color="auto"/>
            </w:tcBorders>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28"/>
        </w:trPr>
        <w:tc>
          <w:tcPr>
            <w:tcW w:w="6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Customer lists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4,288</w:t>
            </w: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(3,163)</w:t>
            </w:r>
          </w:p>
        </w:tc>
        <w:tc>
          <w:tcPr>
            <w:tcW w:w="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4,288</w:t>
            </w: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(3,071)</w:t>
            </w:r>
          </w:p>
        </w:tc>
        <w:tc>
          <w:tcPr>
            <w:tcW w:w="20" w:type="dxa"/>
            <w:vAlign w:val="bottom"/>
          </w:tcPr>
          <w:p>
            <w:pPr>
              <w:spacing w:after="0"/>
              <w:rPr>
                <w:sz w:val="19"/>
                <w:szCs w:val="19"/>
                <w:color w:val="auto"/>
              </w:rPr>
            </w:pPr>
          </w:p>
        </w:tc>
      </w:tr>
      <w:tr>
        <w:trPr>
          <w:trHeight w:val="258"/>
        </w:trPr>
        <w:tc>
          <w:tcPr>
            <w:tcW w:w="6260" w:type="dxa"/>
            <w:vAlign w:val="bottom"/>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Patents</w:t>
            </w:r>
          </w:p>
        </w:tc>
        <w:tc>
          <w:tcPr>
            <w:tcW w:w="180" w:type="dxa"/>
            <w:vAlign w:val="bottom"/>
            <w:shd w:val="clear" w:color="auto" w:fill="C0C0C0"/>
          </w:tcPr>
          <w:p>
            <w:pPr>
              <w:spacing w:after="0"/>
              <w:rPr>
                <w:sz w:val="22"/>
                <w:szCs w:val="22"/>
                <w:color w:val="auto"/>
              </w:rPr>
            </w:pPr>
          </w:p>
        </w:tc>
        <w:tc>
          <w:tcPr>
            <w:tcW w:w="112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72</w:t>
            </w:r>
          </w:p>
        </w:tc>
        <w:tc>
          <w:tcPr>
            <w:tcW w:w="560" w:type="dxa"/>
            <w:vAlign w:val="bottom"/>
            <w:shd w:val="clear" w:color="auto" w:fill="C0C0C0"/>
          </w:tcPr>
          <w:p>
            <w:pPr>
              <w:spacing w:after="0"/>
              <w:rPr>
                <w:sz w:val="22"/>
                <w:szCs w:val="22"/>
                <w:color w:val="auto"/>
              </w:rPr>
            </w:pPr>
          </w:p>
        </w:tc>
        <w:tc>
          <w:tcPr>
            <w:tcW w:w="72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shd w:val="clear" w:color="auto" w:fill="C0C0C0"/>
          </w:tcPr>
          <w:p>
            <w:pPr>
              <w:spacing w:after="0"/>
              <w:rPr>
                <w:sz w:val="22"/>
                <w:szCs w:val="22"/>
                <w:color w:val="auto"/>
              </w:rPr>
            </w:pPr>
          </w:p>
        </w:tc>
        <w:tc>
          <w:tcPr>
            <w:tcW w:w="112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72</w:t>
            </w:r>
          </w:p>
        </w:tc>
        <w:tc>
          <w:tcPr>
            <w:tcW w:w="620" w:type="dxa"/>
            <w:vAlign w:val="bottom"/>
            <w:shd w:val="clear" w:color="auto" w:fill="C0C0C0"/>
          </w:tcPr>
          <w:p>
            <w:pPr>
              <w:spacing w:after="0"/>
              <w:rPr>
                <w:sz w:val="22"/>
                <w:szCs w:val="22"/>
                <w:color w:val="auto"/>
              </w:rPr>
            </w:pPr>
          </w:p>
        </w:tc>
        <w:tc>
          <w:tcPr>
            <w:tcW w:w="5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22"/>
                <w:szCs w:val="22"/>
                <w:color w:val="auto"/>
              </w:rPr>
            </w:pPr>
          </w:p>
        </w:tc>
      </w:tr>
      <w:tr>
        <w:trPr>
          <w:trHeight w:val="228"/>
        </w:trPr>
        <w:tc>
          <w:tcPr>
            <w:tcW w:w="6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Non-compete agreements</w:t>
            </w:r>
          </w:p>
        </w:tc>
        <w:tc>
          <w:tcPr>
            <w:tcW w:w="18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332</w:t>
            </w:r>
          </w:p>
        </w:tc>
        <w:tc>
          <w:tcPr>
            <w:tcW w:w="560" w:type="dxa"/>
            <w:vAlign w:val="bottom"/>
          </w:tcPr>
          <w:p>
            <w:pPr>
              <w:spacing w:after="0"/>
              <w:rPr>
                <w:sz w:val="19"/>
                <w:szCs w:val="19"/>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(332)</w:t>
            </w:r>
          </w:p>
        </w:tc>
        <w:tc>
          <w:tcPr>
            <w:tcW w:w="32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332</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0" w:type="dxa"/>
            <w:vAlign w:val="bottom"/>
          </w:tcPr>
          <w:p>
            <w:pPr>
              <w:spacing w:after="0"/>
              <w:rPr>
                <w:sz w:val="19"/>
                <w:szCs w:val="19"/>
                <w:color w:val="auto"/>
              </w:rPr>
            </w:pPr>
          </w:p>
        </w:tc>
      </w:tr>
      <w:tr>
        <w:trPr>
          <w:trHeight w:val="258"/>
        </w:trPr>
        <w:tc>
          <w:tcPr>
            <w:tcW w:w="6260" w:type="dxa"/>
            <w:vAlign w:val="bottom"/>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Software</w:t>
            </w:r>
          </w:p>
        </w:tc>
        <w:tc>
          <w:tcPr>
            <w:tcW w:w="180" w:type="dxa"/>
            <w:vAlign w:val="bottom"/>
            <w:shd w:val="clear" w:color="auto" w:fill="C0C0C0"/>
          </w:tcPr>
          <w:p>
            <w:pPr>
              <w:spacing w:after="0"/>
              <w:rPr>
                <w:sz w:val="22"/>
                <w:szCs w:val="22"/>
                <w:color w:val="auto"/>
              </w:rPr>
            </w:pPr>
          </w:p>
        </w:tc>
        <w:tc>
          <w:tcPr>
            <w:tcW w:w="112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234</w:t>
            </w:r>
          </w:p>
        </w:tc>
        <w:tc>
          <w:tcPr>
            <w:tcW w:w="560" w:type="dxa"/>
            <w:vAlign w:val="bottom"/>
            <w:shd w:val="clear" w:color="auto" w:fill="C0C0C0"/>
          </w:tcPr>
          <w:p>
            <w:pPr>
              <w:spacing w:after="0"/>
              <w:rPr>
                <w:sz w:val="22"/>
                <w:szCs w:val="22"/>
                <w:color w:val="auto"/>
              </w:rPr>
            </w:pPr>
          </w:p>
        </w:tc>
        <w:tc>
          <w:tcPr>
            <w:tcW w:w="72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(234)</w:t>
            </w:r>
          </w:p>
        </w:tc>
        <w:tc>
          <w:tcPr>
            <w:tcW w:w="320" w:type="dxa"/>
            <w:vAlign w:val="bottom"/>
            <w:shd w:val="clear" w:color="auto" w:fill="C0C0C0"/>
          </w:tcPr>
          <w:p>
            <w:pPr>
              <w:spacing w:after="0"/>
              <w:rPr>
                <w:sz w:val="22"/>
                <w:szCs w:val="22"/>
                <w:color w:val="auto"/>
              </w:rPr>
            </w:pPr>
          </w:p>
        </w:tc>
        <w:tc>
          <w:tcPr>
            <w:tcW w:w="112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234</w:t>
            </w:r>
          </w:p>
        </w:tc>
        <w:tc>
          <w:tcPr>
            <w:tcW w:w="620" w:type="dxa"/>
            <w:vAlign w:val="bottom"/>
            <w:shd w:val="clear" w:color="auto" w:fill="C0C0C0"/>
          </w:tcPr>
          <w:p>
            <w:pPr>
              <w:spacing w:after="0"/>
              <w:rPr>
                <w:sz w:val="22"/>
                <w:szCs w:val="22"/>
                <w:color w:val="auto"/>
              </w:rPr>
            </w:pPr>
          </w:p>
        </w:tc>
        <w:tc>
          <w:tcPr>
            <w:tcW w:w="5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0" w:type="dxa"/>
            <w:vAlign w:val="bottom"/>
          </w:tcPr>
          <w:p>
            <w:pPr>
              <w:spacing w:after="0"/>
              <w:rPr>
                <w:sz w:val="22"/>
                <w:szCs w:val="22"/>
                <w:color w:val="auto"/>
              </w:rPr>
            </w:pPr>
          </w:p>
        </w:tc>
      </w:tr>
      <w:tr>
        <w:trPr>
          <w:trHeight w:val="228"/>
        </w:trPr>
        <w:tc>
          <w:tcPr>
            <w:tcW w:w="6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500</w:t>
            </w:r>
          </w:p>
        </w:tc>
        <w:tc>
          <w:tcPr>
            <w:tcW w:w="560" w:type="dxa"/>
            <w:vAlign w:val="bottom"/>
          </w:tcPr>
          <w:p>
            <w:pPr>
              <w:spacing w:after="0"/>
              <w:rPr>
                <w:sz w:val="19"/>
                <w:szCs w:val="19"/>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(234)</w:t>
            </w:r>
          </w:p>
        </w:tc>
        <w:tc>
          <w:tcPr>
            <w:tcW w:w="32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500</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 w:type="dxa"/>
            <w:vAlign w:val="bottom"/>
          </w:tcPr>
          <w:p>
            <w:pPr>
              <w:spacing w:after="0"/>
              <w:rPr>
                <w:sz w:val="19"/>
                <w:szCs w:val="19"/>
                <w:color w:val="auto"/>
              </w:rPr>
            </w:pPr>
          </w:p>
        </w:tc>
      </w:tr>
      <w:tr>
        <w:trPr>
          <w:trHeight w:val="258"/>
        </w:trPr>
        <w:tc>
          <w:tcPr>
            <w:tcW w:w="626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Unamortized intangible assets:</w:t>
            </w:r>
          </w:p>
        </w:tc>
        <w:tc>
          <w:tcPr>
            <w:tcW w:w="180" w:type="dxa"/>
            <w:vAlign w:val="bottom"/>
            <w:shd w:val="clear" w:color="auto" w:fill="C0C0C0"/>
          </w:tcPr>
          <w:p>
            <w:pPr>
              <w:spacing w:after="0"/>
              <w:rPr>
                <w:sz w:val="22"/>
                <w:szCs w:val="22"/>
                <w:color w:val="auto"/>
              </w:rPr>
            </w:pPr>
          </w:p>
        </w:tc>
        <w:tc>
          <w:tcPr>
            <w:tcW w:w="1120" w:type="dxa"/>
            <w:vAlign w:val="bottom"/>
            <w:shd w:val="clear" w:color="auto" w:fill="C0C0C0"/>
          </w:tcPr>
          <w:p>
            <w:pPr>
              <w:spacing w:after="0"/>
              <w:rPr>
                <w:sz w:val="22"/>
                <w:szCs w:val="22"/>
                <w:color w:val="auto"/>
              </w:rPr>
            </w:pPr>
          </w:p>
        </w:tc>
        <w:tc>
          <w:tcPr>
            <w:tcW w:w="560" w:type="dxa"/>
            <w:vAlign w:val="bottom"/>
            <w:shd w:val="clear" w:color="auto" w:fill="C0C0C0"/>
          </w:tcPr>
          <w:p>
            <w:pPr>
              <w:spacing w:after="0"/>
              <w:rPr>
                <w:sz w:val="22"/>
                <w:szCs w:val="22"/>
                <w:color w:val="auto"/>
              </w:rPr>
            </w:pPr>
          </w:p>
        </w:tc>
        <w:tc>
          <w:tcPr>
            <w:tcW w:w="720" w:type="dxa"/>
            <w:vAlign w:val="bottom"/>
            <w:shd w:val="clear" w:color="auto" w:fill="C0C0C0"/>
          </w:tcPr>
          <w:p>
            <w:pPr>
              <w:spacing w:after="0"/>
              <w:rPr>
                <w:sz w:val="22"/>
                <w:szCs w:val="22"/>
                <w:color w:val="auto"/>
              </w:rPr>
            </w:pPr>
          </w:p>
        </w:tc>
        <w:tc>
          <w:tcPr>
            <w:tcW w:w="320" w:type="dxa"/>
            <w:vAlign w:val="bottom"/>
            <w:shd w:val="clear" w:color="auto" w:fill="C0C0C0"/>
          </w:tcPr>
          <w:p>
            <w:pPr>
              <w:spacing w:after="0"/>
              <w:rPr>
                <w:sz w:val="22"/>
                <w:szCs w:val="22"/>
                <w:color w:val="auto"/>
              </w:rPr>
            </w:pPr>
          </w:p>
        </w:tc>
        <w:tc>
          <w:tcPr>
            <w:tcW w:w="1120" w:type="dxa"/>
            <w:vAlign w:val="bottom"/>
            <w:shd w:val="clear" w:color="auto" w:fill="C0C0C0"/>
          </w:tcPr>
          <w:p>
            <w:pPr>
              <w:spacing w:after="0"/>
              <w:rPr>
                <w:sz w:val="22"/>
                <w:szCs w:val="22"/>
                <w:color w:val="auto"/>
              </w:rPr>
            </w:pPr>
          </w:p>
        </w:tc>
        <w:tc>
          <w:tcPr>
            <w:tcW w:w="620" w:type="dxa"/>
            <w:vAlign w:val="bottom"/>
            <w:shd w:val="clear" w:color="auto" w:fill="C0C0C0"/>
          </w:tcPr>
          <w:p>
            <w:pPr>
              <w:spacing w:after="0"/>
              <w:rPr>
                <w:sz w:val="22"/>
                <w:szCs w:val="22"/>
                <w:color w:val="auto"/>
              </w:rPr>
            </w:pPr>
          </w:p>
        </w:tc>
        <w:tc>
          <w:tcPr>
            <w:tcW w:w="520" w:type="dxa"/>
            <w:vAlign w:val="bottom"/>
            <w:shd w:val="clear" w:color="auto" w:fill="C0C0C0"/>
          </w:tcPr>
          <w:p>
            <w:pPr>
              <w:spacing w:after="0"/>
              <w:rPr>
                <w:sz w:val="22"/>
                <w:szCs w:val="22"/>
                <w:color w:val="auto"/>
              </w:rPr>
            </w:pPr>
          </w:p>
        </w:tc>
        <w:tc>
          <w:tcPr>
            <w:tcW w:w="20" w:type="dxa"/>
            <w:vAlign w:val="bottom"/>
          </w:tcPr>
          <w:p>
            <w:pPr>
              <w:spacing w:after="0"/>
              <w:rPr>
                <w:sz w:val="22"/>
                <w:szCs w:val="22"/>
                <w:color w:val="auto"/>
              </w:rPr>
            </w:pPr>
          </w:p>
        </w:tc>
      </w:tr>
      <w:tr>
        <w:trPr>
          <w:trHeight w:val="311"/>
        </w:trPr>
        <w:tc>
          <w:tcPr>
            <w:tcW w:w="6260" w:type="dxa"/>
            <w:vAlign w:val="bottom"/>
          </w:tcPr>
          <w:p>
            <w:pPr>
              <w:ind w:left="280"/>
              <w:spacing w:after="0" w:line="310" w:lineRule="exact"/>
              <w:rPr>
                <w:sz w:val="20"/>
                <w:szCs w:val="20"/>
                <w:color w:val="auto"/>
              </w:rPr>
            </w:pPr>
            <w:r>
              <w:rPr>
                <w:rFonts w:ascii="Times New Roman" w:cs="Times New Roman" w:eastAsia="Times New Roman" w:hAnsi="Times New Roman"/>
                <w:sz w:val="18"/>
                <w:szCs w:val="18"/>
                <w:color w:val="auto"/>
              </w:rPr>
              <w:t>Goodwill</w:t>
            </w:r>
            <w:r>
              <w:rPr>
                <w:rFonts w:ascii="Times New Roman" w:cs="Times New Roman" w:eastAsia="Times New Roman" w:hAnsi="Times New Roman"/>
                <w:sz w:val="29"/>
                <w:szCs w:val="29"/>
                <w:color w:val="auto"/>
                <w:vertAlign w:val="superscript"/>
              </w:rPr>
              <w:t>1</w:t>
            </w:r>
          </w:p>
        </w:tc>
        <w:tc>
          <w:tcPr>
            <w:tcW w:w="180" w:type="dxa"/>
            <w:vAlign w:val="bottom"/>
          </w:tcPr>
          <w:p>
            <w:pPr>
              <w:spacing w:after="0"/>
              <w:rPr>
                <w:sz w:val="24"/>
                <w:szCs w:val="24"/>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12,796</w:t>
            </w:r>
          </w:p>
        </w:tc>
        <w:tc>
          <w:tcPr>
            <w:tcW w:w="560" w:type="dxa"/>
            <w:vAlign w:val="bottom"/>
          </w:tcPr>
          <w:p>
            <w:pPr>
              <w:spacing w:after="0"/>
              <w:rPr>
                <w:sz w:val="24"/>
                <w:szCs w:val="24"/>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(227)</w:t>
            </w:r>
          </w:p>
        </w:tc>
        <w:tc>
          <w:tcPr>
            <w:tcW w:w="320" w:type="dxa"/>
            <w:vAlign w:val="bottom"/>
          </w:tcPr>
          <w:p>
            <w:pPr>
              <w:spacing w:after="0"/>
              <w:rPr>
                <w:sz w:val="24"/>
                <w:szCs w:val="24"/>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12,796</w:t>
            </w:r>
          </w:p>
        </w:tc>
        <w:tc>
          <w:tcPr>
            <w:tcW w:w="62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(227)</w:t>
            </w:r>
          </w:p>
        </w:tc>
      </w:tr>
      <w:tr>
        <w:trPr>
          <w:trHeight w:val="222"/>
        </w:trPr>
        <w:tc>
          <w:tcPr>
            <w:tcW w:w="6260" w:type="dxa"/>
            <w:vAlign w:val="bottom"/>
            <w:tcBorders>
              <w:top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80" w:type="dxa"/>
            <w:vAlign w:val="bottom"/>
            <w:tcBorders>
              <w:top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18,222</w:t>
            </w:r>
          </w:p>
        </w:tc>
        <w:tc>
          <w:tcPr>
            <w:tcW w:w="560" w:type="dxa"/>
            <w:vAlign w:val="bottom"/>
            <w:tcBorders>
              <w:top w:val="single" w:sz="8" w:color="auto"/>
            </w:tcBorders>
            <w:shd w:val="clear" w:color="auto" w:fill="C0C0C0"/>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(4,207)</w:t>
            </w:r>
          </w:p>
        </w:tc>
        <w:tc>
          <w:tcPr>
            <w:tcW w:w="320" w:type="dxa"/>
            <w:vAlign w:val="bottom"/>
            <w:tcBorders>
              <w:top w:val="single" w:sz="8" w:color="auto"/>
            </w:tcBorders>
            <w:shd w:val="clear" w:color="auto" w:fill="C0C0C0"/>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18,222</w:t>
            </w:r>
          </w:p>
        </w:tc>
        <w:tc>
          <w:tcPr>
            <w:tcW w:w="620" w:type="dxa"/>
            <w:vAlign w:val="bottom"/>
            <w:tcBorders>
              <w:top w:val="single" w:sz="8" w:color="auto"/>
            </w:tcBorders>
            <w:shd w:val="clear" w:color="auto" w:fill="C0C0C0"/>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w w:val="95"/>
              </w:rPr>
              <w:t>(4,099)</w:t>
            </w:r>
          </w:p>
        </w:tc>
        <w:tc>
          <w:tcPr>
            <w:tcW w:w="20" w:type="dxa"/>
            <w:vAlign w:val="bottom"/>
          </w:tcPr>
          <w:p>
            <w:pPr>
              <w:spacing w:after="0"/>
              <w:rPr>
                <w:sz w:val="19"/>
                <w:szCs w:val="19"/>
                <w:color w:val="auto"/>
              </w:rPr>
            </w:pPr>
          </w:p>
        </w:tc>
      </w:tr>
      <w:tr>
        <w:trPr>
          <w:trHeight w:val="28"/>
        </w:trPr>
        <w:tc>
          <w:tcPr>
            <w:tcW w:w="6260" w:type="dxa"/>
            <w:vAlign w:val="bottom"/>
            <w:shd w:val="clear" w:color="auto" w:fill="C0C0C0"/>
          </w:tcPr>
          <w:p>
            <w:pPr>
              <w:spacing w:after="0"/>
              <w:rPr>
                <w:sz w:val="2"/>
                <w:szCs w:val="2"/>
                <w:color w:val="auto"/>
              </w:rPr>
            </w:pPr>
          </w:p>
        </w:tc>
        <w:tc>
          <w:tcPr>
            <w:tcW w:w="180" w:type="dxa"/>
            <w:vAlign w:val="bottom"/>
            <w:shd w:val="clear" w:color="auto" w:fill="C0C0C0"/>
          </w:tcPr>
          <w:p>
            <w:pPr>
              <w:spacing w:after="0"/>
              <w:rPr>
                <w:sz w:val="2"/>
                <w:szCs w:val="2"/>
                <w:color w:val="auto"/>
              </w:rPr>
            </w:pPr>
          </w:p>
        </w:tc>
        <w:tc>
          <w:tcPr>
            <w:tcW w:w="1120" w:type="dxa"/>
            <w:vAlign w:val="bottom"/>
            <w:shd w:val="clear" w:color="auto" w:fill="C0C0C0"/>
          </w:tcPr>
          <w:p>
            <w:pPr>
              <w:spacing w:after="0"/>
              <w:rPr>
                <w:sz w:val="2"/>
                <w:szCs w:val="2"/>
                <w:color w:val="auto"/>
              </w:rPr>
            </w:pPr>
          </w:p>
        </w:tc>
        <w:tc>
          <w:tcPr>
            <w:tcW w:w="560" w:type="dxa"/>
            <w:vAlign w:val="bottom"/>
            <w:shd w:val="clear" w:color="auto" w:fill="C0C0C0"/>
          </w:tcPr>
          <w:p>
            <w:pPr>
              <w:spacing w:after="0"/>
              <w:rPr>
                <w:sz w:val="2"/>
                <w:szCs w:val="2"/>
                <w:color w:val="auto"/>
              </w:rPr>
            </w:pPr>
          </w:p>
        </w:tc>
        <w:tc>
          <w:tcPr>
            <w:tcW w:w="720" w:type="dxa"/>
            <w:vAlign w:val="bottom"/>
            <w:shd w:val="clear" w:color="auto" w:fill="C0C0C0"/>
          </w:tcPr>
          <w:p>
            <w:pPr>
              <w:spacing w:after="0"/>
              <w:rPr>
                <w:sz w:val="2"/>
                <w:szCs w:val="2"/>
                <w:color w:val="auto"/>
              </w:rPr>
            </w:pPr>
          </w:p>
        </w:tc>
        <w:tc>
          <w:tcPr>
            <w:tcW w:w="320" w:type="dxa"/>
            <w:vAlign w:val="bottom"/>
            <w:shd w:val="clear" w:color="auto" w:fill="C0C0C0"/>
          </w:tcPr>
          <w:p>
            <w:pPr>
              <w:spacing w:after="0"/>
              <w:rPr>
                <w:sz w:val="2"/>
                <w:szCs w:val="2"/>
                <w:color w:val="auto"/>
              </w:rPr>
            </w:pPr>
          </w:p>
        </w:tc>
        <w:tc>
          <w:tcPr>
            <w:tcW w:w="1120" w:type="dxa"/>
            <w:vAlign w:val="bottom"/>
            <w:shd w:val="clear" w:color="auto" w:fill="C0C0C0"/>
          </w:tcPr>
          <w:p>
            <w:pPr>
              <w:spacing w:after="0"/>
              <w:rPr>
                <w:sz w:val="2"/>
                <w:szCs w:val="2"/>
                <w:color w:val="auto"/>
              </w:rPr>
            </w:pPr>
          </w:p>
        </w:tc>
        <w:tc>
          <w:tcPr>
            <w:tcW w:w="620" w:type="dxa"/>
            <w:vAlign w:val="bottom"/>
            <w:shd w:val="clear" w:color="auto" w:fill="C0C0C0"/>
          </w:tcPr>
          <w:p>
            <w:pPr>
              <w:spacing w:after="0"/>
              <w:rPr>
                <w:sz w:val="2"/>
                <w:szCs w:val="2"/>
                <w:color w:val="auto"/>
              </w:rPr>
            </w:pPr>
          </w:p>
        </w:tc>
        <w:tc>
          <w:tcPr>
            <w:tcW w:w="520" w:type="dxa"/>
            <w:vAlign w:val="bottom"/>
            <w:shd w:val="clear" w:color="auto" w:fill="C0C0C0"/>
          </w:tcPr>
          <w:p>
            <w:pPr>
              <w:spacing w:after="0"/>
              <w:rPr>
                <w:sz w:val="2"/>
                <w:szCs w:val="2"/>
                <w:color w:val="auto"/>
              </w:rPr>
            </w:pPr>
          </w:p>
        </w:tc>
        <w:tc>
          <w:tcPr>
            <w:tcW w:w="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20" w:hanging="112"/>
        <w:spacing w:after="0" w:line="182" w:lineRule="auto"/>
        <w:tabs>
          <w:tab w:leader="none" w:pos="120" w:val="left"/>
        </w:tabs>
        <w:numPr>
          <w:ilvl w:val="0"/>
          <w:numId w:val="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Amortization through December 31, 2001 prior to adoption of FASB ASC 350.</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customer lists are amortized over seven and ten years; the patents over 18 years; the non-compete agreements over two and five years; software over three years; and other intangible assets over 15 years. Amortization of intangible assets amounted to $107,000 and $110,000 for the three-month periods ended March 31, 2019 and 2018, respectively. Estimated annual amortization of intangibles is as follows: $412,000 in 2019, $406,000 in each of 2020 and 2021, and $88,000 in each of 2022 and 2023.</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3 – Earnings Per Share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by the weighted-average number of common shares outstanding. Diluted earnings per share is computed by dividing net income by the sum of the weighted-average number of common shares outstanding and the weighted-average number of potential common shares outstanding. There were no antidilutive shares in the three months ended March 31, 2019 and 2018. The calculations of basic and diluted earnings per share are as follows: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8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80" w:type="dxa"/>
            <w:vAlign w:val="bottom"/>
            <w:gridSpan w:val="3"/>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66"/>
        </w:trPr>
        <w:tc>
          <w:tcPr>
            <w:tcW w:w="89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20" w:type="dxa"/>
            <w:vAlign w:val="bottom"/>
            <w:tcBorders>
              <w:bottom w:val="single" w:sz="8" w:color="auto"/>
            </w:tcBorders>
          </w:tcPr>
          <w:p>
            <w:pPr>
              <w:spacing w:after="0"/>
              <w:rPr>
                <w:sz w:val="23"/>
                <w:szCs w:val="23"/>
                <w:color w:val="auto"/>
              </w:rPr>
            </w:pPr>
          </w:p>
        </w:tc>
      </w:tr>
      <w:tr>
        <w:trPr>
          <w:trHeight w:val="250"/>
        </w:trPr>
        <w:tc>
          <w:tcPr>
            <w:tcW w:w="8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2019</w:t>
            </w: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43"/>
        </w:trPr>
        <w:tc>
          <w:tcPr>
            <w:tcW w:w="894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r>
      <w:tr>
        <w:trPr>
          <w:trHeight w:val="228"/>
        </w:trPr>
        <w:tc>
          <w:tcPr>
            <w:tcW w:w="8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8,163</w:t>
            </w:r>
          </w:p>
        </w:tc>
        <w:tc>
          <w:tcPr>
            <w:tcW w:w="4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8,092</w:t>
            </w:r>
          </w:p>
        </w:tc>
      </w:tr>
      <w:tr>
        <w:trPr>
          <w:trHeight w:val="258"/>
        </w:trPr>
        <w:tc>
          <w:tcPr>
            <w:tcW w:w="8940" w:type="dxa"/>
            <w:vAlign w:val="bottom"/>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00" w:type="dxa"/>
            <w:vAlign w:val="bottom"/>
            <w:shd w:val="clear" w:color="auto" w:fill="C0C0C0"/>
          </w:tcPr>
          <w:p>
            <w:pPr>
              <w:spacing w:after="0"/>
              <w:rPr>
                <w:sz w:val="22"/>
                <w:szCs w:val="22"/>
                <w:color w:val="auto"/>
              </w:rPr>
            </w:pPr>
          </w:p>
        </w:tc>
        <w:tc>
          <w:tcPr>
            <w:tcW w:w="104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14,455,527</w:t>
            </w:r>
          </w:p>
        </w:tc>
        <w:tc>
          <w:tcPr>
            <w:tcW w:w="420" w:type="dxa"/>
            <w:vAlign w:val="bottom"/>
            <w:shd w:val="clear" w:color="auto" w:fill="C0C0C0"/>
          </w:tcPr>
          <w:p>
            <w:pPr>
              <w:spacing w:after="0"/>
              <w:rPr>
                <w:sz w:val="22"/>
                <w:szCs w:val="22"/>
                <w:color w:val="auto"/>
              </w:rPr>
            </w:pPr>
          </w:p>
        </w:tc>
        <w:tc>
          <w:tcPr>
            <w:tcW w:w="8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w w:val="98"/>
              </w:rPr>
              <w:t>14,679,619</w:t>
            </w:r>
          </w:p>
        </w:tc>
      </w:tr>
      <w:tr>
        <w:trPr>
          <w:trHeight w:val="250"/>
        </w:trPr>
        <w:tc>
          <w:tcPr>
            <w:tcW w:w="89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.56</w:t>
            </w:r>
          </w:p>
        </w:tc>
        <w:tc>
          <w:tcPr>
            <w:tcW w:w="4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50"/>
        </w:trPr>
        <w:tc>
          <w:tcPr>
            <w:tcW w:w="89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r>
      <w:tr>
        <w:trPr>
          <w:trHeight w:val="243"/>
        </w:trPr>
        <w:tc>
          <w:tcPr>
            <w:tcW w:w="894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r>
      <w:tr>
        <w:trPr>
          <w:trHeight w:val="228"/>
        </w:trPr>
        <w:tc>
          <w:tcPr>
            <w:tcW w:w="8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8,163</w:t>
            </w:r>
          </w:p>
        </w:tc>
        <w:tc>
          <w:tcPr>
            <w:tcW w:w="4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8,092</w:t>
            </w:r>
          </w:p>
        </w:tc>
      </w:tr>
      <w:tr>
        <w:trPr>
          <w:trHeight w:val="258"/>
        </w:trPr>
        <w:tc>
          <w:tcPr>
            <w:tcW w:w="8940" w:type="dxa"/>
            <w:vAlign w:val="bottom"/>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00" w:type="dxa"/>
            <w:vAlign w:val="bottom"/>
            <w:shd w:val="clear" w:color="auto" w:fill="C0C0C0"/>
          </w:tcPr>
          <w:p>
            <w:pPr>
              <w:spacing w:after="0"/>
              <w:rPr>
                <w:sz w:val="22"/>
                <w:szCs w:val="22"/>
                <w:color w:val="auto"/>
              </w:rPr>
            </w:pPr>
          </w:p>
        </w:tc>
        <w:tc>
          <w:tcPr>
            <w:tcW w:w="104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14,455,527</w:t>
            </w:r>
          </w:p>
        </w:tc>
        <w:tc>
          <w:tcPr>
            <w:tcW w:w="420" w:type="dxa"/>
            <w:vAlign w:val="bottom"/>
            <w:shd w:val="clear" w:color="auto" w:fill="C0C0C0"/>
          </w:tcPr>
          <w:p>
            <w:pPr>
              <w:spacing w:after="0"/>
              <w:rPr>
                <w:sz w:val="22"/>
                <w:szCs w:val="22"/>
                <w:color w:val="auto"/>
              </w:rPr>
            </w:pPr>
          </w:p>
        </w:tc>
        <w:tc>
          <w:tcPr>
            <w:tcW w:w="8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w w:val="98"/>
              </w:rPr>
              <w:t>14,679,619</w:t>
            </w:r>
          </w:p>
        </w:tc>
      </w:tr>
      <w:tr>
        <w:trPr>
          <w:trHeight w:val="237"/>
        </w:trPr>
        <w:tc>
          <w:tcPr>
            <w:tcW w:w="89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Effect of dilutive restricted stock and stock appreciation rights</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253,168</w:t>
            </w: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226,901</w:t>
            </w:r>
          </w:p>
        </w:tc>
      </w:tr>
      <w:tr>
        <w:trPr>
          <w:trHeight w:val="243"/>
        </w:trPr>
        <w:tc>
          <w:tcPr>
            <w:tcW w:w="8940" w:type="dxa"/>
            <w:vAlign w:val="bottom"/>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Weighted-average common shares outstanding assuming dilution</w:t>
            </w:r>
          </w:p>
        </w:tc>
        <w:tc>
          <w:tcPr>
            <w:tcW w:w="20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14,708,695</w:t>
            </w:r>
          </w:p>
        </w:tc>
        <w:tc>
          <w:tcPr>
            <w:tcW w:w="42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w w:val="98"/>
              </w:rPr>
              <w:t>14,906,520</w:t>
            </w:r>
          </w:p>
        </w:tc>
      </w:tr>
      <w:tr>
        <w:trPr>
          <w:trHeight w:val="250"/>
        </w:trPr>
        <w:tc>
          <w:tcPr>
            <w:tcW w:w="89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.55</w:t>
            </w:r>
          </w:p>
        </w:tc>
        <w:tc>
          <w:tcPr>
            <w:tcW w:w="4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4 – Stock Repurchases</w:t>
      </w:r>
    </w:p>
    <w:p>
      <w:pPr>
        <w:spacing w:after="0" w:line="22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The Company maintains a treasury stock buyback program pursuant to which the Board of Directors has authorized the repurchase of up to 500,000 shares of the Company’s common stock. As restored by the Board of Directors on January 29, 2019, the program provides that the Company may repurchase up to an aggregate of 500,000 shares of common stock and has no expiration date. The Company repurchased 107,815 shares during the three-month period ended March 31, 2019 and 11,456 shares during the three-month period ended March 31, 2018. As of March 31, 2019, 497,000 shares remained available for repurchase under the program. Repurchases may be made in the open market or through negotiated transactions from time to time depending on market conditions.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5 – Industry Segment Information</w:t>
      </w:r>
    </w:p>
    <w:p>
      <w:pPr>
        <w:spacing w:after="0" w:line="22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services provided by the Company are classified into two reportable segments: Information Services and Banking Services. Each of these segments provides distinct services that are marketed through different channels. They are managed separately due to their unique service and processing requirements.</w:t>
      </w:r>
    </w:p>
    <w:p>
      <w:pPr>
        <w:spacing w:after="0" w:line="1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Information Services segment provides transportation, energy, telecommunication, and environmental invoice processing and payment services to large corporations. The Banking Services segment provides banking services primarily to privately held businesses and faith-based ministries as well as supporting the banking needs of the Information Services segment.</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Company’s accounting policies for segments are the same as those described in the summary of significant accounting policies in the Company’s Annual Report on Form 10-K for the year ended December 31, 2018. Management evaluates segment performance based on tax-equivalized* pre-tax income after allocations for corporate expenses. Transactions between segments are accounted for at what management believes to be fair value.</w:t>
      </w:r>
    </w:p>
    <w:p>
      <w:pPr>
        <w:spacing w:after="0" w:line="18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Substantially all revenue originates from, and all long-lived assets are located within the United States, and no revenue from any customer of any segment exceeds 10% of the Company’s consolidated revenue.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Funding sources represent average balances and deposits generated by Information Services and Banking Services and there is no allocation methodology used.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interest income is a function of the relative share of average funding sources generated by each segment multiplied by the following rates:</w:t>
      </w:r>
    </w:p>
    <w:p>
      <w:pPr>
        <w:spacing w:after="0" w:line="209" w:lineRule="exact"/>
        <w:rPr>
          <w:sz w:val="20"/>
          <w:szCs w:val="20"/>
          <w:color w:val="auto"/>
        </w:rPr>
      </w:pPr>
    </w:p>
    <w:p>
      <w:pPr>
        <w:ind w:left="540" w:hanging="262"/>
        <w:spacing w:after="0"/>
        <w:tabs>
          <w:tab w:leader="none" w:pos="5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Information Services – fixed or variable rates depending upon the specific characteristics of the funding source, and</w:t>
      </w:r>
    </w:p>
    <w:p>
      <w:pPr>
        <w:spacing w:after="0" w:line="27" w:lineRule="exact"/>
        <w:rPr>
          <w:rFonts w:ascii="Times New Roman" w:cs="Times New Roman" w:eastAsia="Times New Roman" w:hAnsi="Times New Roman"/>
          <w:sz w:val="17"/>
          <w:szCs w:val="17"/>
          <w:color w:val="auto"/>
        </w:rPr>
      </w:pPr>
    </w:p>
    <w:p>
      <w:pPr>
        <w:ind w:left="540" w:hanging="262"/>
        <w:spacing w:after="0"/>
        <w:tabs>
          <w:tab w:leader="none" w:pos="5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Banking Services – a variable rate that is based upon the overall performance of Banking Services’ earning assets.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difference between total segment interest income and overall total Company interest income is included in Corporate, Eliminations, and Other.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information about the Company’s operations in each industry segment is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80"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center"/>
              <w:ind w:right="172"/>
              <w:spacing w:after="0"/>
              <w:rPr>
                <w:sz w:val="20"/>
                <w:szCs w:val="20"/>
                <w:color w:val="auto"/>
              </w:rPr>
            </w:pPr>
            <w:r>
              <w:rPr>
                <w:rFonts w:ascii="Times New Roman" w:cs="Times New Roman" w:eastAsia="Times New Roman" w:hAnsi="Times New Roman"/>
                <w:sz w:val="18"/>
                <w:szCs w:val="18"/>
                <w:b w:val="1"/>
                <w:bCs w:val="1"/>
                <w:color w:val="auto"/>
                <w:w w:val="97"/>
              </w:rPr>
              <w:t>Corporate,</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43"/>
        </w:trPr>
        <w:tc>
          <w:tcPr>
            <w:tcW w:w="4660" w:type="dxa"/>
            <w:vAlign w:val="bottom"/>
          </w:tcPr>
          <w:p>
            <w:pPr>
              <w:spacing w:after="0"/>
              <w:rPr>
                <w:sz w:val="21"/>
                <w:szCs w:val="21"/>
                <w:color w:val="auto"/>
              </w:rPr>
            </w:pPr>
          </w:p>
        </w:tc>
        <w:tc>
          <w:tcPr>
            <w:tcW w:w="31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Information</w:t>
            </w:r>
          </w:p>
        </w:tc>
        <w:tc>
          <w:tcPr>
            <w:tcW w:w="240" w:type="dxa"/>
            <w:vAlign w:val="bottom"/>
          </w:tcPr>
          <w:p>
            <w:pPr>
              <w:spacing w:after="0"/>
              <w:rPr>
                <w:sz w:val="21"/>
                <w:szCs w:val="21"/>
                <w:color w:val="auto"/>
              </w:rPr>
            </w:pP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95"/>
              </w:rPr>
              <w:t>Banking</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Eliminations</w:t>
            </w: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66"/>
        </w:trPr>
        <w:tc>
          <w:tcPr>
            <w:tcW w:w="4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1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95"/>
              </w:rPr>
              <w:t>Services</w:t>
            </w: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8"/>
                <w:szCs w:val="18"/>
                <w:b w:val="1"/>
                <w:bCs w:val="1"/>
                <w:color w:val="auto"/>
                <w:w w:val="98"/>
              </w:rPr>
              <w:t>and Other</w:t>
            </w:r>
          </w:p>
        </w:tc>
        <w:tc>
          <w:tcPr>
            <w:tcW w:w="3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3"/>
        </w:trPr>
        <w:tc>
          <w:tcPr>
            <w:tcW w:w="466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2019</w:t>
            </w:r>
          </w:p>
        </w:tc>
        <w:tc>
          <w:tcPr>
            <w:tcW w:w="216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12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r>
      <w:tr>
        <w:trPr>
          <w:trHeight w:val="228"/>
        </w:trPr>
        <w:tc>
          <w:tcPr>
            <w:tcW w:w="4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Fee income from customers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26,796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391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(174)</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27,013</w:t>
            </w:r>
          </w:p>
        </w:tc>
      </w:tr>
      <w:tr>
        <w:trPr>
          <w:trHeight w:val="258"/>
        </w:trPr>
        <w:tc>
          <w:tcPr>
            <w:tcW w:w="4660" w:type="dxa"/>
            <w:vAlign w:val="bottom"/>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Interest income*</w:t>
            </w:r>
          </w:p>
        </w:tc>
        <w:tc>
          <w:tcPr>
            <w:tcW w:w="2160" w:type="dxa"/>
            <w:vAlign w:val="bottom"/>
            <w:shd w:val="clear" w:color="auto" w:fill="C0C0C0"/>
          </w:tcPr>
          <w:p>
            <w:pPr>
              <w:spacing w:after="0"/>
              <w:rPr>
                <w:sz w:val="22"/>
                <w:szCs w:val="22"/>
                <w:color w:val="auto"/>
              </w:rPr>
            </w:pPr>
          </w:p>
        </w:tc>
        <w:tc>
          <w:tcPr>
            <w:tcW w:w="102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6,177</w:t>
            </w:r>
          </w:p>
        </w:tc>
        <w:tc>
          <w:tcPr>
            <w:tcW w:w="240" w:type="dxa"/>
            <w:vAlign w:val="bottom"/>
            <w:shd w:val="clear" w:color="auto" w:fill="C0C0C0"/>
          </w:tcPr>
          <w:p>
            <w:pPr>
              <w:spacing w:after="0"/>
              <w:rPr>
                <w:sz w:val="22"/>
                <w:szCs w:val="22"/>
                <w:color w:val="auto"/>
              </w:rPr>
            </w:pPr>
          </w:p>
        </w:tc>
        <w:tc>
          <w:tcPr>
            <w:tcW w:w="88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7,486</w:t>
            </w:r>
          </w:p>
        </w:tc>
        <w:tc>
          <w:tcPr>
            <w:tcW w:w="240" w:type="dxa"/>
            <w:vAlign w:val="bottom"/>
            <w:shd w:val="clear" w:color="auto" w:fill="C0C0C0"/>
          </w:tcPr>
          <w:p>
            <w:pPr>
              <w:spacing w:after="0"/>
              <w:rPr>
                <w:sz w:val="22"/>
                <w:szCs w:val="22"/>
                <w:color w:val="auto"/>
              </w:rPr>
            </w:pPr>
          </w:p>
        </w:tc>
        <w:tc>
          <w:tcPr>
            <w:tcW w:w="112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(225)</w:t>
            </w:r>
          </w:p>
        </w:tc>
        <w:tc>
          <w:tcPr>
            <w:tcW w:w="300" w:type="dxa"/>
            <w:vAlign w:val="bottom"/>
            <w:shd w:val="clear" w:color="auto" w:fill="C0C0C0"/>
          </w:tcPr>
          <w:p>
            <w:pPr>
              <w:spacing w:after="0"/>
              <w:rPr>
                <w:sz w:val="22"/>
                <w:szCs w:val="22"/>
                <w:color w:val="auto"/>
              </w:rPr>
            </w:pPr>
          </w:p>
        </w:tc>
        <w:tc>
          <w:tcPr>
            <w:tcW w:w="8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13,438</w:t>
            </w:r>
          </w:p>
        </w:tc>
      </w:tr>
      <w:tr>
        <w:trPr>
          <w:trHeight w:val="228"/>
        </w:trPr>
        <w:tc>
          <w:tcPr>
            <w:tcW w:w="4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2160" w:type="dxa"/>
            <w:vAlign w:val="bottom"/>
          </w:tcPr>
          <w:p>
            <w:pPr>
              <w:spacing w:after="0"/>
              <w:rPr>
                <w:sz w:val="19"/>
                <w:szCs w:val="19"/>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1,290</w:t>
            </w:r>
          </w:p>
        </w:tc>
        <w:tc>
          <w:tcPr>
            <w:tcW w:w="24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r>
      <w:tr>
        <w:trPr>
          <w:trHeight w:val="258"/>
        </w:trPr>
        <w:tc>
          <w:tcPr>
            <w:tcW w:w="4660" w:type="dxa"/>
            <w:vAlign w:val="bottom"/>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Intersegment income (expense)</w:t>
            </w:r>
          </w:p>
        </w:tc>
        <w:tc>
          <w:tcPr>
            <w:tcW w:w="2160" w:type="dxa"/>
            <w:vAlign w:val="bottom"/>
            <w:shd w:val="clear" w:color="auto" w:fill="C0C0C0"/>
          </w:tcPr>
          <w:p>
            <w:pPr>
              <w:spacing w:after="0"/>
              <w:rPr>
                <w:sz w:val="22"/>
                <w:szCs w:val="22"/>
                <w:color w:val="auto"/>
              </w:rPr>
            </w:pPr>
          </w:p>
        </w:tc>
        <w:tc>
          <w:tcPr>
            <w:tcW w:w="102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0C0C0"/>
          </w:tcPr>
          <w:p>
            <w:pPr>
              <w:spacing w:after="0"/>
              <w:rPr>
                <w:sz w:val="22"/>
                <w:szCs w:val="22"/>
                <w:color w:val="auto"/>
              </w:rPr>
            </w:pPr>
          </w:p>
        </w:tc>
        <w:tc>
          <w:tcPr>
            <w:tcW w:w="88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519</w:t>
            </w:r>
          </w:p>
        </w:tc>
        <w:tc>
          <w:tcPr>
            <w:tcW w:w="240" w:type="dxa"/>
            <w:vAlign w:val="bottom"/>
            <w:shd w:val="clear" w:color="auto" w:fill="C0C0C0"/>
          </w:tcPr>
          <w:p>
            <w:pPr>
              <w:spacing w:after="0"/>
              <w:rPr>
                <w:sz w:val="22"/>
                <w:szCs w:val="22"/>
                <w:color w:val="auto"/>
              </w:rPr>
            </w:pPr>
          </w:p>
        </w:tc>
        <w:tc>
          <w:tcPr>
            <w:tcW w:w="112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(519)</w:t>
            </w:r>
          </w:p>
        </w:tc>
        <w:tc>
          <w:tcPr>
            <w:tcW w:w="300" w:type="dxa"/>
            <w:vAlign w:val="bottom"/>
            <w:shd w:val="clear" w:color="auto" w:fill="C0C0C0"/>
          </w:tcPr>
          <w:p>
            <w:pPr>
              <w:spacing w:after="0"/>
              <w:rPr>
                <w:sz w:val="22"/>
                <w:szCs w:val="22"/>
                <w:color w:val="auto"/>
              </w:rPr>
            </w:pPr>
          </w:p>
        </w:tc>
        <w:tc>
          <w:tcPr>
            <w:tcW w:w="8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Tax-equivalized pre-tax income*</w:t>
            </w:r>
          </w:p>
        </w:tc>
        <w:tc>
          <w:tcPr>
            <w:tcW w:w="2160" w:type="dxa"/>
            <w:vAlign w:val="bottom"/>
          </w:tcPr>
          <w:p>
            <w:pPr>
              <w:spacing w:after="0"/>
              <w:rPr>
                <w:sz w:val="19"/>
                <w:szCs w:val="19"/>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7,588</w:t>
            </w:r>
          </w:p>
        </w:tc>
        <w:tc>
          <w:tcPr>
            <w:tcW w:w="240" w:type="dxa"/>
            <w:vAlign w:val="bottom"/>
          </w:tcPr>
          <w:p>
            <w:pPr>
              <w:spacing w:after="0"/>
              <w:rPr>
                <w:sz w:val="19"/>
                <w:szCs w:val="19"/>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3,260</w:t>
            </w:r>
          </w:p>
        </w:tc>
        <w:tc>
          <w:tcPr>
            <w:tcW w:w="24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(398)</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10,450</w:t>
            </w:r>
          </w:p>
        </w:tc>
      </w:tr>
      <w:tr>
        <w:trPr>
          <w:trHeight w:val="258"/>
        </w:trPr>
        <w:tc>
          <w:tcPr>
            <w:tcW w:w="4660" w:type="dxa"/>
            <w:vAlign w:val="bottom"/>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Goodwill</w:t>
            </w:r>
          </w:p>
        </w:tc>
        <w:tc>
          <w:tcPr>
            <w:tcW w:w="2160" w:type="dxa"/>
            <w:vAlign w:val="bottom"/>
            <w:shd w:val="clear" w:color="auto" w:fill="C0C0C0"/>
          </w:tcPr>
          <w:p>
            <w:pPr>
              <w:spacing w:after="0"/>
              <w:rPr>
                <w:sz w:val="22"/>
                <w:szCs w:val="22"/>
                <w:color w:val="auto"/>
              </w:rPr>
            </w:pPr>
          </w:p>
        </w:tc>
        <w:tc>
          <w:tcPr>
            <w:tcW w:w="102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12,433</w:t>
            </w:r>
          </w:p>
        </w:tc>
        <w:tc>
          <w:tcPr>
            <w:tcW w:w="240" w:type="dxa"/>
            <w:vAlign w:val="bottom"/>
            <w:shd w:val="clear" w:color="auto" w:fill="C0C0C0"/>
          </w:tcPr>
          <w:p>
            <w:pPr>
              <w:spacing w:after="0"/>
              <w:rPr>
                <w:sz w:val="22"/>
                <w:szCs w:val="22"/>
                <w:color w:val="auto"/>
              </w:rPr>
            </w:pPr>
          </w:p>
        </w:tc>
        <w:tc>
          <w:tcPr>
            <w:tcW w:w="88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136</w:t>
            </w:r>
          </w:p>
        </w:tc>
        <w:tc>
          <w:tcPr>
            <w:tcW w:w="240" w:type="dxa"/>
            <w:vAlign w:val="bottom"/>
            <w:shd w:val="clear" w:color="auto" w:fill="C0C0C0"/>
          </w:tcPr>
          <w:p>
            <w:pPr>
              <w:spacing w:after="0"/>
              <w:rPr>
                <w:sz w:val="22"/>
                <w:szCs w:val="22"/>
                <w:color w:val="auto"/>
              </w:rPr>
            </w:pPr>
          </w:p>
        </w:tc>
        <w:tc>
          <w:tcPr>
            <w:tcW w:w="112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0C0C0"/>
          </w:tcPr>
          <w:p>
            <w:pPr>
              <w:spacing w:after="0"/>
              <w:rPr>
                <w:sz w:val="22"/>
                <w:szCs w:val="22"/>
                <w:color w:val="auto"/>
              </w:rPr>
            </w:pPr>
          </w:p>
        </w:tc>
        <w:tc>
          <w:tcPr>
            <w:tcW w:w="8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12,569</w:t>
            </w:r>
          </w:p>
        </w:tc>
      </w:tr>
      <w:tr>
        <w:trPr>
          <w:trHeight w:val="228"/>
        </w:trPr>
        <w:tc>
          <w:tcPr>
            <w:tcW w:w="4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160" w:type="dxa"/>
            <w:vAlign w:val="bottom"/>
          </w:tcPr>
          <w:p>
            <w:pPr>
              <w:spacing w:after="0"/>
              <w:rPr>
                <w:sz w:val="19"/>
                <w:szCs w:val="19"/>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1,446</w:t>
            </w:r>
          </w:p>
        </w:tc>
        <w:tc>
          <w:tcPr>
            <w:tcW w:w="240" w:type="dxa"/>
            <w:vAlign w:val="bottom"/>
          </w:tcPr>
          <w:p>
            <w:pPr>
              <w:spacing w:after="0"/>
              <w:rPr>
                <w:sz w:val="19"/>
                <w:szCs w:val="19"/>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r>
      <w:tr>
        <w:trPr>
          <w:trHeight w:val="258"/>
        </w:trPr>
        <w:tc>
          <w:tcPr>
            <w:tcW w:w="4660" w:type="dxa"/>
            <w:vAlign w:val="bottom"/>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2160" w:type="dxa"/>
            <w:vAlign w:val="bottom"/>
            <w:shd w:val="clear" w:color="auto" w:fill="C0C0C0"/>
          </w:tcPr>
          <w:p>
            <w:pPr>
              <w:spacing w:after="0"/>
              <w:rPr>
                <w:sz w:val="22"/>
                <w:szCs w:val="22"/>
                <w:color w:val="auto"/>
              </w:rPr>
            </w:pPr>
          </w:p>
        </w:tc>
        <w:tc>
          <w:tcPr>
            <w:tcW w:w="102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874,971</w:t>
            </w:r>
          </w:p>
        </w:tc>
        <w:tc>
          <w:tcPr>
            <w:tcW w:w="240" w:type="dxa"/>
            <w:vAlign w:val="bottom"/>
            <w:shd w:val="clear" w:color="auto" w:fill="C0C0C0"/>
          </w:tcPr>
          <w:p>
            <w:pPr>
              <w:spacing w:after="0"/>
              <w:rPr>
                <w:sz w:val="22"/>
                <w:szCs w:val="22"/>
                <w:color w:val="auto"/>
              </w:rPr>
            </w:pPr>
          </w:p>
        </w:tc>
        <w:tc>
          <w:tcPr>
            <w:tcW w:w="88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832,326</w:t>
            </w:r>
          </w:p>
        </w:tc>
        <w:tc>
          <w:tcPr>
            <w:tcW w:w="240" w:type="dxa"/>
            <w:vAlign w:val="bottom"/>
            <w:shd w:val="clear" w:color="auto" w:fill="C0C0C0"/>
          </w:tcPr>
          <w:p>
            <w:pPr>
              <w:spacing w:after="0"/>
              <w:rPr>
                <w:sz w:val="22"/>
                <w:szCs w:val="22"/>
                <w:color w:val="auto"/>
              </w:rPr>
            </w:pPr>
          </w:p>
        </w:tc>
        <w:tc>
          <w:tcPr>
            <w:tcW w:w="112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(22,416)</w:t>
            </w:r>
          </w:p>
        </w:tc>
        <w:tc>
          <w:tcPr>
            <w:tcW w:w="300" w:type="dxa"/>
            <w:vAlign w:val="bottom"/>
            <w:shd w:val="clear" w:color="auto" w:fill="C0C0C0"/>
          </w:tcPr>
          <w:p>
            <w:pPr>
              <w:spacing w:after="0"/>
              <w:rPr>
                <w:sz w:val="22"/>
                <w:szCs w:val="22"/>
                <w:color w:val="auto"/>
              </w:rPr>
            </w:pPr>
          </w:p>
        </w:tc>
        <w:tc>
          <w:tcPr>
            <w:tcW w:w="8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1,684,881</w:t>
            </w:r>
          </w:p>
        </w:tc>
      </w:tr>
      <w:tr>
        <w:trPr>
          <w:trHeight w:val="228"/>
        </w:trPr>
        <w:tc>
          <w:tcPr>
            <w:tcW w:w="4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Funding Sources</w:t>
            </w:r>
          </w:p>
        </w:tc>
        <w:tc>
          <w:tcPr>
            <w:tcW w:w="2160" w:type="dxa"/>
            <w:vAlign w:val="bottom"/>
          </w:tcPr>
          <w:p>
            <w:pPr>
              <w:spacing w:after="0"/>
              <w:rPr>
                <w:sz w:val="19"/>
                <w:szCs w:val="19"/>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647,590</w:t>
            </w:r>
          </w:p>
        </w:tc>
        <w:tc>
          <w:tcPr>
            <w:tcW w:w="240" w:type="dxa"/>
            <w:vAlign w:val="bottom"/>
          </w:tcPr>
          <w:p>
            <w:pPr>
              <w:spacing w:after="0"/>
              <w:rPr>
                <w:sz w:val="19"/>
                <w:szCs w:val="19"/>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591,199</w:t>
            </w:r>
          </w:p>
        </w:tc>
        <w:tc>
          <w:tcPr>
            <w:tcW w:w="24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1,238,789</w:t>
            </w:r>
          </w:p>
        </w:tc>
      </w:tr>
      <w:tr>
        <w:trPr>
          <w:trHeight w:val="258"/>
        </w:trPr>
        <w:tc>
          <w:tcPr>
            <w:tcW w:w="466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2018</w:t>
            </w:r>
          </w:p>
        </w:tc>
        <w:tc>
          <w:tcPr>
            <w:tcW w:w="2160" w:type="dxa"/>
            <w:vAlign w:val="bottom"/>
            <w:shd w:val="clear" w:color="auto" w:fill="C0C0C0"/>
          </w:tcPr>
          <w:p>
            <w:pPr>
              <w:spacing w:after="0"/>
              <w:rPr>
                <w:sz w:val="22"/>
                <w:szCs w:val="22"/>
                <w:color w:val="auto"/>
              </w:rPr>
            </w:pPr>
          </w:p>
        </w:tc>
        <w:tc>
          <w:tcPr>
            <w:tcW w:w="1020" w:type="dxa"/>
            <w:vAlign w:val="bottom"/>
            <w:shd w:val="clear" w:color="auto" w:fill="C0C0C0"/>
          </w:tcPr>
          <w:p>
            <w:pPr>
              <w:spacing w:after="0"/>
              <w:rPr>
                <w:sz w:val="22"/>
                <w:szCs w:val="22"/>
                <w:color w:val="auto"/>
              </w:rPr>
            </w:pPr>
          </w:p>
        </w:tc>
        <w:tc>
          <w:tcPr>
            <w:tcW w:w="240" w:type="dxa"/>
            <w:vAlign w:val="bottom"/>
            <w:shd w:val="clear" w:color="auto" w:fill="C0C0C0"/>
          </w:tcPr>
          <w:p>
            <w:pPr>
              <w:spacing w:after="0"/>
              <w:rPr>
                <w:sz w:val="22"/>
                <w:szCs w:val="22"/>
                <w:color w:val="auto"/>
              </w:rPr>
            </w:pPr>
          </w:p>
        </w:tc>
        <w:tc>
          <w:tcPr>
            <w:tcW w:w="880" w:type="dxa"/>
            <w:vAlign w:val="bottom"/>
            <w:shd w:val="clear" w:color="auto" w:fill="C0C0C0"/>
          </w:tcPr>
          <w:p>
            <w:pPr>
              <w:spacing w:after="0"/>
              <w:rPr>
                <w:sz w:val="22"/>
                <w:szCs w:val="22"/>
                <w:color w:val="auto"/>
              </w:rPr>
            </w:pPr>
          </w:p>
        </w:tc>
        <w:tc>
          <w:tcPr>
            <w:tcW w:w="240" w:type="dxa"/>
            <w:vAlign w:val="bottom"/>
            <w:shd w:val="clear" w:color="auto" w:fill="C0C0C0"/>
          </w:tcPr>
          <w:p>
            <w:pPr>
              <w:spacing w:after="0"/>
              <w:rPr>
                <w:sz w:val="22"/>
                <w:szCs w:val="22"/>
                <w:color w:val="auto"/>
              </w:rPr>
            </w:pPr>
          </w:p>
        </w:tc>
        <w:tc>
          <w:tcPr>
            <w:tcW w:w="1120" w:type="dxa"/>
            <w:vAlign w:val="bottom"/>
            <w:shd w:val="clear" w:color="auto" w:fill="C0C0C0"/>
          </w:tcPr>
          <w:p>
            <w:pPr>
              <w:spacing w:after="0"/>
              <w:rPr>
                <w:sz w:val="22"/>
                <w:szCs w:val="22"/>
                <w:color w:val="auto"/>
              </w:rPr>
            </w:pPr>
          </w:p>
        </w:tc>
        <w:tc>
          <w:tcPr>
            <w:tcW w:w="300" w:type="dxa"/>
            <w:vAlign w:val="bottom"/>
            <w:shd w:val="clear" w:color="auto" w:fill="C0C0C0"/>
          </w:tcPr>
          <w:p>
            <w:pPr>
              <w:spacing w:after="0"/>
              <w:rPr>
                <w:sz w:val="22"/>
                <w:szCs w:val="22"/>
                <w:color w:val="auto"/>
              </w:rPr>
            </w:pPr>
          </w:p>
        </w:tc>
        <w:tc>
          <w:tcPr>
            <w:tcW w:w="800" w:type="dxa"/>
            <w:vAlign w:val="bottom"/>
            <w:shd w:val="clear" w:color="auto" w:fill="C0C0C0"/>
          </w:tcPr>
          <w:p>
            <w:pPr>
              <w:spacing w:after="0"/>
              <w:rPr>
                <w:sz w:val="22"/>
                <w:szCs w:val="22"/>
                <w:color w:val="auto"/>
              </w:rPr>
            </w:pPr>
          </w:p>
        </w:tc>
      </w:tr>
      <w:tr>
        <w:trPr>
          <w:trHeight w:val="228"/>
        </w:trPr>
        <w:tc>
          <w:tcPr>
            <w:tcW w:w="4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Fee income from customers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24,872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376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126</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25,374</w:t>
            </w:r>
          </w:p>
        </w:tc>
      </w:tr>
      <w:tr>
        <w:trPr>
          <w:trHeight w:val="258"/>
        </w:trPr>
        <w:tc>
          <w:tcPr>
            <w:tcW w:w="4660" w:type="dxa"/>
            <w:vAlign w:val="bottom"/>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Interest income*</w:t>
            </w:r>
          </w:p>
        </w:tc>
        <w:tc>
          <w:tcPr>
            <w:tcW w:w="2160" w:type="dxa"/>
            <w:vAlign w:val="bottom"/>
            <w:shd w:val="clear" w:color="auto" w:fill="C0C0C0"/>
          </w:tcPr>
          <w:p>
            <w:pPr>
              <w:spacing w:after="0"/>
              <w:rPr>
                <w:sz w:val="22"/>
                <w:szCs w:val="22"/>
                <w:color w:val="auto"/>
              </w:rPr>
            </w:pPr>
          </w:p>
        </w:tc>
        <w:tc>
          <w:tcPr>
            <w:tcW w:w="102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6,157</w:t>
            </w:r>
          </w:p>
        </w:tc>
        <w:tc>
          <w:tcPr>
            <w:tcW w:w="240" w:type="dxa"/>
            <w:vAlign w:val="bottom"/>
            <w:shd w:val="clear" w:color="auto" w:fill="C0C0C0"/>
          </w:tcPr>
          <w:p>
            <w:pPr>
              <w:spacing w:after="0"/>
              <w:rPr>
                <w:sz w:val="22"/>
                <w:szCs w:val="22"/>
                <w:color w:val="auto"/>
              </w:rPr>
            </w:pPr>
          </w:p>
        </w:tc>
        <w:tc>
          <w:tcPr>
            <w:tcW w:w="88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6,895</w:t>
            </w:r>
          </w:p>
        </w:tc>
        <w:tc>
          <w:tcPr>
            <w:tcW w:w="240" w:type="dxa"/>
            <w:vAlign w:val="bottom"/>
            <w:shd w:val="clear" w:color="auto" w:fill="C0C0C0"/>
          </w:tcPr>
          <w:p>
            <w:pPr>
              <w:spacing w:after="0"/>
              <w:rPr>
                <w:sz w:val="22"/>
                <w:szCs w:val="22"/>
                <w:color w:val="auto"/>
              </w:rPr>
            </w:pPr>
          </w:p>
        </w:tc>
        <w:tc>
          <w:tcPr>
            <w:tcW w:w="112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(1,077)</w:t>
            </w:r>
          </w:p>
        </w:tc>
        <w:tc>
          <w:tcPr>
            <w:tcW w:w="300" w:type="dxa"/>
            <w:vAlign w:val="bottom"/>
            <w:shd w:val="clear" w:color="auto" w:fill="C0C0C0"/>
          </w:tcPr>
          <w:p>
            <w:pPr>
              <w:spacing w:after="0"/>
              <w:rPr>
                <w:sz w:val="22"/>
                <w:szCs w:val="22"/>
                <w:color w:val="auto"/>
              </w:rPr>
            </w:pPr>
          </w:p>
        </w:tc>
        <w:tc>
          <w:tcPr>
            <w:tcW w:w="8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11,975</w:t>
            </w:r>
          </w:p>
        </w:tc>
      </w:tr>
      <w:tr>
        <w:trPr>
          <w:trHeight w:val="228"/>
        </w:trPr>
        <w:tc>
          <w:tcPr>
            <w:tcW w:w="4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2160" w:type="dxa"/>
            <w:vAlign w:val="bottom"/>
          </w:tcPr>
          <w:p>
            <w:pPr>
              <w:spacing w:after="0"/>
              <w:rPr>
                <w:sz w:val="19"/>
                <w:szCs w:val="19"/>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679</w:t>
            </w:r>
          </w:p>
        </w:tc>
        <w:tc>
          <w:tcPr>
            <w:tcW w:w="24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r>
      <w:tr>
        <w:trPr>
          <w:trHeight w:val="258"/>
        </w:trPr>
        <w:tc>
          <w:tcPr>
            <w:tcW w:w="4660" w:type="dxa"/>
            <w:vAlign w:val="bottom"/>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Intersegment income (expense)</w:t>
            </w:r>
          </w:p>
        </w:tc>
        <w:tc>
          <w:tcPr>
            <w:tcW w:w="2160" w:type="dxa"/>
            <w:vAlign w:val="bottom"/>
            <w:shd w:val="clear" w:color="auto" w:fill="C0C0C0"/>
          </w:tcPr>
          <w:p>
            <w:pPr>
              <w:spacing w:after="0"/>
              <w:rPr>
                <w:sz w:val="22"/>
                <w:szCs w:val="22"/>
                <w:color w:val="auto"/>
              </w:rPr>
            </w:pPr>
          </w:p>
        </w:tc>
        <w:tc>
          <w:tcPr>
            <w:tcW w:w="102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0C0C0"/>
          </w:tcPr>
          <w:p>
            <w:pPr>
              <w:spacing w:after="0"/>
              <w:rPr>
                <w:sz w:val="22"/>
                <w:szCs w:val="22"/>
                <w:color w:val="auto"/>
              </w:rPr>
            </w:pPr>
          </w:p>
        </w:tc>
        <w:tc>
          <w:tcPr>
            <w:tcW w:w="88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462</w:t>
            </w:r>
          </w:p>
        </w:tc>
        <w:tc>
          <w:tcPr>
            <w:tcW w:w="240" w:type="dxa"/>
            <w:vAlign w:val="bottom"/>
            <w:shd w:val="clear" w:color="auto" w:fill="C0C0C0"/>
          </w:tcPr>
          <w:p>
            <w:pPr>
              <w:spacing w:after="0"/>
              <w:rPr>
                <w:sz w:val="22"/>
                <w:szCs w:val="22"/>
                <w:color w:val="auto"/>
              </w:rPr>
            </w:pPr>
          </w:p>
        </w:tc>
        <w:tc>
          <w:tcPr>
            <w:tcW w:w="112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(462)</w:t>
            </w:r>
          </w:p>
        </w:tc>
        <w:tc>
          <w:tcPr>
            <w:tcW w:w="300" w:type="dxa"/>
            <w:vAlign w:val="bottom"/>
            <w:shd w:val="clear" w:color="auto" w:fill="C0C0C0"/>
          </w:tcPr>
          <w:p>
            <w:pPr>
              <w:spacing w:after="0"/>
              <w:rPr>
                <w:sz w:val="22"/>
                <w:szCs w:val="22"/>
                <w:color w:val="auto"/>
              </w:rPr>
            </w:pPr>
          </w:p>
        </w:tc>
        <w:tc>
          <w:tcPr>
            <w:tcW w:w="8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Tax-equivalized pre-tax income*</w:t>
            </w:r>
          </w:p>
        </w:tc>
        <w:tc>
          <w:tcPr>
            <w:tcW w:w="2160" w:type="dxa"/>
            <w:vAlign w:val="bottom"/>
          </w:tcPr>
          <w:p>
            <w:pPr>
              <w:spacing w:after="0"/>
              <w:rPr>
                <w:sz w:val="19"/>
                <w:szCs w:val="19"/>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7,375</w:t>
            </w:r>
          </w:p>
        </w:tc>
        <w:tc>
          <w:tcPr>
            <w:tcW w:w="240" w:type="dxa"/>
            <w:vAlign w:val="bottom"/>
          </w:tcPr>
          <w:p>
            <w:pPr>
              <w:spacing w:after="0"/>
              <w:rPr>
                <w:sz w:val="19"/>
                <w:szCs w:val="19"/>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4,064</w:t>
            </w:r>
          </w:p>
        </w:tc>
        <w:tc>
          <w:tcPr>
            <w:tcW w:w="24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(951)</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10,488</w:t>
            </w:r>
          </w:p>
        </w:tc>
      </w:tr>
      <w:tr>
        <w:trPr>
          <w:trHeight w:val="258"/>
        </w:trPr>
        <w:tc>
          <w:tcPr>
            <w:tcW w:w="4660" w:type="dxa"/>
            <w:vAlign w:val="bottom"/>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Goodwill</w:t>
            </w:r>
          </w:p>
        </w:tc>
        <w:tc>
          <w:tcPr>
            <w:tcW w:w="2160" w:type="dxa"/>
            <w:vAlign w:val="bottom"/>
            <w:shd w:val="clear" w:color="auto" w:fill="C0C0C0"/>
          </w:tcPr>
          <w:p>
            <w:pPr>
              <w:spacing w:after="0"/>
              <w:rPr>
                <w:sz w:val="22"/>
                <w:szCs w:val="22"/>
                <w:color w:val="auto"/>
              </w:rPr>
            </w:pPr>
          </w:p>
        </w:tc>
        <w:tc>
          <w:tcPr>
            <w:tcW w:w="102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12,433</w:t>
            </w:r>
          </w:p>
        </w:tc>
        <w:tc>
          <w:tcPr>
            <w:tcW w:w="240" w:type="dxa"/>
            <w:vAlign w:val="bottom"/>
            <w:shd w:val="clear" w:color="auto" w:fill="C0C0C0"/>
          </w:tcPr>
          <w:p>
            <w:pPr>
              <w:spacing w:after="0"/>
              <w:rPr>
                <w:sz w:val="22"/>
                <w:szCs w:val="22"/>
                <w:color w:val="auto"/>
              </w:rPr>
            </w:pPr>
          </w:p>
        </w:tc>
        <w:tc>
          <w:tcPr>
            <w:tcW w:w="88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136</w:t>
            </w:r>
          </w:p>
        </w:tc>
        <w:tc>
          <w:tcPr>
            <w:tcW w:w="240" w:type="dxa"/>
            <w:vAlign w:val="bottom"/>
            <w:shd w:val="clear" w:color="auto" w:fill="C0C0C0"/>
          </w:tcPr>
          <w:p>
            <w:pPr>
              <w:spacing w:after="0"/>
              <w:rPr>
                <w:sz w:val="22"/>
                <w:szCs w:val="22"/>
                <w:color w:val="auto"/>
              </w:rPr>
            </w:pPr>
          </w:p>
        </w:tc>
        <w:tc>
          <w:tcPr>
            <w:tcW w:w="112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0C0C0"/>
          </w:tcPr>
          <w:p>
            <w:pPr>
              <w:spacing w:after="0"/>
              <w:rPr>
                <w:sz w:val="22"/>
                <w:szCs w:val="22"/>
                <w:color w:val="auto"/>
              </w:rPr>
            </w:pPr>
          </w:p>
        </w:tc>
        <w:tc>
          <w:tcPr>
            <w:tcW w:w="8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12,569</w:t>
            </w:r>
          </w:p>
        </w:tc>
      </w:tr>
      <w:tr>
        <w:trPr>
          <w:trHeight w:val="228"/>
        </w:trPr>
        <w:tc>
          <w:tcPr>
            <w:tcW w:w="4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160" w:type="dxa"/>
            <w:vAlign w:val="bottom"/>
          </w:tcPr>
          <w:p>
            <w:pPr>
              <w:spacing w:after="0"/>
              <w:rPr>
                <w:sz w:val="19"/>
                <w:szCs w:val="19"/>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1,885</w:t>
            </w:r>
          </w:p>
        </w:tc>
        <w:tc>
          <w:tcPr>
            <w:tcW w:w="240" w:type="dxa"/>
            <w:vAlign w:val="bottom"/>
          </w:tcPr>
          <w:p>
            <w:pPr>
              <w:spacing w:after="0"/>
              <w:rPr>
                <w:sz w:val="19"/>
                <w:szCs w:val="19"/>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w:t>
            </w:r>
          </w:p>
        </w:tc>
      </w:tr>
      <w:tr>
        <w:trPr>
          <w:trHeight w:val="258"/>
        </w:trPr>
        <w:tc>
          <w:tcPr>
            <w:tcW w:w="4660" w:type="dxa"/>
            <w:vAlign w:val="bottom"/>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2160" w:type="dxa"/>
            <w:vAlign w:val="bottom"/>
            <w:shd w:val="clear" w:color="auto" w:fill="C0C0C0"/>
          </w:tcPr>
          <w:p>
            <w:pPr>
              <w:spacing w:after="0"/>
              <w:rPr>
                <w:sz w:val="22"/>
                <w:szCs w:val="22"/>
                <w:color w:val="auto"/>
              </w:rPr>
            </w:pPr>
          </w:p>
        </w:tc>
        <w:tc>
          <w:tcPr>
            <w:tcW w:w="102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878,199</w:t>
            </w:r>
          </w:p>
        </w:tc>
        <w:tc>
          <w:tcPr>
            <w:tcW w:w="240" w:type="dxa"/>
            <w:vAlign w:val="bottom"/>
            <w:shd w:val="clear" w:color="auto" w:fill="C0C0C0"/>
          </w:tcPr>
          <w:p>
            <w:pPr>
              <w:spacing w:after="0"/>
              <w:rPr>
                <w:sz w:val="22"/>
                <w:szCs w:val="22"/>
                <w:color w:val="auto"/>
              </w:rPr>
            </w:pPr>
          </w:p>
        </w:tc>
        <w:tc>
          <w:tcPr>
            <w:tcW w:w="88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858,283</w:t>
            </w:r>
          </w:p>
        </w:tc>
        <w:tc>
          <w:tcPr>
            <w:tcW w:w="240" w:type="dxa"/>
            <w:vAlign w:val="bottom"/>
            <w:shd w:val="clear" w:color="auto" w:fill="C0C0C0"/>
          </w:tcPr>
          <w:p>
            <w:pPr>
              <w:spacing w:after="0"/>
              <w:rPr>
                <w:sz w:val="22"/>
                <w:szCs w:val="22"/>
                <w:color w:val="auto"/>
              </w:rPr>
            </w:pPr>
          </w:p>
        </w:tc>
        <w:tc>
          <w:tcPr>
            <w:tcW w:w="112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(85,680)</w:t>
            </w:r>
          </w:p>
        </w:tc>
        <w:tc>
          <w:tcPr>
            <w:tcW w:w="300" w:type="dxa"/>
            <w:vAlign w:val="bottom"/>
            <w:shd w:val="clear" w:color="auto" w:fill="C0C0C0"/>
          </w:tcPr>
          <w:p>
            <w:pPr>
              <w:spacing w:after="0"/>
              <w:rPr>
                <w:sz w:val="22"/>
                <w:szCs w:val="22"/>
                <w:color w:val="auto"/>
              </w:rPr>
            </w:pPr>
          </w:p>
        </w:tc>
        <w:tc>
          <w:tcPr>
            <w:tcW w:w="8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1,650,802</w:t>
            </w:r>
          </w:p>
        </w:tc>
      </w:tr>
      <w:tr>
        <w:trPr>
          <w:trHeight w:val="228"/>
        </w:trPr>
        <w:tc>
          <w:tcPr>
            <w:tcW w:w="4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Funding Sources</w:t>
            </w:r>
          </w:p>
        </w:tc>
        <w:tc>
          <w:tcPr>
            <w:tcW w:w="2160" w:type="dxa"/>
            <w:vAlign w:val="bottom"/>
          </w:tcPr>
          <w:p>
            <w:pPr>
              <w:spacing w:after="0"/>
              <w:rPr>
                <w:sz w:val="19"/>
                <w:szCs w:val="19"/>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644,909</w:t>
            </w:r>
          </w:p>
        </w:tc>
        <w:tc>
          <w:tcPr>
            <w:tcW w:w="240" w:type="dxa"/>
            <w:vAlign w:val="bottom"/>
          </w:tcPr>
          <w:p>
            <w:pPr>
              <w:spacing w:after="0"/>
              <w:rPr>
                <w:sz w:val="19"/>
                <w:szCs w:val="19"/>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595,837</w:t>
            </w:r>
          </w:p>
        </w:tc>
        <w:tc>
          <w:tcPr>
            <w:tcW w:w="24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1,240,746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 w:lineRule="exact"/>
        <w:rPr>
          <w:sz w:val="20"/>
          <w:szCs w:val="20"/>
          <w:color w:val="auto"/>
        </w:rPr>
      </w:pPr>
    </w:p>
    <w:p>
      <w:pPr>
        <w:ind w:left="120" w:right="20" w:hanging="112"/>
        <w:spacing w:after="0" w:line="241" w:lineRule="auto"/>
        <w:tabs>
          <w:tab w:leader="none" w:pos="1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on a tax-equivalent basis assuming a tax rate of 21% for 2019 and 2018. The tax-equivalent adjustment was approximately $541,000 and $687,000 for the three months ended March 31, 2019 and 2018, respectively.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Note 6 – Loans by Type</w:t>
            </w:r>
          </w:p>
        </w:tc>
        <w:tc>
          <w:tcPr>
            <w:tcW w:w="50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2"/>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loan categories is as follows:</w:t>
            </w:r>
          </w:p>
        </w:tc>
        <w:tc>
          <w:tcPr>
            <w:tcW w:w="5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6"/>
        </w:trPr>
        <w:tc>
          <w:tcPr>
            <w:tcW w:w="4340" w:type="dxa"/>
            <w:vAlign w:val="bottom"/>
          </w:tcPr>
          <w:p>
            <w:pPr>
              <w:spacing w:after="0"/>
              <w:rPr>
                <w:sz w:val="24"/>
                <w:szCs w:val="24"/>
                <w:color w:val="auto"/>
              </w:rPr>
            </w:pPr>
          </w:p>
        </w:tc>
        <w:tc>
          <w:tcPr>
            <w:tcW w:w="586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66"/>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50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2019</w:t>
            </w:r>
          </w:p>
        </w:tc>
        <w:tc>
          <w:tcPr>
            <w:tcW w:w="3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Pr>
          <w:p>
            <w:pPr>
              <w:spacing w:after="0"/>
              <w:rPr>
                <w:sz w:val="23"/>
                <w:szCs w:val="23"/>
                <w:color w:val="auto"/>
              </w:rPr>
            </w:pPr>
          </w:p>
        </w:tc>
      </w:tr>
      <w:tr>
        <w:trPr>
          <w:trHeight w:val="243"/>
        </w:trPr>
        <w:tc>
          <w:tcPr>
            <w:tcW w:w="434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50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313,404</w:t>
            </w:r>
          </w:p>
        </w:tc>
        <w:tc>
          <w:tcPr>
            <w:tcW w:w="36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277,091</w:t>
            </w:r>
          </w:p>
        </w:tc>
        <w:tc>
          <w:tcPr>
            <w:tcW w:w="20" w:type="dxa"/>
            <w:vAlign w:val="bottom"/>
          </w:tcPr>
          <w:p>
            <w:pPr>
              <w:spacing w:after="0"/>
              <w:rPr>
                <w:sz w:val="21"/>
                <w:szCs w:val="21"/>
                <w:color w:val="auto"/>
              </w:rPr>
            </w:pPr>
          </w:p>
        </w:tc>
      </w:tr>
      <w:tr>
        <w:trPr>
          <w:trHeight w:val="23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Real estate</w:t>
            </w:r>
          </w:p>
        </w:tc>
        <w:tc>
          <w:tcPr>
            <w:tcW w:w="50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0"/>
        </w:trPr>
        <w:tc>
          <w:tcPr>
            <w:tcW w:w="4340" w:type="dxa"/>
            <w:vAlign w:val="bottom"/>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Commercial:</w:t>
            </w:r>
          </w:p>
        </w:tc>
        <w:tc>
          <w:tcPr>
            <w:tcW w:w="500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28"/>
        </w:trPr>
        <w:tc>
          <w:tcPr>
            <w:tcW w:w="43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Mortgage</w:t>
            </w:r>
          </w:p>
        </w:tc>
        <w:tc>
          <w:tcPr>
            <w:tcW w:w="5000" w:type="dxa"/>
            <w:vAlign w:val="bottom"/>
          </w:tcPr>
          <w:p>
            <w:pPr>
              <w:spacing w:after="0"/>
              <w:rPr>
                <w:sz w:val="19"/>
                <w:szCs w:val="19"/>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93,268</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95,605</w:t>
            </w:r>
          </w:p>
        </w:tc>
        <w:tc>
          <w:tcPr>
            <w:tcW w:w="20" w:type="dxa"/>
            <w:vAlign w:val="bottom"/>
          </w:tcPr>
          <w:p>
            <w:pPr>
              <w:spacing w:after="0"/>
              <w:rPr>
                <w:sz w:val="19"/>
                <w:szCs w:val="19"/>
                <w:color w:val="auto"/>
              </w:rPr>
            </w:pPr>
          </w:p>
        </w:tc>
      </w:tr>
      <w:tr>
        <w:trPr>
          <w:trHeight w:val="258"/>
        </w:trPr>
        <w:tc>
          <w:tcPr>
            <w:tcW w:w="4340" w:type="dxa"/>
            <w:vAlign w:val="bottom"/>
            <w:shd w:val="clear" w:color="auto" w:fill="C0C0C0"/>
          </w:tcPr>
          <w:p>
            <w:pPr>
              <w:ind w:left="820"/>
              <w:spacing w:after="0"/>
              <w:rPr>
                <w:sz w:val="20"/>
                <w:szCs w:val="20"/>
                <w:color w:val="auto"/>
              </w:rPr>
            </w:pPr>
            <w:r>
              <w:rPr>
                <w:rFonts w:ascii="Times New Roman" w:cs="Times New Roman" w:eastAsia="Times New Roman" w:hAnsi="Times New Roman"/>
                <w:sz w:val="18"/>
                <w:szCs w:val="18"/>
                <w:color w:val="auto"/>
              </w:rPr>
              <w:t>Construction</w:t>
            </w:r>
          </w:p>
        </w:tc>
        <w:tc>
          <w:tcPr>
            <w:tcW w:w="5000" w:type="dxa"/>
            <w:vAlign w:val="bottom"/>
            <w:shd w:val="clear" w:color="auto" w:fill="C0C0C0"/>
          </w:tcPr>
          <w:p>
            <w:pPr>
              <w:spacing w:after="0"/>
              <w:rPr>
                <w:sz w:val="22"/>
                <w:szCs w:val="22"/>
                <w:color w:val="auto"/>
              </w:rPr>
            </w:pPr>
          </w:p>
        </w:tc>
        <w:tc>
          <w:tcPr>
            <w:tcW w:w="86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15,293</w:t>
            </w:r>
          </w:p>
        </w:tc>
        <w:tc>
          <w:tcPr>
            <w:tcW w:w="360" w:type="dxa"/>
            <w:vAlign w:val="bottom"/>
            <w:shd w:val="clear" w:color="auto" w:fill="C0C0C0"/>
          </w:tcPr>
          <w:p>
            <w:pPr>
              <w:spacing w:after="0"/>
              <w:rPr>
                <w:sz w:val="22"/>
                <w:szCs w:val="22"/>
                <w:color w:val="auto"/>
              </w:rPr>
            </w:pPr>
          </w:p>
        </w:tc>
        <w:tc>
          <w:tcPr>
            <w:tcW w:w="8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11,858</w:t>
            </w:r>
          </w:p>
        </w:tc>
        <w:tc>
          <w:tcPr>
            <w:tcW w:w="20" w:type="dxa"/>
            <w:vAlign w:val="bottom"/>
          </w:tcPr>
          <w:p>
            <w:pPr>
              <w:spacing w:after="0"/>
              <w:rPr>
                <w:sz w:val="22"/>
                <w:szCs w:val="22"/>
                <w:color w:val="auto"/>
              </w:rPr>
            </w:pPr>
          </w:p>
        </w:tc>
      </w:tr>
      <w:tr>
        <w:trPr>
          <w:trHeight w:val="228"/>
        </w:trPr>
        <w:tc>
          <w:tcPr>
            <w:tcW w:w="4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Faith-based:</w:t>
            </w:r>
          </w:p>
        </w:tc>
        <w:tc>
          <w:tcPr>
            <w:tcW w:w="50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8"/>
        </w:trPr>
        <w:tc>
          <w:tcPr>
            <w:tcW w:w="4340" w:type="dxa"/>
            <w:vAlign w:val="bottom"/>
            <w:shd w:val="clear" w:color="auto" w:fill="C0C0C0"/>
          </w:tcPr>
          <w:p>
            <w:pPr>
              <w:ind w:left="820"/>
              <w:spacing w:after="0"/>
              <w:rPr>
                <w:sz w:val="20"/>
                <w:szCs w:val="20"/>
                <w:color w:val="auto"/>
              </w:rPr>
            </w:pPr>
            <w:r>
              <w:rPr>
                <w:rFonts w:ascii="Times New Roman" w:cs="Times New Roman" w:eastAsia="Times New Roman" w:hAnsi="Times New Roman"/>
                <w:sz w:val="18"/>
                <w:szCs w:val="18"/>
                <w:color w:val="auto"/>
              </w:rPr>
              <w:t>Mortgage</w:t>
            </w:r>
          </w:p>
        </w:tc>
        <w:tc>
          <w:tcPr>
            <w:tcW w:w="5000" w:type="dxa"/>
            <w:vAlign w:val="bottom"/>
            <w:shd w:val="clear" w:color="auto" w:fill="C0C0C0"/>
          </w:tcPr>
          <w:p>
            <w:pPr>
              <w:spacing w:after="0"/>
              <w:rPr>
                <w:sz w:val="22"/>
                <w:szCs w:val="22"/>
                <w:color w:val="auto"/>
              </w:rPr>
            </w:pPr>
          </w:p>
        </w:tc>
        <w:tc>
          <w:tcPr>
            <w:tcW w:w="86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312,164</w:t>
            </w:r>
          </w:p>
        </w:tc>
        <w:tc>
          <w:tcPr>
            <w:tcW w:w="360" w:type="dxa"/>
            <w:vAlign w:val="bottom"/>
            <w:shd w:val="clear" w:color="auto" w:fill="C0C0C0"/>
          </w:tcPr>
          <w:p>
            <w:pPr>
              <w:spacing w:after="0"/>
              <w:rPr>
                <w:sz w:val="22"/>
                <w:szCs w:val="22"/>
                <w:color w:val="auto"/>
              </w:rPr>
            </w:pPr>
          </w:p>
        </w:tc>
        <w:tc>
          <w:tcPr>
            <w:tcW w:w="8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316,147</w:t>
            </w:r>
          </w:p>
        </w:tc>
        <w:tc>
          <w:tcPr>
            <w:tcW w:w="20" w:type="dxa"/>
            <w:vAlign w:val="bottom"/>
          </w:tcPr>
          <w:p>
            <w:pPr>
              <w:spacing w:after="0"/>
              <w:rPr>
                <w:sz w:val="22"/>
                <w:szCs w:val="22"/>
                <w:color w:val="auto"/>
              </w:rPr>
            </w:pPr>
          </w:p>
        </w:tc>
      </w:tr>
      <w:tr>
        <w:trPr>
          <w:trHeight w:val="228"/>
        </w:trPr>
        <w:tc>
          <w:tcPr>
            <w:tcW w:w="43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Construction</w:t>
            </w:r>
          </w:p>
        </w:tc>
        <w:tc>
          <w:tcPr>
            <w:tcW w:w="5000" w:type="dxa"/>
            <w:vAlign w:val="bottom"/>
          </w:tcPr>
          <w:p>
            <w:pPr>
              <w:spacing w:after="0"/>
              <w:rPr>
                <w:sz w:val="19"/>
                <w:szCs w:val="19"/>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17,070</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20,576</w:t>
            </w:r>
          </w:p>
        </w:tc>
        <w:tc>
          <w:tcPr>
            <w:tcW w:w="20" w:type="dxa"/>
            <w:vAlign w:val="bottom"/>
          </w:tcPr>
          <w:p>
            <w:pPr>
              <w:spacing w:after="0"/>
              <w:rPr>
                <w:sz w:val="19"/>
                <w:szCs w:val="19"/>
                <w:color w:val="auto"/>
              </w:rPr>
            </w:pPr>
          </w:p>
        </w:tc>
      </w:tr>
      <w:tr>
        <w:trPr>
          <w:trHeight w:val="251"/>
        </w:trPr>
        <w:tc>
          <w:tcPr>
            <w:tcW w:w="434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Other</w:t>
            </w:r>
          </w:p>
        </w:tc>
        <w:tc>
          <w:tcPr>
            <w:tcW w:w="500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110</w:t>
            </w:r>
          </w:p>
        </w:tc>
        <w:tc>
          <w:tcPr>
            <w:tcW w:w="36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0" w:type="dxa"/>
            <w:vAlign w:val="bottom"/>
          </w:tcPr>
          <w:p>
            <w:pPr>
              <w:spacing w:after="0"/>
              <w:rPr>
                <w:sz w:val="21"/>
                <w:szCs w:val="21"/>
                <w:color w:val="auto"/>
              </w:rPr>
            </w:pPr>
          </w:p>
        </w:tc>
      </w:tr>
      <w:tr>
        <w:trPr>
          <w:trHeight w:val="250"/>
        </w:trPr>
        <w:tc>
          <w:tcPr>
            <w:tcW w:w="43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Total loans</w:t>
            </w:r>
          </w:p>
        </w:tc>
        <w:tc>
          <w:tcPr>
            <w:tcW w:w="5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751,309</w:t>
            </w:r>
          </w:p>
        </w:tc>
        <w:tc>
          <w:tcPr>
            <w:tcW w:w="3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721,587</w:t>
            </w:r>
          </w:p>
        </w:tc>
        <w:tc>
          <w:tcPr>
            <w:tcW w:w="20" w:type="dxa"/>
            <w:vAlign w:val="bottom"/>
          </w:tcPr>
          <w:p>
            <w:pPr>
              <w:spacing w:after="0"/>
              <w:rPr>
                <w:sz w:val="21"/>
                <w:szCs w:val="21"/>
                <w:color w:val="auto"/>
              </w:rPr>
            </w:pPr>
          </w:p>
        </w:tc>
      </w:tr>
      <w:tr>
        <w:trPr>
          <w:trHeight w:val="430"/>
        </w:trPr>
        <w:tc>
          <w:tcPr>
            <w:tcW w:w="4340" w:type="dxa"/>
            <w:vAlign w:val="bottom"/>
          </w:tcPr>
          <w:p>
            <w:pPr>
              <w:spacing w:after="0"/>
              <w:rPr>
                <w:sz w:val="24"/>
                <w:szCs w:val="24"/>
                <w:color w:val="auto"/>
              </w:rPr>
            </w:pPr>
          </w:p>
        </w:tc>
        <w:tc>
          <w:tcPr>
            <w:tcW w:w="5000" w:type="dxa"/>
            <w:vAlign w:val="bottom"/>
          </w:tcPr>
          <w:p>
            <w:pPr>
              <w:jc w:val="right"/>
              <w:ind w:right="3392"/>
              <w:spacing w:after="0"/>
              <w:rPr>
                <w:sz w:val="20"/>
                <w:szCs w:val="20"/>
                <w:color w:val="auto"/>
              </w:rPr>
            </w:pPr>
            <w:r>
              <w:rPr>
                <w:rFonts w:ascii="Times New Roman" w:cs="Times New Roman" w:eastAsia="Times New Roman" w:hAnsi="Times New Roman"/>
                <w:sz w:val="18"/>
                <w:szCs w:val="18"/>
                <w:color w:val="auto"/>
              </w:rPr>
              <w:t>-10-</w:t>
            </w: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4340" w:type="dxa"/>
            <w:vAlign w:val="bottom"/>
            <w:tcBorders>
              <w:bottom w:val="single" w:sz="8" w:color="808080"/>
            </w:tcBorders>
          </w:tcPr>
          <w:p>
            <w:pPr>
              <w:spacing w:after="0"/>
              <w:rPr>
                <w:sz w:val="19"/>
                <w:szCs w:val="19"/>
                <w:color w:val="auto"/>
              </w:rPr>
            </w:pPr>
          </w:p>
        </w:tc>
        <w:tc>
          <w:tcPr>
            <w:tcW w:w="50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The following table presents the aging of loans by loan categories at March 31, 2019 and December 31, 2018:</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Performing</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Nonperforming</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90 Days</w:t>
            </w:r>
          </w:p>
        </w:tc>
        <w:tc>
          <w:tcPr>
            <w:tcW w:w="2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30-59</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60-89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and</w:t>
            </w:r>
          </w:p>
        </w:tc>
        <w:tc>
          <w:tcPr>
            <w:tcW w:w="240" w:type="dxa"/>
            <w:vAlign w:val="bottom"/>
          </w:tcPr>
          <w:p>
            <w:pPr>
              <w:spacing w:after="0"/>
              <w:rPr>
                <w:sz w:val="19"/>
                <w:szCs w:val="19"/>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w:t>
            </w:r>
          </w:p>
        </w:tc>
        <w:tc>
          <w:tcPr>
            <w:tcW w:w="280" w:type="dxa"/>
            <w:vAlign w:val="bottom"/>
          </w:tcPr>
          <w:p>
            <w:pPr>
              <w:spacing w:after="0"/>
              <w:rPr>
                <w:sz w:val="19"/>
                <w:szCs w:val="19"/>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31"/>
        </w:trPr>
        <w:tc>
          <w:tcPr>
            <w:tcW w:w="3940" w:type="dxa"/>
            <w:vAlign w:val="bottom"/>
            <w:gridSpan w:val="2"/>
            <w:vMerge w:val="continue"/>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w w:val="95"/>
              </w:rPr>
              <w:t>Current</w:t>
            </w: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Days</w:t>
            </w:r>
          </w:p>
        </w:tc>
        <w:tc>
          <w:tcPr>
            <w:tcW w:w="220" w:type="dxa"/>
            <w:vAlign w:val="bottom"/>
          </w:tcPr>
          <w:p>
            <w:pPr>
              <w:spacing w:after="0"/>
              <w:rPr>
                <w:sz w:val="20"/>
                <w:szCs w:val="20"/>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Days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Over</w:t>
            </w:r>
          </w:p>
        </w:tc>
        <w:tc>
          <w:tcPr>
            <w:tcW w:w="88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accrual</w:t>
            </w:r>
          </w:p>
        </w:tc>
        <w:tc>
          <w:tcPr>
            <w:tcW w:w="280" w:type="dxa"/>
            <w:vAlign w:val="bottom"/>
          </w:tcPr>
          <w:p>
            <w:pPr>
              <w:spacing w:after="0"/>
              <w:rPr>
                <w:sz w:val="20"/>
                <w:szCs w:val="20"/>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Loans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20" w:type="dxa"/>
            <w:vAlign w:val="bottom"/>
            <w:tcBorders>
              <w:top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i w:val="1"/>
                <w:iCs w:val="1"/>
                <w:color w:val="auto"/>
              </w:rPr>
              <w:t>March 31, 2019</w:t>
            </w:r>
          </w:p>
        </w:tc>
        <w:tc>
          <w:tcPr>
            <w:tcW w:w="2080" w:type="dxa"/>
            <w:vAlign w:val="bottom"/>
            <w:tcBorders>
              <w:top w:val="single" w:sz="8" w:color="auto"/>
            </w:tcBorders>
            <w:shd w:val="clear" w:color="auto" w:fill="C0C0C0"/>
          </w:tcPr>
          <w:p>
            <w:pPr>
              <w:spacing w:after="0"/>
              <w:rPr>
                <w:sz w:val="19"/>
                <w:szCs w:val="19"/>
                <w:color w:val="auto"/>
              </w:rPr>
            </w:pPr>
          </w:p>
        </w:tc>
        <w:tc>
          <w:tcPr>
            <w:tcW w:w="120" w:type="dxa"/>
            <w:vAlign w:val="bottom"/>
            <w:tcBorders>
              <w:top w:val="single" w:sz="8" w:color="auto"/>
            </w:tcBorders>
            <w:shd w:val="clear" w:color="auto" w:fill="C0C0C0"/>
          </w:tcPr>
          <w:p>
            <w:pPr>
              <w:spacing w:after="0"/>
              <w:rPr>
                <w:sz w:val="19"/>
                <w:szCs w:val="19"/>
                <w:color w:val="auto"/>
              </w:rPr>
            </w:pPr>
          </w:p>
        </w:tc>
        <w:tc>
          <w:tcPr>
            <w:tcW w:w="900" w:type="dxa"/>
            <w:vAlign w:val="bottom"/>
            <w:tcBorders>
              <w:top w:val="single" w:sz="8" w:color="auto"/>
            </w:tcBorders>
            <w:shd w:val="clear" w:color="auto" w:fill="C0C0C0"/>
          </w:tcPr>
          <w:p>
            <w:pPr>
              <w:spacing w:after="0"/>
              <w:rPr>
                <w:sz w:val="19"/>
                <w:szCs w:val="19"/>
                <w:color w:val="auto"/>
              </w:rPr>
            </w:pPr>
          </w:p>
        </w:tc>
        <w:tc>
          <w:tcPr>
            <w:tcW w:w="340" w:type="dxa"/>
            <w:vAlign w:val="bottom"/>
            <w:tcBorders>
              <w:top w:val="single" w:sz="8" w:color="auto"/>
            </w:tcBorders>
            <w:shd w:val="clear" w:color="auto" w:fill="C0C0C0"/>
          </w:tcPr>
          <w:p>
            <w:pPr>
              <w:spacing w:after="0"/>
              <w:rPr>
                <w:sz w:val="19"/>
                <w:szCs w:val="19"/>
                <w:color w:val="auto"/>
              </w:rPr>
            </w:pPr>
          </w:p>
        </w:tc>
        <w:tc>
          <w:tcPr>
            <w:tcW w:w="440" w:type="dxa"/>
            <w:vAlign w:val="bottom"/>
            <w:tcBorders>
              <w:top w:val="single" w:sz="8" w:color="auto"/>
            </w:tcBorders>
            <w:shd w:val="clear" w:color="auto" w:fill="C0C0C0"/>
          </w:tcPr>
          <w:p>
            <w:pPr>
              <w:spacing w:after="0"/>
              <w:rPr>
                <w:sz w:val="19"/>
                <w:szCs w:val="19"/>
                <w:color w:val="auto"/>
              </w:rPr>
            </w:pPr>
          </w:p>
        </w:tc>
        <w:tc>
          <w:tcPr>
            <w:tcW w:w="220" w:type="dxa"/>
            <w:vAlign w:val="bottom"/>
            <w:tcBorders>
              <w:top w:val="single" w:sz="8" w:color="auto"/>
            </w:tcBorders>
            <w:shd w:val="clear" w:color="auto" w:fill="C0C0C0"/>
          </w:tcPr>
          <w:p>
            <w:pPr>
              <w:spacing w:after="0"/>
              <w:rPr>
                <w:sz w:val="19"/>
                <w:szCs w:val="19"/>
                <w:color w:val="auto"/>
              </w:rPr>
            </w:pPr>
          </w:p>
        </w:tc>
        <w:tc>
          <w:tcPr>
            <w:tcW w:w="480" w:type="dxa"/>
            <w:vAlign w:val="bottom"/>
            <w:tcBorders>
              <w:top w:val="single" w:sz="8" w:color="auto"/>
            </w:tcBorders>
            <w:shd w:val="clear" w:color="auto" w:fill="C0C0C0"/>
          </w:tcPr>
          <w:p>
            <w:pPr>
              <w:spacing w:after="0"/>
              <w:rPr>
                <w:sz w:val="19"/>
                <w:szCs w:val="19"/>
                <w:color w:val="auto"/>
              </w:rPr>
            </w:pPr>
          </w:p>
        </w:tc>
        <w:tc>
          <w:tcPr>
            <w:tcW w:w="140" w:type="dxa"/>
            <w:vAlign w:val="bottom"/>
            <w:tcBorders>
              <w:top w:val="single" w:sz="8" w:color="auto"/>
            </w:tcBorders>
            <w:shd w:val="clear" w:color="auto" w:fill="C0C0C0"/>
          </w:tcPr>
          <w:p>
            <w:pPr>
              <w:spacing w:after="0"/>
              <w:rPr>
                <w:sz w:val="19"/>
                <w:szCs w:val="19"/>
                <w:color w:val="auto"/>
              </w:rPr>
            </w:pPr>
          </w:p>
        </w:tc>
        <w:tc>
          <w:tcPr>
            <w:tcW w:w="120" w:type="dxa"/>
            <w:vAlign w:val="bottom"/>
            <w:tcBorders>
              <w:top w:val="single" w:sz="8" w:color="auto"/>
            </w:tcBorders>
            <w:shd w:val="clear" w:color="auto" w:fill="C0C0C0"/>
          </w:tcPr>
          <w:p>
            <w:pPr>
              <w:spacing w:after="0"/>
              <w:rPr>
                <w:sz w:val="19"/>
                <w:szCs w:val="19"/>
                <w:color w:val="auto"/>
              </w:rPr>
            </w:pPr>
          </w:p>
        </w:tc>
        <w:tc>
          <w:tcPr>
            <w:tcW w:w="100" w:type="dxa"/>
            <w:vAlign w:val="bottom"/>
            <w:tcBorders>
              <w:top w:val="single" w:sz="8" w:color="auto"/>
            </w:tcBorders>
            <w:shd w:val="clear" w:color="auto" w:fill="C0C0C0"/>
          </w:tcPr>
          <w:p>
            <w:pPr>
              <w:spacing w:after="0"/>
              <w:rPr>
                <w:sz w:val="19"/>
                <w:szCs w:val="19"/>
                <w:color w:val="auto"/>
              </w:rPr>
            </w:pPr>
          </w:p>
        </w:tc>
        <w:tc>
          <w:tcPr>
            <w:tcW w:w="640" w:type="dxa"/>
            <w:vAlign w:val="bottom"/>
            <w:tcBorders>
              <w:top w:val="single" w:sz="8" w:color="auto"/>
            </w:tcBorders>
            <w:shd w:val="clear" w:color="auto" w:fill="C0C0C0"/>
          </w:tcPr>
          <w:p>
            <w:pPr>
              <w:spacing w:after="0"/>
              <w:rPr>
                <w:sz w:val="19"/>
                <w:szCs w:val="19"/>
                <w:color w:val="auto"/>
              </w:rPr>
            </w:pPr>
          </w:p>
        </w:tc>
        <w:tc>
          <w:tcPr>
            <w:tcW w:w="240" w:type="dxa"/>
            <w:vAlign w:val="bottom"/>
            <w:tcBorders>
              <w:top w:val="single" w:sz="8" w:color="auto"/>
            </w:tcBorders>
            <w:shd w:val="clear" w:color="auto" w:fill="C0C0C0"/>
          </w:tcPr>
          <w:p>
            <w:pPr>
              <w:spacing w:after="0"/>
              <w:rPr>
                <w:sz w:val="19"/>
                <w:szCs w:val="19"/>
                <w:color w:val="auto"/>
              </w:rPr>
            </w:pPr>
          </w:p>
        </w:tc>
        <w:tc>
          <w:tcPr>
            <w:tcW w:w="500" w:type="dxa"/>
            <w:vAlign w:val="bottom"/>
            <w:tcBorders>
              <w:top w:val="single" w:sz="8" w:color="auto"/>
            </w:tcBorders>
            <w:shd w:val="clear" w:color="auto" w:fill="C0C0C0"/>
          </w:tcPr>
          <w:p>
            <w:pPr>
              <w:spacing w:after="0"/>
              <w:rPr>
                <w:sz w:val="19"/>
                <w:szCs w:val="19"/>
                <w:color w:val="auto"/>
              </w:rPr>
            </w:pPr>
          </w:p>
        </w:tc>
        <w:tc>
          <w:tcPr>
            <w:tcW w:w="140" w:type="dxa"/>
            <w:vAlign w:val="bottom"/>
            <w:tcBorders>
              <w:top w:val="single" w:sz="8" w:color="auto"/>
            </w:tcBorders>
            <w:shd w:val="clear" w:color="auto" w:fill="C0C0C0"/>
          </w:tcPr>
          <w:p>
            <w:pPr>
              <w:spacing w:after="0"/>
              <w:rPr>
                <w:sz w:val="19"/>
                <w:szCs w:val="19"/>
                <w:color w:val="auto"/>
              </w:rPr>
            </w:pPr>
          </w:p>
        </w:tc>
        <w:tc>
          <w:tcPr>
            <w:tcW w:w="280" w:type="dxa"/>
            <w:vAlign w:val="bottom"/>
            <w:tcBorders>
              <w:top w:val="single" w:sz="8" w:color="auto"/>
            </w:tcBorders>
            <w:shd w:val="clear" w:color="auto" w:fill="C0C0C0"/>
          </w:tcPr>
          <w:p>
            <w:pPr>
              <w:spacing w:after="0"/>
              <w:rPr>
                <w:sz w:val="19"/>
                <w:szCs w:val="19"/>
                <w:color w:val="auto"/>
              </w:rPr>
            </w:pPr>
          </w:p>
        </w:tc>
        <w:tc>
          <w:tcPr>
            <w:tcW w:w="740" w:type="dxa"/>
            <w:vAlign w:val="bottom"/>
            <w:tcBorders>
              <w:top w:val="single" w:sz="8" w:color="auto"/>
            </w:tcBorders>
            <w:shd w:val="clear" w:color="auto" w:fill="C0C0C0"/>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313,404</w:t>
            </w:r>
          </w:p>
        </w:tc>
        <w:tc>
          <w:tcPr>
            <w:tcW w:w="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313,404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92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Real estate</w:t>
            </w:r>
          </w:p>
        </w:tc>
        <w:tc>
          <w:tcPr>
            <w:tcW w:w="208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90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44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48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4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50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740" w:type="dxa"/>
            <w:vAlign w:val="bottom"/>
            <w:shd w:val="clear" w:color="auto" w:fill="C0C0C0"/>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w:t>
            </w:r>
          </w:p>
        </w:tc>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920" w:type="dxa"/>
            <w:vAlign w:val="bottom"/>
            <w:shd w:val="clear" w:color="auto" w:fill="C0C0C0"/>
          </w:tcPr>
          <w:p>
            <w:pPr>
              <w:ind w:left="520"/>
              <w:spacing w:after="0"/>
              <w:rPr>
                <w:sz w:val="20"/>
                <w:szCs w:val="20"/>
                <w:color w:val="auto"/>
              </w:rPr>
            </w:pPr>
            <w:r>
              <w:rPr>
                <w:rFonts w:ascii="Times New Roman" w:cs="Times New Roman" w:eastAsia="Times New Roman" w:hAnsi="Times New Roman"/>
                <w:sz w:val="18"/>
                <w:szCs w:val="18"/>
                <w:color w:val="auto"/>
              </w:rPr>
              <w:t>Mortgage</w:t>
            </w:r>
          </w:p>
        </w:tc>
        <w:tc>
          <w:tcPr>
            <w:tcW w:w="208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90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93,110</w:t>
            </w:r>
          </w:p>
        </w:tc>
        <w:tc>
          <w:tcPr>
            <w:tcW w:w="340" w:type="dxa"/>
            <w:vAlign w:val="bottom"/>
            <w:shd w:val="clear" w:color="auto" w:fill="C0C0C0"/>
          </w:tcPr>
          <w:p>
            <w:pPr>
              <w:spacing w:after="0"/>
              <w:rPr>
                <w:sz w:val="20"/>
                <w:szCs w:val="20"/>
                <w:color w:val="auto"/>
              </w:rPr>
            </w:pPr>
          </w:p>
        </w:tc>
        <w:tc>
          <w:tcPr>
            <w:tcW w:w="440" w:type="dxa"/>
            <w:vAlign w:val="bottom"/>
            <w:shd w:val="clear" w:color="auto" w:fill="C0C0C0"/>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0C0C0"/>
          </w:tcPr>
          <w:p>
            <w:pPr>
              <w:spacing w:after="0"/>
              <w:rPr>
                <w:sz w:val="20"/>
                <w:szCs w:val="20"/>
                <w:color w:val="auto"/>
              </w:rPr>
            </w:pPr>
          </w:p>
        </w:tc>
        <w:tc>
          <w:tcPr>
            <w:tcW w:w="620" w:type="dxa"/>
            <w:vAlign w:val="bottom"/>
            <w:gridSpan w:val="2"/>
            <w:shd w:val="clear" w:color="auto" w:fill="C0C0C0"/>
          </w:tcPr>
          <w:p>
            <w:pPr>
              <w:jc w:val="right"/>
              <w:ind w:right="140"/>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40" w:type="dxa"/>
            <w:vAlign w:val="bottom"/>
            <w:shd w:val="clear" w:color="auto" w:fill="C0C0C0"/>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0C0C0"/>
          </w:tcPr>
          <w:p>
            <w:pPr>
              <w:spacing w:after="0"/>
              <w:rPr>
                <w:sz w:val="20"/>
                <w:szCs w:val="20"/>
                <w:color w:val="auto"/>
              </w:rPr>
            </w:pPr>
          </w:p>
        </w:tc>
        <w:tc>
          <w:tcPr>
            <w:tcW w:w="640" w:type="dxa"/>
            <w:vAlign w:val="bottom"/>
            <w:gridSpan w:val="2"/>
            <w:shd w:val="clear" w:color="auto" w:fill="C0C0C0"/>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0C0C0"/>
          </w:tcPr>
          <w:p>
            <w:pPr>
              <w:spacing w:after="0"/>
              <w:rPr>
                <w:sz w:val="20"/>
                <w:szCs w:val="20"/>
                <w:color w:val="auto"/>
              </w:rPr>
            </w:pPr>
          </w:p>
        </w:tc>
        <w:tc>
          <w:tcPr>
            <w:tcW w:w="7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93,268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Construction</w:t>
            </w:r>
          </w:p>
        </w:tc>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15,293</w:t>
            </w:r>
          </w:p>
        </w:tc>
        <w:tc>
          <w:tcPr>
            <w:tcW w:w="340" w:type="dxa"/>
            <w:vAlign w:val="bottom"/>
          </w:tcPr>
          <w:p>
            <w:pPr>
              <w:spacing w:after="0"/>
              <w:rPr>
                <w:sz w:val="19"/>
                <w:szCs w:val="19"/>
                <w:color w:val="auto"/>
              </w:rPr>
            </w:pP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shd w:val="clear" w:color="auto" w:fill="C0C0C0"/>
          </w:tcPr>
          <w:p>
            <w:pPr>
              <w:ind w:left="260"/>
              <w:spacing w:after="0"/>
              <w:rPr>
                <w:sz w:val="20"/>
                <w:szCs w:val="20"/>
                <w:color w:val="auto"/>
              </w:rPr>
            </w:pPr>
            <w:r>
              <w:rPr>
                <w:rFonts w:ascii="Times New Roman" w:cs="Times New Roman" w:eastAsia="Times New Roman" w:hAnsi="Times New Roman"/>
                <w:sz w:val="18"/>
                <w:szCs w:val="18"/>
                <w:color w:val="auto"/>
              </w:rPr>
              <w:t>Faith-based:</w:t>
            </w:r>
          </w:p>
        </w:tc>
        <w:tc>
          <w:tcPr>
            <w:tcW w:w="208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90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44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48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4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50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740" w:type="dxa"/>
            <w:vAlign w:val="bottom"/>
            <w:shd w:val="clear" w:color="auto" w:fill="C0C0C0"/>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Mortgage</w:t>
            </w:r>
          </w:p>
        </w:tc>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312,164</w:t>
            </w:r>
          </w:p>
        </w:tc>
        <w:tc>
          <w:tcPr>
            <w:tcW w:w="340" w:type="dxa"/>
            <w:vAlign w:val="bottom"/>
          </w:tcPr>
          <w:p>
            <w:pPr>
              <w:spacing w:after="0"/>
              <w:rPr>
                <w:sz w:val="19"/>
                <w:szCs w:val="19"/>
                <w:color w:val="auto"/>
              </w:rPr>
            </w:pP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920" w:type="dxa"/>
            <w:vAlign w:val="bottom"/>
            <w:shd w:val="clear" w:color="auto" w:fill="C0C0C0"/>
          </w:tcPr>
          <w:p>
            <w:pPr>
              <w:ind w:left="520"/>
              <w:spacing w:after="0"/>
              <w:rPr>
                <w:sz w:val="20"/>
                <w:szCs w:val="20"/>
                <w:color w:val="auto"/>
              </w:rPr>
            </w:pPr>
            <w:r>
              <w:rPr>
                <w:rFonts w:ascii="Times New Roman" w:cs="Times New Roman" w:eastAsia="Times New Roman" w:hAnsi="Times New Roman"/>
                <w:sz w:val="18"/>
                <w:szCs w:val="18"/>
                <w:color w:val="auto"/>
              </w:rPr>
              <w:t>Construction</w:t>
            </w:r>
          </w:p>
        </w:tc>
        <w:tc>
          <w:tcPr>
            <w:tcW w:w="208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90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17,070</w:t>
            </w:r>
          </w:p>
        </w:tc>
        <w:tc>
          <w:tcPr>
            <w:tcW w:w="340" w:type="dxa"/>
            <w:vAlign w:val="bottom"/>
            <w:shd w:val="clear" w:color="auto" w:fill="C0C0C0"/>
          </w:tcPr>
          <w:p>
            <w:pPr>
              <w:spacing w:after="0"/>
              <w:rPr>
                <w:sz w:val="20"/>
                <w:szCs w:val="20"/>
                <w:color w:val="auto"/>
              </w:rPr>
            </w:pPr>
          </w:p>
        </w:tc>
        <w:tc>
          <w:tcPr>
            <w:tcW w:w="440" w:type="dxa"/>
            <w:vAlign w:val="bottom"/>
            <w:shd w:val="clear" w:color="auto" w:fill="C0C0C0"/>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0C0C0"/>
          </w:tcPr>
          <w:p>
            <w:pPr>
              <w:spacing w:after="0"/>
              <w:rPr>
                <w:sz w:val="20"/>
                <w:szCs w:val="20"/>
                <w:color w:val="auto"/>
              </w:rPr>
            </w:pPr>
          </w:p>
        </w:tc>
        <w:tc>
          <w:tcPr>
            <w:tcW w:w="620" w:type="dxa"/>
            <w:vAlign w:val="bottom"/>
            <w:gridSpan w:val="2"/>
            <w:shd w:val="clear" w:color="auto" w:fill="C0C0C0"/>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40" w:type="dxa"/>
            <w:vAlign w:val="bottom"/>
            <w:shd w:val="clear" w:color="auto" w:fill="C0C0C0"/>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0C0C0"/>
          </w:tcPr>
          <w:p>
            <w:pPr>
              <w:spacing w:after="0"/>
              <w:rPr>
                <w:sz w:val="20"/>
                <w:szCs w:val="20"/>
                <w:color w:val="auto"/>
              </w:rPr>
            </w:pPr>
          </w:p>
        </w:tc>
        <w:tc>
          <w:tcPr>
            <w:tcW w:w="640" w:type="dxa"/>
            <w:vAlign w:val="bottom"/>
            <w:gridSpan w:val="2"/>
            <w:shd w:val="clear" w:color="auto" w:fill="C0C0C0"/>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0C0C0"/>
          </w:tcPr>
          <w:p>
            <w:pPr>
              <w:spacing w:after="0"/>
              <w:rPr>
                <w:sz w:val="20"/>
                <w:szCs w:val="20"/>
                <w:color w:val="auto"/>
              </w:rPr>
            </w:pPr>
          </w:p>
        </w:tc>
        <w:tc>
          <w:tcPr>
            <w:tcW w:w="7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17,070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0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110</w:t>
            </w:r>
          </w:p>
        </w:tc>
        <w:tc>
          <w:tcPr>
            <w:tcW w:w="3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Total</w:t>
            </w:r>
          </w:p>
        </w:tc>
        <w:tc>
          <w:tcPr>
            <w:tcW w:w="2200" w:type="dxa"/>
            <w:vAlign w:val="bottom"/>
            <w:tcBorders>
              <w:bottom w:val="single" w:sz="8" w:color="auto"/>
            </w:tcBorders>
            <w:gridSpan w:val="2"/>
            <w:shd w:val="clear" w:color="auto" w:fill="C0C0C0"/>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751,151</w:t>
            </w:r>
          </w:p>
        </w:tc>
        <w:tc>
          <w:tcPr>
            <w:tcW w:w="340" w:type="dxa"/>
            <w:vAlign w:val="bottom"/>
            <w:tcBorders>
              <w:bottom w:val="single" w:sz="8" w:color="auto"/>
            </w:tcBorders>
            <w:shd w:val="clear" w:color="auto" w:fill="C0C0C0"/>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0C0C0"/>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gridSpan w:val="2"/>
            <w:shd w:val="clear" w:color="auto" w:fill="C0C0C0"/>
          </w:tcPr>
          <w:p>
            <w:pPr>
              <w:jc w:val="right"/>
              <w:ind w:right="140"/>
              <w:spacing w:after="0"/>
              <w:rPr>
                <w:sz w:val="20"/>
                <w:szCs w:val="20"/>
                <w:color w:val="auto"/>
              </w:rPr>
            </w:pPr>
            <w:r>
              <w:rPr>
                <w:rFonts w:ascii="Times New Roman" w:cs="Times New Roman" w:eastAsia="Times New Roman" w:hAnsi="Times New Roman"/>
                <w:sz w:val="18"/>
                <w:szCs w:val="18"/>
                <w:color w:val="auto"/>
              </w:rPr>
              <w:t>158</w:t>
            </w:r>
          </w:p>
        </w:tc>
        <w:tc>
          <w:tcPr>
            <w:tcW w:w="220" w:type="dxa"/>
            <w:vAlign w:val="bottom"/>
            <w:tcBorders>
              <w:bottom w:val="single" w:sz="8" w:color="auto"/>
            </w:tcBorders>
            <w:gridSpan w:val="2"/>
            <w:shd w:val="clear" w:color="auto" w:fill="C0C0C0"/>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0C0C0"/>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0C0C0"/>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gridSpan w:val="2"/>
            <w:shd w:val="clear" w:color="auto" w:fill="C0C0C0"/>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751,309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December 31, 2018</w:t>
            </w:r>
          </w:p>
        </w:tc>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2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200" w:type="dxa"/>
            <w:vAlign w:val="bottom"/>
            <w:gridSpan w:val="2"/>
            <w:shd w:val="clear" w:color="auto" w:fill="C0C0C0"/>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277,091</w:t>
            </w:r>
          </w:p>
        </w:tc>
        <w:tc>
          <w:tcPr>
            <w:tcW w:w="340" w:type="dxa"/>
            <w:vAlign w:val="bottom"/>
            <w:shd w:val="clear" w:color="auto" w:fill="C0C0C0"/>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0C0C0"/>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0C0C0"/>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0C0C0"/>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0C0C0"/>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0C0C0"/>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0C0C0"/>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277,091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Real estate</w:t>
            </w:r>
          </w:p>
        </w:tc>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shd w:val="clear" w:color="auto" w:fill="C0C0C0"/>
          </w:tcPr>
          <w:p>
            <w:pPr>
              <w:ind w:left="260"/>
              <w:spacing w:after="0"/>
              <w:rPr>
                <w:sz w:val="20"/>
                <w:szCs w:val="20"/>
                <w:color w:val="auto"/>
              </w:rPr>
            </w:pPr>
            <w:r>
              <w:rPr>
                <w:rFonts w:ascii="Times New Roman" w:cs="Times New Roman" w:eastAsia="Times New Roman" w:hAnsi="Times New Roman"/>
                <w:sz w:val="18"/>
                <w:szCs w:val="18"/>
                <w:color w:val="auto"/>
              </w:rPr>
              <w:t>Commercial:</w:t>
            </w:r>
          </w:p>
        </w:tc>
        <w:tc>
          <w:tcPr>
            <w:tcW w:w="208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90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44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48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4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50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740" w:type="dxa"/>
            <w:vAlign w:val="bottom"/>
            <w:shd w:val="clear" w:color="auto" w:fill="C0C0C0"/>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Mortgage</w:t>
            </w:r>
          </w:p>
        </w:tc>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95,605</w:t>
            </w:r>
          </w:p>
        </w:tc>
        <w:tc>
          <w:tcPr>
            <w:tcW w:w="340" w:type="dxa"/>
            <w:vAlign w:val="bottom"/>
          </w:tcPr>
          <w:p>
            <w:pPr>
              <w:spacing w:after="0"/>
              <w:rPr>
                <w:sz w:val="19"/>
                <w:szCs w:val="19"/>
                <w:color w:val="auto"/>
              </w:rPr>
            </w:pP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920" w:type="dxa"/>
            <w:vAlign w:val="bottom"/>
            <w:shd w:val="clear" w:color="auto" w:fill="C0C0C0"/>
          </w:tcPr>
          <w:p>
            <w:pPr>
              <w:ind w:left="520"/>
              <w:spacing w:after="0"/>
              <w:rPr>
                <w:sz w:val="20"/>
                <w:szCs w:val="20"/>
                <w:color w:val="auto"/>
              </w:rPr>
            </w:pPr>
            <w:r>
              <w:rPr>
                <w:rFonts w:ascii="Times New Roman" w:cs="Times New Roman" w:eastAsia="Times New Roman" w:hAnsi="Times New Roman"/>
                <w:sz w:val="18"/>
                <w:szCs w:val="18"/>
                <w:color w:val="auto"/>
              </w:rPr>
              <w:t>Construction</w:t>
            </w:r>
          </w:p>
        </w:tc>
        <w:tc>
          <w:tcPr>
            <w:tcW w:w="208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90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11,858</w:t>
            </w:r>
          </w:p>
        </w:tc>
        <w:tc>
          <w:tcPr>
            <w:tcW w:w="340" w:type="dxa"/>
            <w:vAlign w:val="bottom"/>
            <w:shd w:val="clear" w:color="auto" w:fill="C0C0C0"/>
          </w:tcPr>
          <w:p>
            <w:pPr>
              <w:spacing w:after="0"/>
              <w:rPr>
                <w:sz w:val="20"/>
                <w:szCs w:val="20"/>
                <w:color w:val="auto"/>
              </w:rPr>
            </w:pPr>
          </w:p>
        </w:tc>
        <w:tc>
          <w:tcPr>
            <w:tcW w:w="440" w:type="dxa"/>
            <w:vAlign w:val="bottom"/>
            <w:shd w:val="clear" w:color="auto" w:fill="C0C0C0"/>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0C0C0"/>
          </w:tcPr>
          <w:p>
            <w:pPr>
              <w:spacing w:after="0"/>
              <w:rPr>
                <w:sz w:val="20"/>
                <w:szCs w:val="20"/>
                <w:color w:val="auto"/>
              </w:rPr>
            </w:pPr>
          </w:p>
        </w:tc>
        <w:tc>
          <w:tcPr>
            <w:tcW w:w="620" w:type="dxa"/>
            <w:vAlign w:val="bottom"/>
            <w:gridSpan w:val="2"/>
            <w:shd w:val="clear" w:color="auto" w:fill="C0C0C0"/>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40" w:type="dxa"/>
            <w:vAlign w:val="bottom"/>
            <w:shd w:val="clear" w:color="auto" w:fill="C0C0C0"/>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0C0C0"/>
          </w:tcPr>
          <w:p>
            <w:pPr>
              <w:spacing w:after="0"/>
              <w:rPr>
                <w:sz w:val="20"/>
                <w:szCs w:val="20"/>
                <w:color w:val="auto"/>
              </w:rPr>
            </w:pPr>
          </w:p>
        </w:tc>
        <w:tc>
          <w:tcPr>
            <w:tcW w:w="640" w:type="dxa"/>
            <w:vAlign w:val="bottom"/>
            <w:gridSpan w:val="2"/>
            <w:shd w:val="clear" w:color="auto" w:fill="C0C0C0"/>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0C0C0"/>
          </w:tcPr>
          <w:p>
            <w:pPr>
              <w:spacing w:after="0"/>
              <w:rPr>
                <w:sz w:val="20"/>
                <w:szCs w:val="20"/>
                <w:color w:val="auto"/>
              </w:rPr>
            </w:pPr>
          </w:p>
        </w:tc>
        <w:tc>
          <w:tcPr>
            <w:tcW w:w="7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11,858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Faith-based:</w:t>
            </w:r>
          </w:p>
        </w:tc>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920" w:type="dxa"/>
            <w:vAlign w:val="bottom"/>
            <w:shd w:val="clear" w:color="auto" w:fill="C0C0C0"/>
          </w:tcPr>
          <w:p>
            <w:pPr>
              <w:ind w:left="520"/>
              <w:spacing w:after="0"/>
              <w:rPr>
                <w:sz w:val="20"/>
                <w:szCs w:val="20"/>
                <w:color w:val="auto"/>
              </w:rPr>
            </w:pPr>
            <w:r>
              <w:rPr>
                <w:rFonts w:ascii="Times New Roman" w:cs="Times New Roman" w:eastAsia="Times New Roman" w:hAnsi="Times New Roman"/>
                <w:sz w:val="18"/>
                <w:szCs w:val="18"/>
                <w:color w:val="auto"/>
              </w:rPr>
              <w:t>Mortgage</w:t>
            </w:r>
          </w:p>
        </w:tc>
        <w:tc>
          <w:tcPr>
            <w:tcW w:w="208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90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316,147</w:t>
            </w:r>
          </w:p>
        </w:tc>
        <w:tc>
          <w:tcPr>
            <w:tcW w:w="340" w:type="dxa"/>
            <w:vAlign w:val="bottom"/>
            <w:shd w:val="clear" w:color="auto" w:fill="C0C0C0"/>
          </w:tcPr>
          <w:p>
            <w:pPr>
              <w:spacing w:after="0"/>
              <w:rPr>
                <w:sz w:val="20"/>
                <w:szCs w:val="20"/>
                <w:color w:val="auto"/>
              </w:rPr>
            </w:pPr>
          </w:p>
        </w:tc>
        <w:tc>
          <w:tcPr>
            <w:tcW w:w="440" w:type="dxa"/>
            <w:vAlign w:val="bottom"/>
            <w:shd w:val="clear" w:color="auto" w:fill="C0C0C0"/>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0C0C0"/>
          </w:tcPr>
          <w:p>
            <w:pPr>
              <w:spacing w:after="0"/>
              <w:rPr>
                <w:sz w:val="20"/>
                <w:szCs w:val="20"/>
                <w:color w:val="auto"/>
              </w:rPr>
            </w:pPr>
          </w:p>
        </w:tc>
        <w:tc>
          <w:tcPr>
            <w:tcW w:w="620" w:type="dxa"/>
            <w:vAlign w:val="bottom"/>
            <w:gridSpan w:val="2"/>
            <w:shd w:val="clear" w:color="auto" w:fill="C0C0C0"/>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40" w:type="dxa"/>
            <w:vAlign w:val="bottom"/>
            <w:shd w:val="clear" w:color="auto" w:fill="C0C0C0"/>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0C0C0"/>
          </w:tcPr>
          <w:p>
            <w:pPr>
              <w:spacing w:after="0"/>
              <w:rPr>
                <w:sz w:val="20"/>
                <w:szCs w:val="20"/>
                <w:color w:val="auto"/>
              </w:rPr>
            </w:pPr>
          </w:p>
        </w:tc>
        <w:tc>
          <w:tcPr>
            <w:tcW w:w="640" w:type="dxa"/>
            <w:vAlign w:val="bottom"/>
            <w:gridSpan w:val="2"/>
            <w:shd w:val="clear" w:color="auto" w:fill="C0C0C0"/>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0C0C0"/>
          </w:tcPr>
          <w:p>
            <w:pPr>
              <w:spacing w:after="0"/>
              <w:rPr>
                <w:sz w:val="20"/>
                <w:szCs w:val="20"/>
                <w:color w:val="auto"/>
              </w:rPr>
            </w:pPr>
          </w:p>
        </w:tc>
        <w:tc>
          <w:tcPr>
            <w:tcW w:w="7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316,147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Construction</w:t>
            </w:r>
          </w:p>
        </w:tc>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20,576</w:t>
            </w:r>
          </w:p>
        </w:tc>
        <w:tc>
          <w:tcPr>
            <w:tcW w:w="340" w:type="dxa"/>
            <w:vAlign w:val="bottom"/>
          </w:tcPr>
          <w:p>
            <w:pPr>
              <w:spacing w:after="0"/>
              <w:rPr>
                <w:sz w:val="19"/>
                <w:szCs w:val="19"/>
                <w:color w:val="auto"/>
              </w:rPr>
            </w:pP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Other</w:t>
            </w:r>
          </w:p>
        </w:tc>
        <w:tc>
          <w:tcPr>
            <w:tcW w:w="2080" w:type="dxa"/>
            <w:vAlign w:val="bottom"/>
            <w:tcBorders>
              <w:bottom w:val="single" w:sz="8" w:color="auto"/>
            </w:tcBorders>
            <w:shd w:val="clear" w:color="auto" w:fill="C0C0C0"/>
          </w:tcPr>
          <w:p>
            <w:pPr>
              <w:spacing w:after="0"/>
              <w:rPr>
                <w:sz w:val="20"/>
                <w:szCs w:val="20"/>
                <w:color w:val="auto"/>
              </w:rPr>
            </w:pPr>
          </w:p>
        </w:tc>
        <w:tc>
          <w:tcPr>
            <w:tcW w:w="120" w:type="dxa"/>
            <w:vAlign w:val="bottom"/>
            <w:tcBorders>
              <w:bottom w:val="single" w:sz="8" w:color="auto"/>
            </w:tcBorders>
            <w:shd w:val="clear" w:color="auto" w:fill="C0C0C0"/>
          </w:tcPr>
          <w:p>
            <w:pPr>
              <w:spacing w:after="0"/>
              <w:rPr>
                <w:sz w:val="20"/>
                <w:szCs w:val="20"/>
                <w:color w:val="auto"/>
              </w:rPr>
            </w:pPr>
          </w:p>
        </w:tc>
        <w:tc>
          <w:tcPr>
            <w:tcW w:w="900" w:type="dxa"/>
            <w:vAlign w:val="bottom"/>
            <w:tcBorders>
              <w:bottom w:val="single" w:sz="8" w:color="auto"/>
            </w:tcBorders>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310</w:t>
            </w:r>
          </w:p>
        </w:tc>
        <w:tc>
          <w:tcPr>
            <w:tcW w:w="340" w:type="dxa"/>
            <w:vAlign w:val="bottom"/>
            <w:tcBorders>
              <w:bottom w:val="single" w:sz="8" w:color="auto"/>
            </w:tcBorders>
            <w:shd w:val="clear" w:color="auto" w:fill="C0C0C0"/>
          </w:tcPr>
          <w:p>
            <w:pPr>
              <w:spacing w:after="0"/>
              <w:rPr>
                <w:sz w:val="20"/>
                <w:szCs w:val="20"/>
                <w:color w:val="auto"/>
              </w:rPr>
            </w:pPr>
          </w:p>
        </w:tc>
        <w:tc>
          <w:tcPr>
            <w:tcW w:w="440" w:type="dxa"/>
            <w:vAlign w:val="bottom"/>
            <w:tcBorders>
              <w:bottom w:val="single" w:sz="8" w:color="auto"/>
            </w:tcBorders>
            <w:shd w:val="clear" w:color="auto" w:fill="C0C0C0"/>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0C0C0"/>
          </w:tcPr>
          <w:p>
            <w:pPr>
              <w:spacing w:after="0"/>
              <w:rPr>
                <w:sz w:val="20"/>
                <w:szCs w:val="20"/>
                <w:color w:val="auto"/>
              </w:rPr>
            </w:pPr>
          </w:p>
        </w:tc>
        <w:tc>
          <w:tcPr>
            <w:tcW w:w="620" w:type="dxa"/>
            <w:vAlign w:val="bottom"/>
            <w:tcBorders>
              <w:bottom w:val="single" w:sz="8" w:color="auto"/>
            </w:tcBorders>
            <w:gridSpan w:val="2"/>
            <w:shd w:val="clear" w:color="auto" w:fill="C0C0C0"/>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640" w:type="dxa"/>
            <w:vAlign w:val="bottom"/>
            <w:tcBorders>
              <w:bottom w:val="single" w:sz="8" w:color="auto"/>
            </w:tcBorders>
            <w:shd w:val="clear" w:color="auto" w:fill="C0C0C0"/>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0C0C0"/>
          </w:tcPr>
          <w:p>
            <w:pPr>
              <w:spacing w:after="0"/>
              <w:rPr>
                <w:sz w:val="20"/>
                <w:szCs w:val="20"/>
                <w:color w:val="auto"/>
              </w:rPr>
            </w:pPr>
          </w:p>
        </w:tc>
        <w:tc>
          <w:tcPr>
            <w:tcW w:w="640" w:type="dxa"/>
            <w:vAlign w:val="bottom"/>
            <w:tcBorders>
              <w:bottom w:val="single" w:sz="8" w:color="auto"/>
            </w:tcBorders>
            <w:gridSpan w:val="2"/>
            <w:shd w:val="clear" w:color="auto" w:fill="C0C0C0"/>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0C0C0"/>
          </w:tcPr>
          <w:p>
            <w:pPr>
              <w:spacing w:after="0"/>
              <w:rPr>
                <w:sz w:val="20"/>
                <w:szCs w:val="20"/>
                <w:color w:val="auto"/>
              </w:rPr>
            </w:pPr>
          </w:p>
        </w:tc>
        <w:tc>
          <w:tcPr>
            <w:tcW w:w="74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22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721,587</w:t>
            </w:r>
          </w:p>
        </w:tc>
        <w:tc>
          <w:tcPr>
            <w:tcW w:w="3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721,587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credit exposure of the loan portfolio by internally assigned credit grade as of March 31, 2019 and December 31, 2018:</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60" w:type="dxa"/>
            <w:vAlign w:val="bottom"/>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7"/>
              </w:rPr>
              <w:t>Loans</w:t>
            </w:r>
          </w:p>
        </w:tc>
        <w:tc>
          <w:tcPr>
            <w:tcW w:w="260" w:type="dxa"/>
            <w:vAlign w:val="bottom"/>
          </w:tcPr>
          <w:p>
            <w:pPr>
              <w:spacing w:after="0"/>
              <w:rPr>
                <w:sz w:val="19"/>
                <w:szCs w:val="19"/>
                <w:color w:val="auto"/>
              </w:rPr>
            </w:pPr>
          </w:p>
        </w:tc>
        <w:tc>
          <w:tcPr>
            <w:tcW w:w="1280" w:type="dxa"/>
            <w:vAlign w:val="bottom"/>
          </w:tcPr>
          <w:p>
            <w:pPr>
              <w:jc w:val="center"/>
              <w:ind w:right="172"/>
              <w:spacing w:after="0"/>
              <w:rPr>
                <w:sz w:val="20"/>
                <w:szCs w:val="20"/>
                <w:color w:val="auto"/>
              </w:rPr>
            </w:pPr>
            <w:r>
              <w:rPr>
                <w:rFonts w:ascii="Times New Roman" w:cs="Times New Roman" w:eastAsia="Times New Roman" w:hAnsi="Times New Roman"/>
                <w:sz w:val="18"/>
                <w:szCs w:val="18"/>
                <w:b w:val="1"/>
                <w:bCs w:val="1"/>
                <w:color w:val="auto"/>
                <w:w w:val="96"/>
              </w:rPr>
              <w:t>Performing</w:t>
            </w: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Nonperforming</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60" w:type="dxa"/>
            <w:vAlign w:val="bottom"/>
          </w:tcPr>
          <w:p>
            <w:pPr>
              <w:jc w:val="center"/>
              <w:ind w:right="172"/>
              <w:spacing w:after="0"/>
              <w:rPr>
                <w:sz w:val="20"/>
                <w:szCs w:val="20"/>
                <w:color w:val="auto"/>
              </w:rPr>
            </w:pPr>
            <w:r>
              <w:rPr>
                <w:rFonts w:ascii="Times New Roman" w:cs="Times New Roman" w:eastAsia="Times New Roman" w:hAnsi="Times New Roman"/>
                <w:sz w:val="18"/>
                <w:szCs w:val="18"/>
                <w:b w:val="1"/>
                <w:bCs w:val="1"/>
                <w:color w:val="auto"/>
                <w:w w:val="98"/>
              </w:rPr>
              <w:t>Subject to</w:t>
            </w: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Loans Subject to</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Loans Subject</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60" w:type="dxa"/>
            <w:vAlign w:val="bottom"/>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8"/>
              </w:rPr>
              <w:t>Normal</w:t>
            </w:r>
          </w:p>
        </w:tc>
        <w:tc>
          <w:tcPr>
            <w:tcW w:w="260" w:type="dxa"/>
            <w:vAlign w:val="bottom"/>
          </w:tcPr>
          <w:p>
            <w:pPr>
              <w:spacing w:after="0"/>
              <w:rPr>
                <w:sz w:val="20"/>
                <w:szCs w:val="20"/>
                <w:color w:val="auto"/>
              </w:rPr>
            </w:pPr>
          </w:p>
        </w:tc>
        <w:tc>
          <w:tcPr>
            <w:tcW w:w="1280" w:type="dxa"/>
            <w:vAlign w:val="bottom"/>
          </w:tcPr>
          <w:p>
            <w:pPr>
              <w:jc w:val="center"/>
              <w:ind w:right="172"/>
              <w:spacing w:after="0"/>
              <w:rPr>
                <w:sz w:val="20"/>
                <w:szCs w:val="20"/>
                <w:color w:val="auto"/>
              </w:rPr>
            </w:pPr>
            <w:r>
              <w:rPr>
                <w:rFonts w:ascii="Times New Roman" w:cs="Times New Roman" w:eastAsia="Times New Roman" w:hAnsi="Times New Roman"/>
                <w:sz w:val="18"/>
                <w:szCs w:val="18"/>
                <w:b w:val="1"/>
                <w:bCs w:val="1"/>
                <w:color w:val="auto"/>
                <w:w w:val="98"/>
              </w:rPr>
              <w:t>Special</w:t>
            </w:r>
          </w:p>
        </w:tc>
        <w:tc>
          <w:tcPr>
            <w:tcW w:w="240" w:type="dxa"/>
            <w:vAlign w:val="bottom"/>
          </w:tcPr>
          <w:p>
            <w:pPr>
              <w:spacing w:after="0"/>
              <w:rPr>
                <w:sz w:val="20"/>
                <w:szCs w:val="20"/>
                <w:color w:val="auto"/>
              </w:rPr>
            </w:pPr>
          </w:p>
        </w:tc>
        <w:tc>
          <w:tcPr>
            <w:tcW w:w="1200" w:type="dxa"/>
            <w:vAlign w:val="bottom"/>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6"/>
              </w:rPr>
              <w:t>to Special</w:t>
            </w: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8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320" w:type="dxa"/>
            <w:vAlign w:val="bottom"/>
            <w:gridSpan w:val="2"/>
          </w:tcPr>
          <w:p>
            <w:pPr>
              <w:jc w:val="center"/>
              <w:ind w:left="1932"/>
              <w:spacing w:after="0" w:line="285" w:lineRule="exact"/>
              <w:rPr>
                <w:sz w:val="20"/>
                <w:szCs w:val="20"/>
                <w:color w:val="auto"/>
              </w:rPr>
            </w:pPr>
            <w:r>
              <w:rPr>
                <w:rFonts w:ascii="Times New Roman" w:cs="Times New Roman" w:eastAsia="Times New Roman" w:hAnsi="Times New Roman"/>
                <w:sz w:val="18"/>
                <w:szCs w:val="18"/>
                <w:b w:val="1"/>
                <w:bCs w:val="1"/>
                <w:color w:val="auto"/>
                <w:w w:val="96"/>
              </w:rPr>
              <w:t>Monitoring</w:t>
            </w:r>
            <w:r>
              <w:rPr>
                <w:rFonts w:ascii="Times New Roman" w:cs="Times New Roman" w:eastAsia="Times New Roman" w:hAnsi="Times New Roman"/>
                <w:sz w:val="29"/>
                <w:szCs w:val="29"/>
                <w:b w:val="1"/>
                <w:bCs w:val="1"/>
                <w:color w:val="auto"/>
                <w:w w:val="96"/>
                <w:vertAlign w:val="superscript"/>
              </w:rPr>
              <w:t>1</w:t>
            </w:r>
          </w:p>
        </w:tc>
        <w:tc>
          <w:tcPr>
            <w:tcW w:w="260" w:type="dxa"/>
            <w:vAlign w:val="bottom"/>
          </w:tcPr>
          <w:p>
            <w:pPr>
              <w:spacing w:after="0"/>
              <w:rPr>
                <w:sz w:val="24"/>
                <w:szCs w:val="24"/>
                <w:color w:val="auto"/>
              </w:rPr>
            </w:pPr>
          </w:p>
        </w:tc>
        <w:tc>
          <w:tcPr>
            <w:tcW w:w="1280" w:type="dxa"/>
            <w:vAlign w:val="bottom"/>
          </w:tcPr>
          <w:p>
            <w:pPr>
              <w:jc w:val="center"/>
              <w:ind w:right="172"/>
              <w:spacing w:after="0" w:line="285" w:lineRule="exact"/>
              <w:rPr>
                <w:sz w:val="20"/>
                <w:szCs w:val="20"/>
                <w:color w:val="auto"/>
              </w:rPr>
            </w:pPr>
            <w:r>
              <w:rPr>
                <w:rFonts w:ascii="Times New Roman" w:cs="Times New Roman" w:eastAsia="Times New Roman" w:hAnsi="Times New Roman"/>
                <w:sz w:val="18"/>
                <w:szCs w:val="18"/>
                <w:b w:val="1"/>
                <w:bCs w:val="1"/>
                <w:color w:val="auto"/>
                <w:w w:val="96"/>
              </w:rPr>
              <w:t>Monitoring</w:t>
            </w:r>
            <w:r>
              <w:rPr>
                <w:rFonts w:ascii="Times New Roman" w:cs="Times New Roman" w:eastAsia="Times New Roman" w:hAnsi="Times New Roman"/>
                <w:sz w:val="29"/>
                <w:szCs w:val="29"/>
                <w:b w:val="1"/>
                <w:bCs w:val="1"/>
                <w:color w:val="auto"/>
                <w:w w:val="96"/>
                <w:vertAlign w:val="superscript"/>
              </w:rPr>
              <w:t>2</w:t>
            </w:r>
          </w:p>
        </w:tc>
        <w:tc>
          <w:tcPr>
            <w:tcW w:w="240" w:type="dxa"/>
            <w:vAlign w:val="bottom"/>
          </w:tcPr>
          <w:p>
            <w:pPr>
              <w:spacing w:after="0"/>
              <w:rPr>
                <w:sz w:val="24"/>
                <w:szCs w:val="24"/>
                <w:color w:val="auto"/>
              </w:rPr>
            </w:pPr>
          </w:p>
        </w:tc>
        <w:tc>
          <w:tcPr>
            <w:tcW w:w="1200" w:type="dxa"/>
            <w:vAlign w:val="bottom"/>
          </w:tcPr>
          <w:p>
            <w:pPr>
              <w:jc w:val="center"/>
              <w:ind w:right="152"/>
              <w:spacing w:after="0" w:line="285" w:lineRule="exact"/>
              <w:rPr>
                <w:sz w:val="20"/>
                <w:szCs w:val="20"/>
                <w:color w:val="auto"/>
              </w:rPr>
            </w:pPr>
            <w:r>
              <w:rPr>
                <w:rFonts w:ascii="Times New Roman" w:cs="Times New Roman" w:eastAsia="Times New Roman" w:hAnsi="Times New Roman"/>
                <w:sz w:val="18"/>
                <w:szCs w:val="18"/>
                <w:b w:val="1"/>
                <w:bCs w:val="1"/>
                <w:color w:val="auto"/>
                <w:w w:val="94"/>
              </w:rPr>
              <w:t>Monitoring</w:t>
            </w:r>
            <w:r>
              <w:rPr>
                <w:rFonts w:ascii="Times New Roman" w:cs="Times New Roman" w:eastAsia="Times New Roman" w:hAnsi="Times New Roman"/>
                <w:sz w:val="29"/>
                <w:szCs w:val="29"/>
                <w:b w:val="1"/>
                <w:bCs w:val="1"/>
                <w:color w:val="auto"/>
                <w:w w:val="94"/>
                <w:vertAlign w:val="superscript"/>
              </w:rPr>
              <w:t>2</w:t>
            </w:r>
          </w:p>
        </w:tc>
        <w:tc>
          <w:tcPr>
            <w:tcW w:w="104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w w:val="95"/>
              </w:rPr>
              <w:t>Total Loans</w:t>
            </w:r>
          </w:p>
        </w:tc>
      </w:tr>
      <w:tr>
        <w:trPr>
          <w:trHeight w:val="223"/>
        </w:trPr>
        <w:tc>
          <w:tcPr>
            <w:tcW w:w="20" w:type="dxa"/>
            <w:vAlign w:val="bottom"/>
          </w:tcPr>
          <w:p>
            <w:pPr>
              <w:spacing w:after="0"/>
              <w:rPr>
                <w:sz w:val="19"/>
                <w:szCs w:val="19"/>
                <w:color w:val="auto"/>
              </w:rPr>
            </w:pPr>
          </w:p>
        </w:tc>
        <w:tc>
          <w:tcPr>
            <w:tcW w:w="4080" w:type="dxa"/>
            <w:vAlign w:val="bottom"/>
            <w:tcBorders>
              <w:top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i w:val="1"/>
                <w:iCs w:val="1"/>
                <w:color w:val="auto"/>
              </w:rPr>
              <w:t>March 31, 2019</w:t>
            </w:r>
          </w:p>
        </w:tc>
        <w:tc>
          <w:tcPr>
            <w:tcW w:w="2260" w:type="dxa"/>
            <w:vAlign w:val="bottom"/>
            <w:tcBorders>
              <w:top w:val="single" w:sz="8" w:color="auto"/>
            </w:tcBorders>
            <w:shd w:val="clear" w:color="auto" w:fill="C0C0C0"/>
          </w:tcPr>
          <w:p>
            <w:pPr>
              <w:spacing w:after="0"/>
              <w:rPr>
                <w:sz w:val="19"/>
                <w:szCs w:val="19"/>
                <w:color w:val="auto"/>
              </w:rPr>
            </w:pPr>
          </w:p>
        </w:tc>
        <w:tc>
          <w:tcPr>
            <w:tcW w:w="1060" w:type="dxa"/>
            <w:vAlign w:val="bottom"/>
            <w:tcBorders>
              <w:top w:val="single" w:sz="8" w:color="auto"/>
            </w:tcBorders>
            <w:shd w:val="clear" w:color="auto" w:fill="C0C0C0"/>
          </w:tcPr>
          <w:p>
            <w:pPr>
              <w:spacing w:after="0"/>
              <w:rPr>
                <w:sz w:val="19"/>
                <w:szCs w:val="19"/>
                <w:color w:val="auto"/>
              </w:rPr>
            </w:pPr>
          </w:p>
        </w:tc>
        <w:tc>
          <w:tcPr>
            <w:tcW w:w="260" w:type="dxa"/>
            <w:vAlign w:val="bottom"/>
            <w:tcBorders>
              <w:top w:val="single" w:sz="8" w:color="auto"/>
            </w:tcBorders>
            <w:shd w:val="clear" w:color="auto" w:fill="C0C0C0"/>
          </w:tcPr>
          <w:p>
            <w:pPr>
              <w:spacing w:after="0"/>
              <w:rPr>
                <w:sz w:val="19"/>
                <w:szCs w:val="19"/>
                <w:color w:val="auto"/>
              </w:rPr>
            </w:pPr>
          </w:p>
        </w:tc>
        <w:tc>
          <w:tcPr>
            <w:tcW w:w="1280" w:type="dxa"/>
            <w:vAlign w:val="bottom"/>
            <w:tcBorders>
              <w:top w:val="single" w:sz="8" w:color="auto"/>
            </w:tcBorders>
            <w:shd w:val="clear" w:color="auto" w:fill="C0C0C0"/>
          </w:tcPr>
          <w:p>
            <w:pPr>
              <w:spacing w:after="0"/>
              <w:rPr>
                <w:sz w:val="19"/>
                <w:szCs w:val="19"/>
                <w:color w:val="auto"/>
              </w:rPr>
            </w:pPr>
          </w:p>
        </w:tc>
        <w:tc>
          <w:tcPr>
            <w:tcW w:w="240" w:type="dxa"/>
            <w:vAlign w:val="bottom"/>
            <w:tcBorders>
              <w:top w:val="single" w:sz="8" w:color="auto"/>
            </w:tcBorders>
            <w:shd w:val="clear" w:color="auto" w:fill="C0C0C0"/>
          </w:tcPr>
          <w:p>
            <w:pPr>
              <w:spacing w:after="0"/>
              <w:rPr>
                <w:sz w:val="19"/>
                <w:szCs w:val="19"/>
                <w:color w:val="auto"/>
              </w:rPr>
            </w:pPr>
          </w:p>
        </w:tc>
        <w:tc>
          <w:tcPr>
            <w:tcW w:w="1200" w:type="dxa"/>
            <w:vAlign w:val="bottom"/>
            <w:tcBorders>
              <w:top w:val="single" w:sz="8" w:color="auto"/>
            </w:tcBorders>
            <w:shd w:val="clear" w:color="auto" w:fill="C0C0C0"/>
          </w:tcPr>
          <w:p>
            <w:pPr>
              <w:spacing w:after="0"/>
              <w:rPr>
                <w:sz w:val="19"/>
                <w:szCs w:val="19"/>
                <w:color w:val="auto"/>
              </w:rPr>
            </w:pPr>
          </w:p>
        </w:tc>
        <w:tc>
          <w:tcPr>
            <w:tcW w:w="340" w:type="dxa"/>
            <w:vAlign w:val="bottom"/>
            <w:tcBorders>
              <w:top w:val="single" w:sz="8" w:color="auto"/>
            </w:tcBorders>
            <w:shd w:val="clear" w:color="auto" w:fill="C0C0C0"/>
          </w:tcPr>
          <w:p>
            <w:pPr>
              <w:spacing w:after="0"/>
              <w:rPr>
                <w:sz w:val="19"/>
                <w:szCs w:val="19"/>
                <w:color w:val="auto"/>
              </w:rPr>
            </w:pPr>
          </w:p>
        </w:tc>
        <w:tc>
          <w:tcPr>
            <w:tcW w:w="680" w:type="dxa"/>
            <w:vAlign w:val="bottom"/>
            <w:tcBorders>
              <w:top w:val="single" w:sz="8" w:color="auto"/>
            </w:tcBorders>
            <w:shd w:val="clear" w:color="auto" w:fill="C0C0C0"/>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311,776</w:t>
            </w: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1,628</w:t>
            </w: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313,404</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8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Real estate</w:t>
            </w:r>
          </w:p>
        </w:tc>
        <w:tc>
          <w:tcPr>
            <w:tcW w:w="2260" w:type="dxa"/>
            <w:vAlign w:val="bottom"/>
            <w:shd w:val="clear" w:color="auto" w:fill="C0C0C0"/>
          </w:tcPr>
          <w:p>
            <w:pPr>
              <w:spacing w:after="0"/>
              <w:rPr>
                <w:sz w:val="19"/>
                <w:szCs w:val="19"/>
                <w:color w:val="auto"/>
              </w:rPr>
            </w:pPr>
          </w:p>
        </w:tc>
        <w:tc>
          <w:tcPr>
            <w:tcW w:w="106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28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120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68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w:t>
            </w:r>
          </w:p>
        </w:tc>
        <w:tc>
          <w:tcPr>
            <w:tcW w:w="2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1"/>
        </w:trPr>
        <w:tc>
          <w:tcPr>
            <w:tcW w:w="20" w:type="dxa"/>
            <w:vAlign w:val="bottom"/>
          </w:tcPr>
          <w:p>
            <w:pPr>
              <w:spacing w:after="0"/>
              <w:rPr>
                <w:sz w:val="20"/>
                <w:szCs w:val="20"/>
                <w:color w:val="auto"/>
              </w:rPr>
            </w:pPr>
          </w:p>
        </w:tc>
        <w:tc>
          <w:tcPr>
            <w:tcW w:w="4080" w:type="dxa"/>
            <w:vAlign w:val="bottom"/>
            <w:shd w:val="clear" w:color="auto" w:fill="C0C0C0"/>
          </w:tcPr>
          <w:p>
            <w:pPr>
              <w:ind w:left="520"/>
              <w:spacing w:after="0"/>
              <w:rPr>
                <w:sz w:val="20"/>
                <w:szCs w:val="20"/>
                <w:color w:val="auto"/>
              </w:rPr>
            </w:pPr>
            <w:r>
              <w:rPr>
                <w:rFonts w:ascii="Times New Roman" w:cs="Times New Roman" w:eastAsia="Times New Roman" w:hAnsi="Times New Roman"/>
                <w:sz w:val="18"/>
                <w:szCs w:val="18"/>
                <w:color w:val="auto"/>
              </w:rPr>
              <w:t>Mortgage</w:t>
            </w:r>
          </w:p>
        </w:tc>
        <w:tc>
          <w:tcPr>
            <w:tcW w:w="2260" w:type="dxa"/>
            <w:vAlign w:val="bottom"/>
            <w:shd w:val="clear" w:color="auto" w:fill="C0C0C0"/>
          </w:tcPr>
          <w:p>
            <w:pPr>
              <w:spacing w:after="0"/>
              <w:rPr>
                <w:sz w:val="20"/>
                <w:szCs w:val="20"/>
                <w:color w:val="auto"/>
              </w:rPr>
            </w:pPr>
          </w:p>
        </w:tc>
        <w:tc>
          <w:tcPr>
            <w:tcW w:w="106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93,110</w:t>
            </w:r>
          </w:p>
        </w:tc>
        <w:tc>
          <w:tcPr>
            <w:tcW w:w="260" w:type="dxa"/>
            <w:vAlign w:val="bottom"/>
            <w:shd w:val="clear" w:color="auto" w:fill="C0C0C0"/>
          </w:tcPr>
          <w:p>
            <w:pPr>
              <w:spacing w:after="0"/>
              <w:rPr>
                <w:sz w:val="20"/>
                <w:szCs w:val="20"/>
                <w:color w:val="auto"/>
              </w:rPr>
            </w:pPr>
          </w:p>
        </w:tc>
        <w:tc>
          <w:tcPr>
            <w:tcW w:w="128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shd w:val="clear" w:color="auto" w:fill="C0C0C0"/>
          </w:tcPr>
          <w:p>
            <w:pPr>
              <w:spacing w:after="0"/>
              <w:rPr>
                <w:sz w:val="20"/>
                <w:szCs w:val="20"/>
                <w:color w:val="auto"/>
              </w:rPr>
            </w:pPr>
          </w:p>
        </w:tc>
        <w:tc>
          <w:tcPr>
            <w:tcW w:w="1200" w:type="dxa"/>
            <w:vAlign w:val="bottom"/>
            <w:shd w:val="clear" w:color="auto" w:fill="C0C0C0"/>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93,268</w:t>
            </w:r>
          </w:p>
        </w:tc>
        <w:tc>
          <w:tcPr>
            <w:tcW w:w="2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40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Construction</w:t>
            </w:r>
          </w:p>
        </w:tc>
        <w:tc>
          <w:tcPr>
            <w:tcW w:w="2260" w:type="dxa"/>
            <w:vAlign w:val="bottom"/>
          </w:tcPr>
          <w:p>
            <w:pPr>
              <w:spacing w:after="0"/>
              <w:rPr>
                <w:sz w:val="19"/>
                <w:szCs w:val="19"/>
                <w:color w:val="auto"/>
              </w:rPr>
            </w:pP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15,293</w:t>
            </w:r>
          </w:p>
        </w:tc>
        <w:tc>
          <w:tcPr>
            <w:tcW w:w="260" w:type="dxa"/>
            <w:vAlign w:val="bottom"/>
          </w:tcPr>
          <w:p>
            <w:pPr>
              <w:spacing w:after="0"/>
              <w:rPr>
                <w:sz w:val="19"/>
                <w:szCs w:val="19"/>
                <w:color w:val="auto"/>
              </w:rPr>
            </w:pP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15,293</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80" w:type="dxa"/>
            <w:vAlign w:val="bottom"/>
            <w:shd w:val="clear" w:color="auto" w:fill="C0C0C0"/>
          </w:tcPr>
          <w:p>
            <w:pPr>
              <w:ind w:left="260"/>
              <w:spacing w:after="0"/>
              <w:rPr>
                <w:sz w:val="20"/>
                <w:szCs w:val="20"/>
                <w:color w:val="auto"/>
              </w:rPr>
            </w:pPr>
            <w:r>
              <w:rPr>
                <w:rFonts w:ascii="Times New Roman" w:cs="Times New Roman" w:eastAsia="Times New Roman" w:hAnsi="Times New Roman"/>
                <w:sz w:val="18"/>
                <w:szCs w:val="18"/>
                <w:color w:val="auto"/>
              </w:rPr>
              <w:t>Church, church-related:</w:t>
            </w:r>
          </w:p>
        </w:tc>
        <w:tc>
          <w:tcPr>
            <w:tcW w:w="2260" w:type="dxa"/>
            <w:vAlign w:val="bottom"/>
            <w:shd w:val="clear" w:color="auto" w:fill="C0C0C0"/>
          </w:tcPr>
          <w:p>
            <w:pPr>
              <w:spacing w:after="0"/>
              <w:rPr>
                <w:sz w:val="19"/>
                <w:szCs w:val="19"/>
                <w:color w:val="auto"/>
              </w:rPr>
            </w:pPr>
          </w:p>
        </w:tc>
        <w:tc>
          <w:tcPr>
            <w:tcW w:w="106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28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120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68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Mortgage</w:t>
            </w:r>
          </w:p>
        </w:tc>
        <w:tc>
          <w:tcPr>
            <w:tcW w:w="2260" w:type="dxa"/>
            <w:vAlign w:val="bottom"/>
          </w:tcPr>
          <w:p>
            <w:pPr>
              <w:spacing w:after="0"/>
              <w:rPr>
                <w:sz w:val="19"/>
                <w:szCs w:val="19"/>
                <w:color w:val="auto"/>
              </w:rPr>
            </w:pP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310,986</w:t>
            </w:r>
          </w:p>
        </w:tc>
        <w:tc>
          <w:tcPr>
            <w:tcW w:w="260" w:type="dxa"/>
            <w:vAlign w:val="bottom"/>
          </w:tcPr>
          <w:p>
            <w:pPr>
              <w:spacing w:after="0"/>
              <w:rPr>
                <w:sz w:val="19"/>
                <w:szCs w:val="19"/>
                <w:color w:val="auto"/>
              </w:rPr>
            </w:pP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1,178</w:t>
            </w:r>
          </w:p>
        </w:tc>
        <w:tc>
          <w:tcPr>
            <w:tcW w:w="240" w:type="dxa"/>
            <w:vAlign w:val="bottom"/>
          </w:tcPr>
          <w:p>
            <w:pPr>
              <w:spacing w:after="0"/>
              <w:rPr>
                <w:sz w:val="19"/>
                <w:szCs w:val="19"/>
                <w:color w:val="auto"/>
              </w:rPr>
            </w:pPr>
          </w:p>
        </w:tc>
        <w:tc>
          <w:tcPr>
            <w:tcW w:w="120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312,164</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80" w:type="dxa"/>
            <w:vAlign w:val="bottom"/>
            <w:shd w:val="clear" w:color="auto" w:fill="C0C0C0"/>
          </w:tcPr>
          <w:p>
            <w:pPr>
              <w:ind w:left="520"/>
              <w:spacing w:after="0"/>
              <w:rPr>
                <w:sz w:val="20"/>
                <w:szCs w:val="20"/>
                <w:color w:val="auto"/>
              </w:rPr>
            </w:pPr>
            <w:r>
              <w:rPr>
                <w:rFonts w:ascii="Times New Roman" w:cs="Times New Roman" w:eastAsia="Times New Roman" w:hAnsi="Times New Roman"/>
                <w:sz w:val="18"/>
                <w:szCs w:val="18"/>
                <w:color w:val="auto"/>
              </w:rPr>
              <w:t>Construction</w:t>
            </w:r>
          </w:p>
        </w:tc>
        <w:tc>
          <w:tcPr>
            <w:tcW w:w="2260" w:type="dxa"/>
            <w:vAlign w:val="bottom"/>
            <w:shd w:val="clear" w:color="auto" w:fill="C0C0C0"/>
          </w:tcPr>
          <w:p>
            <w:pPr>
              <w:spacing w:after="0"/>
              <w:rPr>
                <w:sz w:val="19"/>
                <w:szCs w:val="19"/>
                <w:color w:val="auto"/>
              </w:rPr>
            </w:pPr>
          </w:p>
        </w:tc>
        <w:tc>
          <w:tcPr>
            <w:tcW w:w="106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17,070</w:t>
            </w:r>
          </w:p>
        </w:tc>
        <w:tc>
          <w:tcPr>
            <w:tcW w:w="260" w:type="dxa"/>
            <w:vAlign w:val="bottom"/>
            <w:shd w:val="clear" w:color="auto" w:fill="C0C0C0"/>
          </w:tcPr>
          <w:p>
            <w:pPr>
              <w:spacing w:after="0"/>
              <w:rPr>
                <w:sz w:val="19"/>
                <w:szCs w:val="19"/>
                <w:color w:val="auto"/>
              </w:rPr>
            </w:pPr>
          </w:p>
        </w:tc>
        <w:tc>
          <w:tcPr>
            <w:tcW w:w="128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0C0C0"/>
          </w:tcPr>
          <w:p>
            <w:pPr>
              <w:spacing w:after="0"/>
              <w:rPr>
                <w:sz w:val="19"/>
                <w:szCs w:val="19"/>
                <w:color w:val="auto"/>
              </w:rPr>
            </w:pPr>
          </w:p>
        </w:tc>
        <w:tc>
          <w:tcPr>
            <w:tcW w:w="1200" w:type="dxa"/>
            <w:vAlign w:val="bottom"/>
            <w:shd w:val="clear" w:color="auto" w:fill="C0C0C0"/>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0C0C0"/>
          </w:tcPr>
          <w:p>
            <w:pPr>
              <w:spacing w:after="0"/>
              <w:rPr>
                <w:sz w:val="19"/>
                <w:szCs w:val="19"/>
                <w:color w:val="auto"/>
              </w:rPr>
            </w:pPr>
          </w:p>
        </w:tc>
        <w:tc>
          <w:tcPr>
            <w:tcW w:w="68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17,070</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110</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408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Total</w:t>
            </w:r>
          </w:p>
        </w:tc>
        <w:tc>
          <w:tcPr>
            <w:tcW w:w="226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748,345</w:t>
            </w:r>
          </w:p>
        </w:tc>
        <w:tc>
          <w:tcPr>
            <w:tcW w:w="260" w:type="dxa"/>
            <w:vAlign w:val="bottom"/>
            <w:tcBorders>
              <w:bottom w:val="single" w:sz="8" w:color="auto"/>
            </w:tcBorders>
            <w:shd w:val="clear" w:color="auto" w:fill="C0C0C0"/>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2,964</w:t>
            </w:r>
          </w:p>
        </w:tc>
        <w:tc>
          <w:tcPr>
            <w:tcW w:w="240" w:type="dxa"/>
            <w:vAlign w:val="bottom"/>
            <w:tcBorders>
              <w:bottom w:val="single" w:sz="8" w:color="auto"/>
            </w:tcBorders>
            <w:shd w:val="clear" w:color="auto" w:fill="C0C0C0"/>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0C0C0"/>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shd w:val="clear" w:color="auto" w:fill="C0C0C0"/>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751,309</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December 31, 2018</w:t>
            </w:r>
          </w:p>
        </w:tc>
        <w:tc>
          <w:tcPr>
            <w:tcW w:w="2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8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2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275,308</w:t>
            </w:r>
          </w:p>
        </w:tc>
        <w:tc>
          <w:tcPr>
            <w:tcW w:w="260" w:type="dxa"/>
            <w:vAlign w:val="bottom"/>
            <w:shd w:val="clear" w:color="auto" w:fill="C0C0C0"/>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1,783</w:t>
            </w:r>
          </w:p>
        </w:tc>
        <w:tc>
          <w:tcPr>
            <w:tcW w:w="240" w:type="dxa"/>
            <w:vAlign w:val="bottom"/>
            <w:shd w:val="clear" w:color="auto" w:fill="C0C0C0"/>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0C0C0"/>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0C0C0"/>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277,091</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Real estate</w:t>
            </w:r>
          </w:p>
        </w:tc>
        <w:tc>
          <w:tcPr>
            <w:tcW w:w="2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080" w:type="dxa"/>
            <w:vAlign w:val="bottom"/>
            <w:shd w:val="clear" w:color="auto" w:fill="C0C0C0"/>
          </w:tcPr>
          <w:p>
            <w:pPr>
              <w:ind w:left="260"/>
              <w:spacing w:after="0"/>
              <w:rPr>
                <w:sz w:val="20"/>
                <w:szCs w:val="20"/>
                <w:color w:val="auto"/>
              </w:rPr>
            </w:pPr>
            <w:r>
              <w:rPr>
                <w:rFonts w:ascii="Times New Roman" w:cs="Times New Roman" w:eastAsia="Times New Roman" w:hAnsi="Times New Roman"/>
                <w:sz w:val="18"/>
                <w:szCs w:val="18"/>
                <w:color w:val="auto"/>
              </w:rPr>
              <w:t>Commercial:</w:t>
            </w:r>
          </w:p>
        </w:tc>
        <w:tc>
          <w:tcPr>
            <w:tcW w:w="2260" w:type="dxa"/>
            <w:vAlign w:val="bottom"/>
            <w:shd w:val="clear" w:color="auto" w:fill="C0C0C0"/>
          </w:tcPr>
          <w:p>
            <w:pPr>
              <w:spacing w:after="0"/>
              <w:rPr>
                <w:sz w:val="20"/>
                <w:szCs w:val="20"/>
                <w:color w:val="auto"/>
              </w:rPr>
            </w:pPr>
          </w:p>
        </w:tc>
        <w:tc>
          <w:tcPr>
            <w:tcW w:w="106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28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120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680" w:type="dxa"/>
            <w:vAlign w:val="bottom"/>
            <w:shd w:val="clear" w:color="auto" w:fill="C0C0C0"/>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40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Mortgage</w:t>
            </w:r>
          </w:p>
        </w:tc>
        <w:tc>
          <w:tcPr>
            <w:tcW w:w="2260" w:type="dxa"/>
            <w:vAlign w:val="bottom"/>
          </w:tcPr>
          <w:p>
            <w:pPr>
              <w:spacing w:after="0"/>
              <w:rPr>
                <w:sz w:val="19"/>
                <w:szCs w:val="19"/>
                <w:color w:val="auto"/>
              </w:rPr>
            </w:pP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95,447</w:t>
            </w:r>
          </w:p>
        </w:tc>
        <w:tc>
          <w:tcPr>
            <w:tcW w:w="260" w:type="dxa"/>
            <w:vAlign w:val="bottom"/>
          </w:tcPr>
          <w:p>
            <w:pPr>
              <w:spacing w:after="0"/>
              <w:rPr>
                <w:sz w:val="19"/>
                <w:szCs w:val="19"/>
                <w:color w:val="auto"/>
              </w:rPr>
            </w:pP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tcPr>
          <w:p>
            <w:pPr>
              <w:spacing w:after="0"/>
              <w:rPr>
                <w:sz w:val="19"/>
                <w:szCs w:val="19"/>
                <w:color w:val="auto"/>
              </w:rPr>
            </w:pPr>
          </w:p>
        </w:tc>
        <w:tc>
          <w:tcPr>
            <w:tcW w:w="120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95,605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80" w:type="dxa"/>
            <w:vAlign w:val="bottom"/>
            <w:shd w:val="clear" w:color="auto" w:fill="C0C0C0"/>
          </w:tcPr>
          <w:p>
            <w:pPr>
              <w:ind w:left="520"/>
              <w:spacing w:after="0"/>
              <w:rPr>
                <w:sz w:val="20"/>
                <w:szCs w:val="20"/>
                <w:color w:val="auto"/>
              </w:rPr>
            </w:pPr>
            <w:r>
              <w:rPr>
                <w:rFonts w:ascii="Times New Roman" w:cs="Times New Roman" w:eastAsia="Times New Roman" w:hAnsi="Times New Roman"/>
                <w:sz w:val="18"/>
                <w:szCs w:val="18"/>
                <w:color w:val="auto"/>
              </w:rPr>
              <w:t>Construction</w:t>
            </w:r>
          </w:p>
        </w:tc>
        <w:tc>
          <w:tcPr>
            <w:tcW w:w="2260" w:type="dxa"/>
            <w:vAlign w:val="bottom"/>
            <w:shd w:val="clear" w:color="auto" w:fill="C0C0C0"/>
          </w:tcPr>
          <w:p>
            <w:pPr>
              <w:spacing w:after="0"/>
              <w:rPr>
                <w:sz w:val="19"/>
                <w:szCs w:val="19"/>
                <w:color w:val="auto"/>
              </w:rPr>
            </w:pPr>
          </w:p>
        </w:tc>
        <w:tc>
          <w:tcPr>
            <w:tcW w:w="106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11,858</w:t>
            </w:r>
          </w:p>
        </w:tc>
        <w:tc>
          <w:tcPr>
            <w:tcW w:w="260" w:type="dxa"/>
            <w:vAlign w:val="bottom"/>
            <w:shd w:val="clear" w:color="auto" w:fill="C0C0C0"/>
          </w:tcPr>
          <w:p>
            <w:pPr>
              <w:spacing w:after="0"/>
              <w:rPr>
                <w:sz w:val="19"/>
                <w:szCs w:val="19"/>
                <w:color w:val="auto"/>
              </w:rPr>
            </w:pPr>
          </w:p>
        </w:tc>
        <w:tc>
          <w:tcPr>
            <w:tcW w:w="128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0C0C0"/>
          </w:tcPr>
          <w:p>
            <w:pPr>
              <w:spacing w:after="0"/>
              <w:rPr>
                <w:sz w:val="19"/>
                <w:szCs w:val="19"/>
                <w:color w:val="auto"/>
              </w:rPr>
            </w:pPr>
          </w:p>
        </w:tc>
        <w:tc>
          <w:tcPr>
            <w:tcW w:w="1200" w:type="dxa"/>
            <w:vAlign w:val="bottom"/>
            <w:shd w:val="clear" w:color="auto" w:fill="C0C0C0"/>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0C0C0"/>
          </w:tcPr>
          <w:p>
            <w:pPr>
              <w:spacing w:after="0"/>
              <w:rPr>
                <w:sz w:val="19"/>
                <w:szCs w:val="19"/>
                <w:color w:val="auto"/>
              </w:rPr>
            </w:pPr>
          </w:p>
        </w:tc>
        <w:tc>
          <w:tcPr>
            <w:tcW w:w="68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11,858</w:t>
            </w:r>
          </w:p>
        </w:tc>
        <w:tc>
          <w:tcPr>
            <w:tcW w:w="2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Church, church-related:</w:t>
            </w:r>
          </w:p>
        </w:tc>
        <w:tc>
          <w:tcPr>
            <w:tcW w:w="2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1"/>
        </w:trPr>
        <w:tc>
          <w:tcPr>
            <w:tcW w:w="20" w:type="dxa"/>
            <w:vAlign w:val="bottom"/>
          </w:tcPr>
          <w:p>
            <w:pPr>
              <w:spacing w:after="0"/>
              <w:rPr>
                <w:sz w:val="20"/>
                <w:szCs w:val="20"/>
                <w:color w:val="auto"/>
              </w:rPr>
            </w:pPr>
          </w:p>
        </w:tc>
        <w:tc>
          <w:tcPr>
            <w:tcW w:w="4080" w:type="dxa"/>
            <w:vAlign w:val="bottom"/>
            <w:shd w:val="clear" w:color="auto" w:fill="C0C0C0"/>
          </w:tcPr>
          <w:p>
            <w:pPr>
              <w:ind w:left="520"/>
              <w:spacing w:after="0"/>
              <w:rPr>
                <w:sz w:val="20"/>
                <w:szCs w:val="20"/>
                <w:color w:val="auto"/>
              </w:rPr>
            </w:pPr>
            <w:r>
              <w:rPr>
                <w:rFonts w:ascii="Times New Roman" w:cs="Times New Roman" w:eastAsia="Times New Roman" w:hAnsi="Times New Roman"/>
                <w:sz w:val="18"/>
                <w:szCs w:val="18"/>
                <w:color w:val="auto"/>
              </w:rPr>
              <w:t>Mortgage</w:t>
            </w:r>
          </w:p>
        </w:tc>
        <w:tc>
          <w:tcPr>
            <w:tcW w:w="2260" w:type="dxa"/>
            <w:vAlign w:val="bottom"/>
            <w:shd w:val="clear" w:color="auto" w:fill="C0C0C0"/>
          </w:tcPr>
          <w:p>
            <w:pPr>
              <w:spacing w:after="0"/>
              <w:rPr>
                <w:sz w:val="20"/>
                <w:szCs w:val="20"/>
                <w:color w:val="auto"/>
              </w:rPr>
            </w:pPr>
          </w:p>
        </w:tc>
        <w:tc>
          <w:tcPr>
            <w:tcW w:w="106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314,940</w:t>
            </w:r>
          </w:p>
        </w:tc>
        <w:tc>
          <w:tcPr>
            <w:tcW w:w="260" w:type="dxa"/>
            <w:vAlign w:val="bottom"/>
            <w:shd w:val="clear" w:color="auto" w:fill="C0C0C0"/>
          </w:tcPr>
          <w:p>
            <w:pPr>
              <w:spacing w:after="0"/>
              <w:rPr>
                <w:sz w:val="20"/>
                <w:szCs w:val="20"/>
                <w:color w:val="auto"/>
              </w:rPr>
            </w:pPr>
          </w:p>
        </w:tc>
        <w:tc>
          <w:tcPr>
            <w:tcW w:w="128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1,207</w:t>
            </w:r>
          </w:p>
        </w:tc>
        <w:tc>
          <w:tcPr>
            <w:tcW w:w="240" w:type="dxa"/>
            <w:vAlign w:val="bottom"/>
            <w:shd w:val="clear" w:color="auto" w:fill="C0C0C0"/>
          </w:tcPr>
          <w:p>
            <w:pPr>
              <w:spacing w:after="0"/>
              <w:rPr>
                <w:sz w:val="20"/>
                <w:szCs w:val="20"/>
                <w:color w:val="auto"/>
              </w:rPr>
            </w:pPr>
          </w:p>
        </w:tc>
        <w:tc>
          <w:tcPr>
            <w:tcW w:w="1200" w:type="dxa"/>
            <w:vAlign w:val="bottom"/>
            <w:shd w:val="clear" w:color="auto" w:fill="C0C0C0"/>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316,147</w:t>
            </w:r>
          </w:p>
        </w:tc>
        <w:tc>
          <w:tcPr>
            <w:tcW w:w="20" w:type="dxa"/>
            <w:vAlign w:val="bottom"/>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40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Construction</w:t>
            </w:r>
          </w:p>
        </w:tc>
        <w:tc>
          <w:tcPr>
            <w:tcW w:w="2260" w:type="dxa"/>
            <w:vAlign w:val="bottom"/>
          </w:tcPr>
          <w:p>
            <w:pPr>
              <w:spacing w:after="0"/>
              <w:rPr>
                <w:sz w:val="19"/>
                <w:szCs w:val="19"/>
                <w:color w:val="auto"/>
              </w:rPr>
            </w:pP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20,576</w:t>
            </w:r>
          </w:p>
        </w:tc>
        <w:tc>
          <w:tcPr>
            <w:tcW w:w="260" w:type="dxa"/>
            <w:vAlign w:val="bottom"/>
          </w:tcPr>
          <w:p>
            <w:pPr>
              <w:spacing w:after="0"/>
              <w:rPr>
                <w:sz w:val="19"/>
                <w:szCs w:val="19"/>
                <w:color w:val="auto"/>
              </w:rPr>
            </w:pP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20,576</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08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Other</w:t>
            </w:r>
          </w:p>
        </w:tc>
        <w:tc>
          <w:tcPr>
            <w:tcW w:w="2260" w:type="dxa"/>
            <w:vAlign w:val="bottom"/>
            <w:tcBorders>
              <w:bottom w:val="single" w:sz="8" w:color="auto"/>
            </w:tcBorders>
            <w:shd w:val="clear" w:color="auto" w:fill="C0C0C0"/>
          </w:tcPr>
          <w:p>
            <w:pPr>
              <w:spacing w:after="0"/>
              <w:rPr>
                <w:sz w:val="20"/>
                <w:szCs w:val="20"/>
                <w:color w:val="auto"/>
              </w:rPr>
            </w:pPr>
          </w:p>
        </w:tc>
        <w:tc>
          <w:tcPr>
            <w:tcW w:w="1060" w:type="dxa"/>
            <w:vAlign w:val="bottom"/>
            <w:tcBorders>
              <w:bottom w:val="single" w:sz="8" w:color="auto"/>
            </w:tcBorders>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310</w:t>
            </w:r>
          </w:p>
        </w:tc>
        <w:tc>
          <w:tcPr>
            <w:tcW w:w="260" w:type="dxa"/>
            <w:vAlign w:val="bottom"/>
            <w:tcBorders>
              <w:bottom w:val="single" w:sz="8" w:color="auto"/>
            </w:tcBorders>
            <w:shd w:val="clear" w:color="auto" w:fill="C0C0C0"/>
          </w:tcPr>
          <w:p>
            <w:pPr>
              <w:spacing w:after="0"/>
              <w:rPr>
                <w:sz w:val="20"/>
                <w:szCs w:val="20"/>
                <w:color w:val="auto"/>
              </w:rPr>
            </w:pPr>
          </w:p>
        </w:tc>
        <w:tc>
          <w:tcPr>
            <w:tcW w:w="1280" w:type="dxa"/>
            <w:vAlign w:val="bottom"/>
            <w:tcBorders>
              <w:bottom w:val="single" w:sz="8" w:color="auto"/>
            </w:tcBorders>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0C0C0"/>
          </w:tcPr>
          <w:p>
            <w:pPr>
              <w:spacing w:after="0"/>
              <w:rPr>
                <w:sz w:val="20"/>
                <w:szCs w:val="20"/>
                <w:color w:val="auto"/>
              </w:rPr>
            </w:pPr>
          </w:p>
        </w:tc>
        <w:tc>
          <w:tcPr>
            <w:tcW w:w="1200" w:type="dxa"/>
            <w:vAlign w:val="bottom"/>
            <w:tcBorders>
              <w:bottom w:val="single" w:sz="8" w:color="auto"/>
            </w:tcBorders>
            <w:shd w:val="clear" w:color="auto" w:fill="C0C0C0"/>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0C0C0"/>
          </w:tcPr>
          <w:p>
            <w:pPr>
              <w:spacing w:after="0"/>
              <w:rPr>
                <w:sz w:val="20"/>
                <w:szCs w:val="20"/>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0" w:type="dxa"/>
            <w:vAlign w:val="bottom"/>
          </w:tcPr>
          <w:p>
            <w:pPr>
              <w:spacing w:after="0"/>
              <w:rPr>
                <w:sz w:val="20"/>
                <w:szCs w:val="20"/>
                <w:color w:val="auto"/>
              </w:rPr>
            </w:pPr>
          </w:p>
        </w:tc>
      </w:tr>
      <w:tr>
        <w:trPr>
          <w:trHeight w:val="225"/>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718,439</w:t>
            </w: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3,148</w:t>
            </w: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721,587</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20" w:hanging="112"/>
        <w:spacing w:after="0" w:line="188" w:lineRule="auto"/>
        <w:tabs>
          <w:tab w:leader="none" w:pos="120"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Loans subject to normal monitoring involve borrowers of acceptable-to-strong credit quality and risk, who have the apparent ability to satisfy their loan obligations.</w:t>
      </w:r>
    </w:p>
    <w:p>
      <w:pPr>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4"/>
          <w:szCs w:val="14"/>
          <w:color w:val="auto"/>
        </w:rPr>
        <w:t xml:space="preserve"> Loans subject to special monitoring possess some credit deficiency or potential weakness which requires a high level of management attention.</w:t>
      </w:r>
    </w:p>
    <w:p>
      <w:pPr>
        <w:sectPr>
          <w:pgSz w:w="11900" w:h="16838" w:orient="portrait"/>
          <w:cols w:equalWidth="0" w:num="1">
            <w:col w:w="11420"/>
          </w:cols>
          <w:pgMar w:left="240" w:top="125" w:right="239" w:bottom="1440" w:gutter="0" w:footer="0" w:header="0"/>
        </w:sectPr>
      </w:pP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1" w:name="page12"/>
    <w:bookmarkEnd w:id="11"/>
    <w:p>
      <w:pPr>
        <w:jc w:val="both"/>
        <w:spacing w:after="0" w:line="255" w:lineRule="auto"/>
        <w:rPr>
          <w:sz w:val="20"/>
          <w:szCs w:val="20"/>
          <w:color w:val="auto"/>
        </w:rPr>
      </w:pPr>
      <w:r>
        <w:rPr>
          <w:rFonts w:ascii="Times New Roman" w:cs="Times New Roman" w:eastAsia="Times New Roman" w:hAnsi="Times New Roman"/>
          <w:sz w:val="18"/>
          <w:szCs w:val="18"/>
          <w:color w:val="auto"/>
        </w:rPr>
        <w:t>Impaired loans consist primarily of nonaccrual loans, loans greater than 90 days past due and still accruing interest and troubled debt restructurings, both performing and nonperforming. Troubled debt restructuring involves the granting of a concession to a borrower experiencing financial difficulty resulting in the modification of terms of the loan, such as changes in payment schedule or interest rate. Management measures impairment in accordance with FASB ASC 310, “Allowance for Credit Losses.” The fair value of the collateral is based upon an observable market price or current appraised value and therefore, the Company classifies these assets as nonrecurring Level 3. There were no non-accrual loans, loans delinquent 90 days or more and still accruing interest, or loans classified as troubled debt restructuring at March 31, 2019 or December 31, 2018.</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foreclosed loans recorded as other real estate owned (included in other assets) as of March 31, 2019 or December 31,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activity in the allowance for loan losses from December 31, 2018 to March 31, 2019 is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3360" w:type="dxa"/>
            <w:vAlign w:val="bottom"/>
            <w:gridSpan w:val="2"/>
          </w:tcPr>
          <w:p>
            <w:pPr>
              <w:ind w:left="22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Charge-</w:t>
            </w: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52"/>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420" w:type="dxa"/>
            <w:vAlign w:val="bottom"/>
          </w:tcPr>
          <w:p>
            <w:pPr>
              <w:spacing w:after="0"/>
              <w:rPr>
                <w:sz w:val="21"/>
                <w:szCs w:val="21"/>
                <w:color w:val="auto"/>
              </w:rPr>
            </w:pP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2018</w:t>
            </w:r>
          </w:p>
        </w:tc>
        <w:tc>
          <w:tcPr>
            <w:tcW w:w="260" w:type="dxa"/>
            <w:vAlign w:val="bottom"/>
          </w:tcPr>
          <w:p>
            <w:pPr>
              <w:spacing w:after="0"/>
              <w:rPr>
                <w:sz w:val="21"/>
                <w:szCs w:val="21"/>
                <w:color w:val="auto"/>
              </w:rPr>
            </w:pPr>
          </w:p>
        </w:tc>
        <w:tc>
          <w:tcPr>
            <w:tcW w:w="64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Offs</w:t>
            </w:r>
          </w:p>
        </w:tc>
        <w:tc>
          <w:tcPr>
            <w:tcW w:w="108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Recoveries</w:t>
            </w: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Provision</w:t>
            </w:r>
          </w:p>
        </w:tc>
        <w:tc>
          <w:tcPr>
            <w:tcW w:w="300" w:type="dxa"/>
            <w:vAlign w:val="bottom"/>
          </w:tcPr>
          <w:p>
            <w:pPr>
              <w:spacing w:after="0"/>
              <w:rPr>
                <w:sz w:val="21"/>
                <w:szCs w:val="21"/>
                <w:color w:val="auto"/>
              </w:rPr>
            </w:pPr>
          </w:p>
        </w:tc>
        <w:tc>
          <w:tcPr>
            <w:tcW w:w="64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120" w:type="dxa"/>
            <w:vAlign w:val="bottom"/>
            <w:tcBorders>
              <w:top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20" w:type="dxa"/>
            <w:vAlign w:val="bottom"/>
            <w:tcBorders>
              <w:top w:val="single" w:sz="8" w:color="auto"/>
            </w:tcBorders>
            <w:shd w:val="clear" w:color="auto" w:fill="C0C0C0"/>
          </w:tcPr>
          <w:p>
            <w:pPr>
              <w:ind w:left="2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4,179</w:t>
            </w:r>
          </w:p>
        </w:tc>
        <w:tc>
          <w:tcPr>
            <w:tcW w:w="26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0C0C0"/>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tcBorders>
              <w:top w:val="single" w:sz="8" w:color="auto"/>
            </w:tcBorders>
            <w:shd w:val="clear" w:color="auto" w:fill="C0C0C0"/>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0C0C0"/>
          </w:tcPr>
          <w:p>
            <w:pPr>
              <w:jc w:val="right"/>
              <w:ind w:right="32"/>
              <w:spacing w:after="0"/>
              <w:rPr>
                <w:sz w:val="20"/>
                <w:szCs w:val="20"/>
                <w:color w:val="auto"/>
              </w:rPr>
            </w:pPr>
            <w:r>
              <w:rPr>
                <w:rFonts w:ascii="Times New Roman" w:cs="Times New Roman" w:eastAsia="Times New Roman" w:hAnsi="Times New Roman"/>
                <w:sz w:val="18"/>
                <w:szCs w:val="18"/>
                <w:color w:val="auto"/>
              </w:rPr>
              <w:t>529</w:t>
            </w:r>
          </w:p>
        </w:tc>
        <w:tc>
          <w:tcPr>
            <w:tcW w:w="300" w:type="dxa"/>
            <w:vAlign w:val="bottom"/>
            <w:tcBorders>
              <w:top w:val="single" w:sz="8" w:color="auto"/>
            </w:tcBorders>
            <w:shd w:val="clear" w:color="auto" w:fill="C0C0C0"/>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20" w:type="dxa"/>
            <w:vAlign w:val="bottom"/>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Real estate</w:t>
            </w:r>
          </w:p>
        </w:tc>
        <w:tc>
          <w:tcPr>
            <w:tcW w:w="2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4120" w:type="dxa"/>
            <w:vAlign w:val="bottom"/>
            <w:shd w:val="clear" w:color="auto" w:fill="C0C0C0"/>
          </w:tcPr>
          <w:p>
            <w:pPr>
              <w:ind w:left="260"/>
              <w:spacing w:after="0"/>
              <w:rPr>
                <w:sz w:val="20"/>
                <w:szCs w:val="20"/>
                <w:color w:val="auto"/>
              </w:rPr>
            </w:pPr>
            <w:r>
              <w:rPr>
                <w:rFonts w:ascii="Times New Roman" w:cs="Times New Roman" w:eastAsia="Times New Roman" w:hAnsi="Times New Roman"/>
                <w:sz w:val="18"/>
                <w:szCs w:val="18"/>
                <w:color w:val="auto"/>
              </w:rPr>
              <w:t>Commercial:</w:t>
            </w:r>
          </w:p>
        </w:tc>
        <w:tc>
          <w:tcPr>
            <w:tcW w:w="242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50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28"/>
        </w:trPr>
        <w:tc>
          <w:tcPr>
            <w:tcW w:w="20" w:type="dxa"/>
            <w:vAlign w:val="bottom"/>
          </w:tcPr>
          <w:p>
            <w:pPr>
              <w:spacing w:after="0"/>
              <w:rPr>
                <w:sz w:val="19"/>
                <w:szCs w:val="19"/>
                <w:color w:val="auto"/>
              </w:rPr>
            </w:pPr>
          </w:p>
        </w:tc>
        <w:tc>
          <w:tcPr>
            <w:tcW w:w="41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Mortgage</w:t>
            </w:r>
          </w:p>
        </w:tc>
        <w:tc>
          <w:tcPr>
            <w:tcW w:w="242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1,417</w:t>
            </w:r>
          </w:p>
        </w:tc>
        <w:tc>
          <w:tcPr>
            <w:tcW w:w="260" w:type="dxa"/>
            <w:vAlign w:val="bottom"/>
          </w:tcPr>
          <w:p>
            <w:pPr>
              <w:spacing w:after="0"/>
              <w:rPr>
                <w:sz w:val="19"/>
                <w:szCs w:val="19"/>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20" w:type="dxa"/>
            <w:vAlign w:val="bottom"/>
          </w:tcPr>
          <w:p>
            <w:pPr>
              <w:spacing w:after="0"/>
              <w:rPr>
                <w:sz w:val="19"/>
                <w:szCs w:val="19"/>
                <w:color w:val="auto"/>
              </w:rPr>
            </w:pPr>
          </w:p>
        </w:tc>
      </w:tr>
      <w:tr>
        <w:trPr>
          <w:trHeight w:val="258"/>
        </w:trPr>
        <w:tc>
          <w:tcPr>
            <w:tcW w:w="20" w:type="dxa"/>
            <w:vAlign w:val="bottom"/>
          </w:tcPr>
          <w:p>
            <w:pPr>
              <w:spacing w:after="0"/>
              <w:rPr>
                <w:sz w:val="22"/>
                <w:szCs w:val="22"/>
                <w:color w:val="auto"/>
              </w:rPr>
            </w:pPr>
          </w:p>
        </w:tc>
        <w:tc>
          <w:tcPr>
            <w:tcW w:w="4120" w:type="dxa"/>
            <w:vAlign w:val="bottom"/>
            <w:shd w:val="clear" w:color="auto" w:fill="C0C0C0"/>
          </w:tcPr>
          <w:p>
            <w:pPr>
              <w:ind w:left="520"/>
              <w:spacing w:after="0"/>
              <w:rPr>
                <w:sz w:val="20"/>
                <w:szCs w:val="20"/>
                <w:color w:val="auto"/>
              </w:rPr>
            </w:pPr>
            <w:r>
              <w:rPr>
                <w:rFonts w:ascii="Times New Roman" w:cs="Times New Roman" w:eastAsia="Times New Roman" w:hAnsi="Times New Roman"/>
                <w:sz w:val="18"/>
                <w:szCs w:val="18"/>
                <w:color w:val="auto"/>
              </w:rPr>
              <w:t>Construction</w:t>
            </w:r>
          </w:p>
        </w:tc>
        <w:tc>
          <w:tcPr>
            <w:tcW w:w="2420" w:type="dxa"/>
            <w:vAlign w:val="bottom"/>
            <w:shd w:val="clear" w:color="auto" w:fill="C0C0C0"/>
          </w:tcPr>
          <w:p>
            <w:pPr>
              <w:spacing w:after="0"/>
              <w:rPr>
                <w:sz w:val="22"/>
                <w:szCs w:val="22"/>
                <w:color w:val="auto"/>
              </w:rPr>
            </w:pPr>
          </w:p>
        </w:tc>
        <w:tc>
          <w:tcPr>
            <w:tcW w:w="94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shd w:val="clear" w:color="auto" w:fill="C0C0C0"/>
          </w:tcPr>
          <w:p>
            <w:pPr>
              <w:spacing w:after="0"/>
              <w:rPr>
                <w:sz w:val="22"/>
                <w:szCs w:val="22"/>
                <w:color w:val="auto"/>
              </w:rPr>
            </w:pPr>
          </w:p>
        </w:tc>
        <w:tc>
          <w:tcPr>
            <w:tcW w:w="64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0C0C0"/>
          </w:tcPr>
          <w:p>
            <w:pPr>
              <w:spacing w:after="0"/>
              <w:rPr>
                <w:sz w:val="22"/>
                <w:szCs w:val="22"/>
                <w:color w:val="auto"/>
              </w:rPr>
            </w:pPr>
          </w:p>
        </w:tc>
        <w:tc>
          <w:tcPr>
            <w:tcW w:w="58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0C0C0"/>
          </w:tcPr>
          <w:p>
            <w:pPr>
              <w:spacing w:after="0"/>
              <w:rPr>
                <w:sz w:val="22"/>
                <w:szCs w:val="22"/>
                <w:color w:val="auto"/>
              </w:rPr>
            </w:pPr>
          </w:p>
        </w:tc>
        <w:tc>
          <w:tcPr>
            <w:tcW w:w="640" w:type="dxa"/>
            <w:vAlign w:val="bottom"/>
            <w:shd w:val="clear" w:color="auto" w:fill="C0C0C0"/>
          </w:tcPr>
          <w:p>
            <w:pPr>
              <w:jc w:val="right"/>
              <w:ind w:right="32"/>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shd w:val="clear" w:color="auto" w:fill="C0C0C0"/>
          </w:tcPr>
          <w:p>
            <w:pPr>
              <w:spacing w:after="0"/>
              <w:rPr>
                <w:sz w:val="22"/>
                <w:szCs w:val="22"/>
                <w:color w:val="auto"/>
              </w:rPr>
            </w:pPr>
          </w:p>
        </w:tc>
        <w:tc>
          <w:tcPr>
            <w:tcW w:w="6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tcPr>
          <w:p>
            <w:pPr>
              <w:spacing w:after="0"/>
              <w:rPr>
                <w:sz w:val="22"/>
                <w:szCs w:val="22"/>
                <w:color w:val="auto"/>
              </w:rPr>
            </w:pPr>
          </w:p>
        </w:tc>
      </w:tr>
      <w:tr>
        <w:trPr>
          <w:trHeight w:val="228"/>
        </w:trPr>
        <w:tc>
          <w:tcPr>
            <w:tcW w:w="20" w:type="dxa"/>
            <w:vAlign w:val="bottom"/>
          </w:tcPr>
          <w:p>
            <w:pPr>
              <w:spacing w:after="0"/>
              <w:rPr>
                <w:sz w:val="19"/>
                <w:szCs w:val="19"/>
                <w:color w:val="auto"/>
              </w:rPr>
            </w:pPr>
          </w:p>
        </w:tc>
        <w:tc>
          <w:tcPr>
            <w:tcW w:w="4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Church, church-related:</w:t>
            </w:r>
          </w:p>
        </w:tc>
        <w:tc>
          <w:tcPr>
            <w:tcW w:w="2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8"/>
        </w:trPr>
        <w:tc>
          <w:tcPr>
            <w:tcW w:w="20" w:type="dxa"/>
            <w:vAlign w:val="bottom"/>
          </w:tcPr>
          <w:p>
            <w:pPr>
              <w:spacing w:after="0"/>
              <w:rPr>
                <w:sz w:val="22"/>
                <w:szCs w:val="22"/>
                <w:color w:val="auto"/>
              </w:rPr>
            </w:pPr>
          </w:p>
        </w:tc>
        <w:tc>
          <w:tcPr>
            <w:tcW w:w="4120" w:type="dxa"/>
            <w:vAlign w:val="bottom"/>
            <w:shd w:val="clear" w:color="auto" w:fill="C0C0C0"/>
          </w:tcPr>
          <w:p>
            <w:pPr>
              <w:ind w:left="520"/>
              <w:spacing w:after="0"/>
              <w:rPr>
                <w:sz w:val="20"/>
                <w:szCs w:val="20"/>
                <w:color w:val="auto"/>
              </w:rPr>
            </w:pPr>
            <w:r>
              <w:rPr>
                <w:rFonts w:ascii="Times New Roman" w:cs="Times New Roman" w:eastAsia="Times New Roman" w:hAnsi="Times New Roman"/>
                <w:sz w:val="18"/>
                <w:szCs w:val="18"/>
                <w:color w:val="auto"/>
              </w:rPr>
              <w:t>Mortgage</w:t>
            </w:r>
          </w:p>
        </w:tc>
        <w:tc>
          <w:tcPr>
            <w:tcW w:w="2420" w:type="dxa"/>
            <w:vAlign w:val="bottom"/>
            <w:shd w:val="clear" w:color="auto" w:fill="C0C0C0"/>
          </w:tcPr>
          <w:p>
            <w:pPr>
              <w:spacing w:after="0"/>
              <w:rPr>
                <w:sz w:val="22"/>
                <w:szCs w:val="22"/>
                <w:color w:val="auto"/>
              </w:rPr>
            </w:pPr>
          </w:p>
        </w:tc>
        <w:tc>
          <w:tcPr>
            <w:tcW w:w="94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3,961</w:t>
            </w:r>
          </w:p>
        </w:tc>
        <w:tc>
          <w:tcPr>
            <w:tcW w:w="260" w:type="dxa"/>
            <w:vAlign w:val="bottom"/>
            <w:shd w:val="clear" w:color="auto" w:fill="C0C0C0"/>
          </w:tcPr>
          <w:p>
            <w:pPr>
              <w:spacing w:after="0"/>
              <w:rPr>
                <w:sz w:val="22"/>
                <w:szCs w:val="22"/>
                <w:color w:val="auto"/>
              </w:rPr>
            </w:pPr>
          </w:p>
        </w:tc>
        <w:tc>
          <w:tcPr>
            <w:tcW w:w="64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0C0C0"/>
          </w:tcPr>
          <w:p>
            <w:pPr>
              <w:spacing w:after="0"/>
              <w:rPr>
                <w:sz w:val="22"/>
                <w:szCs w:val="22"/>
                <w:color w:val="auto"/>
              </w:rPr>
            </w:pPr>
          </w:p>
        </w:tc>
        <w:tc>
          <w:tcPr>
            <w:tcW w:w="58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0C0C0"/>
          </w:tcPr>
          <w:p>
            <w:pPr>
              <w:spacing w:after="0"/>
              <w:rPr>
                <w:sz w:val="22"/>
                <w:szCs w:val="22"/>
                <w:color w:val="auto"/>
              </w:rPr>
            </w:pPr>
          </w:p>
        </w:tc>
        <w:tc>
          <w:tcPr>
            <w:tcW w:w="640" w:type="dxa"/>
            <w:vAlign w:val="bottom"/>
            <w:shd w:val="clear" w:color="auto" w:fill="C0C0C0"/>
          </w:tcPr>
          <w:p>
            <w:pPr>
              <w:jc w:val="right"/>
              <w:ind w:right="32"/>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shd w:val="clear" w:color="auto" w:fill="C0C0C0"/>
          </w:tcPr>
          <w:p>
            <w:pPr>
              <w:spacing w:after="0"/>
              <w:rPr>
                <w:sz w:val="22"/>
                <w:szCs w:val="22"/>
                <w:color w:val="auto"/>
              </w:rPr>
            </w:pPr>
          </w:p>
        </w:tc>
        <w:tc>
          <w:tcPr>
            <w:tcW w:w="6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20" w:type="dxa"/>
            <w:vAlign w:val="bottom"/>
          </w:tcPr>
          <w:p>
            <w:pPr>
              <w:spacing w:after="0"/>
              <w:rPr>
                <w:sz w:val="22"/>
                <w:szCs w:val="22"/>
                <w:color w:val="auto"/>
              </w:rPr>
            </w:pPr>
          </w:p>
        </w:tc>
      </w:tr>
      <w:tr>
        <w:trPr>
          <w:trHeight w:val="228"/>
        </w:trPr>
        <w:tc>
          <w:tcPr>
            <w:tcW w:w="20" w:type="dxa"/>
            <w:vAlign w:val="bottom"/>
          </w:tcPr>
          <w:p>
            <w:pPr>
              <w:spacing w:after="0"/>
              <w:rPr>
                <w:sz w:val="19"/>
                <w:szCs w:val="19"/>
                <w:color w:val="auto"/>
              </w:rPr>
            </w:pPr>
          </w:p>
        </w:tc>
        <w:tc>
          <w:tcPr>
            <w:tcW w:w="41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Construction</w:t>
            </w:r>
          </w:p>
        </w:tc>
        <w:tc>
          <w:tcPr>
            <w:tcW w:w="242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155</w:t>
            </w:r>
          </w:p>
        </w:tc>
        <w:tc>
          <w:tcPr>
            <w:tcW w:w="260" w:type="dxa"/>
            <w:vAlign w:val="bottom"/>
          </w:tcPr>
          <w:p>
            <w:pPr>
              <w:spacing w:after="0"/>
              <w:rPr>
                <w:sz w:val="19"/>
                <w:szCs w:val="19"/>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 w:type="dxa"/>
            <w:vAlign w:val="bottom"/>
          </w:tcPr>
          <w:p>
            <w:pPr>
              <w:spacing w:after="0"/>
              <w:rPr>
                <w:sz w:val="19"/>
                <w:szCs w:val="19"/>
                <w:color w:val="auto"/>
              </w:rPr>
            </w:pPr>
          </w:p>
        </w:tc>
      </w:tr>
      <w:tr>
        <w:trPr>
          <w:trHeight w:val="251"/>
        </w:trPr>
        <w:tc>
          <w:tcPr>
            <w:tcW w:w="20" w:type="dxa"/>
            <w:vAlign w:val="bottom"/>
          </w:tcPr>
          <w:p>
            <w:pPr>
              <w:spacing w:after="0"/>
              <w:rPr>
                <w:sz w:val="21"/>
                <w:szCs w:val="21"/>
                <w:color w:val="auto"/>
              </w:rPr>
            </w:pPr>
          </w:p>
        </w:tc>
        <w:tc>
          <w:tcPr>
            <w:tcW w:w="412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Other</w:t>
            </w:r>
          </w:p>
        </w:tc>
        <w:tc>
          <w:tcPr>
            <w:tcW w:w="2420" w:type="dxa"/>
            <w:vAlign w:val="bottom"/>
            <w:tcBorders>
              <w:bottom w:val="single" w:sz="8" w:color="auto"/>
            </w:tcBorders>
            <w:shd w:val="clear" w:color="auto" w:fill="C0C0C0"/>
          </w:tcPr>
          <w:p>
            <w:pPr>
              <w:spacing w:after="0"/>
              <w:rPr>
                <w:sz w:val="21"/>
                <w:szCs w:val="21"/>
                <w:color w:val="auto"/>
              </w:rPr>
            </w:pPr>
          </w:p>
        </w:tc>
        <w:tc>
          <w:tcPr>
            <w:tcW w:w="940" w:type="dxa"/>
            <w:vAlign w:val="bottom"/>
            <w:tcBorders>
              <w:bottom w:val="single" w:sz="8" w:color="auto"/>
            </w:tcBorders>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424</w:t>
            </w:r>
          </w:p>
        </w:tc>
        <w:tc>
          <w:tcPr>
            <w:tcW w:w="260" w:type="dxa"/>
            <w:vAlign w:val="bottom"/>
            <w:tcBorders>
              <w:bottom w:val="single" w:sz="8" w:color="auto"/>
            </w:tcBorders>
            <w:shd w:val="clear" w:color="auto" w:fill="C0C0C0"/>
          </w:tcPr>
          <w:p>
            <w:pPr>
              <w:spacing w:after="0"/>
              <w:rPr>
                <w:sz w:val="21"/>
                <w:szCs w:val="21"/>
                <w:color w:val="auto"/>
              </w:rPr>
            </w:pPr>
          </w:p>
        </w:tc>
        <w:tc>
          <w:tcPr>
            <w:tcW w:w="640" w:type="dxa"/>
            <w:vAlign w:val="bottom"/>
            <w:tcBorders>
              <w:bottom w:val="single" w:sz="8" w:color="auto"/>
            </w:tcBorders>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0C0C0"/>
          </w:tcPr>
          <w:p>
            <w:pPr>
              <w:spacing w:after="0"/>
              <w:rPr>
                <w:sz w:val="21"/>
                <w:szCs w:val="21"/>
                <w:color w:val="auto"/>
              </w:rPr>
            </w:pPr>
          </w:p>
        </w:tc>
        <w:tc>
          <w:tcPr>
            <w:tcW w:w="580" w:type="dxa"/>
            <w:vAlign w:val="bottom"/>
            <w:tcBorders>
              <w:bottom w:val="single" w:sz="8" w:color="auto"/>
            </w:tcBorders>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0C0C0"/>
          </w:tcPr>
          <w:p>
            <w:pPr>
              <w:spacing w:after="0"/>
              <w:rPr>
                <w:sz w:val="21"/>
                <w:szCs w:val="21"/>
                <w:color w:val="auto"/>
              </w:rPr>
            </w:pPr>
          </w:p>
        </w:tc>
        <w:tc>
          <w:tcPr>
            <w:tcW w:w="640" w:type="dxa"/>
            <w:vAlign w:val="bottom"/>
            <w:tcBorders>
              <w:bottom w:val="single" w:sz="8" w:color="auto"/>
            </w:tcBorders>
            <w:shd w:val="clear" w:color="auto" w:fill="C0C0C0"/>
          </w:tcPr>
          <w:p>
            <w:pPr>
              <w:jc w:val="right"/>
              <w:ind w:right="32"/>
              <w:spacing w:after="0"/>
              <w:rPr>
                <w:sz w:val="20"/>
                <w:szCs w:val="20"/>
                <w:color w:val="auto"/>
              </w:rPr>
            </w:pPr>
            <w:r>
              <w:rPr>
                <w:rFonts w:ascii="Times New Roman" w:cs="Times New Roman" w:eastAsia="Times New Roman" w:hAnsi="Times New Roman"/>
                <w:sz w:val="18"/>
                <w:szCs w:val="18"/>
                <w:color w:val="auto"/>
              </w:rPr>
              <w:t>(194)</w:t>
            </w:r>
          </w:p>
        </w:tc>
        <w:tc>
          <w:tcPr>
            <w:tcW w:w="300" w:type="dxa"/>
            <w:vAlign w:val="bottom"/>
            <w:tcBorders>
              <w:bottom w:val="single" w:sz="8" w:color="auto"/>
            </w:tcBorders>
            <w:shd w:val="clear" w:color="auto" w:fill="C0C0C0"/>
          </w:tcPr>
          <w:p>
            <w:pPr>
              <w:spacing w:after="0"/>
              <w:rPr>
                <w:sz w:val="21"/>
                <w:szCs w:val="21"/>
                <w:color w:val="auto"/>
              </w:rPr>
            </w:pPr>
          </w:p>
        </w:tc>
        <w:tc>
          <w:tcPr>
            <w:tcW w:w="64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 w:type="dxa"/>
            <w:vAlign w:val="bottom"/>
          </w:tcPr>
          <w:p>
            <w:pPr>
              <w:spacing w:after="0"/>
              <w:rPr>
                <w:sz w:val="21"/>
                <w:szCs w:val="21"/>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2420" w:type="dxa"/>
            <w:vAlign w:val="bottom"/>
            <w:tcBorders>
              <w:bottom w:val="single" w:sz="8" w:color="auto"/>
            </w:tcBorders>
          </w:tcPr>
          <w:p>
            <w:pPr>
              <w:ind w:left="2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10,225</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250</w:t>
            </w:r>
          </w:p>
        </w:tc>
        <w:tc>
          <w:tcPr>
            <w:tcW w:w="3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10,486</w:t>
            </w:r>
          </w:p>
        </w:tc>
        <w:tc>
          <w:tcPr>
            <w:tcW w:w="20" w:type="dxa"/>
            <w:vAlign w:val="bottom"/>
            <w:tcBorders>
              <w:bottom w:val="single" w:sz="8" w:color="auto"/>
            </w:tcBorders>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activity in the allowance for loan losses from December 31, 2017 to March 31, 2018 is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p>
        </w:tc>
        <w:tc>
          <w:tcPr>
            <w:tcW w:w="3320" w:type="dxa"/>
            <w:vAlign w:val="bottom"/>
            <w:gridSpan w:val="2"/>
          </w:tcPr>
          <w:p>
            <w:pPr>
              <w:ind w:left="2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Charge-</w:t>
            </w: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w w:val="96"/>
              </w:rPr>
              <w:t>March 31,</w:t>
            </w:r>
          </w:p>
        </w:tc>
      </w:tr>
      <w:tr>
        <w:trPr>
          <w:trHeight w:val="252"/>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2017</w:t>
            </w:r>
          </w:p>
        </w:tc>
        <w:tc>
          <w:tcPr>
            <w:tcW w:w="2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Offs</w:t>
            </w:r>
          </w:p>
        </w:tc>
        <w:tc>
          <w:tcPr>
            <w:tcW w:w="10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Recoveries</w:t>
            </w:r>
          </w:p>
        </w:tc>
        <w:tc>
          <w:tcPr>
            <w:tcW w:w="10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Provision</w:t>
            </w:r>
          </w:p>
        </w:tc>
        <w:tc>
          <w:tcPr>
            <w:tcW w:w="3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57"/>
        </w:trPr>
        <w:tc>
          <w:tcPr>
            <w:tcW w:w="412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380" w:type="dxa"/>
            <w:vAlign w:val="bottom"/>
            <w:shd w:val="clear" w:color="auto" w:fill="C0C0C0"/>
          </w:tcPr>
          <w:p>
            <w:pPr>
              <w:ind w:left="2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0C0C0"/>
          </w:tcPr>
          <w:p>
            <w:pPr>
              <w:jc w:val="right"/>
              <w:ind w:right="32"/>
              <w:spacing w:after="0"/>
              <w:rPr>
                <w:sz w:val="20"/>
                <w:szCs w:val="20"/>
                <w:color w:val="auto"/>
              </w:rPr>
            </w:pPr>
            <w:r>
              <w:rPr>
                <w:rFonts w:ascii="Times New Roman" w:cs="Times New Roman" w:eastAsia="Times New Roman" w:hAnsi="Times New Roman"/>
                <w:sz w:val="18"/>
                <w:szCs w:val="18"/>
                <w:color w:val="auto"/>
              </w:rPr>
              <w:t>3,652</w:t>
            </w:r>
          </w:p>
        </w:tc>
        <w:tc>
          <w:tcPr>
            <w:tcW w:w="28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0C0C0"/>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0C0C0"/>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shd w:val="clear" w:color="auto" w:fill="C0C0C0"/>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0C0C0"/>
          </w:tcPr>
          <w:p>
            <w:pPr>
              <w:jc w:val="right"/>
              <w:ind w:right="32"/>
              <w:spacing w:after="0"/>
              <w:rPr>
                <w:sz w:val="20"/>
                <w:szCs w:val="20"/>
                <w:color w:val="auto"/>
              </w:rPr>
            </w:pPr>
            <w:r>
              <w:rPr>
                <w:rFonts w:ascii="Times New Roman" w:cs="Times New Roman" w:eastAsia="Times New Roman" w:hAnsi="Times New Roman"/>
                <w:sz w:val="18"/>
                <w:szCs w:val="18"/>
                <w:color w:val="auto"/>
              </w:rPr>
              <w:t>320</w:t>
            </w:r>
          </w:p>
        </w:tc>
        <w:tc>
          <w:tcPr>
            <w:tcW w:w="300" w:type="dxa"/>
            <w:vAlign w:val="bottom"/>
            <w:shd w:val="clear" w:color="auto" w:fill="C0C0C0"/>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3,977</w:t>
            </w:r>
          </w:p>
        </w:tc>
      </w:tr>
      <w:tr>
        <w:trPr>
          <w:trHeight w:val="23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Real estate</w:t>
            </w:r>
          </w:p>
        </w:tc>
        <w:tc>
          <w:tcPr>
            <w:tcW w:w="2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50"/>
        </w:trPr>
        <w:tc>
          <w:tcPr>
            <w:tcW w:w="4120" w:type="dxa"/>
            <w:vAlign w:val="bottom"/>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Commercial:</w:t>
            </w:r>
          </w:p>
        </w:tc>
        <w:tc>
          <w:tcPr>
            <w:tcW w:w="238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50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r>
      <w:tr>
        <w:trPr>
          <w:trHeight w:val="228"/>
        </w:trPr>
        <w:tc>
          <w:tcPr>
            <w:tcW w:w="4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Mortgage</w:t>
            </w:r>
          </w:p>
        </w:tc>
        <w:tc>
          <w:tcPr>
            <w:tcW w:w="23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1,394</w:t>
            </w:r>
          </w:p>
        </w:tc>
        <w:tc>
          <w:tcPr>
            <w:tcW w:w="280" w:type="dxa"/>
            <w:vAlign w:val="bottom"/>
          </w:tcPr>
          <w:p>
            <w:pPr>
              <w:spacing w:after="0"/>
              <w:rPr>
                <w:sz w:val="19"/>
                <w:szCs w:val="19"/>
                <w:color w:val="auto"/>
              </w:rPr>
            </w:pPr>
          </w:p>
        </w:tc>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w:t>
            </w:r>
          </w:p>
        </w:tc>
      </w:tr>
      <w:tr>
        <w:trPr>
          <w:trHeight w:val="258"/>
        </w:trPr>
        <w:tc>
          <w:tcPr>
            <w:tcW w:w="4120" w:type="dxa"/>
            <w:vAlign w:val="bottom"/>
            <w:shd w:val="clear" w:color="auto" w:fill="C0C0C0"/>
          </w:tcPr>
          <w:p>
            <w:pPr>
              <w:ind w:left="540"/>
              <w:spacing w:after="0"/>
              <w:rPr>
                <w:sz w:val="20"/>
                <w:szCs w:val="20"/>
                <w:color w:val="auto"/>
              </w:rPr>
            </w:pPr>
            <w:r>
              <w:rPr>
                <w:rFonts w:ascii="Times New Roman" w:cs="Times New Roman" w:eastAsia="Times New Roman" w:hAnsi="Times New Roman"/>
                <w:sz w:val="18"/>
                <w:szCs w:val="18"/>
                <w:color w:val="auto"/>
              </w:rPr>
              <w:t>Construction</w:t>
            </w:r>
          </w:p>
        </w:tc>
        <w:tc>
          <w:tcPr>
            <w:tcW w:w="2380" w:type="dxa"/>
            <w:vAlign w:val="bottom"/>
            <w:shd w:val="clear" w:color="auto" w:fill="C0C0C0"/>
          </w:tcPr>
          <w:p>
            <w:pPr>
              <w:spacing w:after="0"/>
              <w:rPr>
                <w:sz w:val="22"/>
                <w:szCs w:val="22"/>
                <w:color w:val="auto"/>
              </w:rPr>
            </w:pPr>
          </w:p>
        </w:tc>
        <w:tc>
          <w:tcPr>
            <w:tcW w:w="940" w:type="dxa"/>
            <w:vAlign w:val="bottom"/>
            <w:shd w:val="clear" w:color="auto" w:fill="C0C0C0"/>
          </w:tcPr>
          <w:p>
            <w:pPr>
              <w:jc w:val="right"/>
              <w:ind w:right="32"/>
              <w:spacing w:after="0"/>
              <w:rPr>
                <w:sz w:val="20"/>
                <w:szCs w:val="20"/>
                <w:color w:val="auto"/>
              </w:rPr>
            </w:pPr>
            <w:r>
              <w:rPr>
                <w:rFonts w:ascii="Times New Roman" w:cs="Times New Roman" w:eastAsia="Times New Roman" w:hAnsi="Times New Roman"/>
                <w:sz w:val="18"/>
                <w:szCs w:val="18"/>
                <w:color w:val="auto"/>
              </w:rPr>
              <w:t>70</w:t>
            </w:r>
          </w:p>
        </w:tc>
        <w:tc>
          <w:tcPr>
            <w:tcW w:w="280" w:type="dxa"/>
            <w:vAlign w:val="bottom"/>
            <w:shd w:val="clear" w:color="auto" w:fill="C0C0C0"/>
          </w:tcPr>
          <w:p>
            <w:pPr>
              <w:spacing w:after="0"/>
              <w:rPr>
                <w:sz w:val="22"/>
                <w:szCs w:val="22"/>
                <w:color w:val="auto"/>
              </w:rPr>
            </w:pPr>
          </w:p>
        </w:tc>
        <w:tc>
          <w:tcPr>
            <w:tcW w:w="680" w:type="dxa"/>
            <w:vAlign w:val="bottom"/>
            <w:shd w:val="clear" w:color="auto" w:fill="C0C0C0"/>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0C0C0"/>
          </w:tcPr>
          <w:p>
            <w:pPr>
              <w:spacing w:after="0"/>
              <w:rPr>
                <w:sz w:val="22"/>
                <w:szCs w:val="22"/>
                <w:color w:val="auto"/>
              </w:rPr>
            </w:pPr>
          </w:p>
        </w:tc>
        <w:tc>
          <w:tcPr>
            <w:tcW w:w="58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0C0C0"/>
          </w:tcPr>
          <w:p>
            <w:pPr>
              <w:spacing w:after="0"/>
              <w:rPr>
                <w:sz w:val="22"/>
                <w:szCs w:val="22"/>
                <w:color w:val="auto"/>
              </w:rPr>
            </w:pPr>
          </w:p>
        </w:tc>
        <w:tc>
          <w:tcPr>
            <w:tcW w:w="640" w:type="dxa"/>
            <w:vAlign w:val="bottom"/>
            <w:shd w:val="clear" w:color="auto" w:fill="C0C0C0"/>
          </w:tcPr>
          <w:p>
            <w:pPr>
              <w:jc w:val="right"/>
              <w:ind w:right="32"/>
              <w:spacing w:after="0"/>
              <w:rPr>
                <w:sz w:val="20"/>
                <w:szCs w:val="20"/>
                <w:color w:val="auto"/>
              </w:rPr>
            </w:pPr>
            <w:r>
              <w:rPr>
                <w:rFonts w:ascii="Times New Roman" w:cs="Times New Roman" w:eastAsia="Times New Roman" w:hAnsi="Times New Roman"/>
                <w:sz w:val="18"/>
                <w:szCs w:val="18"/>
                <w:color w:val="auto"/>
              </w:rPr>
              <w:t>48</w:t>
            </w:r>
          </w:p>
        </w:tc>
        <w:tc>
          <w:tcPr>
            <w:tcW w:w="300" w:type="dxa"/>
            <w:vAlign w:val="bottom"/>
            <w:shd w:val="clear" w:color="auto" w:fill="C0C0C0"/>
          </w:tcPr>
          <w:p>
            <w:pPr>
              <w:spacing w:after="0"/>
              <w:rPr>
                <w:sz w:val="22"/>
                <w:szCs w:val="22"/>
                <w:color w:val="auto"/>
              </w:rPr>
            </w:pPr>
          </w:p>
        </w:tc>
        <w:tc>
          <w:tcPr>
            <w:tcW w:w="6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8"/>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Church, church-related:</w:t>
            </w:r>
          </w:p>
        </w:tc>
        <w:tc>
          <w:tcPr>
            <w:tcW w:w="2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58"/>
        </w:trPr>
        <w:tc>
          <w:tcPr>
            <w:tcW w:w="4120" w:type="dxa"/>
            <w:vAlign w:val="bottom"/>
            <w:shd w:val="clear" w:color="auto" w:fill="C0C0C0"/>
          </w:tcPr>
          <w:p>
            <w:pPr>
              <w:ind w:left="540"/>
              <w:spacing w:after="0"/>
              <w:rPr>
                <w:sz w:val="20"/>
                <w:szCs w:val="20"/>
                <w:color w:val="auto"/>
              </w:rPr>
            </w:pPr>
            <w:r>
              <w:rPr>
                <w:rFonts w:ascii="Times New Roman" w:cs="Times New Roman" w:eastAsia="Times New Roman" w:hAnsi="Times New Roman"/>
                <w:sz w:val="18"/>
                <w:szCs w:val="18"/>
                <w:color w:val="auto"/>
              </w:rPr>
              <w:t>Mortgage</w:t>
            </w:r>
          </w:p>
        </w:tc>
        <w:tc>
          <w:tcPr>
            <w:tcW w:w="2380" w:type="dxa"/>
            <w:vAlign w:val="bottom"/>
            <w:shd w:val="clear" w:color="auto" w:fill="C0C0C0"/>
          </w:tcPr>
          <w:p>
            <w:pPr>
              <w:spacing w:after="0"/>
              <w:rPr>
                <w:sz w:val="22"/>
                <w:szCs w:val="22"/>
                <w:color w:val="auto"/>
              </w:rPr>
            </w:pPr>
          </w:p>
        </w:tc>
        <w:tc>
          <w:tcPr>
            <w:tcW w:w="940" w:type="dxa"/>
            <w:vAlign w:val="bottom"/>
            <w:shd w:val="clear" w:color="auto" w:fill="C0C0C0"/>
          </w:tcPr>
          <w:p>
            <w:pPr>
              <w:jc w:val="right"/>
              <w:ind w:right="32"/>
              <w:spacing w:after="0"/>
              <w:rPr>
                <w:sz w:val="20"/>
                <w:szCs w:val="20"/>
                <w:color w:val="auto"/>
              </w:rPr>
            </w:pPr>
            <w:r>
              <w:rPr>
                <w:rFonts w:ascii="Times New Roman" w:cs="Times New Roman" w:eastAsia="Times New Roman" w:hAnsi="Times New Roman"/>
                <w:sz w:val="18"/>
                <w:szCs w:val="18"/>
                <w:color w:val="auto"/>
              </w:rPr>
              <w:t>3,962</w:t>
            </w:r>
          </w:p>
        </w:tc>
        <w:tc>
          <w:tcPr>
            <w:tcW w:w="280" w:type="dxa"/>
            <w:vAlign w:val="bottom"/>
            <w:shd w:val="clear" w:color="auto" w:fill="C0C0C0"/>
          </w:tcPr>
          <w:p>
            <w:pPr>
              <w:spacing w:after="0"/>
              <w:rPr>
                <w:sz w:val="22"/>
                <w:szCs w:val="22"/>
                <w:color w:val="auto"/>
              </w:rPr>
            </w:pPr>
          </w:p>
        </w:tc>
        <w:tc>
          <w:tcPr>
            <w:tcW w:w="680" w:type="dxa"/>
            <w:vAlign w:val="bottom"/>
            <w:shd w:val="clear" w:color="auto" w:fill="C0C0C0"/>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0C0C0"/>
          </w:tcPr>
          <w:p>
            <w:pPr>
              <w:spacing w:after="0"/>
              <w:rPr>
                <w:sz w:val="22"/>
                <w:szCs w:val="22"/>
                <w:color w:val="auto"/>
              </w:rPr>
            </w:pPr>
          </w:p>
        </w:tc>
        <w:tc>
          <w:tcPr>
            <w:tcW w:w="58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0C0C0"/>
          </w:tcPr>
          <w:p>
            <w:pPr>
              <w:spacing w:after="0"/>
              <w:rPr>
                <w:sz w:val="22"/>
                <w:szCs w:val="22"/>
                <w:color w:val="auto"/>
              </w:rPr>
            </w:pPr>
          </w:p>
        </w:tc>
        <w:tc>
          <w:tcPr>
            <w:tcW w:w="640" w:type="dxa"/>
            <w:vAlign w:val="bottom"/>
            <w:shd w:val="clear" w:color="auto" w:fill="C0C0C0"/>
          </w:tcPr>
          <w:p>
            <w:pPr>
              <w:jc w:val="right"/>
              <w:ind w:right="32"/>
              <w:spacing w:after="0"/>
              <w:rPr>
                <w:sz w:val="20"/>
                <w:szCs w:val="20"/>
                <w:color w:val="auto"/>
              </w:rPr>
            </w:pPr>
            <w:r>
              <w:rPr>
                <w:rFonts w:ascii="Times New Roman" w:cs="Times New Roman" w:eastAsia="Times New Roman" w:hAnsi="Times New Roman"/>
                <w:sz w:val="18"/>
                <w:szCs w:val="18"/>
                <w:color w:val="auto"/>
              </w:rPr>
              <w:t>(106)</w:t>
            </w:r>
          </w:p>
        </w:tc>
        <w:tc>
          <w:tcPr>
            <w:tcW w:w="300" w:type="dxa"/>
            <w:vAlign w:val="bottom"/>
            <w:shd w:val="clear" w:color="auto" w:fill="C0C0C0"/>
          </w:tcPr>
          <w:p>
            <w:pPr>
              <w:spacing w:after="0"/>
              <w:rPr>
                <w:sz w:val="22"/>
                <w:szCs w:val="22"/>
                <w:color w:val="auto"/>
              </w:rPr>
            </w:pPr>
          </w:p>
        </w:tc>
        <w:tc>
          <w:tcPr>
            <w:tcW w:w="6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3,856</w:t>
            </w:r>
          </w:p>
        </w:tc>
      </w:tr>
      <w:tr>
        <w:trPr>
          <w:trHeight w:val="228"/>
        </w:trPr>
        <w:tc>
          <w:tcPr>
            <w:tcW w:w="4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Construction</w:t>
            </w:r>
          </w:p>
        </w:tc>
        <w:tc>
          <w:tcPr>
            <w:tcW w:w="23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196</w:t>
            </w:r>
          </w:p>
        </w:tc>
        <w:tc>
          <w:tcPr>
            <w:tcW w:w="280" w:type="dxa"/>
            <w:vAlign w:val="bottom"/>
          </w:tcPr>
          <w:p>
            <w:pPr>
              <w:spacing w:after="0"/>
              <w:rPr>
                <w:sz w:val="19"/>
                <w:szCs w:val="19"/>
                <w:color w:val="auto"/>
              </w:rPr>
            </w:pPr>
          </w:p>
        </w:tc>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58"/>
        </w:trPr>
        <w:tc>
          <w:tcPr>
            <w:tcW w:w="412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Industrial Revenue Bond</w:t>
            </w:r>
          </w:p>
        </w:tc>
        <w:tc>
          <w:tcPr>
            <w:tcW w:w="2380" w:type="dxa"/>
            <w:vAlign w:val="bottom"/>
            <w:shd w:val="clear" w:color="auto" w:fill="C0C0C0"/>
          </w:tcPr>
          <w:p>
            <w:pPr>
              <w:spacing w:after="0"/>
              <w:rPr>
                <w:sz w:val="22"/>
                <w:szCs w:val="22"/>
                <w:color w:val="auto"/>
              </w:rPr>
            </w:pPr>
          </w:p>
        </w:tc>
        <w:tc>
          <w:tcPr>
            <w:tcW w:w="940" w:type="dxa"/>
            <w:vAlign w:val="bottom"/>
            <w:shd w:val="clear" w:color="auto" w:fill="C0C0C0"/>
          </w:tcPr>
          <w:p>
            <w:pPr>
              <w:jc w:val="right"/>
              <w:ind w:right="32"/>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shd w:val="clear" w:color="auto" w:fill="C0C0C0"/>
          </w:tcPr>
          <w:p>
            <w:pPr>
              <w:spacing w:after="0"/>
              <w:rPr>
                <w:sz w:val="22"/>
                <w:szCs w:val="22"/>
                <w:color w:val="auto"/>
              </w:rPr>
            </w:pPr>
          </w:p>
        </w:tc>
        <w:tc>
          <w:tcPr>
            <w:tcW w:w="680" w:type="dxa"/>
            <w:vAlign w:val="bottom"/>
            <w:shd w:val="clear" w:color="auto" w:fill="C0C0C0"/>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0C0C0"/>
          </w:tcPr>
          <w:p>
            <w:pPr>
              <w:spacing w:after="0"/>
              <w:rPr>
                <w:sz w:val="22"/>
                <w:szCs w:val="22"/>
                <w:color w:val="auto"/>
              </w:rPr>
            </w:pPr>
          </w:p>
        </w:tc>
        <w:tc>
          <w:tcPr>
            <w:tcW w:w="58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0C0C0"/>
          </w:tcPr>
          <w:p>
            <w:pPr>
              <w:spacing w:after="0"/>
              <w:rPr>
                <w:sz w:val="22"/>
                <w:szCs w:val="22"/>
                <w:color w:val="auto"/>
              </w:rPr>
            </w:pPr>
          </w:p>
        </w:tc>
        <w:tc>
          <w:tcPr>
            <w:tcW w:w="640" w:type="dxa"/>
            <w:vAlign w:val="bottom"/>
            <w:shd w:val="clear" w:color="auto" w:fill="C0C0C0"/>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shd w:val="clear" w:color="auto" w:fill="C0C0C0"/>
          </w:tcPr>
          <w:p>
            <w:pPr>
              <w:spacing w:after="0"/>
              <w:rPr>
                <w:sz w:val="22"/>
                <w:szCs w:val="22"/>
                <w:color w:val="auto"/>
              </w:rPr>
            </w:pPr>
          </w:p>
        </w:tc>
        <w:tc>
          <w:tcPr>
            <w:tcW w:w="6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7"/>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879</w:t>
            </w: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(219)</w:t>
            </w:r>
          </w:p>
        </w:tc>
        <w:tc>
          <w:tcPr>
            <w:tcW w:w="3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37"/>
        </w:trPr>
        <w:tc>
          <w:tcPr>
            <w:tcW w:w="412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Total</w:t>
            </w:r>
          </w:p>
        </w:tc>
        <w:tc>
          <w:tcPr>
            <w:tcW w:w="2380" w:type="dxa"/>
            <w:vAlign w:val="bottom"/>
            <w:tcBorders>
              <w:bottom w:val="single" w:sz="8" w:color="auto"/>
            </w:tcBorders>
            <w:shd w:val="clear" w:color="auto" w:fill="C0C0C0"/>
          </w:tcPr>
          <w:p>
            <w:pPr>
              <w:ind w:left="2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0C0C0"/>
          </w:tcPr>
          <w:p>
            <w:pPr>
              <w:jc w:val="right"/>
              <w:ind w:right="32"/>
              <w:spacing w:after="0"/>
              <w:rPr>
                <w:sz w:val="20"/>
                <w:szCs w:val="20"/>
                <w:color w:val="auto"/>
              </w:rPr>
            </w:pPr>
            <w:r>
              <w:rPr>
                <w:rFonts w:ascii="Times New Roman" w:cs="Times New Roman" w:eastAsia="Times New Roman" w:hAnsi="Times New Roman"/>
                <w:sz w:val="18"/>
                <w:szCs w:val="18"/>
                <w:color w:val="auto"/>
              </w:rPr>
              <w:t>10,205</w:t>
            </w:r>
          </w:p>
        </w:tc>
        <w:tc>
          <w:tcPr>
            <w:tcW w:w="28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0C0C0"/>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0C0C0"/>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tcBorders>
              <w:bottom w:val="single" w:sz="8" w:color="auto"/>
            </w:tcBorders>
            <w:shd w:val="clear" w:color="auto" w:fill="C0C0C0"/>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0C0C0"/>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0C0C0"/>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10,210</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7 – Commitments and Contingencies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the Company is party to activities that contain credit, market and operational risks that are not reflected in whole or in part in the Company’s consolidated financial statements. Such activities include traditional off-balance sheet credit-related financial instruments and commitments under operating leases. These financial instruments include commitments to extend credit, commercial letters of credit and standby letters of credit. The Company’s maximum potential exposure to credit loss in the event of nonperformance by the other party to the financial instrument for commitments to extend credit, commercial letters of credit and standby letters of credit is represented by the contractual amounts of those instruments. At March 31, 2019 and December 31, 2018, no amounts have been accrued for any estimated losses for these instruments.</w:t>
      </w:r>
    </w:p>
    <w:p>
      <w:pPr>
        <w:spacing w:after="0" w:line="1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Commitments to extend credit are agreements to lend to a customer as long as there is no violation of any condition established in the contract. Commercial and standby letters of credit are conditional commitments issued by the Company or its subsidiaries to guarantee the performance of a customer to a third party. These off-balance sheet financial instruments generally have fixed expiration dates or other termination clauses and may require payment of a fee. At March 31, 2019, the balance of unused loan commitments, standby and commercial letters of credit were $145,100,000, $11,029,000, and $3,791,000, respectively. Since some of the financial instruments may expire without being drawn upon, the total amounts do not necessarily represent future cash requirements. Commitments to extend credit and letters of credit are subject to the same underwriting standards as those financial instruments included on the consolidated balance sheets. The Company evaluates each customer’s credit worthiness on a case-by-case basis. The amount of collateral obtained, if deemed necessary upon extension of the credit, is based on management’s credit evaluation of the borrower. Collateral held varies, but is generally accounts receivable, inventory, residential or income-producing commercial property or equipment. In the event of nonperformance, the Company or its subsidiaries may obtain and liquidate the collateral to recover amounts paid under guarantees on these financial instruments.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The following table summarizes contractual cash obligations of the Company related to time deposits at March 31, 2019:</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6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0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Amount of Commitment Expiration per Period</w:t>
            </w:r>
          </w:p>
        </w:tc>
        <w:tc>
          <w:tcPr>
            <w:tcW w:w="2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6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6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Less than</w:t>
            </w:r>
          </w:p>
        </w:tc>
        <w:tc>
          <w:tcPr>
            <w:tcW w:w="280" w:type="dxa"/>
            <w:vAlign w:val="bottom"/>
          </w:tcPr>
          <w:p>
            <w:pPr>
              <w:spacing w:after="0"/>
              <w:rPr>
                <w:sz w:val="20"/>
                <w:szCs w:val="20"/>
                <w:color w:val="auto"/>
              </w:rPr>
            </w:pPr>
          </w:p>
        </w:tc>
        <w:tc>
          <w:tcPr>
            <w:tcW w:w="80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1-3</w:t>
            </w:r>
          </w:p>
        </w:tc>
        <w:tc>
          <w:tcPr>
            <w:tcW w:w="240" w:type="dxa"/>
            <w:vAlign w:val="bottom"/>
          </w:tcPr>
          <w:p>
            <w:pPr>
              <w:spacing w:after="0"/>
              <w:rPr>
                <w:sz w:val="20"/>
                <w:szCs w:val="20"/>
                <w:color w:val="auto"/>
              </w:rPr>
            </w:pPr>
          </w:p>
        </w:tc>
        <w:tc>
          <w:tcPr>
            <w:tcW w:w="86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3-5</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Over 5</w:t>
            </w:r>
          </w:p>
        </w:tc>
        <w:tc>
          <w:tcPr>
            <w:tcW w:w="20" w:type="dxa"/>
            <w:vAlign w:val="bottom"/>
          </w:tcPr>
          <w:p>
            <w:pPr>
              <w:spacing w:after="0"/>
              <w:rPr>
                <w:sz w:val="20"/>
                <w:szCs w:val="20"/>
                <w:color w:val="auto"/>
              </w:rPr>
            </w:pPr>
          </w:p>
        </w:tc>
      </w:tr>
      <w:tr>
        <w:trPr>
          <w:trHeight w:val="263"/>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Pr>
          <w:p>
            <w:pPr>
              <w:spacing w:after="0"/>
              <w:rPr>
                <w:sz w:val="22"/>
                <w:szCs w:val="22"/>
                <w:color w:val="auto"/>
              </w:rPr>
            </w:pPr>
          </w:p>
        </w:tc>
        <w:tc>
          <w:tcPr>
            <w:tcW w:w="78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spacing w:after="0"/>
              <w:rPr>
                <w:sz w:val="22"/>
                <w:szCs w:val="22"/>
                <w:color w:val="auto"/>
              </w:rPr>
            </w:pPr>
          </w:p>
        </w:tc>
        <w:tc>
          <w:tcPr>
            <w:tcW w:w="8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w w:val="97"/>
              </w:rPr>
              <w:t>1 Year</w:t>
            </w:r>
          </w:p>
        </w:tc>
        <w:tc>
          <w:tcPr>
            <w:tcW w:w="280" w:type="dxa"/>
            <w:vAlign w:val="bottom"/>
          </w:tcPr>
          <w:p>
            <w:pPr>
              <w:spacing w:after="0"/>
              <w:rPr>
                <w:sz w:val="22"/>
                <w:szCs w:val="22"/>
                <w:color w:val="auto"/>
              </w:rPr>
            </w:pPr>
          </w:p>
        </w:tc>
        <w:tc>
          <w:tcPr>
            <w:tcW w:w="80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240" w:type="dxa"/>
            <w:vAlign w:val="bottom"/>
          </w:tcPr>
          <w:p>
            <w:pPr>
              <w:spacing w:after="0"/>
              <w:rPr>
                <w:sz w:val="22"/>
                <w:szCs w:val="22"/>
                <w:color w:val="auto"/>
              </w:rPr>
            </w:pPr>
          </w:p>
        </w:tc>
        <w:tc>
          <w:tcPr>
            <w:tcW w:w="86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6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3"/>
              </w:rPr>
              <w:t>Years</w:t>
            </w:r>
          </w:p>
        </w:tc>
      </w:tr>
      <w:tr>
        <w:trPr>
          <w:trHeight w:val="237"/>
        </w:trPr>
        <w:tc>
          <w:tcPr>
            <w:tcW w:w="6660" w:type="dxa"/>
            <w:vAlign w:val="bottom"/>
            <w:tcBorders>
              <w:top w:val="single" w:sz="8" w:color="auto"/>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6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74,138</w:t>
            </w:r>
          </w:p>
        </w:tc>
        <w:tc>
          <w:tcPr>
            <w:tcW w:w="26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52,181</w:t>
            </w:r>
          </w:p>
        </w:tc>
        <w:tc>
          <w:tcPr>
            <w:tcW w:w="2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19,504</w:t>
            </w:r>
          </w:p>
        </w:tc>
        <w:tc>
          <w:tcPr>
            <w:tcW w:w="2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0C0C0"/>
          </w:tcPr>
          <w:p>
            <w:pPr>
              <w:jc w:val="right"/>
              <w:ind w:right="172"/>
              <w:spacing w:after="0"/>
              <w:rPr>
                <w:sz w:val="20"/>
                <w:szCs w:val="20"/>
                <w:color w:val="auto"/>
              </w:rPr>
            </w:pPr>
            <w:r>
              <w:rPr>
                <w:rFonts w:ascii="Times New Roman" w:cs="Times New Roman" w:eastAsia="Times New Roman" w:hAnsi="Times New Roman"/>
                <w:sz w:val="18"/>
                <w:szCs w:val="18"/>
                <w:color w:val="auto"/>
              </w:rPr>
              <w:t>2,453</w:t>
            </w:r>
          </w:p>
        </w:tc>
        <w:tc>
          <w:tcPr>
            <w:tcW w:w="260" w:type="dxa"/>
            <w:vAlign w:val="bottom"/>
            <w:tcBorders>
              <w:top w:val="single" w:sz="8" w:color="auto"/>
              <w:bottom w:val="single" w:sz="8" w:color="auto"/>
            </w:tcBorders>
            <w:shd w:val="clear" w:color="auto" w:fill="C0C0C0"/>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0C0C0"/>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0"/>
                <w:szCs w:val="20"/>
                <w:color w:val="auto"/>
              </w:rPr>
            </w:pPr>
          </w:p>
        </w:tc>
      </w:tr>
      <w:tr>
        <w:trPr>
          <w:trHeight w:val="250"/>
        </w:trPr>
        <w:tc>
          <w:tcPr>
            <w:tcW w:w="66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74,138</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52,181</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19,504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2,453</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tcPr>
          <w:p>
            <w:pPr>
              <w:spacing w:after="0"/>
              <w:rPr>
                <w:sz w:val="21"/>
                <w:szCs w:val="21"/>
                <w:color w:val="auto"/>
              </w:rPr>
            </w:pPr>
          </w:p>
        </w:tc>
      </w:tr>
    </w:tbl>
    <w:p>
      <w:pPr>
        <w:spacing w:after="0" w:line="20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Company and its subsidiaries are involved in various pending legal actions and proceedings in which claims for damages are asserted. Management, after discussion with legal counsel, believes the ultimate resolution of these legal actions and proceedings will not have a material effect upon the Company’s consolidated financial position or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8 – Stock-Based Compensation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Amended and Restated Omnibus Stock and Performance Compensation Plan (the “Omnibus Plan”) permits the issuance of up to 1,500,000 shares of the Company’s common stock in the form of stock options, stock appreciation rights (“SARs”), restricted stock, restricted stock units and performance awards. The Company may issue shares out of treasury stock for these awards. During the three months ended March 31, 2019, 25,124 restricted shares, 36,403 performance-based restricted shares, and 0 SARs were granted under the Omnibus Plan.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Beginning on April 16, 2013, restricted shares granted to Company employees are amortized to expense over a three-year vesting period whereas restricted shares granted to members of the Board of Directors are amortized to expense over a one-year service period, with the exception of those shares granted in lieu of cash payments for retainer fees which are expensed in the period earned. Beginning on February 2, 2017, restricted shares granted to Company employees are amortized to expense over the three-year cliff vesting period.</w:t>
      </w:r>
    </w:p>
    <w:p>
      <w:pPr>
        <w:spacing w:after="0" w:line="19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As of March 31, 2019, the total unrecognized compensation expense related to non-vested restricted shares was $2,150,000, and the related weighted-average period over which it is expected to be recognized is approximately 1.15 years.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Following is a summary of the activity of the restricted stock:</w:t>
            </w: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46"/>
        </w:trPr>
        <w:tc>
          <w:tcPr>
            <w:tcW w:w="2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19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Three Months Ended</w:t>
            </w:r>
          </w:p>
        </w:tc>
      </w:tr>
      <w:tr>
        <w:trPr>
          <w:trHeight w:val="266"/>
        </w:trPr>
        <w:tc>
          <w:tcPr>
            <w:tcW w:w="20" w:type="dxa"/>
            <w:vAlign w:val="bottom"/>
          </w:tcPr>
          <w:p>
            <w:pPr>
              <w:spacing w:after="0"/>
              <w:rPr>
                <w:sz w:val="23"/>
                <w:szCs w:val="23"/>
                <w:color w:val="auto"/>
              </w:rPr>
            </w:pPr>
          </w:p>
        </w:tc>
        <w:tc>
          <w:tcPr>
            <w:tcW w:w="7220" w:type="dxa"/>
            <w:vAlign w:val="bottom"/>
          </w:tcPr>
          <w:p>
            <w:pPr>
              <w:spacing w:after="0"/>
              <w:rPr>
                <w:sz w:val="23"/>
                <w:szCs w:val="23"/>
                <w:color w:val="auto"/>
              </w:rPr>
            </w:pPr>
          </w:p>
        </w:tc>
        <w:tc>
          <w:tcPr>
            <w:tcW w:w="19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March 31, 2019</w:t>
            </w:r>
          </w:p>
        </w:tc>
      </w:tr>
      <w:tr>
        <w:trPr>
          <w:trHeight w:val="250"/>
        </w:trPr>
        <w:tc>
          <w:tcPr>
            <w:tcW w:w="20" w:type="dxa"/>
            <w:vAlign w:val="bottom"/>
          </w:tcPr>
          <w:p>
            <w:pPr>
              <w:spacing w:after="0"/>
              <w:rPr>
                <w:sz w:val="21"/>
                <w:szCs w:val="21"/>
                <w:color w:val="auto"/>
              </w:rPr>
            </w:pPr>
          </w:p>
        </w:tc>
        <w:tc>
          <w:tcPr>
            <w:tcW w:w="7220" w:type="dxa"/>
            <w:vAlign w:val="bottom"/>
            <w:tcBorders>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22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960" w:type="dxa"/>
            <w:vAlign w:val="bottom"/>
            <w:shd w:val="clear" w:color="auto" w:fill="C0C0C0"/>
          </w:tcPr>
          <w:p>
            <w:pPr>
              <w:jc w:val="right"/>
              <w:ind w:right="32"/>
              <w:spacing w:after="0"/>
              <w:rPr>
                <w:sz w:val="20"/>
                <w:szCs w:val="20"/>
                <w:color w:val="auto"/>
              </w:rPr>
            </w:pPr>
            <w:r>
              <w:rPr>
                <w:rFonts w:ascii="Times New Roman" w:cs="Times New Roman" w:eastAsia="Times New Roman" w:hAnsi="Times New Roman"/>
                <w:sz w:val="18"/>
                <w:szCs w:val="18"/>
                <w:color w:val="auto"/>
              </w:rPr>
              <w:t>99,724</w:t>
            </w:r>
          </w:p>
        </w:tc>
        <w:tc>
          <w:tcPr>
            <w:tcW w:w="380" w:type="dxa"/>
            <w:vAlign w:val="bottom"/>
            <w:shd w:val="clear" w:color="auto" w:fill="C0C0C0"/>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45.48</w:t>
            </w:r>
          </w:p>
        </w:tc>
        <w:tc>
          <w:tcPr>
            <w:tcW w:w="20" w:type="dxa"/>
            <w:vAlign w:val="bottom"/>
          </w:tcPr>
          <w:p>
            <w:pPr>
              <w:spacing w:after="0"/>
              <w:rPr>
                <w:sz w:val="21"/>
                <w:szCs w:val="21"/>
                <w:color w:val="auto"/>
              </w:rPr>
            </w:pPr>
          </w:p>
        </w:tc>
      </w:tr>
      <w:tr>
        <w:trPr>
          <w:trHeight w:val="228"/>
        </w:trPr>
        <w:tc>
          <w:tcPr>
            <w:tcW w:w="20" w:type="dxa"/>
            <w:vAlign w:val="bottom"/>
          </w:tcPr>
          <w:p>
            <w:pPr>
              <w:spacing w:after="0"/>
              <w:rPr>
                <w:sz w:val="19"/>
                <w:szCs w:val="19"/>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25,124</w:t>
            </w:r>
          </w:p>
        </w:tc>
        <w:tc>
          <w:tcPr>
            <w:tcW w:w="3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w:t>
            </w:r>
          </w:p>
        </w:tc>
        <w:tc>
          <w:tcPr>
            <w:tcW w:w="20" w:type="dxa"/>
            <w:vAlign w:val="bottom"/>
          </w:tcPr>
          <w:p>
            <w:pPr>
              <w:spacing w:after="0"/>
              <w:rPr>
                <w:sz w:val="19"/>
                <w:szCs w:val="19"/>
                <w:color w:val="auto"/>
              </w:rPr>
            </w:pPr>
          </w:p>
        </w:tc>
      </w:tr>
      <w:tr>
        <w:trPr>
          <w:trHeight w:val="251"/>
        </w:trPr>
        <w:tc>
          <w:tcPr>
            <w:tcW w:w="20" w:type="dxa"/>
            <w:vAlign w:val="bottom"/>
          </w:tcPr>
          <w:p>
            <w:pPr>
              <w:spacing w:after="0"/>
              <w:rPr>
                <w:sz w:val="21"/>
                <w:szCs w:val="21"/>
                <w:color w:val="auto"/>
              </w:rPr>
            </w:pPr>
          </w:p>
        </w:tc>
        <w:tc>
          <w:tcPr>
            <w:tcW w:w="722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Vested</w:t>
            </w:r>
          </w:p>
        </w:tc>
        <w:tc>
          <w:tcPr>
            <w:tcW w:w="960" w:type="dxa"/>
            <w:vAlign w:val="bottom"/>
            <w:tcBorders>
              <w:bottom w:val="single" w:sz="8" w:color="auto"/>
            </w:tcBorders>
            <w:shd w:val="clear" w:color="auto" w:fill="C0C0C0"/>
          </w:tcPr>
          <w:p>
            <w:pPr>
              <w:jc w:val="right"/>
              <w:ind w:right="32"/>
              <w:spacing w:after="0"/>
              <w:rPr>
                <w:sz w:val="20"/>
                <w:szCs w:val="20"/>
                <w:color w:val="auto"/>
              </w:rPr>
            </w:pPr>
            <w:r>
              <w:rPr>
                <w:rFonts w:ascii="Times New Roman" w:cs="Times New Roman" w:eastAsia="Times New Roman" w:hAnsi="Times New Roman"/>
                <w:sz w:val="18"/>
                <w:szCs w:val="18"/>
                <w:color w:val="auto"/>
              </w:rPr>
              <w:t>(11,196)</w:t>
            </w:r>
          </w:p>
        </w:tc>
        <w:tc>
          <w:tcPr>
            <w:tcW w:w="380" w:type="dxa"/>
            <w:vAlign w:val="bottom"/>
            <w:tcBorders>
              <w:bottom w:val="single" w:sz="8" w:color="auto"/>
            </w:tcBorders>
            <w:shd w:val="clear" w:color="auto" w:fill="C0C0C0"/>
          </w:tcPr>
          <w:p>
            <w:pPr>
              <w:spacing w:after="0"/>
              <w:rPr>
                <w:sz w:val="21"/>
                <w:szCs w:val="21"/>
                <w:color w:val="auto"/>
              </w:rPr>
            </w:pPr>
          </w:p>
        </w:tc>
        <w:tc>
          <w:tcPr>
            <w:tcW w:w="56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37.73</w:t>
            </w:r>
          </w:p>
        </w:tc>
        <w:tc>
          <w:tcPr>
            <w:tcW w:w="20" w:type="dxa"/>
            <w:vAlign w:val="bottom"/>
          </w:tcPr>
          <w:p>
            <w:pPr>
              <w:spacing w:after="0"/>
              <w:rPr>
                <w:sz w:val="21"/>
                <w:szCs w:val="2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7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at March 31, 2019</w:t>
            </w: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113,652</w:t>
            </w:r>
          </w:p>
        </w:tc>
        <w:tc>
          <w:tcPr>
            <w:tcW w:w="3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47.03</w:t>
            </w:r>
          </w:p>
        </w:tc>
        <w:tc>
          <w:tcPr>
            <w:tcW w:w="20" w:type="dxa"/>
            <w:vAlign w:val="bottom"/>
            <w:tcBorders>
              <w:bottom w:val="single" w:sz="8" w:color="auto"/>
            </w:tcBorders>
          </w:tcPr>
          <w:p>
            <w:pPr>
              <w:spacing w:after="0"/>
              <w:rPr>
                <w:sz w:val="21"/>
                <w:szCs w:val="2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Restricted Stock</w:t>
      </w:r>
    </w:p>
    <w:p>
      <w:pPr>
        <w:spacing w:after="0" w:line="2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February of 2017, the Company granted three-year performance based restricted stock (“PBRS”) awards which are contingent upon the Company’s achievement of pre-established financial goals over the period from January 1, 2017 through December 31, 2019. The PBRS awards cliff vest on the three year anniversary of their grant date at levels ranging from 0% to 150% of the target opportunity based on the actual achievement of financial goals for the three-year performance period. The aggregate target number of PBRS shares outstanding at March 31, 2019 was 30,057 with a grant date fair value of $49.33 per share. The 2019 expense related to these grants is currently estimated to be $655,000 and is based on the grant date fair value of the awards and the Company’s achievement of 132% of the target financial goals. The estimated expense for 2019 and each future period through the vesting date is subject to prospective adjustment based upon changes in the expected achievement of the financial goals.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jc w:val="both"/>
        <w:spacing w:after="0" w:line="254" w:lineRule="auto"/>
        <w:rPr>
          <w:sz w:val="20"/>
          <w:szCs w:val="20"/>
          <w:color w:val="auto"/>
        </w:rPr>
      </w:pPr>
      <w:r>
        <w:rPr>
          <w:rFonts w:ascii="Times New Roman" w:cs="Times New Roman" w:eastAsia="Times New Roman" w:hAnsi="Times New Roman"/>
          <w:sz w:val="18"/>
          <w:szCs w:val="18"/>
          <w:color w:val="auto"/>
        </w:rPr>
        <w:t>In February and July of 2018, the Company granted three-year PBRS awards which are contingent upon the Company’s achievement of pre-established financial goals over the period from January 1, 2018 through December 31, 2020. The PBRS awards cliff vest on the three year anniversary of their grant date at levels ranging from 0% to 150% of the target opportunity based on the actual achievement of financial goals for the three-year performance period. The aggregate target number of PBRS shares outstanding at March 31, 2019 was 35,258 with an average grant date fair value of $49.04 per share. The 2019 expense related to these grants is currently estimated to be $829,000 and is based on the grant date fair value of the awards and the Company’s achievement of 144% of the target financial goals. The estimated expense for 2019 and each future period through the vesting date is subject to prospective adjustment based upon changes in the expected achievement of the financial goals.</w:t>
      </w:r>
    </w:p>
    <w:p>
      <w:pPr>
        <w:spacing w:after="0" w:line="1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February of 2019, the Company granted three-year PBRS awards which are contingent upon the Company’s achievement of pre-established financial goals over the period from January 1, 2019 through December 31, 2021. The PBRS awards cliff vest on the three year anniversary of their grant date at levels ranging from 0% to 150% of the target opportunity based on the actual achievement of financial goals for the three-year performance period. The aggregate target number of PBRS shares outstanding at March 31, 2019 was 36,403 with an average grant date fair value of $49.10 per share. The 2019 expense related to these grants is currently estimated to be $595,000 and is based on the grant date fair value of the awards and the Company’s achievement of 100% of the target financial goals. The estimated expense for 2019 and each future period through the vesting date is subject to prospective adjustment based upon changes in the expected achievement of the financial goals.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SARs granted and no expense recognized during the three months ended March 31, 2019. Following is a summary of the activity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SARs program for the three-month period ended March 31, 2019:</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Weighted-</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60" w:type="dxa"/>
            <w:vAlign w:val="bottom"/>
          </w:tcPr>
          <w:p>
            <w:pPr>
              <w:spacing w:after="0"/>
              <w:rPr>
                <w:sz w:val="20"/>
                <w:szCs w:val="20"/>
                <w:color w:val="auto"/>
              </w:rPr>
            </w:pPr>
          </w:p>
        </w:tc>
        <w:tc>
          <w:tcPr>
            <w:tcW w:w="96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6"/>
              </w:rPr>
              <w:t>Aggregate</w:t>
            </w:r>
          </w:p>
        </w:tc>
      </w:tr>
      <w:tr>
        <w:trPr>
          <w:trHeight w:val="243"/>
        </w:trPr>
        <w:tc>
          <w:tcPr>
            <w:tcW w:w="7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3"/>
              </w:rPr>
              <w:t>Average</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Remaining</w:t>
            </w:r>
          </w:p>
        </w:tc>
        <w:tc>
          <w:tcPr>
            <w:tcW w:w="260" w:type="dxa"/>
            <w:vAlign w:val="bottom"/>
          </w:tcPr>
          <w:p>
            <w:pPr>
              <w:spacing w:after="0"/>
              <w:rPr>
                <w:sz w:val="21"/>
                <w:szCs w:val="21"/>
                <w:color w:val="auto"/>
              </w:rPr>
            </w:pPr>
          </w:p>
        </w:tc>
        <w:tc>
          <w:tcPr>
            <w:tcW w:w="96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6"/>
              </w:rPr>
              <w:t>Intrinsic</w:t>
            </w:r>
          </w:p>
        </w:tc>
      </w:tr>
      <w:tr>
        <w:trPr>
          <w:trHeight w:val="243"/>
        </w:trPr>
        <w:tc>
          <w:tcPr>
            <w:tcW w:w="7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Contractual</w:t>
            </w:r>
          </w:p>
        </w:tc>
        <w:tc>
          <w:tcPr>
            <w:tcW w:w="260" w:type="dxa"/>
            <w:vAlign w:val="bottom"/>
          </w:tcPr>
          <w:p>
            <w:pPr>
              <w:spacing w:after="0"/>
              <w:rPr>
                <w:sz w:val="21"/>
                <w:szCs w:val="21"/>
                <w:color w:val="auto"/>
              </w:rPr>
            </w:pPr>
          </w:p>
        </w:tc>
        <w:tc>
          <w:tcPr>
            <w:tcW w:w="96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66"/>
        </w:trPr>
        <w:tc>
          <w:tcPr>
            <w:tcW w:w="7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Term Years</w:t>
            </w:r>
          </w:p>
        </w:tc>
        <w:tc>
          <w:tcPr>
            <w:tcW w:w="1220" w:type="dxa"/>
            <w:vAlign w:val="bottom"/>
            <w:tcBorders>
              <w:bottom w:val="single" w:sz="8" w:color="auto"/>
            </w:tcBorders>
            <w:gridSpan w:val="2"/>
          </w:tcPr>
          <w:p>
            <w:pPr>
              <w:jc w:val="center"/>
              <w:ind w:left="52"/>
              <w:spacing w:after="0"/>
              <w:rPr>
                <w:sz w:val="20"/>
                <w:szCs w:val="20"/>
                <w:color w:val="auto"/>
              </w:rPr>
            </w:pPr>
            <w:r>
              <w:rPr>
                <w:rFonts w:ascii="Times New Roman" w:cs="Times New Roman" w:eastAsia="Times New Roman" w:hAnsi="Times New Roman"/>
                <w:sz w:val="18"/>
                <w:szCs w:val="18"/>
                <w:b w:val="1"/>
                <w:bCs w:val="1"/>
                <w:i w:val="1"/>
                <w:iCs w:val="1"/>
                <w:color w:val="auto"/>
                <w:w w:val="98"/>
              </w:rPr>
              <w:t>(In thousands)</w:t>
            </w:r>
          </w:p>
        </w:tc>
      </w:tr>
      <w:tr>
        <w:trPr>
          <w:trHeight w:val="243"/>
        </w:trPr>
        <w:tc>
          <w:tcPr>
            <w:tcW w:w="722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720" w:type="dxa"/>
            <w:vAlign w:val="bottom"/>
            <w:shd w:val="clear" w:color="auto" w:fill="C0C0C0"/>
          </w:tcPr>
          <w:p>
            <w:pPr>
              <w:jc w:val="right"/>
              <w:ind w:right="32"/>
              <w:spacing w:after="0"/>
              <w:rPr>
                <w:sz w:val="20"/>
                <w:szCs w:val="20"/>
                <w:color w:val="auto"/>
              </w:rPr>
            </w:pPr>
            <w:r>
              <w:rPr>
                <w:rFonts w:ascii="Times New Roman" w:cs="Times New Roman" w:eastAsia="Times New Roman" w:hAnsi="Times New Roman"/>
                <w:sz w:val="18"/>
                <w:szCs w:val="18"/>
                <w:color w:val="auto"/>
                <w:w w:val="99"/>
              </w:rPr>
              <w:t>237,121</w:t>
            </w:r>
          </w:p>
        </w:tc>
        <w:tc>
          <w:tcPr>
            <w:tcW w:w="2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29.86</w:t>
            </w:r>
          </w:p>
        </w:tc>
        <w:tc>
          <w:tcPr>
            <w:tcW w:w="118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3.50</w:t>
            </w:r>
          </w:p>
        </w:tc>
        <w:tc>
          <w:tcPr>
            <w:tcW w:w="2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5,468</w:t>
            </w:r>
          </w:p>
        </w:tc>
      </w:tr>
      <w:tr>
        <w:trPr>
          <w:trHeight w:val="237"/>
        </w:trPr>
        <w:tc>
          <w:tcPr>
            <w:tcW w:w="7220" w:type="dxa"/>
            <w:vAlign w:val="bottom"/>
            <w:tcBorders>
              <w:bottom w:val="single" w:sz="8" w:color="C0C0C0"/>
            </w:tcBorders>
          </w:tcPr>
          <w:p>
            <w:pPr>
              <w:spacing w:after="0"/>
              <w:rPr>
                <w:sz w:val="20"/>
                <w:szCs w:val="20"/>
                <w:color w:val="auto"/>
              </w:rPr>
            </w:pPr>
            <w:r>
              <w:rPr>
                <w:rFonts w:ascii="Times New Roman" w:cs="Times New Roman" w:eastAsia="Times New Roman" w:hAnsi="Times New Roman"/>
                <w:sz w:val="18"/>
                <w:szCs w:val="18"/>
                <w:color w:val="auto"/>
              </w:rPr>
              <w:t>Exercised</w:t>
            </w:r>
          </w:p>
        </w:tc>
        <w:tc>
          <w:tcPr>
            <w:tcW w:w="7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94"/>
              </w:rPr>
              <w:t>(11,335)</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21.95</w:t>
            </w:r>
          </w:p>
        </w:tc>
        <w:tc>
          <w:tcPr>
            <w:tcW w:w="11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22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Exercisable at March 31, 2019</w:t>
            </w:r>
          </w:p>
        </w:tc>
        <w:tc>
          <w:tcPr>
            <w:tcW w:w="720" w:type="dxa"/>
            <w:vAlign w:val="bottom"/>
            <w:tcBorders>
              <w:bottom w:val="single" w:sz="8" w:color="auto"/>
            </w:tcBorders>
            <w:shd w:val="clear" w:color="auto" w:fill="C0C0C0"/>
          </w:tcPr>
          <w:p>
            <w:pPr>
              <w:jc w:val="right"/>
              <w:ind w:right="32"/>
              <w:spacing w:after="0"/>
              <w:rPr>
                <w:sz w:val="20"/>
                <w:szCs w:val="20"/>
                <w:color w:val="auto"/>
              </w:rPr>
            </w:pPr>
            <w:r>
              <w:rPr>
                <w:rFonts w:ascii="Times New Roman" w:cs="Times New Roman" w:eastAsia="Times New Roman" w:hAnsi="Times New Roman"/>
                <w:sz w:val="18"/>
                <w:szCs w:val="18"/>
                <w:color w:val="auto"/>
                <w:w w:val="99"/>
              </w:rPr>
              <w:t>225,786</w:t>
            </w:r>
          </w:p>
        </w:tc>
        <w:tc>
          <w:tcPr>
            <w:tcW w:w="24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30.26</w:t>
            </w:r>
          </w:p>
        </w:tc>
        <w:tc>
          <w:tcPr>
            <w:tcW w:w="1180" w:type="dxa"/>
            <w:vAlign w:val="bottom"/>
            <w:tcBorders>
              <w:bottom w:val="single" w:sz="8" w:color="auto"/>
            </w:tcBorders>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3.33</w:t>
            </w:r>
          </w:p>
        </w:tc>
        <w:tc>
          <w:tcPr>
            <w:tcW w:w="26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3,848</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non-vested SARs at March 31,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9 – Defined Pension Plans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 noncontributory defined-benefit pension plan, which covers most of its employees. Effective December 31, 2016, the Plan was closed to all new participants. The Company accrues and makes contributions designed to fund normal service costs on a current basis using the projected unit credit with service proration method to amortize prior service costs arising from improvements in pension benefits and qualifying service prior to the establishment of the plan over a period of approximately 30 years. Disclosure information is based on a measurement date of December 31 of the corresponding year. The following table represents the components of the net periodic pension costs: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tcPr>
          <w:p>
            <w:pPr>
              <w:spacing w:after="0"/>
              <w:rPr>
                <w:sz w:val="20"/>
                <w:szCs w:val="20"/>
                <w:color w:val="auto"/>
              </w:rPr>
            </w:pPr>
          </w:p>
        </w:tc>
        <w:tc>
          <w:tcPr>
            <w:tcW w:w="41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260" w:type="dxa"/>
            <w:vAlign w:val="bottom"/>
          </w:tcPr>
          <w:p>
            <w:pPr>
              <w:spacing w:after="0"/>
              <w:rPr>
                <w:sz w:val="20"/>
                <w:szCs w:val="20"/>
                <w:color w:val="auto"/>
              </w:rPr>
            </w:pP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Actual</w:t>
            </w:r>
          </w:p>
        </w:tc>
      </w:tr>
      <w:tr>
        <w:trPr>
          <w:trHeight w:val="266"/>
        </w:trPr>
        <w:tc>
          <w:tcPr>
            <w:tcW w:w="6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3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43"/>
        </w:trPr>
        <w:tc>
          <w:tcPr>
            <w:tcW w:w="636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Service cost – benefits earned during the year</w:t>
            </w:r>
          </w:p>
        </w:tc>
        <w:tc>
          <w:tcPr>
            <w:tcW w:w="33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3,708</w:t>
            </w:r>
          </w:p>
        </w:tc>
        <w:tc>
          <w:tcPr>
            <w:tcW w:w="2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4,017</w:t>
            </w:r>
          </w:p>
        </w:tc>
      </w:tr>
      <w:tr>
        <w:trPr>
          <w:trHeight w:val="228"/>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 on projected benefit obligations</w:t>
            </w:r>
          </w:p>
        </w:tc>
        <w:tc>
          <w:tcPr>
            <w:tcW w:w="3300" w:type="dxa"/>
            <w:vAlign w:val="bottom"/>
          </w:tcPr>
          <w:p>
            <w:pPr>
              <w:spacing w:after="0"/>
              <w:rPr>
                <w:sz w:val="19"/>
                <w:szCs w:val="19"/>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4,083</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w:t>
            </w:r>
          </w:p>
        </w:tc>
      </w:tr>
      <w:tr>
        <w:trPr>
          <w:trHeight w:val="258"/>
        </w:trPr>
        <w:tc>
          <w:tcPr>
            <w:tcW w:w="636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300" w:type="dxa"/>
            <w:vAlign w:val="bottom"/>
            <w:shd w:val="clear" w:color="auto" w:fill="C0C0C0"/>
          </w:tcPr>
          <w:p>
            <w:pPr>
              <w:spacing w:after="0"/>
              <w:rPr>
                <w:sz w:val="22"/>
                <w:szCs w:val="22"/>
                <w:color w:val="auto"/>
              </w:rPr>
            </w:pPr>
          </w:p>
        </w:tc>
        <w:tc>
          <w:tcPr>
            <w:tcW w:w="80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(4,754)</w:t>
            </w:r>
          </w:p>
        </w:tc>
        <w:tc>
          <w:tcPr>
            <w:tcW w:w="260" w:type="dxa"/>
            <w:vAlign w:val="bottom"/>
            <w:shd w:val="clear" w:color="auto" w:fill="C0C0C0"/>
          </w:tcPr>
          <w:p>
            <w:pPr>
              <w:spacing w:after="0"/>
              <w:rPr>
                <w:sz w:val="22"/>
                <w:szCs w:val="22"/>
                <w:color w:val="auto"/>
              </w:rPr>
            </w:pPr>
          </w:p>
        </w:tc>
        <w:tc>
          <w:tcPr>
            <w:tcW w:w="7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(5,202)</w:t>
            </w:r>
          </w:p>
        </w:tc>
      </w:tr>
      <w:tr>
        <w:trPr>
          <w:trHeight w:val="237"/>
        </w:trPr>
        <w:tc>
          <w:tcPr>
            <w:tcW w:w="6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amortization</w:t>
            </w:r>
          </w:p>
        </w:tc>
        <w:tc>
          <w:tcPr>
            <w:tcW w:w="3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1,634</w:t>
            </w: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w:t>
            </w:r>
          </w:p>
        </w:tc>
      </w:tr>
      <w:tr>
        <w:trPr>
          <w:trHeight w:val="250"/>
        </w:trPr>
        <w:tc>
          <w:tcPr>
            <w:tcW w:w="6360" w:type="dxa"/>
            <w:vAlign w:val="bottom"/>
            <w:tcBorders>
              <w:bottom w:val="single" w:sz="8" w:color="auto"/>
            </w:tcBorders>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330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4,671</w:t>
            </w:r>
          </w:p>
        </w:tc>
        <w:tc>
          <w:tcPr>
            <w:tcW w:w="26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4,040</w:t>
            </w:r>
          </w:p>
        </w:tc>
      </w:tr>
    </w:tbl>
    <w:p>
      <w:pPr>
        <w:spacing w:after="0" w:line="20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Pension costs recorded to expense were $1,179,000 and $1,049,000 for the three-month periods ended March 31, 2019 and 2018, respectively. Pension costs increased in 2019 primarily due to a decrease in the discount rate. The Company made no contribution to the plan during the three-month period ended March 31, 2019 and is evaluating the amount of additional contributions, if any, in the remainder of 2019.</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jc w:val="both"/>
        <w:ind w:right="20"/>
        <w:spacing w:after="0" w:line="310" w:lineRule="auto"/>
        <w:rPr>
          <w:sz w:val="20"/>
          <w:szCs w:val="20"/>
          <w:color w:val="auto"/>
        </w:rPr>
      </w:pPr>
      <w:r>
        <w:rPr>
          <w:rFonts w:ascii="Times New Roman" w:cs="Times New Roman" w:eastAsia="Times New Roman" w:hAnsi="Times New Roman"/>
          <w:sz w:val="16"/>
          <w:szCs w:val="16"/>
          <w:color w:val="auto"/>
        </w:rPr>
        <w:t>In addition to the above funded benefit plan, the Company has an unfunded supplemental executive retirement plan which covers key executives of the Company. This is a noncontributory plan in which the Company and its subsidiaries make accruals designed to fund normal service costs on a current basis using the same method and criteria as its defined benefit plan. The following table represents the components of the net periodic pension costs for 2018 and an estimate for 2019:</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tcPr>
          <w:p>
            <w:pPr>
              <w:spacing w:after="0"/>
              <w:rPr>
                <w:sz w:val="20"/>
                <w:szCs w:val="20"/>
                <w:color w:val="auto"/>
              </w:rPr>
            </w:pPr>
          </w:p>
        </w:tc>
        <w:tc>
          <w:tcPr>
            <w:tcW w:w="4140" w:type="dxa"/>
            <w:vAlign w:val="bottom"/>
            <w:gridSpan w:val="2"/>
          </w:tcPr>
          <w:p>
            <w:pPr>
              <w:ind w:left="324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220" w:type="dxa"/>
            <w:vAlign w:val="bottom"/>
          </w:tcPr>
          <w:p>
            <w:pPr>
              <w:spacing w:after="0"/>
              <w:rPr>
                <w:sz w:val="20"/>
                <w:szCs w:val="20"/>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Actual</w:t>
            </w:r>
          </w:p>
        </w:tc>
      </w:tr>
      <w:tr>
        <w:trPr>
          <w:trHeight w:val="266"/>
        </w:trPr>
        <w:tc>
          <w:tcPr>
            <w:tcW w:w="6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3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Pr>
          <w:p>
            <w:pPr>
              <w:spacing w:after="0"/>
              <w:rPr>
                <w:sz w:val="23"/>
                <w:szCs w:val="23"/>
                <w:color w:val="auto"/>
              </w:rPr>
            </w:pPr>
          </w:p>
        </w:tc>
      </w:tr>
      <w:tr>
        <w:trPr>
          <w:trHeight w:val="243"/>
        </w:trPr>
        <w:tc>
          <w:tcPr>
            <w:tcW w:w="644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Service cost – benefits earned during the year</w:t>
            </w:r>
          </w:p>
        </w:tc>
        <w:tc>
          <w:tcPr>
            <w:tcW w:w="3380" w:type="dxa"/>
            <w:vAlign w:val="bottom"/>
            <w:shd w:val="clear" w:color="auto" w:fill="C0C0C0"/>
          </w:tcPr>
          <w:p>
            <w:pPr>
              <w:ind w:left="3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Pr>
          <w:p>
            <w:pPr>
              <w:spacing w:after="0"/>
              <w:rPr>
                <w:sz w:val="21"/>
                <w:szCs w:val="21"/>
                <w:color w:val="auto"/>
              </w:rPr>
            </w:pPr>
          </w:p>
        </w:tc>
      </w:tr>
      <w:tr>
        <w:trPr>
          <w:trHeight w:val="228"/>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 on projected benefit obligation</w:t>
            </w:r>
          </w:p>
        </w:tc>
        <w:tc>
          <w:tcPr>
            <w:tcW w:w="3380" w:type="dxa"/>
            <w:vAlign w:val="bottom"/>
          </w:tcPr>
          <w:p>
            <w:pPr>
              <w:spacing w:after="0"/>
              <w:rPr>
                <w:sz w:val="19"/>
                <w:szCs w:val="19"/>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408</w:t>
            </w: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0" w:type="dxa"/>
            <w:vAlign w:val="bottom"/>
          </w:tcPr>
          <w:p>
            <w:pPr>
              <w:spacing w:after="0"/>
              <w:rPr>
                <w:sz w:val="19"/>
                <w:szCs w:val="19"/>
                <w:color w:val="auto"/>
              </w:rPr>
            </w:pPr>
          </w:p>
        </w:tc>
      </w:tr>
      <w:tr>
        <w:trPr>
          <w:trHeight w:val="251"/>
        </w:trPr>
        <w:tc>
          <w:tcPr>
            <w:tcW w:w="644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Net amortization</w:t>
            </w:r>
          </w:p>
        </w:tc>
        <w:tc>
          <w:tcPr>
            <w:tcW w:w="3380" w:type="dxa"/>
            <w:vAlign w:val="bottom"/>
            <w:tcBorders>
              <w:bottom w:val="single" w:sz="8" w:color="auto"/>
            </w:tcBorders>
            <w:shd w:val="clear" w:color="auto" w:fill="C0C0C0"/>
          </w:tcPr>
          <w:p>
            <w:pPr>
              <w:spacing w:after="0"/>
              <w:rPr>
                <w:sz w:val="21"/>
                <w:szCs w:val="21"/>
                <w:color w:val="auto"/>
              </w:rPr>
            </w:pPr>
          </w:p>
        </w:tc>
        <w:tc>
          <w:tcPr>
            <w:tcW w:w="760" w:type="dxa"/>
            <w:vAlign w:val="bottom"/>
            <w:tcBorders>
              <w:bottom w:val="single" w:sz="8" w:color="auto"/>
            </w:tcBorders>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276</w:t>
            </w:r>
          </w:p>
        </w:tc>
        <w:tc>
          <w:tcPr>
            <w:tcW w:w="220" w:type="dxa"/>
            <w:vAlign w:val="bottom"/>
            <w:tcBorders>
              <w:bottom w:val="single" w:sz="8" w:color="auto"/>
            </w:tcBorders>
            <w:shd w:val="clear" w:color="auto" w:fill="C0C0C0"/>
          </w:tcPr>
          <w:p>
            <w:pPr>
              <w:spacing w:after="0"/>
              <w:rPr>
                <w:sz w:val="21"/>
                <w:szCs w:val="21"/>
                <w:color w:val="auto"/>
              </w:rPr>
            </w:pPr>
          </w:p>
        </w:tc>
        <w:tc>
          <w:tcPr>
            <w:tcW w:w="62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0" w:type="dxa"/>
            <w:vAlign w:val="bottom"/>
          </w:tcPr>
          <w:p>
            <w:pPr>
              <w:spacing w:after="0"/>
              <w:rPr>
                <w:sz w:val="21"/>
                <w:szCs w:val="21"/>
                <w:color w:val="auto"/>
              </w:rPr>
            </w:pPr>
          </w:p>
        </w:tc>
      </w:tr>
      <w:tr>
        <w:trPr>
          <w:trHeight w:val="250"/>
        </w:trPr>
        <w:tc>
          <w:tcPr>
            <w:tcW w:w="64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3380" w:type="dxa"/>
            <w:vAlign w:val="bottom"/>
            <w:tcBorders>
              <w:bottom w:val="single" w:sz="8" w:color="auto"/>
            </w:tcBorders>
          </w:tcPr>
          <w:p>
            <w:pPr>
              <w:ind w:left="3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781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20" w:type="dxa"/>
            <w:vAlign w:val="bottom"/>
            <w:tcBorders>
              <w:bottom w:val="single" w:sz="8" w:color="auto"/>
            </w:tcBorders>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Pension costs recorded to expense were $195,000 and $255,000 for the three-month periods ended March 31, 2019 and 2018,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10 – Income Taxes</w:t>
      </w:r>
    </w:p>
    <w:p>
      <w:pPr>
        <w:spacing w:after="0" w:line="22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As of March 31, 2019, the Company’s unrecognized tax benefits were approximately $1,451,000, of which $1,326,000 would, if recognized, affect the Company’s effective tax rate. As of December 31, 2018, the Company's unrecognized tax benefits were approximately $1,403,000, of which $1,272,000 would, if recognized, affect the Company's effective tax rate. During the next 12 months, the Company may realize a reduction of its unrecognized tax benefits of approximately $317,000 due to the lapse of federal and state statutes of limitations.</w:t>
      </w:r>
    </w:p>
    <w:p>
      <w:pPr>
        <w:spacing w:after="0" w:line="190"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uncertain tax positions in income tax expense. The Company had $154,000 and $136,000 of gross interest accrued as of March 31, 2019 and December 31, 2018, respectively. There were no penalties for unrecognized tax benefits accrued at March 31, 2019 and December 31, 2018.</w:t>
      </w:r>
    </w:p>
    <w:p>
      <w:pPr>
        <w:spacing w:after="0" w:line="186"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The Company is subject to income tax in the U.S. federal jurisdiction and numerous state jurisdictions. U.S. federal income tax returns for tax years 2015 through 2017 remain subject to examination by the Internal Revenue Service. In addition, the Company is subject to state tax examinations for the tax years 2014 through 2017.</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11 – Investment in Securities</w:t>
      </w:r>
    </w:p>
    <w:p>
      <w:pPr>
        <w:spacing w:after="0" w:line="22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Investment securities available-for-sale are recorded at fair value on a recurring basis. The Company’s investment securities available-for-sale are measured at fair value using Level 2 valuations. The market evaluation utilizes several sources which include “observable inputs” rather than “significant unobservable inputs” and therefore fall into the Level 2 category. The amortized cost, gross unrealized gains, gross unrealized losses and fair value of investment securities are summarized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8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3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38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60" w:type="dxa"/>
            <w:vAlign w:val="bottom"/>
          </w:tcPr>
          <w:p>
            <w:pPr>
              <w:spacing w:after="0"/>
              <w:rPr>
                <w:sz w:val="20"/>
                <w:szCs w:val="20"/>
                <w:color w:val="auto"/>
              </w:rPr>
            </w:pPr>
          </w:p>
        </w:tc>
        <w:tc>
          <w:tcPr>
            <w:tcW w:w="820" w:type="dxa"/>
            <w:vAlign w:val="bottom"/>
          </w:tcPr>
          <w:p>
            <w:pPr>
              <w:jc w:val="center"/>
              <w:ind w:right="172"/>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0"/>
        </w:trPr>
        <w:tc>
          <w:tcPr>
            <w:tcW w:w="38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40" w:type="dxa"/>
            <w:vAlign w:val="bottom"/>
            <w:gridSpan w:val="2"/>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7"/>
              </w:rPr>
              <w:t>Amortized</w:t>
            </w: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66"/>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center"/>
              <w:ind w:right="232"/>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60" w:type="dxa"/>
            <w:vAlign w:val="bottom"/>
          </w:tcPr>
          <w:p>
            <w:pPr>
              <w:spacing w:after="0"/>
              <w:rPr>
                <w:sz w:val="23"/>
                <w:szCs w:val="23"/>
                <w:color w:val="auto"/>
              </w:rPr>
            </w:pPr>
          </w:p>
        </w:tc>
        <w:tc>
          <w:tcPr>
            <w:tcW w:w="82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60" w:type="dxa"/>
            <w:vAlign w:val="bottom"/>
          </w:tcPr>
          <w:p>
            <w:pPr>
              <w:spacing w:after="0"/>
              <w:rPr>
                <w:sz w:val="23"/>
                <w:szCs w:val="23"/>
                <w:color w:val="auto"/>
              </w:rPr>
            </w:pPr>
          </w:p>
        </w:tc>
        <w:tc>
          <w:tcPr>
            <w:tcW w:w="820" w:type="dxa"/>
            <w:vAlign w:val="bottom"/>
          </w:tcPr>
          <w:p>
            <w:pPr>
              <w:jc w:val="center"/>
              <w:ind w:right="192"/>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4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43"/>
        </w:trPr>
        <w:tc>
          <w:tcPr>
            <w:tcW w:w="3880" w:type="dxa"/>
            <w:vAlign w:val="bottom"/>
            <w:tcBorders>
              <w:top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3500" w:type="dxa"/>
            <w:vAlign w:val="bottom"/>
            <w:tcBorders>
              <w:top w:val="single" w:sz="8" w:color="auto"/>
            </w:tcBorders>
            <w:gridSpan w:val="2"/>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327,139</w:t>
            </w:r>
          </w:p>
        </w:tc>
        <w:tc>
          <w:tcPr>
            <w:tcW w:w="260" w:type="dxa"/>
            <w:vAlign w:val="bottom"/>
            <w:tcBorders>
              <w:top w:val="single" w:sz="8" w:color="auto"/>
            </w:tcBorders>
            <w:shd w:val="clear" w:color="auto" w:fill="C0C0C0"/>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8,585</w:t>
            </w:r>
          </w:p>
        </w:tc>
        <w:tc>
          <w:tcPr>
            <w:tcW w:w="260" w:type="dxa"/>
            <w:vAlign w:val="bottom"/>
            <w:tcBorders>
              <w:top w:val="single" w:sz="8" w:color="auto"/>
            </w:tcBorders>
            <w:shd w:val="clear" w:color="auto" w:fill="C0C0C0"/>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181</w:t>
            </w:r>
          </w:p>
        </w:tc>
        <w:tc>
          <w:tcPr>
            <w:tcW w:w="340" w:type="dxa"/>
            <w:vAlign w:val="bottom"/>
            <w:tcBorders>
              <w:top w:val="single" w:sz="8" w:color="auto"/>
            </w:tcBorders>
            <w:shd w:val="clear" w:color="auto" w:fill="C0C0C0"/>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335,543</w:t>
            </w:r>
          </w:p>
        </w:tc>
        <w:tc>
          <w:tcPr>
            <w:tcW w:w="20" w:type="dxa"/>
            <w:vAlign w:val="bottom"/>
          </w:tcPr>
          <w:p>
            <w:pPr>
              <w:spacing w:after="0"/>
              <w:rPr>
                <w:sz w:val="21"/>
                <w:szCs w:val="21"/>
                <w:color w:val="auto"/>
              </w:rPr>
            </w:pPr>
          </w:p>
        </w:tc>
      </w:tr>
      <w:tr>
        <w:trPr>
          <w:trHeight w:val="228"/>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3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104,273</w:t>
            </w:r>
          </w:p>
        </w:tc>
        <w:tc>
          <w:tcPr>
            <w:tcW w:w="26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198</w:t>
            </w:r>
          </w:p>
        </w:tc>
        <w:tc>
          <w:tcPr>
            <w:tcW w:w="26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820</w:t>
            </w: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103,651</w:t>
            </w:r>
          </w:p>
        </w:tc>
        <w:tc>
          <w:tcPr>
            <w:tcW w:w="20" w:type="dxa"/>
            <w:vAlign w:val="bottom"/>
          </w:tcPr>
          <w:p>
            <w:pPr>
              <w:spacing w:after="0"/>
              <w:rPr>
                <w:sz w:val="19"/>
                <w:szCs w:val="19"/>
                <w:color w:val="auto"/>
              </w:rPr>
            </w:pPr>
          </w:p>
        </w:tc>
      </w:tr>
      <w:tr>
        <w:trPr>
          <w:trHeight w:val="251"/>
        </w:trPr>
        <w:tc>
          <w:tcPr>
            <w:tcW w:w="388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3320" w:type="dxa"/>
            <w:vAlign w:val="bottom"/>
            <w:tcBorders>
              <w:bottom w:val="single" w:sz="8" w:color="auto"/>
            </w:tcBorders>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1,995</w:t>
            </w:r>
          </w:p>
        </w:tc>
        <w:tc>
          <w:tcPr>
            <w:tcW w:w="26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20" w:type="dxa"/>
            <w:vAlign w:val="bottom"/>
          </w:tcPr>
          <w:p>
            <w:pPr>
              <w:spacing w:after="0"/>
              <w:rPr>
                <w:sz w:val="21"/>
                <w:szCs w:val="21"/>
                <w:color w:val="auto"/>
              </w:rPr>
            </w:pPr>
          </w:p>
        </w:tc>
      </w:tr>
      <w:tr>
        <w:trPr>
          <w:trHeight w:val="250"/>
        </w:trPr>
        <w:tc>
          <w:tcPr>
            <w:tcW w:w="38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3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433,407</w:t>
            </w:r>
          </w:p>
        </w:tc>
        <w:tc>
          <w:tcPr>
            <w:tcW w:w="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8,783</w:t>
            </w:r>
          </w:p>
        </w:tc>
        <w:tc>
          <w:tcPr>
            <w:tcW w:w="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1,001</w:t>
            </w:r>
          </w:p>
        </w:tc>
        <w:tc>
          <w:tcPr>
            <w:tcW w:w="3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441,189</w:t>
            </w:r>
          </w:p>
        </w:tc>
        <w:tc>
          <w:tcPr>
            <w:tcW w:w="20" w:type="dxa"/>
            <w:vAlign w:val="bottom"/>
          </w:tcPr>
          <w:p>
            <w:pPr>
              <w:spacing w:after="0"/>
              <w:rPr>
                <w:sz w:val="21"/>
                <w:szCs w:val="21"/>
                <w:color w:val="auto"/>
              </w:rPr>
            </w:pPr>
          </w:p>
        </w:tc>
      </w:tr>
      <w:tr>
        <w:trPr>
          <w:trHeight w:val="480"/>
        </w:trPr>
        <w:tc>
          <w:tcPr>
            <w:tcW w:w="38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38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60" w:type="dxa"/>
            <w:vAlign w:val="bottom"/>
          </w:tcPr>
          <w:p>
            <w:pPr>
              <w:spacing w:after="0"/>
              <w:rPr>
                <w:sz w:val="20"/>
                <w:szCs w:val="20"/>
                <w:color w:val="auto"/>
              </w:rPr>
            </w:pPr>
          </w:p>
        </w:tc>
        <w:tc>
          <w:tcPr>
            <w:tcW w:w="820" w:type="dxa"/>
            <w:vAlign w:val="bottom"/>
          </w:tcPr>
          <w:p>
            <w:pPr>
              <w:jc w:val="center"/>
              <w:ind w:right="172"/>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0"/>
        </w:trPr>
        <w:tc>
          <w:tcPr>
            <w:tcW w:w="38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40" w:type="dxa"/>
            <w:vAlign w:val="bottom"/>
            <w:gridSpan w:val="2"/>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7"/>
              </w:rPr>
              <w:t>Amortized</w:t>
            </w: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66"/>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center"/>
              <w:ind w:right="232"/>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60" w:type="dxa"/>
            <w:vAlign w:val="bottom"/>
          </w:tcPr>
          <w:p>
            <w:pPr>
              <w:spacing w:after="0"/>
              <w:rPr>
                <w:sz w:val="23"/>
                <w:szCs w:val="23"/>
                <w:color w:val="auto"/>
              </w:rPr>
            </w:pPr>
          </w:p>
        </w:tc>
        <w:tc>
          <w:tcPr>
            <w:tcW w:w="82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60" w:type="dxa"/>
            <w:vAlign w:val="bottom"/>
          </w:tcPr>
          <w:p>
            <w:pPr>
              <w:spacing w:after="0"/>
              <w:rPr>
                <w:sz w:val="23"/>
                <w:szCs w:val="23"/>
                <w:color w:val="auto"/>
              </w:rPr>
            </w:pPr>
          </w:p>
        </w:tc>
        <w:tc>
          <w:tcPr>
            <w:tcW w:w="820" w:type="dxa"/>
            <w:vAlign w:val="bottom"/>
          </w:tcPr>
          <w:p>
            <w:pPr>
              <w:jc w:val="center"/>
              <w:ind w:right="192"/>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4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43"/>
        </w:trPr>
        <w:tc>
          <w:tcPr>
            <w:tcW w:w="3880" w:type="dxa"/>
            <w:vAlign w:val="bottom"/>
            <w:tcBorders>
              <w:top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3500" w:type="dxa"/>
            <w:vAlign w:val="bottom"/>
            <w:tcBorders>
              <w:top w:val="single" w:sz="8" w:color="auto"/>
            </w:tcBorders>
            <w:gridSpan w:val="2"/>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332,732</w:t>
            </w:r>
          </w:p>
        </w:tc>
        <w:tc>
          <w:tcPr>
            <w:tcW w:w="260" w:type="dxa"/>
            <w:vAlign w:val="bottom"/>
            <w:tcBorders>
              <w:top w:val="single" w:sz="8" w:color="auto"/>
            </w:tcBorders>
            <w:shd w:val="clear" w:color="auto" w:fill="C0C0C0"/>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3,791</w:t>
            </w:r>
          </w:p>
        </w:tc>
        <w:tc>
          <w:tcPr>
            <w:tcW w:w="260" w:type="dxa"/>
            <w:vAlign w:val="bottom"/>
            <w:tcBorders>
              <w:top w:val="single" w:sz="8" w:color="auto"/>
            </w:tcBorders>
            <w:shd w:val="clear" w:color="auto" w:fill="C0C0C0"/>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1,806</w:t>
            </w:r>
          </w:p>
        </w:tc>
        <w:tc>
          <w:tcPr>
            <w:tcW w:w="340" w:type="dxa"/>
            <w:vAlign w:val="bottom"/>
            <w:tcBorders>
              <w:top w:val="single" w:sz="8" w:color="auto"/>
            </w:tcBorders>
            <w:shd w:val="clear" w:color="auto" w:fill="C0C0C0"/>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334,717</w:t>
            </w:r>
          </w:p>
        </w:tc>
        <w:tc>
          <w:tcPr>
            <w:tcW w:w="20" w:type="dxa"/>
            <w:vAlign w:val="bottom"/>
          </w:tcPr>
          <w:p>
            <w:pPr>
              <w:spacing w:after="0"/>
              <w:rPr>
                <w:sz w:val="21"/>
                <w:szCs w:val="21"/>
                <w:color w:val="auto"/>
              </w:rPr>
            </w:pPr>
          </w:p>
        </w:tc>
      </w:tr>
      <w:tr>
        <w:trPr>
          <w:trHeight w:val="228"/>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3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106,153</w:t>
            </w:r>
          </w:p>
        </w:tc>
        <w:tc>
          <w:tcPr>
            <w:tcW w:w="26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1,417</w:t>
            </w: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104,822</w:t>
            </w:r>
          </w:p>
        </w:tc>
        <w:tc>
          <w:tcPr>
            <w:tcW w:w="20" w:type="dxa"/>
            <w:vAlign w:val="bottom"/>
          </w:tcPr>
          <w:p>
            <w:pPr>
              <w:spacing w:after="0"/>
              <w:rPr>
                <w:sz w:val="19"/>
                <w:szCs w:val="19"/>
                <w:color w:val="auto"/>
              </w:rPr>
            </w:pPr>
          </w:p>
        </w:tc>
      </w:tr>
      <w:tr>
        <w:trPr>
          <w:trHeight w:val="251"/>
        </w:trPr>
        <w:tc>
          <w:tcPr>
            <w:tcW w:w="388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3320" w:type="dxa"/>
            <w:vAlign w:val="bottom"/>
            <w:tcBorders>
              <w:bottom w:val="single" w:sz="8" w:color="auto"/>
            </w:tcBorders>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1,995</w:t>
            </w:r>
          </w:p>
        </w:tc>
        <w:tc>
          <w:tcPr>
            <w:tcW w:w="26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20" w:type="dxa"/>
            <w:vAlign w:val="bottom"/>
          </w:tcPr>
          <w:p>
            <w:pPr>
              <w:spacing w:after="0"/>
              <w:rPr>
                <w:sz w:val="21"/>
                <w:szCs w:val="21"/>
                <w:color w:val="auto"/>
              </w:rPr>
            </w:pPr>
          </w:p>
        </w:tc>
      </w:tr>
      <w:tr>
        <w:trPr>
          <w:trHeight w:val="250"/>
        </w:trPr>
        <w:tc>
          <w:tcPr>
            <w:tcW w:w="38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3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440,880</w:t>
            </w:r>
          </w:p>
        </w:tc>
        <w:tc>
          <w:tcPr>
            <w:tcW w:w="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3,877</w:t>
            </w:r>
          </w:p>
        </w:tc>
        <w:tc>
          <w:tcPr>
            <w:tcW w:w="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3,223</w:t>
            </w:r>
          </w:p>
        </w:tc>
        <w:tc>
          <w:tcPr>
            <w:tcW w:w="3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441,534</w:t>
            </w:r>
          </w:p>
        </w:tc>
        <w:tc>
          <w:tcPr>
            <w:tcW w:w="20" w:type="dxa"/>
            <w:vAlign w:val="bottom"/>
          </w:tcPr>
          <w:p>
            <w:pPr>
              <w:spacing w:after="0"/>
              <w:rPr>
                <w:sz w:val="21"/>
                <w:szCs w:val="21"/>
                <w:color w:val="auto"/>
              </w:rPr>
            </w:pPr>
          </w:p>
        </w:tc>
      </w:tr>
      <w:tr>
        <w:trPr>
          <w:trHeight w:val="430"/>
        </w:trPr>
        <w:tc>
          <w:tcPr>
            <w:tcW w:w="3880" w:type="dxa"/>
            <w:vAlign w:val="bottom"/>
          </w:tcPr>
          <w:p>
            <w:pPr>
              <w:spacing w:after="0"/>
              <w:rPr>
                <w:sz w:val="24"/>
                <w:szCs w:val="24"/>
                <w:color w:val="auto"/>
              </w:rPr>
            </w:pPr>
          </w:p>
        </w:tc>
        <w:tc>
          <w:tcPr>
            <w:tcW w:w="3320" w:type="dxa"/>
            <w:vAlign w:val="bottom"/>
          </w:tcPr>
          <w:p>
            <w:pPr>
              <w:jc w:val="right"/>
              <w:ind w:right="1252"/>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3880" w:type="dxa"/>
            <w:vAlign w:val="bottom"/>
            <w:tcBorders>
              <w:bottom w:val="single" w:sz="8" w:color="808080"/>
            </w:tcBorders>
          </w:tcPr>
          <w:p>
            <w:pPr>
              <w:spacing w:after="0"/>
              <w:rPr>
                <w:sz w:val="19"/>
                <w:szCs w:val="19"/>
                <w:color w:val="auto"/>
              </w:rPr>
            </w:pPr>
          </w:p>
        </w:tc>
        <w:tc>
          <w:tcPr>
            <w:tcW w:w="33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28"/>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The fair values of securities with unrealized losses are as follows: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68"/>
        </w:trPr>
        <w:tc>
          <w:tcPr>
            <w:tcW w:w="50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50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3"/>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3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5060" w:type="dxa"/>
            <w:vAlign w:val="bottom"/>
          </w:tcPr>
          <w:p>
            <w:pPr>
              <w:spacing w:after="0"/>
              <w:rPr>
                <w:sz w:val="20"/>
                <w:szCs w:val="20"/>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w w:val="95"/>
              </w:rPr>
              <w:t>Unrealized</w:t>
            </w:r>
          </w:p>
        </w:tc>
        <w:tc>
          <w:tcPr>
            <w:tcW w:w="20" w:type="dxa"/>
            <w:vAlign w:val="bottom"/>
          </w:tcPr>
          <w:p>
            <w:pPr>
              <w:spacing w:after="0"/>
              <w:rPr>
                <w:sz w:val="20"/>
                <w:szCs w:val="20"/>
                <w:color w:val="auto"/>
              </w:rPr>
            </w:pPr>
          </w:p>
        </w:tc>
      </w:tr>
      <w:tr>
        <w:trPr>
          <w:trHeight w:val="263"/>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60" w:type="dxa"/>
            <w:vAlign w:val="bottom"/>
          </w:tcPr>
          <w:p>
            <w:pPr>
              <w:spacing w:after="0"/>
              <w:rPr>
                <w:sz w:val="22"/>
                <w:szCs w:val="22"/>
                <w:color w:val="auto"/>
              </w:rPr>
            </w:pPr>
          </w:p>
        </w:tc>
        <w:tc>
          <w:tcPr>
            <w:tcW w:w="82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60" w:type="dxa"/>
            <w:vAlign w:val="bottom"/>
          </w:tcPr>
          <w:p>
            <w:pPr>
              <w:spacing w:after="0"/>
              <w:rPr>
                <w:sz w:val="22"/>
                <w:szCs w:val="22"/>
                <w:color w:val="auto"/>
              </w:rPr>
            </w:pPr>
          </w:p>
        </w:tc>
        <w:tc>
          <w:tcPr>
            <w:tcW w:w="82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60" w:type="dxa"/>
            <w:vAlign w:val="bottom"/>
          </w:tcPr>
          <w:p>
            <w:pPr>
              <w:spacing w:after="0"/>
              <w:rPr>
                <w:sz w:val="22"/>
                <w:szCs w:val="22"/>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Losses</w:t>
            </w:r>
          </w:p>
        </w:tc>
      </w:tr>
      <w:tr>
        <w:trPr>
          <w:trHeight w:val="243"/>
        </w:trPr>
        <w:tc>
          <w:tcPr>
            <w:tcW w:w="5060" w:type="dxa"/>
            <w:vAlign w:val="bottom"/>
            <w:tcBorders>
              <w:top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6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0C0C0"/>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0C0C0"/>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0C0C0"/>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0C0C0"/>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22,617</w:t>
            </w:r>
          </w:p>
        </w:tc>
        <w:tc>
          <w:tcPr>
            <w:tcW w:w="260" w:type="dxa"/>
            <w:vAlign w:val="bottom"/>
            <w:tcBorders>
              <w:top w:val="single" w:sz="8" w:color="auto"/>
            </w:tcBorders>
            <w:shd w:val="clear" w:color="auto" w:fill="C0C0C0"/>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181</w:t>
            </w:r>
          </w:p>
        </w:tc>
        <w:tc>
          <w:tcPr>
            <w:tcW w:w="340" w:type="dxa"/>
            <w:vAlign w:val="bottom"/>
            <w:tcBorders>
              <w:top w:val="single" w:sz="8" w:color="auto"/>
            </w:tcBorders>
            <w:shd w:val="clear" w:color="auto" w:fill="C0C0C0"/>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22,617</w:t>
            </w:r>
          </w:p>
        </w:tc>
        <w:tc>
          <w:tcPr>
            <w:tcW w:w="260" w:type="dxa"/>
            <w:vAlign w:val="bottom"/>
            <w:tcBorders>
              <w:top w:val="single" w:sz="8" w:color="auto"/>
            </w:tcBorders>
            <w:shd w:val="clear" w:color="auto" w:fill="C0C0C0"/>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 w:type="dxa"/>
            <w:vAlign w:val="bottom"/>
          </w:tcPr>
          <w:p>
            <w:pPr>
              <w:spacing w:after="0"/>
              <w:rPr>
                <w:sz w:val="21"/>
                <w:szCs w:val="21"/>
                <w:color w:val="auto"/>
              </w:rPr>
            </w:pPr>
          </w:p>
        </w:tc>
      </w:tr>
      <w:tr>
        <w:trPr>
          <w:trHeight w:val="228"/>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16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4,945</w:t>
            </w:r>
          </w:p>
        </w:tc>
        <w:tc>
          <w:tcPr>
            <w:tcW w:w="26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Pr>
          <w:p>
            <w:pPr>
              <w:spacing w:after="0"/>
              <w:rPr>
                <w:sz w:val="19"/>
                <w:szCs w:val="19"/>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44,251</w:t>
            </w:r>
          </w:p>
        </w:tc>
        <w:tc>
          <w:tcPr>
            <w:tcW w:w="26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815</w:t>
            </w:r>
          </w:p>
        </w:tc>
        <w:tc>
          <w:tcPr>
            <w:tcW w:w="34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49,196</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0" w:type="dxa"/>
            <w:vAlign w:val="bottom"/>
          </w:tcPr>
          <w:p>
            <w:pPr>
              <w:spacing w:after="0"/>
              <w:rPr>
                <w:sz w:val="19"/>
                <w:szCs w:val="19"/>
                <w:color w:val="auto"/>
              </w:rPr>
            </w:pPr>
          </w:p>
        </w:tc>
      </w:tr>
      <w:tr>
        <w:trPr>
          <w:trHeight w:val="251"/>
        </w:trPr>
        <w:tc>
          <w:tcPr>
            <w:tcW w:w="506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6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0C0C0"/>
          </w:tcPr>
          <w:p>
            <w:pPr>
              <w:spacing w:after="0"/>
              <w:rPr>
                <w:sz w:val="21"/>
                <w:szCs w:val="21"/>
                <w:color w:val="auto"/>
              </w:rPr>
            </w:pPr>
          </w:p>
        </w:tc>
        <w:tc>
          <w:tcPr>
            <w:tcW w:w="780" w:type="dxa"/>
            <w:vAlign w:val="bottom"/>
            <w:tcBorders>
              <w:bottom w:val="single" w:sz="8" w:color="auto"/>
            </w:tcBorders>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r>
      <w:tr>
        <w:trPr>
          <w:trHeight w:val="250"/>
        </w:trPr>
        <w:tc>
          <w:tcPr>
            <w:tcW w:w="50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4,945</w:t>
            </w:r>
          </w:p>
        </w:tc>
        <w:tc>
          <w:tcPr>
            <w:tcW w:w="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66,868</w:t>
            </w:r>
          </w:p>
        </w:tc>
        <w:tc>
          <w:tcPr>
            <w:tcW w:w="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996</w:t>
            </w:r>
          </w:p>
        </w:tc>
        <w:tc>
          <w:tcPr>
            <w:tcW w:w="3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71,813</w:t>
            </w:r>
          </w:p>
        </w:tc>
        <w:tc>
          <w:tcPr>
            <w:tcW w:w="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20" w:type="dxa"/>
            <w:vAlign w:val="bottom"/>
          </w:tcPr>
          <w:p>
            <w:pPr>
              <w:spacing w:after="0"/>
              <w:rPr>
                <w:sz w:val="21"/>
                <w:szCs w:val="21"/>
                <w:color w:val="auto"/>
              </w:rPr>
            </w:pPr>
          </w:p>
        </w:tc>
      </w:tr>
      <w:tr>
        <w:trPr>
          <w:trHeight w:val="493"/>
        </w:trPr>
        <w:tc>
          <w:tcPr>
            <w:tcW w:w="50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50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3"/>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3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5060" w:type="dxa"/>
            <w:vAlign w:val="bottom"/>
          </w:tcPr>
          <w:p>
            <w:pPr>
              <w:spacing w:after="0"/>
              <w:rPr>
                <w:sz w:val="20"/>
                <w:szCs w:val="20"/>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w w:val="95"/>
              </w:rPr>
              <w:t>Unrealized</w:t>
            </w:r>
          </w:p>
        </w:tc>
        <w:tc>
          <w:tcPr>
            <w:tcW w:w="20" w:type="dxa"/>
            <w:vAlign w:val="bottom"/>
          </w:tcPr>
          <w:p>
            <w:pPr>
              <w:spacing w:after="0"/>
              <w:rPr>
                <w:sz w:val="20"/>
                <w:szCs w:val="20"/>
                <w:color w:val="auto"/>
              </w:rPr>
            </w:pPr>
          </w:p>
        </w:tc>
      </w:tr>
      <w:tr>
        <w:trPr>
          <w:trHeight w:val="263"/>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60" w:type="dxa"/>
            <w:vAlign w:val="bottom"/>
          </w:tcPr>
          <w:p>
            <w:pPr>
              <w:spacing w:after="0"/>
              <w:rPr>
                <w:sz w:val="22"/>
                <w:szCs w:val="22"/>
                <w:color w:val="auto"/>
              </w:rPr>
            </w:pPr>
          </w:p>
        </w:tc>
        <w:tc>
          <w:tcPr>
            <w:tcW w:w="82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60" w:type="dxa"/>
            <w:vAlign w:val="bottom"/>
          </w:tcPr>
          <w:p>
            <w:pPr>
              <w:spacing w:after="0"/>
              <w:rPr>
                <w:sz w:val="22"/>
                <w:szCs w:val="22"/>
                <w:color w:val="auto"/>
              </w:rPr>
            </w:pPr>
          </w:p>
        </w:tc>
        <w:tc>
          <w:tcPr>
            <w:tcW w:w="82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60" w:type="dxa"/>
            <w:vAlign w:val="bottom"/>
          </w:tcPr>
          <w:p>
            <w:pPr>
              <w:spacing w:after="0"/>
              <w:rPr>
                <w:sz w:val="22"/>
                <w:szCs w:val="22"/>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Losses</w:t>
            </w:r>
          </w:p>
        </w:tc>
      </w:tr>
      <w:tr>
        <w:trPr>
          <w:trHeight w:val="243"/>
        </w:trPr>
        <w:tc>
          <w:tcPr>
            <w:tcW w:w="5060" w:type="dxa"/>
            <w:vAlign w:val="bottom"/>
            <w:tcBorders>
              <w:top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6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0C0C0"/>
          </w:tcPr>
          <w:p>
            <w:pPr>
              <w:jc w:val="right"/>
              <w:ind w:right="32"/>
              <w:spacing w:after="0"/>
              <w:rPr>
                <w:sz w:val="20"/>
                <w:szCs w:val="20"/>
                <w:color w:val="auto"/>
              </w:rPr>
            </w:pPr>
            <w:r>
              <w:rPr>
                <w:rFonts w:ascii="Times New Roman" w:cs="Times New Roman" w:eastAsia="Times New Roman" w:hAnsi="Times New Roman"/>
                <w:sz w:val="18"/>
                <w:szCs w:val="18"/>
                <w:color w:val="auto"/>
              </w:rPr>
              <w:t>91,248</w:t>
            </w:r>
          </w:p>
        </w:tc>
        <w:tc>
          <w:tcPr>
            <w:tcW w:w="260" w:type="dxa"/>
            <w:vAlign w:val="bottom"/>
            <w:tcBorders>
              <w:top w:val="single" w:sz="8" w:color="auto"/>
            </w:tcBorders>
            <w:shd w:val="clear" w:color="auto" w:fill="C0C0C0"/>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0C0C0"/>
          </w:tcPr>
          <w:p>
            <w:pPr>
              <w:jc w:val="right"/>
              <w:ind w:right="32"/>
              <w:spacing w:after="0"/>
              <w:rPr>
                <w:sz w:val="20"/>
                <w:szCs w:val="20"/>
                <w:color w:val="auto"/>
              </w:rPr>
            </w:pPr>
            <w:r>
              <w:rPr>
                <w:rFonts w:ascii="Times New Roman" w:cs="Times New Roman" w:eastAsia="Times New Roman" w:hAnsi="Times New Roman"/>
                <w:sz w:val="18"/>
                <w:szCs w:val="18"/>
                <w:color w:val="auto"/>
              </w:rPr>
              <w:t>556</w:t>
            </w:r>
          </w:p>
        </w:tc>
        <w:tc>
          <w:tcPr>
            <w:tcW w:w="300" w:type="dxa"/>
            <w:vAlign w:val="bottom"/>
            <w:tcBorders>
              <w:top w:val="single" w:sz="8" w:color="auto"/>
            </w:tcBorders>
            <w:shd w:val="clear" w:color="auto" w:fill="C0C0C0"/>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60,546</w:t>
            </w:r>
          </w:p>
        </w:tc>
        <w:tc>
          <w:tcPr>
            <w:tcW w:w="260" w:type="dxa"/>
            <w:vAlign w:val="bottom"/>
            <w:tcBorders>
              <w:top w:val="single" w:sz="8" w:color="auto"/>
            </w:tcBorders>
            <w:shd w:val="clear" w:color="auto" w:fill="C0C0C0"/>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1,250</w:t>
            </w:r>
          </w:p>
        </w:tc>
        <w:tc>
          <w:tcPr>
            <w:tcW w:w="340" w:type="dxa"/>
            <w:vAlign w:val="bottom"/>
            <w:tcBorders>
              <w:top w:val="single" w:sz="8" w:color="auto"/>
            </w:tcBorders>
            <w:shd w:val="clear" w:color="auto" w:fill="C0C0C0"/>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151,794</w:t>
            </w:r>
          </w:p>
        </w:tc>
        <w:tc>
          <w:tcPr>
            <w:tcW w:w="260" w:type="dxa"/>
            <w:vAlign w:val="bottom"/>
            <w:tcBorders>
              <w:top w:val="single" w:sz="8" w:color="auto"/>
            </w:tcBorders>
            <w:shd w:val="clear" w:color="auto" w:fill="C0C0C0"/>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20" w:type="dxa"/>
            <w:vAlign w:val="bottom"/>
          </w:tcPr>
          <w:p>
            <w:pPr>
              <w:spacing w:after="0"/>
              <w:rPr>
                <w:sz w:val="21"/>
                <w:szCs w:val="21"/>
                <w:color w:val="auto"/>
              </w:rPr>
            </w:pPr>
          </w:p>
        </w:tc>
      </w:tr>
      <w:tr>
        <w:trPr>
          <w:trHeight w:val="228"/>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16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30,409</w:t>
            </w:r>
          </w:p>
        </w:tc>
        <w:tc>
          <w:tcPr>
            <w:tcW w:w="26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130</w:t>
            </w:r>
          </w:p>
        </w:tc>
        <w:tc>
          <w:tcPr>
            <w:tcW w:w="300" w:type="dxa"/>
            <w:vAlign w:val="bottom"/>
          </w:tcPr>
          <w:p>
            <w:pPr>
              <w:spacing w:after="0"/>
              <w:rPr>
                <w:sz w:val="19"/>
                <w:szCs w:val="19"/>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38,005</w:t>
            </w:r>
          </w:p>
        </w:tc>
        <w:tc>
          <w:tcPr>
            <w:tcW w:w="26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1,287</w:t>
            </w:r>
          </w:p>
        </w:tc>
        <w:tc>
          <w:tcPr>
            <w:tcW w:w="34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68,414</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20" w:type="dxa"/>
            <w:vAlign w:val="bottom"/>
          </w:tcPr>
          <w:p>
            <w:pPr>
              <w:spacing w:after="0"/>
              <w:rPr>
                <w:sz w:val="19"/>
                <w:szCs w:val="19"/>
                <w:color w:val="auto"/>
              </w:rPr>
            </w:pPr>
          </w:p>
        </w:tc>
      </w:tr>
      <w:tr>
        <w:trPr>
          <w:trHeight w:val="251"/>
        </w:trPr>
        <w:tc>
          <w:tcPr>
            <w:tcW w:w="506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6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0C0C0"/>
          </w:tcPr>
          <w:p>
            <w:pPr>
              <w:spacing w:after="0"/>
              <w:rPr>
                <w:sz w:val="21"/>
                <w:szCs w:val="21"/>
                <w:color w:val="auto"/>
              </w:rPr>
            </w:pPr>
          </w:p>
        </w:tc>
        <w:tc>
          <w:tcPr>
            <w:tcW w:w="780" w:type="dxa"/>
            <w:vAlign w:val="bottom"/>
            <w:tcBorders>
              <w:bottom w:val="single" w:sz="8" w:color="auto"/>
            </w:tcBorders>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r>
      <w:tr>
        <w:trPr>
          <w:trHeight w:val="250"/>
        </w:trPr>
        <w:tc>
          <w:tcPr>
            <w:tcW w:w="50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121,657</w:t>
            </w:r>
          </w:p>
        </w:tc>
        <w:tc>
          <w:tcPr>
            <w:tcW w:w="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686</w:t>
            </w:r>
          </w:p>
        </w:tc>
        <w:tc>
          <w:tcPr>
            <w:tcW w:w="3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98,551</w:t>
            </w:r>
          </w:p>
        </w:tc>
        <w:tc>
          <w:tcPr>
            <w:tcW w:w="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2,537</w:t>
            </w:r>
          </w:p>
        </w:tc>
        <w:tc>
          <w:tcPr>
            <w:tcW w:w="3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220,208</w:t>
            </w:r>
          </w:p>
        </w:tc>
        <w:tc>
          <w:tcPr>
            <w:tcW w:w="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20" w:type="dxa"/>
            <w:vAlign w:val="bottom"/>
            <w:tcBorders>
              <w:bottom w:val="single" w:sz="8" w:color="auto"/>
            </w:tcBorders>
          </w:tcPr>
          <w:p>
            <w:pPr>
              <w:spacing w:after="0"/>
              <w:rPr>
                <w:sz w:val="21"/>
                <w:szCs w:val="21"/>
                <w:color w:val="auto"/>
              </w:rPr>
            </w:pPr>
          </w:p>
        </w:tc>
      </w:tr>
    </w:tbl>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were 40 securities, or 13% of the total (39 greater than 12 months), in an unrealized loss position as of March 31, 2019. There were 169 securities, or 46% of the total (24 greater than 12 months), in an unrealized loss position as of March 31, 2018. All unrealized losses were reviewed to determine whether the losses were other than temporary. Management believes that all unrealized losses are temporary since they were market driven, and it is more likely than not that the Company will not be required to sell prior to recovery of the amortized basis.</w:t>
      </w:r>
    </w:p>
    <w:p>
      <w:pPr>
        <w:spacing w:after="0" w:line="19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amortized cost and fair value of investment securities by contractual maturity are shown in the following table. Expected maturities may differ from contractual maturities because borrowers have the right to prepay obligations with or without prepayment penalties.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6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5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5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3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 w:type="dxa"/>
            <w:vAlign w:val="bottom"/>
          </w:tcPr>
          <w:p>
            <w:pPr>
              <w:spacing w:after="0"/>
              <w:rPr>
                <w:sz w:val="21"/>
                <w:szCs w:val="21"/>
                <w:color w:val="auto"/>
              </w:rPr>
            </w:pPr>
          </w:p>
        </w:tc>
      </w:tr>
      <w:tr>
        <w:trPr>
          <w:trHeight w:val="243"/>
        </w:trPr>
        <w:tc>
          <w:tcPr>
            <w:tcW w:w="576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Due in 1 year or less</w:t>
            </w:r>
          </w:p>
        </w:tc>
        <w:tc>
          <w:tcPr>
            <w:tcW w:w="3660" w:type="dxa"/>
            <w:vAlign w:val="bottom"/>
            <w:gridSpan w:val="2"/>
            <w:shd w:val="clear" w:color="auto" w:fill="C0C0C0"/>
          </w:tcPr>
          <w:p>
            <w:pPr>
              <w:ind w:left="3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17,585</w:t>
            </w:r>
          </w:p>
        </w:tc>
        <w:tc>
          <w:tcPr>
            <w:tcW w:w="440" w:type="dxa"/>
            <w:vAlign w:val="bottom"/>
            <w:shd w:val="clear" w:color="auto" w:fill="C0C0C0"/>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17,607</w:t>
            </w:r>
          </w:p>
        </w:tc>
        <w:tc>
          <w:tcPr>
            <w:tcW w:w="20" w:type="dxa"/>
            <w:vAlign w:val="bottom"/>
          </w:tcPr>
          <w:p>
            <w:pPr>
              <w:spacing w:after="0"/>
              <w:rPr>
                <w:sz w:val="21"/>
                <w:szCs w:val="21"/>
                <w:color w:val="auto"/>
              </w:rPr>
            </w:pPr>
          </w:p>
        </w:tc>
      </w:tr>
      <w:tr>
        <w:trPr>
          <w:trHeight w:val="228"/>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Due after 1 year through 5 years</w:t>
            </w:r>
          </w:p>
        </w:tc>
        <w:tc>
          <w:tcPr>
            <w:tcW w:w="3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123,001</w:t>
            </w: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124,343</w:t>
            </w:r>
          </w:p>
        </w:tc>
        <w:tc>
          <w:tcPr>
            <w:tcW w:w="20" w:type="dxa"/>
            <w:vAlign w:val="bottom"/>
          </w:tcPr>
          <w:p>
            <w:pPr>
              <w:spacing w:after="0"/>
              <w:rPr>
                <w:sz w:val="19"/>
                <w:szCs w:val="19"/>
                <w:color w:val="auto"/>
              </w:rPr>
            </w:pPr>
          </w:p>
        </w:tc>
      </w:tr>
      <w:tr>
        <w:trPr>
          <w:trHeight w:val="258"/>
        </w:trPr>
        <w:tc>
          <w:tcPr>
            <w:tcW w:w="576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Due after 5 years through 10 years</w:t>
            </w:r>
          </w:p>
        </w:tc>
        <w:tc>
          <w:tcPr>
            <w:tcW w:w="3320" w:type="dxa"/>
            <w:vAlign w:val="bottom"/>
            <w:shd w:val="clear" w:color="auto" w:fill="C0C0C0"/>
          </w:tcPr>
          <w:p>
            <w:pPr>
              <w:spacing w:after="0"/>
              <w:rPr>
                <w:sz w:val="22"/>
                <w:szCs w:val="22"/>
                <w:color w:val="auto"/>
              </w:rPr>
            </w:pPr>
          </w:p>
        </w:tc>
        <w:tc>
          <w:tcPr>
            <w:tcW w:w="340" w:type="dxa"/>
            <w:vAlign w:val="bottom"/>
            <w:shd w:val="clear" w:color="auto" w:fill="C0C0C0"/>
          </w:tcPr>
          <w:p>
            <w:pPr>
              <w:spacing w:after="0"/>
              <w:rPr>
                <w:sz w:val="22"/>
                <w:szCs w:val="22"/>
                <w:color w:val="auto"/>
              </w:rPr>
            </w:pPr>
          </w:p>
        </w:tc>
        <w:tc>
          <w:tcPr>
            <w:tcW w:w="98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241,321</w:t>
            </w:r>
          </w:p>
        </w:tc>
        <w:tc>
          <w:tcPr>
            <w:tcW w:w="440" w:type="dxa"/>
            <w:vAlign w:val="bottom"/>
            <w:shd w:val="clear" w:color="auto" w:fill="C0C0C0"/>
          </w:tcPr>
          <w:p>
            <w:pPr>
              <w:spacing w:after="0"/>
              <w:rPr>
                <w:sz w:val="22"/>
                <w:szCs w:val="22"/>
                <w:color w:val="auto"/>
              </w:rPr>
            </w:pPr>
          </w:p>
        </w:tc>
        <w:tc>
          <w:tcPr>
            <w:tcW w:w="58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w w:val="95"/>
              </w:rPr>
              <w:t>248,393</w:t>
            </w:r>
          </w:p>
        </w:tc>
        <w:tc>
          <w:tcPr>
            <w:tcW w:w="20" w:type="dxa"/>
            <w:vAlign w:val="bottom"/>
          </w:tcPr>
          <w:p>
            <w:pPr>
              <w:spacing w:after="0"/>
              <w:rPr>
                <w:sz w:val="22"/>
                <w:szCs w:val="22"/>
                <w:color w:val="auto"/>
              </w:rPr>
            </w:pPr>
          </w:p>
        </w:tc>
      </w:tr>
      <w:tr>
        <w:trPr>
          <w:trHeight w:val="237"/>
        </w:trPr>
        <w:tc>
          <w:tcPr>
            <w:tcW w:w="5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Due after 10 years</w:t>
            </w:r>
          </w:p>
        </w:tc>
        <w:tc>
          <w:tcPr>
            <w:tcW w:w="33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51,500</w:t>
            </w:r>
          </w:p>
        </w:tc>
        <w:tc>
          <w:tcPr>
            <w:tcW w:w="4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50,846</w:t>
            </w:r>
          </w:p>
        </w:tc>
        <w:tc>
          <w:tcPr>
            <w:tcW w:w="20" w:type="dxa"/>
            <w:vAlign w:val="bottom"/>
          </w:tcPr>
          <w:p>
            <w:pPr>
              <w:spacing w:after="0"/>
              <w:rPr>
                <w:sz w:val="20"/>
                <w:szCs w:val="20"/>
                <w:color w:val="auto"/>
              </w:rPr>
            </w:pPr>
          </w:p>
        </w:tc>
      </w:tr>
      <w:tr>
        <w:trPr>
          <w:trHeight w:val="250"/>
        </w:trPr>
        <w:tc>
          <w:tcPr>
            <w:tcW w:w="5760" w:type="dxa"/>
            <w:vAlign w:val="bottom"/>
            <w:tcBorders>
              <w:bottom w:val="single" w:sz="8" w:color="auto"/>
            </w:tcBorders>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3660" w:type="dxa"/>
            <w:vAlign w:val="bottom"/>
            <w:tcBorders>
              <w:bottom w:val="single" w:sz="8" w:color="auto"/>
            </w:tcBorders>
            <w:gridSpan w:val="2"/>
            <w:shd w:val="clear" w:color="auto" w:fill="C0C0C0"/>
          </w:tcPr>
          <w:p>
            <w:pPr>
              <w:ind w:left="3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433,407</w:t>
            </w:r>
          </w:p>
        </w:tc>
        <w:tc>
          <w:tcPr>
            <w:tcW w:w="440" w:type="dxa"/>
            <w:vAlign w:val="bottom"/>
            <w:tcBorders>
              <w:bottom w:val="single" w:sz="8" w:color="auto"/>
            </w:tcBorders>
            <w:shd w:val="clear" w:color="auto" w:fill="C0C0C0"/>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w w:val="95"/>
              </w:rPr>
              <w:t>441,189</w:t>
            </w:r>
          </w:p>
        </w:tc>
        <w:tc>
          <w:tcPr>
            <w:tcW w:w="20" w:type="dxa"/>
            <w:vAlign w:val="bottom"/>
          </w:tcPr>
          <w:p>
            <w:pPr>
              <w:spacing w:after="0"/>
              <w:rPr>
                <w:sz w:val="21"/>
                <w:szCs w:val="21"/>
                <w:color w:val="auto"/>
              </w:rPr>
            </w:pPr>
          </w:p>
        </w:tc>
      </w:tr>
    </w:tbl>
    <w:p>
      <w:pPr>
        <w:spacing w:after="0" w:line="20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Proceeds from sales of investment securities classified as available for sale were $1,101,000 and $9,543,000 for the three months ended March 31, 2019 and 2018, respectively. Gross realized gains were $11,000 and $13,000 for the three months ended March 31, 2019 and 2018, respectively. There were no securities pledged to secure public deposits and for other purposes at March 31, 2019.</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28"/>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Note 12 – Fair Value of Financial Instruments</w:t>
            </w: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2"/>
        </w:trPr>
        <w:tc>
          <w:tcPr>
            <w:tcW w:w="7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Following is a summary of the carrying amounts and fair values of the Company’s financial instruments: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8"/>
        </w:trPr>
        <w:tc>
          <w:tcPr>
            <w:tcW w:w="49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30"/>
        </w:trPr>
        <w:tc>
          <w:tcPr>
            <w:tcW w:w="49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63"/>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2"/>
                <w:szCs w:val="22"/>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2"/>
                <w:szCs w:val="22"/>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43"/>
        </w:trPr>
        <w:tc>
          <w:tcPr>
            <w:tcW w:w="4900" w:type="dxa"/>
            <w:vAlign w:val="bottom"/>
            <w:tcBorders>
              <w:top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Balance sheet assets:</w:t>
            </w:r>
          </w:p>
        </w:tc>
        <w:tc>
          <w:tcPr>
            <w:tcW w:w="1660" w:type="dxa"/>
            <w:vAlign w:val="bottom"/>
            <w:tcBorders>
              <w:top w:val="single" w:sz="8" w:color="auto"/>
            </w:tcBorders>
            <w:shd w:val="clear" w:color="auto" w:fill="C0C0C0"/>
          </w:tcPr>
          <w:p>
            <w:pPr>
              <w:spacing w:after="0"/>
              <w:rPr>
                <w:sz w:val="21"/>
                <w:szCs w:val="21"/>
                <w:color w:val="auto"/>
              </w:rPr>
            </w:pPr>
          </w:p>
        </w:tc>
        <w:tc>
          <w:tcPr>
            <w:tcW w:w="120" w:type="dxa"/>
            <w:vAlign w:val="bottom"/>
            <w:tcBorders>
              <w:top w:val="single" w:sz="8" w:color="auto"/>
            </w:tcBorders>
            <w:shd w:val="clear" w:color="auto" w:fill="C0C0C0"/>
          </w:tcPr>
          <w:p>
            <w:pPr>
              <w:spacing w:after="0"/>
              <w:rPr>
                <w:sz w:val="21"/>
                <w:szCs w:val="21"/>
                <w:color w:val="auto"/>
              </w:rPr>
            </w:pPr>
          </w:p>
        </w:tc>
        <w:tc>
          <w:tcPr>
            <w:tcW w:w="1020" w:type="dxa"/>
            <w:vAlign w:val="bottom"/>
            <w:tcBorders>
              <w:top w:val="single" w:sz="8" w:color="auto"/>
            </w:tcBorders>
            <w:shd w:val="clear" w:color="auto" w:fill="C0C0C0"/>
          </w:tcPr>
          <w:p>
            <w:pPr>
              <w:spacing w:after="0"/>
              <w:rPr>
                <w:sz w:val="21"/>
                <w:szCs w:val="21"/>
                <w:color w:val="auto"/>
              </w:rPr>
            </w:pPr>
          </w:p>
        </w:tc>
        <w:tc>
          <w:tcPr>
            <w:tcW w:w="240" w:type="dxa"/>
            <w:vAlign w:val="bottom"/>
            <w:tcBorders>
              <w:top w:val="single" w:sz="8" w:color="auto"/>
            </w:tcBorders>
            <w:shd w:val="clear" w:color="auto" w:fill="C0C0C0"/>
          </w:tcPr>
          <w:p>
            <w:pPr>
              <w:spacing w:after="0"/>
              <w:rPr>
                <w:sz w:val="21"/>
                <w:szCs w:val="21"/>
                <w:color w:val="auto"/>
              </w:rPr>
            </w:pPr>
          </w:p>
        </w:tc>
        <w:tc>
          <w:tcPr>
            <w:tcW w:w="920" w:type="dxa"/>
            <w:vAlign w:val="bottom"/>
            <w:tcBorders>
              <w:top w:val="single" w:sz="8" w:color="auto"/>
            </w:tcBorders>
            <w:shd w:val="clear" w:color="auto" w:fill="C0C0C0"/>
          </w:tcPr>
          <w:p>
            <w:pPr>
              <w:spacing w:after="0"/>
              <w:rPr>
                <w:sz w:val="21"/>
                <w:szCs w:val="21"/>
                <w:color w:val="auto"/>
              </w:rPr>
            </w:pPr>
          </w:p>
        </w:tc>
        <w:tc>
          <w:tcPr>
            <w:tcW w:w="120" w:type="dxa"/>
            <w:vAlign w:val="bottom"/>
            <w:tcBorders>
              <w:top w:val="single" w:sz="8" w:color="auto"/>
            </w:tcBorders>
            <w:shd w:val="clear" w:color="auto" w:fill="C0C0C0"/>
          </w:tcPr>
          <w:p>
            <w:pPr>
              <w:spacing w:after="0"/>
              <w:rPr>
                <w:sz w:val="21"/>
                <w:szCs w:val="21"/>
                <w:color w:val="auto"/>
              </w:rPr>
            </w:pPr>
          </w:p>
        </w:tc>
        <w:tc>
          <w:tcPr>
            <w:tcW w:w="140" w:type="dxa"/>
            <w:vAlign w:val="bottom"/>
            <w:tcBorders>
              <w:top w:val="single" w:sz="8" w:color="auto"/>
            </w:tcBorders>
            <w:shd w:val="clear" w:color="auto" w:fill="C0C0C0"/>
          </w:tcPr>
          <w:p>
            <w:pPr>
              <w:spacing w:after="0"/>
              <w:rPr>
                <w:sz w:val="21"/>
                <w:szCs w:val="21"/>
                <w:color w:val="auto"/>
              </w:rPr>
            </w:pPr>
          </w:p>
        </w:tc>
        <w:tc>
          <w:tcPr>
            <w:tcW w:w="120" w:type="dxa"/>
            <w:vAlign w:val="bottom"/>
            <w:tcBorders>
              <w:top w:val="single" w:sz="8" w:color="auto"/>
            </w:tcBorders>
            <w:shd w:val="clear" w:color="auto" w:fill="C0C0C0"/>
          </w:tcPr>
          <w:p>
            <w:pPr>
              <w:spacing w:after="0"/>
              <w:rPr>
                <w:sz w:val="21"/>
                <w:szCs w:val="21"/>
                <w:color w:val="auto"/>
              </w:rPr>
            </w:pPr>
          </w:p>
        </w:tc>
        <w:tc>
          <w:tcPr>
            <w:tcW w:w="1040" w:type="dxa"/>
            <w:vAlign w:val="bottom"/>
            <w:tcBorders>
              <w:top w:val="single" w:sz="8" w:color="auto"/>
            </w:tcBorders>
            <w:shd w:val="clear" w:color="auto" w:fill="C0C0C0"/>
          </w:tcPr>
          <w:p>
            <w:pPr>
              <w:spacing w:after="0"/>
              <w:rPr>
                <w:sz w:val="21"/>
                <w:szCs w:val="21"/>
                <w:color w:val="auto"/>
              </w:rPr>
            </w:pPr>
          </w:p>
        </w:tc>
        <w:tc>
          <w:tcPr>
            <w:tcW w:w="220" w:type="dxa"/>
            <w:vAlign w:val="bottom"/>
            <w:tcBorders>
              <w:top w:val="single" w:sz="8" w:color="auto"/>
            </w:tcBorders>
            <w:shd w:val="clear" w:color="auto" w:fill="C0C0C0"/>
          </w:tcPr>
          <w:p>
            <w:pPr>
              <w:spacing w:after="0"/>
              <w:rPr>
                <w:sz w:val="21"/>
                <w:szCs w:val="21"/>
                <w:color w:val="auto"/>
              </w:rPr>
            </w:pPr>
          </w:p>
        </w:tc>
        <w:tc>
          <w:tcPr>
            <w:tcW w:w="920" w:type="dxa"/>
            <w:vAlign w:val="bottom"/>
            <w:tcBorders>
              <w:top w:val="single" w:sz="8" w:color="auto"/>
            </w:tcBorders>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28"/>
        </w:trPr>
        <w:tc>
          <w:tcPr>
            <w:tcW w:w="4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184,354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184,354</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230,933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230,933</w:t>
            </w:r>
          </w:p>
        </w:tc>
        <w:tc>
          <w:tcPr>
            <w:tcW w:w="20" w:type="dxa"/>
            <w:vAlign w:val="bottom"/>
          </w:tcPr>
          <w:p>
            <w:pPr>
              <w:spacing w:after="0"/>
              <w:rPr>
                <w:sz w:val="19"/>
                <w:szCs w:val="19"/>
                <w:color w:val="auto"/>
              </w:rPr>
            </w:pPr>
          </w:p>
        </w:tc>
      </w:tr>
      <w:tr>
        <w:trPr>
          <w:trHeight w:val="258"/>
        </w:trPr>
        <w:tc>
          <w:tcPr>
            <w:tcW w:w="4900" w:type="dxa"/>
            <w:vAlign w:val="bottom"/>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Investment securities</w:t>
            </w:r>
          </w:p>
        </w:tc>
        <w:tc>
          <w:tcPr>
            <w:tcW w:w="166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1020" w:type="dxa"/>
            <w:vAlign w:val="bottom"/>
            <w:shd w:val="clear" w:color="auto" w:fill="C0C0C0"/>
          </w:tcPr>
          <w:p>
            <w:pPr>
              <w:jc w:val="right"/>
              <w:ind w:right="32"/>
              <w:spacing w:after="0"/>
              <w:rPr>
                <w:sz w:val="20"/>
                <w:szCs w:val="20"/>
                <w:color w:val="auto"/>
              </w:rPr>
            </w:pPr>
            <w:r>
              <w:rPr>
                <w:rFonts w:ascii="Times New Roman" w:cs="Times New Roman" w:eastAsia="Times New Roman" w:hAnsi="Times New Roman"/>
                <w:sz w:val="18"/>
                <w:szCs w:val="18"/>
                <w:color w:val="auto"/>
              </w:rPr>
              <w:t>441,189</w:t>
            </w:r>
          </w:p>
        </w:tc>
        <w:tc>
          <w:tcPr>
            <w:tcW w:w="240" w:type="dxa"/>
            <w:vAlign w:val="bottom"/>
            <w:shd w:val="clear" w:color="auto" w:fill="C0C0C0"/>
          </w:tcPr>
          <w:p>
            <w:pPr>
              <w:spacing w:after="0"/>
              <w:rPr>
                <w:sz w:val="22"/>
                <w:szCs w:val="22"/>
                <w:color w:val="auto"/>
              </w:rPr>
            </w:pPr>
          </w:p>
        </w:tc>
        <w:tc>
          <w:tcPr>
            <w:tcW w:w="1040" w:type="dxa"/>
            <w:vAlign w:val="bottom"/>
            <w:gridSpan w:val="2"/>
            <w:shd w:val="clear" w:color="auto" w:fill="C0C0C0"/>
          </w:tcPr>
          <w:p>
            <w:pPr>
              <w:jc w:val="right"/>
              <w:ind w:right="120"/>
              <w:spacing w:after="0"/>
              <w:rPr>
                <w:sz w:val="20"/>
                <w:szCs w:val="20"/>
                <w:color w:val="auto"/>
              </w:rPr>
            </w:pPr>
            <w:r>
              <w:rPr>
                <w:rFonts w:ascii="Times New Roman" w:cs="Times New Roman" w:eastAsia="Times New Roman" w:hAnsi="Times New Roman"/>
                <w:sz w:val="18"/>
                <w:szCs w:val="18"/>
                <w:color w:val="auto"/>
              </w:rPr>
              <w:t>441,189</w:t>
            </w:r>
          </w:p>
        </w:tc>
        <w:tc>
          <w:tcPr>
            <w:tcW w:w="14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104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441,534</w:t>
            </w:r>
          </w:p>
        </w:tc>
        <w:tc>
          <w:tcPr>
            <w:tcW w:w="220" w:type="dxa"/>
            <w:vAlign w:val="bottom"/>
            <w:shd w:val="clear" w:color="auto" w:fill="C0C0C0"/>
          </w:tcPr>
          <w:p>
            <w:pPr>
              <w:spacing w:after="0"/>
              <w:rPr>
                <w:sz w:val="22"/>
                <w:szCs w:val="22"/>
                <w:color w:val="auto"/>
              </w:rPr>
            </w:pPr>
          </w:p>
        </w:tc>
        <w:tc>
          <w:tcPr>
            <w:tcW w:w="9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441,534</w:t>
            </w:r>
          </w:p>
        </w:tc>
        <w:tc>
          <w:tcPr>
            <w:tcW w:w="20" w:type="dxa"/>
            <w:vAlign w:val="bottom"/>
          </w:tcPr>
          <w:p>
            <w:pPr>
              <w:spacing w:after="0"/>
              <w:rPr>
                <w:sz w:val="22"/>
                <w:szCs w:val="22"/>
                <w:color w:val="auto"/>
              </w:rPr>
            </w:pPr>
          </w:p>
        </w:tc>
      </w:tr>
      <w:tr>
        <w:trPr>
          <w:trHeight w:val="228"/>
        </w:trPr>
        <w:tc>
          <w:tcPr>
            <w:tcW w:w="4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Loans, net</w:t>
            </w: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740,823</w:t>
            </w:r>
          </w:p>
        </w:tc>
        <w:tc>
          <w:tcPr>
            <w:tcW w:w="2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739,240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711,362</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711,090</w:t>
            </w:r>
          </w:p>
        </w:tc>
        <w:tc>
          <w:tcPr>
            <w:tcW w:w="20" w:type="dxa"/>
            <w:vAlign w:val="bottom"/>
          </w:tcPr>
          <w:p>
            <w:pPr>
              <w:spacing w:after="0"/>
              <w:rPr>
                <w:sz w:val="19"/>
                <w:szCs w:val="19"/>
                <w:color w:val="auto"/>
              </w:rPr>
            </w:pPr>
          </w:p>
        </w:tc>
      </w:tr>
      <w:tr>
        <w:trPr>
          <w:trHeight w:val="251"/>
        </w:trPr>
        <w:tc>
          <w:tcPr>
            <w:tcW w:w="4900" w:type="dxa"/>
            <w:vAlign w:val="bottom"/>
            <w:tcBorders>
              <w:bottom w:val="single" w:sz="8" w:color="auto"/>
            </w:tcBorders>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660" w:type="dxa"/>
            <w:vAlign w:val="bottom"/>
            <w:tcBorders>
              <w:bottom w:val="single" w:sz="8" w:color="auto"/>
            </w:tcBorders>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1020" w:type="dxa"/>
            <w:vAlign w:val="bottom"/>
            <w:tcBorders>
              <w:bottom w:val="single" w:sz="8" w:color="auto"/>
            </w:tcBorders>
            <w:shd w:val="clear" w:color="auto" w:fill="C0C0C0"/>
          </w:tcPr>
          <w:p>
            <w:pPr>
              <w:jc w:val="right"/>
              <w:ind w:right="32"/>
              <w:spacing w:after="0"/>
              <w:rPr>
                <w:sz w:val="20"/>
                <w:szCs w:val="20"/>
                <w:color w:val="auto"/>
              </w:rPr>
            </w:pPr>
            <w:r>
              <w:rPr>
                <w:rFonts w:ascii="Times New Roman" w:cs="Times New Roman" w:eastAsia="Times New Roman" w:hAnsi="Times New Roman"/>
                <w:sz w:val="18"/>
                <w:szCs w:val="18"/>
                <w:color w:val="auto"/>
              </w:rPr>
              <w:t>6,489</w:t>
            </w:r>
          </w:p>
        </w:tc>
        <w:tc>
          <w:tcPr>
            <w:tcW w:w="24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gridSpan w:val="2"/>
            <w:shd w:val="clear" w:color="auto" w:fill="C0C0C0"/>
          </w:tcPr>
          <w:p>
            <w:pPr>
              <w:jc w:val="right"/>
              <w:ind w:right="120"/>
              <w:spacing w:after="0"/>
              <w:rPr>
                <w:sz w:val="20"/>
                <w:szCs w:val="20"/>
                <w:color w:val="auto"/>
              </w:rPr>
            </w:pPr>
            <w:r>
              <w:rPr>
                <w:rFonts w:ascii="Times New Roman" w:cs="Times New Roman" w:eastAsia="Times New Roman" w:hAnsi="Times New Roman"/>
                <w:sz w:val="18"/>
                <w:szCs w:val="18"/>
                <w:color w:val="auto"/>
              </w:rPr>
              <w:t>6,489</w:t>
            </w:r>
          </w:p>
        </w:tc>
        <w:tc>
          <w:tcPr>
            <w:tcW w:w="140" w:type="dxa"/>
            <w:vAlign w:val="bottom"/>
            <w:tcBorders>
              <w:bottom w:val="single" w:sz="8" w:color="auto"/>
            </w:tcBorders>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7,069</w:t>
            </w:r>
          </w:p>
        </w:tc>
        <w:tc>
          <w:tcPr>
            <w:tcW w:w="220" w:type="dxa"/>
            <w:vAlign w:val="bottom"/>
            <w:tcBorders>
              <w:bottom w:val="single" w:sz="8" w:color="auto"/>
            </w:tcBorders>
            <w:shd w:val="clear" w:color="auto" w:fill="C0C0C0"/>
          </w:tcPr>
          <w:p>
            <w:pPr>
              <w:spacing w:after="0"/>
              <w:rPr>
                <w:sz w:val="21"/>
                <w:szCs w:val="21"/>
                <w:color w:val="auto"/>
              </w:rPr>
            </w:pPr>
          </w:p>
        </w:tc>
        <w:tc>
          <w:tcPr>
            <w:tcW w:w="92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7,069</w:t>
            </w:r>
          </w:p>
        </w:tc>
        <w:tc>
          <w:tcPr>
            <w:tcW w:w="20" w:type="dxa"/>
            <w:vAlign w:val="bottom"/>
          </w:tcPr>
          <w:p>
            <w:pPr>
              <w:spacing w:after="0"/>
              <w:rPr>
                <w:sz w:val="21"/>
                <w:szCs w:val="21"/>
                <w:color w:val="auto"/>
              </w:rPr>
            </w:pPr>
          </w:p>
        </w:tc>
      </w:tr>
      <w:tr>
        <w:trPr>
          <w:trHeight w:val="237"/>
        </w:trPr>
        <w:tc>
          <w:tcPr>
            <w:tcW w:w="49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1,372,855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1,371,272</w:t>
            </w:r>
          </w:p>
        </w:tc>
        <w:tc>
          <w:tcPr>
            <w:tcW w:w="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1,390,898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1,390,626</w:t>
            </w:r>
          </w:p>
        </w:tc>
        <w:tc>
          <w:tcPr>
            <w:tcW w:w="20" w:type="dxa"/>
            <w:vAlign w:val="bottom"/>
          </w:tcPr>
          <w:p>
            <w:pPr>
              <w:spacing w:after="0"/>
              <w:rPr>
                <w:sz w:val="20"/>
                <w:szCs w:val="20"/>
                <w:color w:val="auto"/>
              </w:rPr>
            </w:pPr>
          </w:p>
        </w:tc>
      </w:tr>
      <w:tr>
        <w:trPr>
          <w:trHeight w:val="243"/>
        </w:trPr>
        <w:tc>
          <w:tcPr>
            <w:tcW w:w="490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Balance sheet liabilities:</w:t>
            </w:r>
          </w:p>
        </w:tc>
        <w:tc>
          <w:tcPr>
            <w:tcW w:w="16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28"/>
        </w:trPr>
        <w:tc>
          <w:tcPr>
            <w:tcW w:w="4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Deposits</w:t>
            </w: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655,432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655,563</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721,926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722,018</w:t>
            </w:r>
          </w:p>
        </w:tc>
        <w:tc>
          <w:tcPr>
            <w:tcW w:w="20" w:type="dxa"/>
            <w:vAlign w:val="bottom"/>
          </w:tcPr>
          <w:p>
            <w:pPr>
              <w:spacing w:after="0"/>
              <w:rPr>
                <w:sz w:val="19"/>
                <w:szCs w:val="19"/>
                <w:color w:val="auto"/>
              </w:rPr>
            </w:pPr>
          </w:p>
        </w:tc>
      </w:tr>
      <w:tr>
        <w:trPr>
          <w:trHeight w:val="258"/>
        </w:trPr>
        <w:tc>
          <w:tcPr>
            <w:tcW w:w="4900" w:type="dxa"/>
            <w:vAlign w:val="bottom"/>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Accounts and drafts payable</w:t>
            </w:r>
          </w:p>
        </w:tc>
        <w:tc>
          <w:tcPr>
            <w:tcW w:w="166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1020" w:type="dxa"/>
            <w:vAlign w:val="bottom"/>
            <w:shd w:val="clear" w:color="auto" w:fill="C0C0C0"/>
          </w:tcPr>
          <w:p>
            <w:pPr>
              <w:jc w:val="right"/>
              <w:ind w:right="32"/>
              <w:spacing w:after="0"/>
              <w:rPr>
                <w:sz w:val="20"/>
                <w:szCs w:val="20"/>
                <w:color w:val="auto"/>
              </w:rPr>
            </w:pPr>
            <w:r>
              <w:rPr>
                <w:rFonts w:ascii="Times New Roman" w:cs="Times New Roman" w:eastAsia="Times New Roman" w:hAnsi="Times New Roman"/>
                <w:sz w:val="18"/>
                <w:szCs w:val="18"/>
                <w:color w:val="auto"/>
              </w:rPr>
              <w:t>739,357</w:t>
            </w:r>
          </w:p>
        </w:tc>
        <w:tc>
          <w:tcPr>
            <w:tcW w:w="240" w:type="dxa"/>
            <w:vAlign w:val="bottom"/>
            <w:shd w:val="clear" w:color="auto" w:fill="C0C0C0"/>
          </w:tcPr>
          <w:p>
            <w:pPr>
              <w:spacing w:after="0"/>
              <w:rPr>
                <w:sz w:val="22"/>
                <w:szCs w:val="22"/>
                <w:color w:val="auto"/>
              </w:rPr>
            </w:pPr>
          </w:p>
        </w:tc>
        <w:tc>
          <w:tcPr>
            <w:tcW w:w="1040" w:type="dxa"/>
            <w:vAlign w:val="bottom"/>
            <w:gridSpan w:val="2"/>
            <w:shd w:val="clear" w:color="auto" w:fill="C0C0C0"/>
          </w:tcPr>
          <w:p>
            <w:pPr>
              <w:jc w:val="right"/>
              <w:ind w:right="120"/>
              <w:spacing w:after="0"/>
              <w:rPr>
                <w:sz w:val="20"/>
                <w:szCs w:val="20"/>
                <w:color w:val="auto"/>
              </w:rPr>
            </w:pPr>
            <w:r>
              <w:rPr>
                <w:rFonts w:ascii="Times New Roman" w:cs="Times New Roman" w:eastAsia="Times New Roman" w:hAnsi="Times New Roman"/>
                <w:sz w:val="18"/>
                <w:szCs w:val="18"/>
                <w:color w:val="auto"/>
              </w:rPr>
              <w:t>739,357</w:t>
            </w:r>
          </w:p>
        </w:tc>
        <w:tc>
          <w:tcPr>
            <w:tcW w:w="14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104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694,360</w:t>
            </w:r>
          </w:p>
        </w:tc>
        <w:tc>
          <w:tcPr>
            <w:tcW w:w="220" w:type="dxa"/>
            <w:vAlign w:val="bottom"/>
            <w:shd w:val="clear" w:color="auto" w:fill="C0C0C0"/>
          </w:tcPr>
          <w:p>
            <w:pPr>
              <w:spacing w:after="0"/>
              <w:rPr>
                <w:sz w:val="22"/>
                <w:szCs w:val="22"/>
                <w:color w:val="auto"/>
              </w:rPr>
            </w:pPr>
          </w:p>
        </w:tc>
        <w:tc>
          <w:tcPr>
            <w:tcW w:w="9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694,360</w:t>
            </w:r>
          </w:p>
        </w:tc>
        <w:tc>
          <w:tcPr>
            <w:tcW w:w="20" w:type="dxa"/>
            <w:vAlign w:val="bottom"/>
          </w:tcPr>
          <w:p>
            <w:pPr>
              <w:spacing w:after="0"/>
              <w:rPr>
                <w:sz w:val="22"/>
                <w:szCs w:val="22"/>
                <w:color w:val="auto"/>
              </w:rPr>
            </w:pPr>
          </w:p>
        </w:tc>
      </w:tr>
      <w:tr>
        <w:trPr>
          <w:trHeight w:val="237"/>
        </w:trPr>
        <w:tc>
          <w:tcPr>
            <w:tcW w:w="49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157</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w:t>
            </w: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20"/>
                <w:szCs w:val="20"/>
                <w:color w:val="auto"/>
              </w:rPr>
            </w:pPr>
          </w:p>
        </w:tc>
      </w:tr>
      <w:tr>
        <w:trPr>
          <w:trHeight w:val="250"/>
        </w:trPr>
        <w:tc>
          <w:tcPr>
            <w:tcW w:w="4900" w:type="dxa"/>
            <w:vAlign w:val="bottom"/>
            <w:tcBorders>
              <w:bottom w:val="single" w:sz="8" w:color="auto"/>
            </w:tcBorders>
            <w:shd w:val="clear" w:color="auto" w:fill="C0C0C0"/>
          </w:tcPr>
          <w:p>
            <w:pPr>
              <w:ind w:left="540"/>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tcBorders>
              <w:bottom w:val="single" w:sz="8" w:color="auto"/>
            </w:tcBorders>
            <w:gridSpan w:val="2"/>
            <w:shd w:val="clear" w:color="auto" w:fill="C0C0C0"/>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0C0C0"/>
          </w:tcPr>
          <w:p>
            <w:pPr>
              <w:jc w:val="right"/>
              <w:ind w:right="32"/>
              <w:spacing w:after="0"/>
              <w:rPr>
                <w:sz w:val="20"/>
                <w:szCs w:val="20"/>
                <w:color w:val="auto"/>
              </w:rPr>
            </w:pPr>
            <w:r>
              <w:rPr>
                <w:rFonts w:ascii="Times New Roman" w:cs="Times New Roman" w:eastAsia="Times New Roman" w:hAnsi="Times New Roman"/>
                <w:sz w:val="18"/>
                <w:szCs w:val="18"/>
                <w:color w:val="auto"/>
              </w:rPr>
              <w:t>1,394,946</w:t>
            </w:r>
          </w:p>
        </w:tc>
        <w:tc>
          <w:tcPr>
            <w:tcW w:w="24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2"/>
            <w:shd w:val="clear" w:color="auto" w:fill="C0C0C0"/>
          </w:tcPr>
          <w:p>
            <w:pPr>
              <w:jc w:val="right"/>
              <w:ind w:right="120"/>
              <w:spacing w:after="0"/>
              <w:rPr>
                <w:sz w:val="20"/>
                <w:szCs w:val="20"/>
                <w:color w:val="auto"/>
              </w:rPr>
            </w:pPr>
            <w:r>
              <w:rPr>
                <w:rFonts w:ascii="Times New Roman" w:cs="Times New Roman" w:eastAsia="Times New Roman" w:hAnsi="Times New Roman"/>
                <w:sz w:val="18"/>
                <w:szCs w:val="18"/>
                <w:color w:val="auto"/>
              </w:rPr>
              <w:t>1,395,077</w:t>
            </w:r>
          </w:p>
        </w:tc>
        <w:tc>
          <w:tcPr>
            <w:tcW w:w="260" w:type="dxa"/>
            <w:vAlign w:val="bottom"/>
            <w:tcBorders>
              <w:bottom w:val="single" w:sz="8" w:color="auto"/>
            </w:tcBorders>
            <w:gridSpan w:val="2"/>
            <w:shd w:val="clear" w:color="auto" w:fill="C0C0C0"/>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1,416,377</w:t>
            </w:r>
          </w:p>
        </w:tc>
        <w:tc>
          <w:tcPr>
            <w:tcW w:w="22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1,416,469</w:t>
            </w:r>
          </w:p>
        </w:tc>
        <w:tc>
          <w:tcPr>
            <w:tcW w:w="20" w:type="dxa"/>
            <w:vAlign w:val="bottom"/>
          </w:tcPr>
          <w:p>
            <w:pPr>
              <w:spacing w:after="0"/>
              <w:rPr>
                <w:sz w:val="21"/>
                <w:szCs w:val="21"/>
                <w:color w:val="auto"/>
              </w:rPr>
            </w:pPr>
          </w:p>
        </w:tc>
      </w:tr>
    </w:tbl>
    <w:p>
      <w:pPr>
        <w:spacing w:after="0" w:line="20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each class of financial instruments for which it is practicable to estimate that value: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carrying amount approximates fair value.</w:t>
      </w:r>
    </w:p>
    <w:p>
      <w:pPr>
        <w:spacing w:after="0" w:line="225"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Investment in Securities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 is measured on a recurring basis using Level 2 valuations. Refer to Note 11, “Investment in Securities,” for fair value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unrealized gains and losses by investment type.</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Loans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 is estimated using present values of future cash flows discounted at risk-adjusted interest rates for each loan category designated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and is therefore a Level 3 valuation. Management believes that the risk factor embedded in the interest rates along with the allowance for loan losses result in a fair valuation.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Accrued Interest Receivable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carrying amount approximates fair value.</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Deposits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 of demand deposits, savings deposits and certain money market deposits is the amount payable on demand at the reporting date.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fixed-maturity certificates of deposit is estimated using the rates currently offered for deposits of similar remaining maturities and therefore, is a Level 2 valuation. The fair value estimates above do not include the benefit that results from the low-cost funding provided by the deposit liabilities compared to the cost of borrowing funds in the market or the benefit derived from the customer relationship inherent in existing deposits.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Accounts and Drafts Payable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carrying amount approximates fair value.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Accrued Interest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carrying amount approximates fair value.</w:t>
      </w:r>
    </w:p>
    <w:p>
      <w:pPr>
        <w:spacing w:after="0" w:line="227"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There were no transfers between Levels 1 and 2 of the fair value hierarchy for the three months ended March 31, 2019 and 2018. No financial instruments are measured using Level 3 inputs for the three months ended March 31, 2019 and 2018.</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13 – Revenue from Contracts with Customers</w:t>
      </w:r>
    </w:p>
    <w:p>
      <w:pPr>
        <w:spacing w:after="0" w:line="22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 xml:space="preserve">On January 1, 2018, the Company adopted FASB ASC 606,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 xml:space="preserve"> (“FASB ASC 606”) and selected the modified retrospective transition method. The adoption of this new standard did not impact the Company’s results of operations or balance sheet and there was no cumulative effect of initially applying this new revenue standard to the opening balance of retained earnings. Since interest income on loans and securities are both excluded from this topic, a significant portion of the Company’s revenues are not subject to the new guidance. The services that fall within the scope of FASB ASC 606 are presented within fee revenue and other income in the Consolidated Statements of Income and are recognized as revenue as the obligation to the customer is satisfied. Services within the scope of FASB ASC 606 include invoice processing and payment fees, bank service fees, and other real estate owned (“OREO”).</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jc w:val="both"/>
        <w:spacing w:after="0" w:line="312" w:lineRule="auto"/>
        <w:rPr>
          <w:sz w:val="20"/>
          <w:szCs w:val="20"/>
          <w:color w:val="auto"/>
        </w:rPr>
      </w:pPr>
      <w:r>
        <w:rPr>
          <w:rFonts w:ascii="Times New Roman" w:cs="Times New Roman" w:eastAsia="Times New Roman" w:hAnsi="Times New Roman"/>
          <w:sz w:val="16"/>
          <w:szCs w:val="16"/>
          <w:i w:val="1"/>
          <w:iCs w:val="1"/>
          <w:color w:val="auto"/>
        </w:rPr>
        <w:t xml:space="preserve">Invoice processing fees </w:t>
      </w:r>
      <w:r>
        <w:rPr>
          <w:rFonts w:ascii="Times New Roman" w:cs="Times New Roman" w:eastAsia="Times New Roman" w:hAnsi="Times New Roman"/>
          <w:sz w:val="16"/>
          <w:szCs w:val="16"/>
          <w:color w:val="auto"/>
        </w:rPr>
        <w:t>– The Company earns fees on a per-item or monthly basis for the invoice processing services rendered on behalf of customers. Per-item</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fees are recognized at the point in time when the performance obligation is satisfied. Monthly fees are earned over the course of a month, representing the period over which the performance obligation is satisfied. The contracts have no significant impact of variable consideration and no significant financing components.</w:t>
      </w:r>
    </w:p>
    <w:p>
      <w:pPr>
        <w:spacing w:after="0" w:line="1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Invoice payment fees </w:t>
      </w:r>
      <w:r>
        <w:rPr>
          <w:rFonts w:ascii="Times New Roman" w:cs="Times New Roman" w:eastAsia="Times New Roman" w:hAnsi="Times New Roman"/>
          <w:sz w:val="18"/>
          <w:szCs w:val="18"/>
          <w:color w:val="auto"/>
        </w:rPr>
        <w:t>– The Company earns fees on a transaction level basis for invoice payment services when making customer payments. Fees are recognized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the point in time when the payment transactions are made, which is when the performance obligation is satisfied. The contracts have no significant impact of variable consideration and no significant financing components.</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Bank service fees </w:t>
      </w:r>
      <w:r>
        <w:rPr>
          <w:rFonts w:ascii="Times New Roman" w:cs="Times New Roman" w:eastAsia="Times New Roman" w:hAnsi="Times New Roman"/>
          <w:sz w:val="18"/>
          <w:szCs w:val="18"/>
          <w:color w:val="auto"/>
        </w:rPr>
        <w:t>– Revenue from service fees consists of service charges and fees on deposit accounts under depository agreements with customers to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access to deposited funds. Service charges on deposit accounts are transaction based fees that are recognized at the point in time when the performance obligation is satisfied. Service charges are recognized on a monthly basis representing the period over which the performance obligation is satisfied. The contracts have no significant impact of variable consideration and no significant financing components.</w:t>
      </w:r>
    </w:p>
    <w:p>
      <w:pPr>
        <w:spacing w:after="0" w:line="187"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OREO </w:t>
      </w:r>
      <w:r>
        <w:rPr>
          <w:rFonts w:ascii="Times New Roman" w:cs="Times New Roman" w:eastAsia="Times New Roman" w:hAnsi="Times New Roman"/>
          <w:sz w:val="18"/>
          <w:szCs w:val="18"/>
          <w:color w:val="auto"/>
        </w:rPr>
        <w:t>– The Company currently does not have any OREO and has not in recent years. Net gains or losses would be recorded when other real estate is sold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third party and substantially all of the consideration for the transfer of property is received.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4"/>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6"/>
              </w:rPr>
              <w:t>For the Three Months</w:t>
            </w:r>
          </w:p>
        </w:tc>
      </w:tr>
      <w:tr>
        <w:trPr>
          <w:trHeight w:val="266"/>
        </w:trPr>
        <w:tc>
          <w:tcPr>
            <w:tcW w:w="9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gridSpan w:val="4"/>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Ended March 31,</w:t>
            </w:r>
          </w:p>
        </w:tc>
      </w:tr>
      <w:tr>
        <w:trPr>
          <w:trHeight w:val="250"/>
        </w:trPr>
        <w:tc>
          <w:tcPr>
            <w:tcW w:w="9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43"/>
        </w:trPr>
        <w:tc>
          <w:tcPr>
            <w:tcW w:w="926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Fee revenue and other income</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r>
      <w:tr>
        <w:trPr>
          <w:trHeight w:val="230"/>
        </w:trPr>
        <w:tc>
          <w:tcPr>
            <w:tcW w:w="926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In-scope of FASB ASC 606</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56"/>
        </w:trPr>
        <w:tc>
          <w:tcPr>
            <w:tcW w:w="9260" w:type="dxa"/>
            <w:vAlign w:val="bottom"/>
            <w:shd w:val="clear" w:color="auto" w:fill="C0C0C0"/>
          </w:tcPr>
          <w:p>
            <w:pPr>
              <w:ind w:left="540"/>
              <w:spacing w:after="0"/>
              <w:rPr>
                <w:sz w:val="20"/>
                <w:szCs w:val="20"/>
                <w:color w:val="auto"/>
              </w:rPr>
            </w:pPr>
            <w:r>
              <w:rPr>
                <w:rFonts w:ascii="Times New Roman" w:cs="Times New Roman" w:eastAsia="Times New Roman" w:hAnsi="Times New Roman"/>
                <w:sz w:val="18"/>
                <w:szCs w:val="18"/>
                <w:color w:val="auto"/>
              </w:rPr>
              <w:t>Invoice processing fees</w:t>
            </w:r>
          </w:p>
        </w:tc>
        <w:tc>
          <w:tcPr>
            <w:tcW w:w="380" w:type="dxa"/>
            <w:vAlign w:val="bottom"/>
            <w:gridSpan w:val="2"/>
            <w:shd w:val="clear" w:color="auto" w:fill="C0C0C0"/>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0C0C0"/>
          </w:tcPr>
          <w:p>
            <w:pPr>
              <w:jc w:val="right"/>
              <w:ind w:right="140"/>
              <w:spacing w:after="0"/>
              <w:rPr>
                <w:sz w:val="20"/>
                <w:szCs w:val="20"/>
                <w:color w:val="auto"/>
              </w:rPr>
            </w:pPr>
            <w:r>
              <w:rPr>
                <w:rFonts w:ascii="Times New Roman" w:cs="Times New Roman" w:eastAsia="Times New Roman" w:hAnsi="Times New Roman"/>
                <w:sz w:val="18"/>
                <w:szCs w:val="18"/>
                <w:color w:val="auto"/>
              </w:rPr>
              <w:t>20,542</w:t>
            </w:r>
          </w:p>
        </w:tc>
        <w:tc>
          <w:tcPr>
            <w:tcW w:w="2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19,149</w:t>
            </w:r>
          </w:p>
        </w:tc>
      </w:tr>
      <w:tr>
        <w:trPr>
          <w:trHeight w:val="237"/>
        </w:trPr>
        <w:tc>
          <w:tcPr>
            <w:tcW w:w="92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Invoice payment fees</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5,915</w:t>
            </w: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5,678</w:t>
            </w:r>
          </w:p>
        </w:tc>
      </w:tr>
      <w:tr>
        <w:trPr>
          <w:trHeight w:val="243"/>
        </w:trPr>
        <w:tc>
          <w:tcPr>
            <w:tcW w:w="9260" w:type="dxa"/>
            <w:vAlign w:val="bottom"/>
            <w:tcBorders>
              <w:top w:val="single" w:sz="8" w:color="C0C0C0"/>
            </w:tcBorders>
            <w:shd w:val="clear" w:color="auto" w:fill="C0C0C0"/>
          </w:tcPr>
          <w:p>
            <w:pPr>
              <w:ind w:left="820"/>
              <w:spacing w:after="0"/>
              <w:rPr>
                <w:sz w:val="20"/>
                <w:szCs w:val="20"/>
                <w:color w:val="auto"/>
              </w:rPr>
            </w:pPr>
            <w:r>
              <w:rPr>
                <w:rFonts w:ascii="Times New Roman" w:cs="Times New Roman" w:eastAsia="Times New Roman" w:hAnsi="Times New Roman"/>
                <w:sz w:val="18"/>
                <w:szCs w:val="18"/>
                <w:color w:val="auto"/>
              </w:rPr>
              <w:t>Information services payment and processing revenue</w:t>
            </w:r>
          </w:p>
        </w:tc>
        <w:tc>
          <w:tcPr>
            <w:tcW w:w="260" w:type="dxa"/>
            <w:vAlign w:val="bottom"/>
            <w:tcBorders>
              <w:top w:val="single" w:sz="8" w:color="C0C0C0"/>
            </w:tcBorders>
            <w:shd w:val="clear" w:color="auto" w:fill="C0C0C0"/>
          </w:tcPr>
          <w:p>
            <w:pPr>
              <w:spacing w:after="0"/>
              <w:rPr>
                <w:sz w:val="21"/>
                <w:szCs w:val="21"/>
                <w:color w:val="auto"/>
              </w:rPr>
            </w:pPr>
          </w:p>
        </w:tc>
        <w:tc>
          <w:tcPr>
            <w:tcW w:w="120" w:type="dxa"/>
            <w:vAlign w:val="bottom"/>
            <w:tcBorders>
              <w:top w:val="single" w:sz="8" w:color="C0C0C0"/>
            </w:tcBorders>
            <w:shd w:val="clear" w:color="auto" w:fill="C0C0C0"/>
          </w:tcPr>
          <w:p>
            <w:pPr>
              <w:spacing w:after="0"/>
              <w:rPr>
                <w:sz w:val="21"/>
                <w:szCs w:val="21"/>
                <w:color w:val="auto"/>
              </w:rPr>
            </w:pPr>
          </w:p>
        </w:tc>
        <w:tc>
          <w:tcPr>
            <w:tcW w:w="70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26,457</w:t>
            </w:r>
          </w:p>
        </w:tc>
        <w:tc>
          <w:tcPr>
            <w:tcW w:w="140" w:type="dxa"/>
            <w:vAlign w:val="bottom"/>
            <w:tcBorders>
              <w:top w:val="single" w:sz="8" w:color="C0C0C0"/>
            </w:tcBorders>
            <w:shd w:val="clear" w:color="auto" w:fill="C0C0C0"/>
          </w:tcPr>
          <w:p>
            <w:pPr>
              <w:spacing w:after="0"/>
              <w:rPr>
                <w:sz w:val="21"/>
                <w:szCs w:val="21"/>
                <w:color w:val="auto"/>
              </w:rPr>
            </w:pPr>
          </w:p>
        </w:tc>
        <w:tc>
          <w:tcPr>
            <w:tcW w:w="240" w:type="dxa"/>
            <w:vAlign w:val="bottom"/>
            <w:tcBorders>
              <w:top w:val="single" w:sz="8" w:color="C0C0C0"/>
            </w:tcBorders>
            <w:shd w:val="clear" w:color="auto" w:fill="C0C0C0"/>
          </w:tcPr>
          <w:p>
            <w:pPr>
              <w:spacing w:after="0"/>
              <w:rPr>
                <w:sz w:val="21"/>
                <w:szCs w:val="21"/>
                <w:color w:val="auto"/>
              </w:rPr>
            </w:pPr>
          </w:p>
        </w:tc>
        <w:tc>
          <w:tcPr>
            <w:tcW w:w="70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24,827</w:t>
            </w:r>
          </w:p>
        </w:tc>
      </w:tr>
      <w:tr>
        <w:trPr>
          <w:trHeight w:val="237"/>
        </w:trPr>
        <w:tc>
          <w:tcPr>
            <w:tcW w:w="92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Bank service fees</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376</w:t>
            </w: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43"/>
        </w:trPr>
        <w:tc>
          <w:tcPr>
            <w:tcW w:w="9260" w:type="dxa"/>
            <w:vAlign w:val="bottom"/>
            <w:tcBorders>
              <w:top w:val="single" w:sz="8" w:color="C0C0C0"/>
            </w:tcBorders>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Fee revenue (in-scope of FASB ASC 606)</w:t>
            </w:r>
          </w:p>
        </w:tc>
        <w:tc>
          <w:tcPr>
            <w:tcW w:w="260" w:type="dxa"/>
            <w:vAlign w:val="bottom"/>
            <w:tcBorders>
              <w:top w:val="single" w:sz="8" w:color="C0C0C0"/>
            </w:tcBorders>
            <w:shd w:val="clear" w:color="auto" w:fill="C0C0C0"/>
          </w:tcPr>
          <w:p>
            <w:pPr>
              <w:spacing w:after="0"/>
              <w:rPr>
                <w:sz w:val="21"/>
                <w:szCs w:val="21"/>
                <w:color w:val="auto"/>
              </w:rPr>
            </w:pPr>
          </w:p>
        </w:tc>
        <w:tc>
          <w:tcPr>
            <w:tcW w:w="120" w:type="dxa"/>
            <w:vAlign w:val="bottom"/>
            <w:tcBorders>
              <w:top w:val="single" w:sz="8" w:color="C0C0C0"/>
            </w:tcBorders>
            <w:shd w:val="clear" w:color="auto" w:fill="C0C0C0"/>
          </w:tcPr>
          <w:p>
            <w:pPr>
              <w:spacing w:after="0"/>
              <w:rPr>
                <w:sz w:val="21"/>
                <w:szCs w:val="21"/>
                <w:color w:val="auto"/>
              </w:rPr>
            </w:pPr>
          </w:p>
        </w:tc>
        <w:tc>
          <w:tcPr>
            <w:tcW w:w="70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26,833</w:t>
            </w:r>
          </w:p>
        </w:tc>
        <w:tc>
          <w:tcPr>
            <w:tcW w:w="140" w:type="dxa"/>
            <w:vAlign w:val="bottom"/>
            <w:tcBorders>
              <w:top w:val="single" w:sz="8" w:color="C0C0C0"/>
            </w:tcBorders>
            <w:shd w:val="clear" w:color="auto" w:fill="C0C0C0"/>
          </w:tcPr>
          <w:p>
            <w:pPr>
              <w:spacing w:after="0"/>
              <w:rPr>
                <w:sz w:val="21"/>
                <w:szCs w:val="21"/>
                <w:color w:val="auto"/>
              </w:rPr>
            </w:pPr>
          </w:p>
        </w:tc>
        <w:tc>
          <w:tcPr>
            <w:tcW w:w="240" w:type="dxa"/>
            <w:vAlign w:val="bottom"/>
            <w:tcBorders>
              <w:top w:val="single" w:sz="8" w:color="C0C0C0"/>
            </w:tcBorders>
            <w:shd w:val="clear" w:color="auto" w:fill="C0C0C0"/>
          </w:tcPr>
          <w:p>
            <w:pPr>
              <w:spacing w:after="0"/>
              <w:rPr>
                <w:sz w:val="21"/>
                <w:szCs w:val="21"/>
                <w:color w:val="auto"/>
              </w:rPr>
            </w:pPr>
          </w:p>
        </w:tc>
        <w:tc>
          <w:tcPr>
            <w:tcW w:w="70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25,162</w:t>
            </w:r>
          </w:p>
        </w:tc>
      </w:tr>
      <w:tr>
        <w:trPr>
          <w:trHeight w:val="237"/>
        </w:trPr>
        <w:tc>
          <w:tcPr>
            <w:tcW w:w="9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income (out-of-scope of FASB ASC 606)</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180</w:t>
            </w: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37"/>
        </w:trPr>
        <w:tc>
          <w:tcPr>
            <w:tcW w:w="9260" w:type="dxa"/>
            <w:vAlign w:val="bottom"/>
            <w:tcBorders>
              <w:top w:val="single" w:sz="8" w:color="C0C0C0"/>
              <w:bottom w:val="single" w:sz="8" w:color="C0C0C0"/>
            </w:tcBorders>
            <w:shd w:val="clear" w:color="auto" w:fill="C0C0C0"/>
          </w:tcPr>
          <w:p>
            <w:pPr>
              <w:ind w:left="820"/>
              <w:spacing w:after="0"/>
              <w:rPr>
                <w:sz w:val="20"/>
                <w:szCs w:val="20"/>
                <w:color w:val="auto"/>
              </w:rPr>
            </w:pPr>
            <w:r>
              <w:rPr>
                <w:rFonts w:ascii="Times New Roman" w:cs="Times New Roman" w:eastAsia="Times New Roman" w:hAnsi="Times New Roman"/>
                <w:sz w:val="18"/>
                <w:szCs w:val="18"/>
                <w:color w:val="auto"/>
              </w:rPr>
              <w:t>Total fee revenue and other income</w:t>
            </w:r>
          </w:p>
        </w:tc>
        <w:tc>
          <w:tcPr>
            <w:tcW w:w="260" w:type="dxa"/>
            <w:vAlign w:val="bottom"/>
            <w:tcBorders>
              <w:top w:val="single" w:sz="8" w:color="C0C0C0"/>
              <w:bottom w:val="single" w:sz="8" w:color="C0C0C0"/>
            </w:tcBorders>
            <w:shd w:val="clear" w:color="auto" w:fill="C0C0C0"/>
          </w:tcPr>
          <w:p>
            <w:pPr>
              <w:spacing w:after="0"/>
              <w:rPr>
                <w:sz w:val="20"/>
                <w:szCs w:val="20"/>
                <w:color w:val="auto"/>
              </w:rPr>
            </w:pPr>
          </w:p>
        </w:tc>
        <w:tc>
          <w:tcPr>
            <w:tcW w:w="120" w:type="dxa"/>
            <w:vAlign w:val="bottom"/>
            <w:tcBorders>
              <w:top w:val="single" w:sz="8" w:color="C0C0C0"/>
              <w:bottom w:val="single" w:sz="8" w:color="C0C0C0"/>
            </w:tcBorders>
            <w:shd w:val="clear" w:color="auto" w:fill="C0C0C0"/>
          </w:tcPr>
          <w:p>
            <w:pPr>
              <w:spacing w:after="0"/>
              <w:rPr>
                <w:sz w:val="20"/>
                <w:szCs w:val="20"/>
                <w:color w:val="auto"/>
              </w:rPr>
            </w:pPr>
          </w:p>
        </w:tc>
        <w:tc>
          <w:tcPr>
            <w:tcW w:w="7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27,013</w:t>
            </w:r>
          </w:p>
        </w:tc>
        <w:tc>
          <w:tcPr>
            <w:tcW w:w="140" w:type="dxa"/>
            <w:vAlign w:val="bottom"/>
            <w:tcBorders>
              <w:top w:val="single" w:sz="8" w:color="C0C0C0"/>
              <w:bottom w:val="single" w:sz="8" w:color="C0C0C0"/>
            </w:tcBorders>
            <w:shd w:val="clear" w:color="auto" w:fill="C0C0C0"/>
          </w:tcPr>
          <w:p>
            <w:pPr>
              <w:spacing w:after="0"/>
              <w:rPr>
                <w:sz w:val="20"/>
                <w:szCs w:val="20"/>
                <w:color w:val="auto"/>
              </w:rPr>
            </w:pPr>
          </w:p>
        </w:tc>
        <w:tc>
          <w:tcPr>
            <w:tcW w:w="240" w:type="dxa"/>
            <w:vAlign w:val="bottom"/>
            <w:tcBorders>
              <w:top w:val="single" w:sz="8" w:color="C0C0C0"/>
              <w:bottom w:val="single" w:sz="8" w:color="C0C0C0"/>
            </w:tcBorders>
            <w:shd w:val="clear" w:color="auto" w:fill="C0C0C0"/>
          </w:tcPr>
          <w:p>
            <w:pPr>
              <w:spacing w:after="0"/>
              <w:rPr>
                <w:sz w:val="20"/>
                <w:szCs w:val="20"/>
                <w:color w:val="auto"/>
              </w:rPr>
            </w:pPr>
          </w:p>
        </w:tc>
        <w:tc>
          <w:tcPr>
            <w:tcW w:w="7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25,374</w:t>
            </w:r>
          </w:p>
        </w:tc>
      </w:tr>
      <w:tr>
        <w:trPr>
          <w:trHeight w:val="230"/>
        </w:trPr>
        <w:tc>
          <w:tcPr>
            <w:tcW w:w="926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70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700" w:type="dxa"/>
            <w:vAlign w:val="bottom"/>
            <w:shd w:val="clear" w:color="auto" w:fill="C0C0C0"/>
          </w:tcPr>
          <w:p>
            <w:pPr>
              <w:spacing w:after="0"/>
              <w:rPr>
                <w:sz w:val="19"/>
                <w:szCs w:val="19"/>
                <w:color w:val="auto"/>
              </w:rPr>
            </w:pPr>
          </w:p>
        </w:tc>
      </w:tr>
      <w:tr>
        <w:trPr>
          <w:trHeight w:val="311"/>
        </w:trPr>
        <w:tc>
          <w:tcPr>
            <w:tcW w:w="9260" w:type="dxa"/>
            <w:vAlign w:val="bottom"/>
          </w:tcPr>
          <w:p>
            <w:pPr>
              <w:ind w:left="280"/>
              <w:spacing w:after="0" w:line="310" w:lineRule="exact"/>
              <w:rPr>
                <w:sz w:val="20"/>
                <w:szCs w:val="20"/>
                <w:color w:val="auto"/>
              </w:rPr>
            </w:pPr>
            <w:r>
              <w:rPr>
                <w:rFonts w:ascii="Times New Roman" w:cs="Times New Roman" w:eastAsia="Times New Roman" w:hAnsi="Times New Roman"/>
                <w:sz w:val="18"/>
                <w:szCs w:val="18"/>
                <w:color w:val="auto"/>
              </w:rPr>
              <w:t>Net interest income after provision for loan losses (out-of-scope of FASB ASC 606)</w:t>
            </w:r>
            <w:r>
              <w:rPr>
                <w:rFonts w:ascii="Times New Roman" w:cs="Times New Roman" w:eastAsia="Times New Roman" w:hAnsi="Times New Roman"/>
                <w:sz w:val="29"/>
                <w:szCs w:val="29"/>
                <w:color w:val="auto"/>
                <w:vertAlign w:val="superscript"/>
              </w:rPr>
              <w:t>1</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11,357</w:t>
            </w: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10,609</w:t>
            </w:r>
          </w:p>
        </w:tc>
      </w:tr>
      <w:tr>
        <w:trPr>
          <w:trHeight w:val="222"/>
        </w:trPr>
        <w:tc>
          <w:tcPr>
            <w:tcW w:w="9260" w:type="dxa"/>
            <w:vAlign w:val="bottom"/>
            <w:tcBorders>
              <w:top w:val="single" w:sz="8" w:color="C0C0C0"/>
            </w:tcBorders>
            <w:shd w:val="clear" w:color="auto" w:fill="C0C0C0"/>
          </w:tcPr>
          <w:p>
            <w:pPr>
              <w:ind w:left="820"/>
              <w:spacing w:after="0"/>
              <w:rPr>
                <w:sz w:val="20"/>
                <w:szCs w:val="20"/>
                <w:color w:val="auto"/>
              </w:rPr>
            </w:pPr>
            <w:r>
              <w:rPr>
                <w:rFonts w:ascii="Times New Roman" w:cs="Times New Roman" w:eastAsia="Times New Roman" w:hAnsi="Times New Roman"/>
                <w:sz w:val="18"/>
                <w:szCs w:val="18"/>
                <w:color w:val="auto"/>
              </w:rPr>
              <w:t>Total net revenue</w:t>
            </w:r>
          </w:p>
        </w:tc>
        <w:tc>
          <w:tcPr>
            <w:tcW w:w="380" w:type="dxa"/>
            <w:vAlign w:val="bottom"/>
            <w:tcBorders>
              <w:top w:val="single" w:sz="8" w:color="C0C0C0"/>
            </w:tcBorders>
            <w:gridSpan w:val="2"/>
            <w:shd w:val="clear" w:color="auto" w:fill="C0C0C0"/>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38,370</w:t>
            </w:r>
          </w:p>
        </w:tc>
        <w:tc>
          <w:tcPr>
            <w:tcW w:w="140" w:type="dxa"/>
            <w:vAlign w:val="bottom"/>
            <w:tcBorders>
              <w:top w:val="single" w:sz="8" w:color="C0C0C0"/>
            </w:tcBorders>
            <w:shd w:val="clear" w:color="auto" w:fill="C0C0C0"/>
          </w:tcPr>
          <w:p>
            <w:pPr>
              <w:spacing w:after="0"/>
              <w:rPr>
                <w:sz w:val="19"/>
                <w:szCs w:val="19"/>
                <w:color w:val="auto"/>
              </w:rPr>
            </w:pPr>
          </w:p>
        </w:tc>
        <w:tc>
          <w:tcPr>
            <w:tcW w:w="240" w:type="dxa"/>
            <w:vAlign w:val="bottom"/>
            <w:tcBorders>
              <w:top w:val="single" w:sz="8" w:color="C0C0C0"/>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35,983</w:t>
            </w:r>
          </w:p>
        </w:tc>
      </w:tr>
      <w:tr>
        <w:trPr>
          <w:trHeight w:val="28"/>
        </w:trPr>
        <w:tc>
          <w:tcPr>
            <w:tcW w:w="9260" w:type="dxa"/>
            <w:vAlign w:val="bottom"/>
            <w:shd w:val="clear" w:color="auto" w:fill="C0C0C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700" w:type="dxa"/>
            <w:vAlign w:val="bottom"/>
            <w:shd w:val="clear" w:color="auto" w:fill="C0C0C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240" w:type="dxa"/>
            <w:vAlign w:val="bottom"/>
            <w:shd w:val="clear" w:color="auto" w:fill="C0C0C0"/>
          </w:tcPr>
          <w:p>
            <w:pPr>
              <w:spacing w:after="0"/>
              <w:rPr>
                <w:sz w:val="2"/>
                <w:szCs w:val="2"/>
                <w:color w:val="auto"/>
              </w:rPr>
            </w:pPr>
          </w:p>
        </w:tc>
        <w:tc>
          <w:tcPr>
            <w:tcW w:w="700" w:type="dxa"/>
            <w:vAlign w:val="bottom"/>
            <w:shd w:val="clear" w:color="auto" w:fill="C0C0C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20" w:hanging="112"/>
        <w:spacing w:after="0" w:line="187" w:lineRule="auto"/>
        <w:tabs>
          <w:tab w:leader="none" w:pos="12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Company earns interest income from the balances generated during the invoice processing and payment cycle and on deposit accounts, which is an integral component of the Company’s compensation; but, is out-of-scope of FASB ASC 606.</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14 – Leases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1, 2019, the Company adopted Accounting Standards Update (“ASU”) No. 2016-02 – Leases (ASC Topic 842). The Company leases certain premises under operating leases. As of March 31, 2019, the Company had lease liabilities of $7,590,000 and right-of-use assets of $6,895,000. Lease liabilities and right-of-use assets are reflected in other liabilities and other assets, respectively. Presented within occupancy expense on the Consolidated Statements of Income for the three months ended March 31, 2019, operating lease cost was $420,000, short-term lease cost was $36,000, and there was no variable lease cost. For the three months ended March 31, 2019, the weighted average remaining lease term for the operating leases was 7.0 years and the weighted average discount rate used in the measurement of operating lease liabilities was 5.5%. Certain of the Company’s leases contain options to renew the lease; however, these renewal options are not included in the calculation of the lease liabilities as they are not reasonably certain to be exercised.</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28"/>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A maturity analysis of operating lease liabilities and undiscounted cash flows for the three months ended March 31, 2019 was as follows:</w:t>
            </w: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46"/>
        </w:trPr>
        <w:tc>
          <w:tcPr>
            <w:tcW w:w="10160" w:type="dxa"/>
            <w:vAlign w:val="bottom"/>
          </w:tcPr>
          <w:p>
            <w:pPr>
              <w:spacing w:after="0"/>
              <w:rPr>
                <w:sz w:val="24"/>
                <w:szCs w:val="24"/>
                <w:color w:val="auto"/>
              </w:rPr>
            </w:pPr>
          </w:p>
        </w:tc>
        <w:tc>
          <w:tcPr>
            <w:tcW w:w="128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w w:val="96"/>
              </w:rPr>
              <w:t>March 31,</w:t>
            </w:r>
          </w:p>
        </w:tc>
      </w:tr>
      <w:tr>
        <w:trPr>
          <w:trHeight w:val="266"/>
        </w:trPr>
        <w:tc>
          <w:tcPr>
            <w:tcW w:w="10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6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23"/>
                <w:szCs w:val="23"/>
                <w:color w:val="auto"/>
              </w:rPr>
            </w:pPr>
          </w:p>
        </w:tc>
      </w:tr>
      <w:tr>
        <w:trPr>
          <w:trHeight w:val="243"/>
        </w:trPr>
        <w:tc>
          <w:tcPr>
            <w:tcW w:w="1016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Lease payments due</w:t>
            </w:r>
          </w:p>
        </w:tc>
        <w:tc>
          <w:tcPr>
            <w:tcW w:w="64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28"/>
        </w:trPr>
        <w:tc>
          <w:tcPr>
            <w:tcW w:w="10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Less than 1 year</w:t>
            </w:r>
          </w:p>
        </w:tc>
        <w:tc>
          <w:tcPr>
            <w:tcW w:w="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20" w:type="dxa"/>
            <w:vAlign w:val="bottom"/>
          </w:tcPr>
          <w:p>
            <w:pPr>
              <w:spacing w:after="0"/>
              <w:rPr>
                <w:sz w:val="19"/>
                <w:szCs w:val="19"/>
                <w:color w:val="auto"/>
              </w:rPr>
            </w:pPr>
          </w:p>
        </w:tc>
      </w:tr>
      <w:tr>
        <w:trPr>
          <w:trHeight w:val="258"/>
        </w:trPr>
        <w:tc>
          <w:tcPr>
            <w:tcW w:w="10160" w:type="dxa"/>
            <w:vAlign w:val="bottom"/>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1-2 years</w:t>
            </w:r>
          </w:p>
        </w:tc>
        <w:tc>
          <w:tcPr>
            <w:tcW w:w="640" w:type="dxa"/>
            <w:vAlign w:val="bottom"/>
            <w:shd w:val="clear" w:color="auto" w:fill="C0C0C0"/>
          </w:tcPr>
          <w:p>
            <w:pPr>
              <w:spacing w:after="0"/>
              <w:rPr>
                <w:sz w:val="22"/>
                <w:szCs w:val="22"/>
                <w:color w:val="auto"/>
              </w:rPr>
            </w:pPr>
          </w:p>
        </w:tc>
        <w:tc>
          <w:tcPr>
            <w:tcW w:w="6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20" w:type="dxa"/>
            <w:vAlign w:val="bottom"/>
          </w:tcPr>
          <w:p>
            <w:pPr>
              <w:spacing w:after="0"/>
              <w:rPr>
                <w:sz w:val="22"/>
                <w:szCs w:val="22"/>
                <w:color w:val="auto"/>
              </w:rPr>
            </w:pPr>
          </w:p>
        </w:tc>
      </w:tr>
      <w:tr>
        <w:trPr>
          <w:trHeight w:val="228"/>
        </w:trPr>
        <w:tc>
          <w:tcPr>
            <w:tcW w:w="10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2-3 years</w:t>
            </w:r>
          </w:p>
        </w:tc>
        <w:tc>
          <w:tcPr>
            <w:tcW w:w="6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20" w:type="dxa"/>
            <w:vAlign w:val="bottom"/>
          </w:tcPr>
          <w:p>
            <w:pPr>
              <w:spacing w:after="0"/>
              <w:rPr>
                <w:sz w:val="19"/>
                <w:szCs w:val="19"/>
                <w:color w:val="auto"/>
              </w:rPr>
            </w:pPr>
          </w:p>
        </w:tc>
      </w:tr>
      <w:tr>
        <w:trPr>
          <w:trHeight w:val="258"/>
        </w:trPr>
        <w:tc>
          <w:tcPr>
            <w:tcW w:w="10160" w:type="dxa"/>
            <w:vAlign w:val="bottom"/>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3-4 years</w:t>
            </w:r>
          </w:p>
        </w:tc>
        <w:tc>
          <w:tcPr>
            <w:tcW w:w="640" w:type="dxa"/>
            <w:vAlign w:val="bottom"/>
            <w:shd w:val="clear" w:color="auto" w:fill="C0C0C0"/>
          </w:tcPr>
          <w:p>
            <w:pPr>
              <w:spacing w:after="0"/>
              <w:rPr>
                <w:sz w:val="22"/>
                <w:szCs w:val="22"/>
                <w:color w:val="auto"/>
              </w:rPr>
            </w:pPr>
          </w:p>
        </w:tc>
        <w:tc>
          <w:tcPr>
            <w:tcW w:w="6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20" w:type="dxa"/>
            <w:vAlign w:val="bottom"/>
          </w:tcPr>
          <w:p>
            <w:pPr>
              <w:spacing w:after="0"/>
              <w:rPr>
                <w:sz w:val="22"/>
                <w:szCs w:val="22"/>
                <w:color w:val="auto"/>
              </w:rPr>
            </w:pPr>
          </w:p>
        </w:tc>
      </w:tr>
      <w:tr>
        <w:trPr>
          <w:trHeight w:val="228"/>
        </w:trPr>
        <w:tc>
          <w:tcPr>
            <w:tcW w:w="10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4-5 years</w:t>
            </w:r>
          </w:p>
        </w:tc>
        <w:tc>
          <w:tcPr>
            <w:tcW w:w="6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0" w:type="dxa"/>
            <w:vAlign w:val="bottom"/>
          </w:tcPr>
          <w:p>
            <w:pPr>
              <w:spacing w:after="0"/>
              <w:rPr>
                <w:sz w:val="19"/>
                <w:szCs w:val="19"/>
                <w:color w:val="auto"/>
              </w:rPr>
            </w:pPr>
          </w:p>
        </w:tc>
      </w:tr>
      <w:tr>
        <w:trPr>
          <w:trHeight w:val="251"/>
        </w:trPr>
        <w:tc>
          <w:tcPr>
            <w:tcW w:w="10160" w:type="dxa"/>
            <w:vAlign w:val="bottom"/>
            <w:tcBorders>
              <w:bottom w:val="single" w:sz="8" w:color="auto"/>
            </w:tcBorders>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Over 5 years</w:t>
            </w:r>
          </w:p>
        </w:tc>
        <w:tc>
          <w:tcPr>
            <w:tcW w:w="640" w:type="dxa"/>
            <w:vAlign w:val="bottom"/>
            <w:tcBorders>
              <w:bottom w:val="single" w:sz="8" w:color="auto"/>
            </w:tcBorders>
            <w:shd w:val="clear" w:color="auto" w:fill="C0C0C0"/>
          </w:tcPr>
          <w:p>
            <w:pPr>
              <w:spacing w:after="0"/>
              <w:rPr>
                <w:sz w:val="21"/>
                <w:szCs w:val="21"/>
                <w:color w:val="auto"/>
              </w:rPr>
            </w:pPr>
          </w:p>
        </w:tc>
        <w:tc>
          <w:tcPr>
            <w:tcW w:w="62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20" w:type="dxa"/>
            <w:vAlign w:val="bottom"/>
          </w:tcPr>
          <w:p>
            <w:pPr>
              <w:spacing w:after="0"/>
              <w:rPr>
                <w:sz w:val="21"/>
                <w:szCs w:val="21"/>
                <w:color w:val="auto"/>
              </w:rPr>
            </w:pPr>
          </w:p>
        </w:tc>
      </w:tr>
      <w:tr>
        <w:trPr>
          <w:trHeight w:val="228"/>
        </w:trPr>
        <w:tc>
          <w:tcPr>
            <w:tcW w:w="10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6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9,047</w:t>
            </w:r>
          </w:p>
        </w:tc>
        <w:tc>
          <w:tcPr>
            <w:tcW w:w="20" w:type="dxa"/>
            <w:vAlign w:val="bottom"/>
          </w:tcPr>
          <w:p>
            <w:pPr>
              <w:spacing w:after="0"/>
              <w:rPr>
                <w:sz w:val="19"/>
                <w:szCs w:val="19"/>
                <w:color w:val="auto"/>
              </w:rPr>
            </w:pPr>
          </w:p>
        </w:tc>
      </w:tr>
      <w:tr>
        <w:trPr>
          <w:trHeight w:val="251"/>
        </w:trPr>
        <w:tc>
          <w:tcPr>
            <w:tcW w:w="1016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Discount on cash flows</w:t>
            </w:r>
          </w:p>
        </w:tc>
        <w:tc>
          <w:tcPr>
            <w:tcW w:w="640" w:type="dxa"/>
            <w:vAlign w:val="bottom"/>
            <w:tcBorders>
              <w:bottom w:val="single" w:sz="8" w:color="auto"/>
            </w:tcBorders>
            <w:shd w:val="clear" w:color="auto" w:fill="C0C0C0"/>
          </w:tcPr>
          <w:p>
            <w:pPr>
              <w:spacing w:after="0"/>
              <w:rPr>
                <w:sz w:val="21"/>
                <w:szCs w:val="21"/>
                <w:color w:val="auto"/>
              </w:rPr>
            </w:pPr>
          </w:p>
        </w:tc>
        <w:tc>
          <w:tcPr>
            <w:tcW w:w="62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20" w:type="dxa"/>
            <w:vAlign w:val="bottom"/>
          </w:tcPr>
          <w:p>
            <w:pPr>
              <w:spacing w:after="0"/>
              <w:rPr>
                <w:sz w:val="21"/>
                <w:szCs w:val="21"/>
                <w:color w:val="auto"/>
              </w:rPr>
            </w:pPr>
          </w:p>
        </w:tc>
      </w:tr>
      <w:tr>
        <w:trPr>
          <w:trHeight w:val="250"/>
        </w:trPr>
        <w:tc>
          <w:tcPr>
            <w:tcW w:w="101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Total lease liability</w:t>
            </w:r>
          </w:p>
        </w:tc>
        <w:tc>
          <w:tcPr>
            <w:tcW w:w="6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7,590</w:t>
            </w:r>
          </w:p>
        </w:tc>
        <w:tc>
          <w:tcPr>
            <w:tcW w:w="20" w:type="dxa"/>
            <w:vAlign w:val="bottom"/>
            <w:tcBorders>
              <w:bottom w:val="single" w:sz="8" w:color="auto"/>
            </w:tcBorders>
          </w:tcPr>
          <w:p>
            <w:pPr>
              <w:spacing w:after="0"/>
              <w:rPr>
                <w:sz w:val="21"/>
                <w:szCs w:val="21"/>
                <w:color w:val="auto"/>
              </w:rPr>
            </w:pPr>
          </w:p>
        </w:tc>
      </w:tr>
    </w:tbl>
    <w:p>
      <w:pPr>
        <w:spacing w:after="0" w:line="202"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There were no sale and leaseback transactions, leveraged leases, or lease transactions with related parties during the three months ended March 31, 2019. At March 31, 2019, the Company had one lease that had not yet commenced, but is expected to create approximately $800,000 of additional lease liabilities and right-of-use assets for the Company. This lease is anticipated to commence in 2020.</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15 – Subsequent Events</w:t>
      </w:r>
    </w:p>
    <w:p>
      <w:pPr>
        <w:spacing w:after="0" w:line="225"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In accordance with FASB ASC 855, “Subsequent Events,” the Company has evaluated subsequent events after the consolidated balance sheet date of March 31, 2019, and there were no events identified that would require additional disclosures to prevent the Company’s unaudited consolidated financial statements from being misleading.</w:t>
      </w:r>
    </w:p>
    <w:p>
      <w:pPr>
        <w:spacing w:after="0" w:line="1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Cass provides payment and information processing services to large manufacturing, distribution and retail enterprises from its offices/locations in St. Louis, Missouri, Columbus, Ohio, Boston, Massachusetts, Greenville, South Carolina, Wellington, Kansas, Jacksonville, Florida, Breda, Netherlands, Basingstoke, United Kingdom, and Singapore. The Company’s services include freight invoice rating, payment processing, auditing, and the generation of accounting and transportation information. Cass also processes and pays energy invoices, which include electricity and gas as well as waste and telecommunications expenses, and is a provider of telecom expense management solutions. Additionally, Cass provides a B2B payment platform for clients that require an agile fintech partner. The Company also, through Cass Commercial Bank, its St. Louis, Missouri-based bank subsidiary, provides banking services in the St. Louis metropolitan area, Orange County, California, Colorado Springs, Colorado, and other selected cities in the United States. In addition to supporting the Company’s payment operations, the Bank provides banking services to its target markets, which include privately-owned businesses and faith-based ministries.</w:t>
      </w:r>
    </w:p>
    <w:p>
      <w:pPr>
        <w:spacing w:after="0" w:line="1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specific payment and information processing services provided to each customer are developed individually to meet each customer’s requirements, which can vary greatly. In addition, the degree of automation such as electronic data interchange, imaging, work flow, and web-based solutions varies greatly among customers and industries. These factors combine so that pricing varies greatly among the customer base. In general, however, Cass is compensated for its processing services through service fees and investment of account balances generated during the payment process. The amount, type, and calculation of service fees vary greatly by service offering, but generally follow the volume of transactions processed. Interest income from the balances generated during the payment processing cycle is affected by the amount of time Cass holds the funds prior to payment and the dollar volume processed. Both the number of transactions processed and the dollar volume processed are therefore key metrics followed by management. Other factors will also influence revenue and profitability, such as changes in the general level of interest rates, which have a significant effect on net interest income. The funds generated by these processing activities are invested in overnight investments, investment grade securities, and loans generated by the Bank. The Bank earns most of its revenue from net interest income, or the difference between the interest earned on its loans and investments and the interest paid on its deposits and other borrowings. The Bank also assesses fees on other services such as cash management services.</w:t>
      </w:r>
    </w:p>
    <w:p>
      <w:pPr>
        <w:spacing w:after="0" w:line="1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Industry-wide factors that impact the Company include the willingness of large corporations to outsource key business functions such as freight, energy, telecommunication and environmental payment and audit. The benefits that can be achieved by outsourcing transaction processing, and the management information generated by Cass’ systems can be influenced by factors such as the competitive pressures within industries to improve profitability, the general level of transportation costs, deregulation of energy costs, and consolidation of telecommunication providers. Economic factors that impact the Company include the general level of economic activity that can affect the volume and size of invoices processed, the ability to hire and retain qualified staff, and the growth and quality of the loan portfolio. The general level of interest rates also has a significant effect on the revenue of the Company. As discussed in greater detail in Item 7A, “Quantitative and Qualitative Disclosures about Market Risk,” in the Company’s 2018 Annual Report on Form 10-K, a decline in the general level of interest rates can have a negative impact on net interest income and conversely, a rise in the general level of interest rates can have a positive impact on net interest income. The cost of fuel is another factor that has a significant impact on the transportation sector. As the price of fuel goes up or down, the Company’s earnings increase or decrease with the dollar amount of transportation invoices. Another negative impact of low fuel prices could be a drop in the number of invoices related to drilling supplies carried by domestic railroads and trucks that move pipes, sand and water for fracking operations.</w:t>
      </w:r>
    </w:p>
    <w:p>
      <w:pPr>
        <w:spacing w:after="0" w:line="1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Currently, management views Cass’ major opportunity as the continued expansion of its payment and information processing service offerings and customer base. Management intends to accomplish this by maintaining the Company’s leadership position in applied technology, which when combined with the security and processing controls of the Bank, makes Cass unique in the industry.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prepared the consolidated financial statements in this report in accordance with the Financial Accounting Standards Board (“FASB”) Accounting Standards Codification (“ASC”). In preparing the consolidated financial statements, management makes estimates and assumptions that affect the reported amount of assets and liabilities, disclosure of contingent assets and liabilities at the date of the financial statements, and the reported amounts of revenue and expenses during the reporting period. These estimates have been generally accurate in the past, have been consistent and have not required any material changes. There can be no assurances that actual results will not differ from those estimates. Certain accounting policies that require significant management estimates and are deemed critical to the Company’s results of operations or financial position have been discussed with the Audit Committee of the Board of Directors and are described below.</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20" w:name="page21"/>
    <w:bookmarkEnd w:id="20"/>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Allowance for Loan Losses. </w:t>
      </w:r>
      <w:r>
        <w:rPr>
          <w:rFonts w:ascii="Times New Roman" w:cs="Times New Roman" w:eastAsia="Times New Roman" w:hAnsi="Times New Roman"/>
          <w:sz w:val="18"/>
          <w:szCs w:val="18"/>
          <w:color w:val="auto"/>
        </w:rPr>
        <w:t>The Company performs periodic and systematic detailed reviews of its loan portfolio to assess overall collectability. The level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allowance for loan losses reflects management’s estimate of the collectability of the loan portfolio. Although these estimates are based on established methodologies for determining allowance requirements, actual results can differ significantly from estimated results. These policies affect both segments of the Company. The impact and associated risks related to these policies on the Company’s business operations are discussed in the “Provision and Allowance for Loan Losses” section of this report. The Company’s estimates have been materially accurate in the past, and accordingly, the Company expects to continue to utilize the present processes thru 2019, after which current expected credit losses methodology will be adopted.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paragraphs more fully discuss the results of operations and changes in financial condition for the three-month period ended March 31, 2019 (“First Quarter of 2019”) compared to the three-month period ended March 31, 2018 (“First Quarter of 2018”). The following discussion and analysis should be read in conjunction with the unaudited consolidated financial statements and related notes and with the statistical information and financial data appearing in this report, as well as in the Company's 2018 Annual Report on Form 10-K. Results of operations for the First Quarter of 2019 are not necessarily indicative of the results to be attained for any other period.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32"/>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the Company’s operating results</w:t>
            </w: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68"/>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6"/>
              </w:rPr>
              <w:t>First Quarter of</w:t>
            </w:r>
          </w:p>
        </w:tc>
        <w:tc>
          <w:tcPr>
            <w:tcW w:w="860" w:type="dxa"/>
            <w:vAlign w:val="bottom"/>
            <w:tcBorders>
              <w:bottom w:val="single" w:sz="8" w:color="auto"/>
            </w:tcBorders>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6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 except per share data)</w:t>
            </w:r>
          </w:p>
        </w:tc>
        <w:tc>
          <w:tcPr>
            <w:tcW w:w="180" w:type="dxa"/>
            <w:vAlign w:val="bottom"/>
          </w:tcPr>
          <w:p>
            <w:pPr>
              <w:spacing w:after="0"/>
              <w:rPr>
                <w:sz w:val="22"/>
                <w:szCs w:val="22"/>
                <w:color w:val="auto"/>
              </w:rPr>
            </w:pPr>
          </w:p>
        </w:tc>
        <w:tc>
          <w:tcPr>
            <w:tcW w:w="78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2019</w:t>
            </w:r>
          </w:p>
        </w:tc>
        <w:tc>
          <w:tcPr>
            <w:tcW w:w="440" w:type="dxa"/>
            <w:vAlign w:val="bottom"/>
          </w:tcPr>
          <w:p>
            <w:pPr>
              <w:spacing w:after="0"/>
              <w:rPr>
                <w:sz w:val="22"/>
                <w:szCs w:val="22"/>
                <w:color w:val="auto"/>
              </w:rPr>
            </w:pPr>
          </w:p>
        </w:tc>
        <w:tc>
          <w:tcPr>
            <w:tcW w:w="90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2018</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43"/>
        </w:trPr>
        <w:tc>
          <w:tcPr>
            <w:tcW w:w="20" w:type="dxa"/>
            <w:vAlign w:val="bottom"/>
          </w:tcPr>
          <w:p>
            <w:pPr>
              <w:spacing w:after="0"/>
              <w:rPr>
                <w:sz w:val="21"/>
                <w:szCs w:val="21"/>
                <w:color w:val="auto"/>
              </w:rPr>
            </w:pPr>
          </w:p>
        </w:tc>
        <w:tc>
          <w:tcPr>
            <w:tcW w:w="5960" w:type="dxa"/>
            <w:vAlign w:val="bottom"/>
            <w:tcBorders>
              <w:top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top w:val="single" w:sz="8" w:color="auto"/>
            </w:tcBorders>
            <w:shd w:val="clear" w:color="auto" w:fill="C0C0C0"/>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0C0C0"/>
          </w:tcPr>
          <w:p>
            <w:pPr>
              <w:jc w:val="right"/>
              <w:ind w:right="72"/>
              <w:spacing w:after="0"/>
              <w:rPr>
                <w:sz w:val="20"/>
                <w:szCs w:val="20"/>
                <w:color w:val="auto"/>
              </w:rPr>
            </w:pPr>
            <w:r>
              <w:rPr>
                <w:rFonts w:ascii="Times New Roman" w:cs="Times New Roman" w:eastAsia="Times New Roman" w:hAnsi="Times New Roman"/>
                <w:sz w:val="18"/>
                <w:szCs w:val="18"/>
                <w:color w:val="auto"/>
              </w:rPr>
              <w:t>8,163</w:t>
            </w:r>
          </w:p>
        </w:tc>
        <w:tc>
          <w:tcPr>
            <w:tcW w:w="440" w:type="dxa"/>
            <w:vAlign w:val="bottom"/>
            <w:tcBorders>
              <w:top w:val="single" w:sz="8" w:color="auto"/>
            </w:tcBorders>
            <w:shd w:val="clear" w:color="auto" w:fill="C0C0C0"/>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0C0C0"/>
          </w:tcPr>
          <w:p>
            <w:pPr>
              <w:jc w:val="right"/>
              <w:ind w:right="212"/>
              <w:spacing w:after="0"/>
              <w:rPr>
                <w:sz w:val="20"/>
                <w:szCs w:val="20"/>
                <w:color w:val="auto"/>
              </w:rPr>
            </w:pPr>
            <w:r>
              <w:rPr>
                <w:rFonts w:ascii="Times New Roman" w:cs="Times New Roman" w:eastAsia="Times New Roman" w:hAnsi="Times New Roman"/>
                <w:sz w:val="18"/>
                <w:szCs w:val="18"/>
                <w:color w:val="auto"/>
              </w:rPr>
              <w:t>8,092</w:t>
            </w:r>
          </w:p>
        </w:tc>
        <w:tc>
          <w:tcPr>
            <w:tcW w:w="86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8"/>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.55</w:t>
            </w:r>
          </w:p>
        </w:tc>
        <w:tc>
          <w:tcPr>
            <w:tcW w:w="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.54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58"/>
        </w:trPr>
        <w:tc>
          <w:tcPr>
            <w:tcW w:w="20" w:type="dxa"/>
            <w:vAlign w:val="bottom"/>
          </w:tcPr>
          <w:p>
            <w:pPr>
              <w:spacing w:after="0"/>
              <w:rPr>
                <w:sz w:val="22"/>
                <w:szCs w:val="22"/>
                <w:color w:val="auto"/>
              </w:rPr>
            </w:pPr>
          </w:p>
        </w:tc>
        <w:tc>
          <w:tcPr>
            <w:tcW w:w="596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Return on average assets</w:t>
            </w:r>
          </w:p>
        </w:tc>
        <w:tc>
          <w:tcPr>
            <w:tcW w:w="180" w:type="dxa"/>
            <w:vAlign w:val="bottom"/>
            <w:shd w:val="clear" w:color="auto" w:fill="C0C0C0"/>
          </w:tcPr>
          <w:p>
            <w:pPr>
              <w:spacing w:after="0"/>
              <w:rPr>
                <w:sz w:val="22"/>
                <w:szCs w:val="22"/>
                <w:color w:val="auto"/>
              </w:rPr>
            </w:pPr>
          </w:p>
        </w:tc>
        <w:tc>
          <w:tcPr>
            <w:tcW w:w="78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440" w:type="dxa"/>
            <w:vAlign w:val="bottom"/>
            <w:shd w:val="clear" w:color="auto" w:fill="C0C0C0"/>
          </w:tcPr>
          <w:p>
            <w:pPr>
              <w:spacing w:after="0"/>
              <w:rPr>
                <w:sz w:val="22"/>
                <w:szCs w:val="22"/>
                <w:color w:val="auto"/>
              </w:rPr>
            </w:pPr>
          </w:p>
        </w:tc>
        <w:tc>
          <w:tcPr>
            <w:tcW w:w="90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2.01%</w:t>
            </w:r>
          </w:p>
        </w:tc>
        <w:tc>
          <w:tcPr>
            <w:tcW w:w="860" w:type="dxa"/>
            <w:vAlign w:val="bottom"/>
            <w:shd w:val="clear" w:color="auto" w:fill="C0C0C0"/>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0" w:type="dxa"/>
            <w:vAlign w:val="bottom"/>
            <w:tcBorders>
              <w:bottom w:val="single" w:sz="8" w:color="auto"/>
            </w:tcBorders>
          </w:tcPr>
          <w:p>
            <w:pPr>
              <w:spacing w:after="0"/>
              <w:rPr>
                <w:sz w:val="21"/>
                <w:szCs w:val="21"/>
                <w:color w:val="auto"/>
              </w:rPr>
            </w:pPr>
          </w:p>
        </w:tc>
        <w:tc>
          <w:tcPr>
            <w:tcW w:w="5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Return on average equity</w:t>
            </w: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4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14.94%</w:t>
            </w:r>
          </w:p>
        </w:tc>
        <w:tc>
          <w:tcPr>
            <w:tcW w:w="8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 Revenue and Other Income</w:t>
      </w:r>
    </w:p>
    <w:p>
      <w:pPr>
        <w:spacing w:after="0" w:line="2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Company’s fee revenue is derived mainly from transportation and facility payment and processing fees. As the Company provides its processing and payment services, it is compensated by service fees which are typically calculated on a per-item basis and by the accounts and drafts payable balances generated in the payment process which can be used to generate interest income. Processing volumes, fee revenue and other income were as follows</w:t>
      </w:r>
      <w:r>
        <w:rPr>
          <w:rFonts w:ascii="Times New Roman" w:cs="Times New Roman" w:eastAsia="Times New Roman" w:hAnsi="Times New Roman"/>
          <w:sz w:val="13"/>
          <w:szCs w:val="13"/>
          <w:color w:val="auto"/>
        </w:rPr>
        <w: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54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2"/>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w w:val="99"/>
              </w:rPr>
              <w:t>First Quarter of</w:t>
            </w:r>
          </w:p>
        </w:tc>
        <w:tc>
          <w:tcPr>
            <w:tcW w:w="940" w:type="dxa"/>
            <w:vAlign w:val="bottom"/>
            <w:tcBorders>
              <w:bottom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3"/>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Pr>
          <w:p>
            <w:pPr>
              <w:spacing w:after="0"/>
              <w:rPr>
                <w:sz w:val="22"/>
                <w:szCs w:val="22"/>
                <w:color w:val="auto"/>
              </w:rPr>
            </w:pPr>
          </w:p>
        </w:tc>
        <w:tc>
          <w:tcPr>
            <w:tcW w:w="94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2019</w:t>
            </w:r>
          </w:p>
        </w:tc>
        <w:tc>
          <w:tcPr>
            <w:tcW w:w="440" w:type="dxa"/>
            <w:vAlign w:val="bottom"/>
          </w:tcPr>
          <w:p>
            <w:pPr>
              <w:spacing w:after="0"/>
              <w:rPr>
                <w:sz w:val="22"/>
                <w:szCs w:val="22"/>
                <w:color w:val="auto"/>
              </w:rPr>
            </w:pPr>
          </w:p>
        </w:tc>
        <w:tc>
          <w:tcPr>
            <w:tcW w:w="110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2018</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43"/>
        </w:trPr>
        <w:tc>
          <w:tcPr>
            <w:tcW w:w="20" w:type="dxa"/>
            <w:vAlign w:val="bottom"/>
          </w:tcPr>
          <w:p>
            <w:pPr>
              <w:spacing w:after="0"/>
              <w:rPr>
                <w:sz w:val="21"/>
                <w:szCs w:val="21"/>
                <w:color w:val="auto"/>
              </w:rPr>
            </w:pPr>
          </w:p>
        </w:tc>
        <w:tc>
          <w:tcPr>
            <w:tcW w:w="5480" w:type="dxa"/>
            <w:vAlign w:val="bottom"/>
            <w:tcBorders>
              <w:top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Transportation invoice volume</w:t>
            </w:r>
          </w:p>
        </w:tc>
        <w:tc>
          <w:tcPr>
            <w:tcW w:w="220" w:type="dxa"/>
            <w:vAlign w:val="bottom"/>
            <w:tcBorders>
              <w:top w:val="single" w:sz="8" w:color="auto"/>
            </w:tcBorders>
            <w:shd w:val="clear" w:color="auto" w:fill="C0C0C0"/>
          </w:tcPr>
          <w:p>
            <w:pPr>
              <w:spacing w:after="0"/>
              <w:rPr>
                <w:sz w:val="21"/>
                <w:szCs w:val="21"/>
                <w:color w:val="auto"/>
              </w:rPr>
            </w:pPr>
          </w:p>
        </w:tc>
        <w:tc>
          <w:tcPr>
            <w:tcW w:w="94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8,948</w:t>
            </w:r>
          </w:p>
        </w:tc>
        <w:tc>
          <w:tcPr>
            <w:tcW w:w="440" w:type="dxa"/>
            <w:vAlign w:val="bottom"/>
            <w:tcBorders>
              <w:top w:val="single" w:sz="8" w:color="auto"/>
            </w:tcBorders>
            <w:shd w:val="clear" w:color="auto" w:fill="C0C0C0"/>
          </w:tcPr>
          <w:p>
            <w:pPr>
              <w:spacing w:after="0"/>
              <w:rPr>
                <w:sz w:val="21"/>
                <w:szCs w:val="21"/>
                <w:color w:val="auto"/>
              </w:rPr>
            </w:pPr>
          </w:p>
        </w:tc>
        <w:tc>
          <w:tcPr>
            <w:tcW w:w="1100" w:type="dxa"/>
            <w:vAlign w:val="bottom"/>
            <w:tcBorders>
              <w:top w:val="single" w:sz="8" w:color="auto"/>
            </w:tcBorders>
            <w:shd w:val="clear" w:color="auto" w:fill="C0C0C0"/>
          </w:tcPr>
          <w:p>
            <w:pPr>
              <w:jc w:val="right"/>
              <w:ind w:right="132"/>
              <w:spacing w:after="0"/>
              <w:rPr>
                <w:sz w:val="20"/>
                <w:szCs w:val="20"/>
                <w:color w:val="auto"/>
              </w:rPr>
            </w:pPr>
            <w:r>
              <w:rPr>
                <w:rFonts w:ascii="Times New Roman" w:cs="Times New Roman" w:eastAsia="Times New Roman" w:hAnsi="Times New Roman"/>
                <w:sz w:val="18"/>
                <w:szCs w:val="18"/>
                <w:color w:val="auto"/>
              </w:rPr>
              <w:t>9,191</w:t>
            </w:r>
          </w:p>
        </w:tc>
        <w:tc>
          <w:tcPr>
            <w:tcW w:w="94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8"/>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Transportation invoice dollar volume</w:t>
            </w: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6,985,773</w:t>
            </w: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6,790,747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71"/>
        </w:trPr>
        <w:tc>
          <w:tcPr>
            <w:tcW w:w="20" w:type="dxa"/>
            <w:vAlign w:val="bottom"/>
          </w:tcPr>
          <w:p>
            <w:pPr>
              <w:spacing w:after="0"/>
              <w:rPr>
                <w:sz w:val="23"/>
                <w:szCs w:val="23"/>
                <w:color w:val="auto"/>
              </w:rPr>
            </w:pPr>
          </w:p>
        </w:tc>
        <w:tc>
          <w:tcPr>
            <w:tcW w:w="548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Facility expense transaction volume</w:t>
            </w:r>
            <w:r>
              <w:rPr>
                <w:rFonts w:ascii="Times New Roman" w:cs="Times New Roman" w:eastAsia="Times New Roman" w:hAnsi="Times New Roman"/>
                <w:sz w:val="13"/>
                <w:szCs w:val="13"/>
                <w:color w:val="auto"/>
              </w:rPr>
              <w:t>*</w:t>
            </w:r>
          </w:p>
        </w:tc>
        <w:tc>
          <w:tcPr>
            <w:tcW w:w="220" w:type="dxa"/>
            <w:vAlign w:val="bottom"/>
            <w:shd w:val="clear" w:color="auto" w:fill="C0C0C0"/>
          </w:tcPr>
          <w:p>
            <w:pPr>
              <w:spacing w:after="0"/>
              <w:rPr>
                <w:sz w:val="23"/>
                <w:szCs w:val="23"/>
                <w:color w:val="auto"/>
              </w:rPr>
            </w:pPr>
          </w:p>
        </w:tc>
        <w:tc>
          <w:tcPr>
            <w:tcW w:w="9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6,994</w:t>
            </w:r>
          </w:p>
        </w:tc>
        <w:tc>
          <w:tcPr>
            <w:tcW w:w="440" w:type="dxa"/>
            <w:vAlign w:val="bottom"/>
            <w:shd w:val="clear" w:color="auto" w:fill="C0C0C0"/>
          </w:tcPr>
          <w:p>
            <w:pPr>
              <w:spacing w:after="0"/>
              <w:rPr>
                <w:sz w:val="23"/>
                <w:szCs w:val="23"/>
                <w:color w:val="auto"/>
              </w:rPr>
            </w:pPr>
          </w:p>
        </w:tc>
        <w:tc>
          <w:tcPr>
            <w:tcW w:w="1100" w:type="dxa"/>
            <w:vAlign w:val="bottom"/>
            <w:shd w:val="clear" w:color="auto" w:fill="C0C0C0"/>
          </w:tcPr>
          <w:p>
            <w:pPr>
              <w:jc w:val="right"/>
              <w:ind w:right="132"/>
              <w:spacing w:after="0"/>
              <w:rPr>
                <w:sz w:val="20"/>
                <w:szCs w:val="20"/>
                <w:color w:val="auto"/>
              </w:rPr>
            </w:pPr>
            <w:r>
              <w:rPr>
                <w:rFonts w:ascii="Times New Roman" w:cs="Times New Roman" w:eastAsia="Times New Roman" w:hAnsi="Times New Roman"/>
                <w:sz w:val="18"/>
                <w:szCs w:val="18"/>
                <w:color w:val="auto"/>
              </w:rPr>
              <w:t>7,121</w:t>
            </w:r>
          </w:p>
        </w:tc>
        <w:tc>
          <w:tcPr>
            <w:tcW w:w="9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8"/>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Facility expense dollar volume</w:t>
            </w: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3,617,428</w:t>
            </w: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3,438,203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65"/>
        </w:trPr>
        <w:tc>
          <w:tcPr>
            <w:tcW w:w="20" w:type="dxa"/>
            <w:vAlign w:val="bottom"/>
          </w:tcPr>
          <w:p>
            <w:pPr>
              <w:spacing w:after="0"/>
              <w:rPr>
                <w:sz w:val="23"/>
                <w:szCs w:val="23"/>
                <w:color w:val="auto"/>
              </w:rPr>
            </w:pPr>
          </w:p>
        </w:tc>
        <w:tc>
          <w:tcPr>
            <w:tcW w:w="548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Payment and processing revenue</w:t>
            </w:r>
          </w:p>
        </w:tc>
        <w:tc>
          <w:tcPr>
            <w:tcW w:w="220" w:type="dxa"/>
            <w:vAlign w:val="bottom"/>
            <w:tcBorders>
              <w:bottom w:val="single" w:sz="8" w:color="auto"/>
            </w:tcBorders>
            <w:shd w:val="clear" w:color="auto" w:fill="C0C0C0"/>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26,457</w:t>
            </w:r>
          </w:p>
        </w:tc>
        <w:tc>
          <w:tcPr>
            <w:tcW w:w="440" w:type="dxa"/>
            <w:vAlign w:val="bottom"/>
            <w:tcBorders>
              <w:bottom w:val="single" w:sz="8" w:color="auto"/>
            </w:tcBorders>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0C0C0"/>
          </w:tcPr>
          <w:p>
            <w:pPr>
              <w:jc w:val="right"/>
              <w:ind w:right="132"/>
              <w:spacing w:after="0"/>
              <w:rPr>
                <w:sz w:val="20"/>
                <w:szCs w:val="20"/>
                <w:color w:val="auto"/>
              </w:rPr>
            </w:pPr>
            <w:r>
              <w:rPr>
                <w:rFonts w:ascii="Times New Roman" w:cs="Times New Roman" w:eastAsia="Times New Roman" w:hAnsi="Times New Roman"/>
                <w:sz w:val="18"/>
                <w:szCs w:val="18"/>
                <w:color w:val="auto"/>
              </w:rPr>
              <w:t>24,827</w:t>
            </w:r>
          </w:p>
        </w:tc>
        <w:tc>
          <w:tcPr>
            <w:tcW w:w="94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6.6%</w:t>
            </w:r>
          </w:p>
        </w:tc>
      </w:tr>
    </w:tbl>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*Includes energy, telecom and environmental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Quarter of 2019 compared to First Quarter of 2018:</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Payment and processing fee revenue increased 7%. Transportation activity was mixed with dollar volume increasing 3% in the quarter aided by higher carrier and fuel prices, while transportation invoice volume declined 3% compared to a strong First Quarter of 2018 that included one additional processing day. Facility-related dollar volume was up 5%. New customer wins, coupled with increased volume from current accounts, supported the increase. Facility expense transactions were down 2% for the period primarily due to a reduction in the number of sites for existing retail customers and one less processing day in the First Quarter of 2019.</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Gains of $11,000 on the sales of securities were recognized in the First Quarter of 2019, compared to $13,000 in gains in the First Quarter of 2018.</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p>
      <w:pPr>
        <w:spacing w:after="0" w:line="2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Net interest income is the difference between interest earned on loans, investments, and other earning assets and interest expense on deposits and other interest-bearing liabilities. Net interest income is a significant source of the Company’s revenues. The following table summarizes the changes in tax-equivalent net interest income and related factors: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5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2"/>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First Quarter of</w:t>
            </w:r>
          </w:p>
        </w:tc>
        <w:tc>
          <w:tcPr>
            <w:tcW w:w="940" w:type="dxa"/>
            <w:vAlign w:val="bottom"/>
            <w:tcBorders>
              <w:bottom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3"/>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0" w:type="dxa"/>
            <w:vAlign w:val="bottom"/>
          </w:tcPr>
          <w:p>
            <w:pPr>
              <w:spacing w:after="0"/>
              <w:rPr>
                <w:sz w:val="22"/>
                <w:szCs w:val="22"/>
                <w:color w:val="auto"/>
              </w:rPr>
            </w:pPr>
          </w:p>
        </w:tc>
        <w:tc>
          <w:tcPr>
            <w:tcW w:w="100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2019</w:t>
            </w:r>
          </w:p>
        </w:tc>
        <w:tc>
          <w:tcPr>
            <w:tcW w:w="620" w:type="dxa"/>
            <w:vAlign w:val="bottom"/>
          </w:tcPr>
          <w:p>
            <w:pPr>
              <w:spacing w:after="0"/>
              <w:rPr>
                <w:sz w:val="22"/>
                <w:szCs w:val="22"/>
                <w:color w:val="auto"/>
              </w:rPr>
            </w:pPr>
          </w:p>
        </w:tc>
        <w:tc>
          <w:tcPr>
            <w:tcW w:w="116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2018</w:t>
            </w:r>
          </w:p>
        </w:tc>
        <w:tc>
          <w:tcPr>
            <w:tcW w:w="9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43"/>
        </w:trPr>
        <w:tc>
          <w:tcPr>
            <w:tcW w:w="20" w:type="dxa"/>
            <w:vAlign w:val="bottom"/>
          </w:tcPr>
          <w:p>
            <w:pPr>
              <w:spacing w:after="0"/>
              <w:rPr>
                <w:sz w:val="21"/>
                <w:szCs w:val="21"/>
                <w:color w:val="auto"/>
              </w:rPr>
            </w:pPr>
          </w:p>
        </w:tc>
        <w:tc>
          <w:tcPr>
            <w:tcW w:w="5140" w:type="dxa"/>
            <w:vAlign w:val="bottom"/>
            <w:tcBorders>
              <w:top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Average earnings assets</w:t>
            </w:r>
          </w:p>
        </w:tc>
        <w:tc>
          <w:tcPr>
            <w:tcW w:w="260" w:type="dxa"/>
            <w:vAlign w:val="bottom"/>
            <w:tcBorders>
              <w:top w:val="single" w:sz="8" w:color="auto"/>
            </w:tcBorders>
            <w:shd w:val="clear" w:color="auto" w:fill="C0C0C0"/>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0C0C0"/>
          </w:tcPr>
          <w:p>
            <w:pPr>
              <w:jc w:val="right"/>
              <w:ind w:right="12"/>
              <w:spacing w:after="0"/>
              <w:rPr>
                <w:sz w:val="20"/>
                <w:szCs w:val="20"/>
                <w:color w:val="auto"/>
              </w:rPr>
            </w:pPr>
            <w:r>
              <w:rPr>
                <w:rFonts w:ascii="Times New Roman" w:cs="Times New Roman" w:eastAsia="Times New Roman" w:hAnsi="Times New Roman"/>
                <w:sz w:val="18"/>
                <w:szCs w:val="18"/>
                <w:color w:val="auto"/>
              </w:rPr>
              <w:t>1,438,613</w:t>
            </w:r>
          </w:p>
        </w:tc>
        <w:tc>
          <w:tcPr>
            <w:tcW w:w="620" w:type="dxa"/>
            <w:vAlign w:val="bottom"/>
            <w:tcBorders>
              <w:top w:val="single" w:sz="8" w:color="auto"/>
            </w:tcBorders>
            <w:shd w:val="clear" w:color="auto" w:fill="C0C0C0"/>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0C0C0"/>
          </w:tcPr>
          <w:p>
            <w:pPr>
              <w:jc w:val="right"/>
              <w:ind w:right="192"/>
              <w:spacing w:after="0"/>
              <w:rPr>
                <w:sz w:val="20"/>
                <w:szCs w:val="20"/>
                <w:color w:val="auto"/>
              </w:rPr>
            </w:pPr>
            <w:r>
              <w:rPr>
                <w:rFonts w:ascii="Times New Roman" w:cs="Times New Roman" w:eastAsia="Times New Roman" w:hAnsi="Times New Roman"/>
                <w:sz w:val="18"/>
                <w:szCs w:val="18"/>
                <w:color w:val="auto"/>
              </w:rPr>
              <w:t>1,410,945</w:t>
            </w:r>
          </w:p>
        </w:tc>
        <w:tc>
          <w:tcPr>
            <w:tcW w:w="940" w:type="dxa"/>
            <w:vAlign w:val="bottom"/>
            <w:tcBorders>
              <w:top w:val="single" w:sz="8" w:color="auto"/>
            </w:tcBorders>
            <w:shd w:val="clear" w:color="auto" w:fill="C0C0C0"/>
          </w:tcPr>
          <w:p>
            <w:pPr>
              <w:ind w:left="480"/>
              <w:spacing w:after="0"/>
              <w:rPr>
                <w:sz w:val="20"/>
                <w:szCs w:val="20"/>
                <w:color w:val="auto"/>
              </w:rPr>
            </w:pPr>
            <w:r>
              <w:rPr>
                <w:rFonts w:ascii="Times New Roman" w:cs="Times New Roman" w:eastAsia="Times New Roman" w:hAnsi="Times New Roman"/>
                <w:sz w:val="18"/>
                <w:szCs w:val="18"/>
                <w:color w:val="auto"/>
                <w:w w:val="94"/>
              </w:rPr>
              <w:t>1.96%</w:t>
            </w:r>
          </w:p>
        </w:tc>
      </w:tr>
      <w:tr>
        <w:trPr>
          <w:trHeight w:val="228"/>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Average interest-bearing liabilities</w:t>
            </w:r>
          </w:p>
        </w:tc>
        <w:tc>
          <w:tcPr>
            <w:tcW w:w="260" w:type="dxa"/>
            <w:vAlign w:val="bottom"/>
          </w:tcPr>
          <w:p>
            <w:pPr>
              <w:spacing w:after="0"/>
              <w:rPr>
                <w:sz w:val="19"/>
                <w:szCs w:val="19"/>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389,849</w:t>
            </w:r>
          </w:p>
        </w:tc>
        <w:tc>
          <w:tcPr>
            <w:tcW w:w="620" w:type="dxa"/>
            <w:vAlign w:val="bottom"/>
          </w:tcPr>
          <w:p>
            <w:pPr>
              <w:spacing w:after="0"/>
              <w:rPr>
                <w:sz w:val="19"/>
                <w:szCs w:val="19"/>
                <w:color w:val="auto"/>
              </w:rPr>
            </w:pP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381,926</w:t>
            </w:r>
          </w:p>
        </w:tc>
        <w:tc>
          <w:tcPr>
            <w:tcW w:w="94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4"/>
              </w:rPr>
              <w:t>2.07%</w:t>
            </w:r>
          </w:p>
        </w:tc>
      </w:tr>
      <w:tr>
        <w:trPr>
          <w:trHeight w:val="271"/>
        </w:trPr>
        <w:tc>
          <w:tcPr>
            <w:tcW w:w="20" w:type="dxa"/>
            <w:vAlign w:val="bottom"/>
          </w:tcPr>
          <w:p>
            <w:pPr>
              <w:spacing w:after="0"/>
              <w:rPr>
                <w:sz w:val="23"/>
                <w:szCs w:val="23"/>
                <w:color w:val="auto"/>
              </w:rPr>
            </w:pPr>
          </w:p>
        </w:tc>
        <w:tc>
          <w:tcPr>
            <w:tcW w:w="514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Net interest income</w:t>
            </w:r>
            <w:r>
              <w:rPr>
                <w:rFonts w:ascii="Times New Roman" w:cs="Times New Roman" w:eastAsia="Times New Roman" w:hAnsi="Times New Roman"/>
                <w:sz w:val="13"/>
                <w:szCs w:val="13"/>
                <w:color w:val="auto"/>
              </w:rPr>
              <w:t>*</w:t>
            </w:r>
          </w:p>
        </w:tc>
        <w:tc>
          <w:tcPr>
            <w:tcW w:w="260" w:type="dxa"/>
            <w:vAlign w:val="bottom"/>
            <w:shd w:val="clear" w:color="auto" w:fill="C0C0C0"/>
          </w:tcPr>
          <w:p>
            <w:pPr>
              <w:spacing w:after="0"/>
              <w:rPr>
                <w:sz w:val="23"/>
                <w:szCs w:val="23"/>
                <w:color w:val="auto"/>
              </w:rPr>
            </w:pPr>
          </w:p>
        </w:tc>
        <w:tc>
          <w:tcPr>
            <w:tcW w:w="1000" w:type="dxa"/>
            <w:vAlign w:val="bottom"/>
            <w:shd w:val="clear" w:color="auto" w:fill="C0C0C0"/>
          </w:tcPr>
          <w:p>
            <w:pPr>
              <w:jc w:val="right"/>
              <w:ind w:right="12"/>
              <w:spacing w:after="0"/>
              <w:rPr>
                <w:sz w:val="20"/>
                <w:szCs w:val="20"/>
                <w:color w:val="auto"/>
              </w:rPr>
            </w:pPr>
            <w:r>
              <w:rPr>
                <w:rFonts w:ascii="Times New Roman" w:cs="Times New Roman" w:eastAsia="Times New Roman" w:hAnsi="Times New Roman"/>
                <w:sz w:val="18"/>
                <w:szCs w:val="18"/>
                <w:color w:val="auto"/>
              </w:rPr>
              <w:t>12,148</w:t>
            </w:r>
          </w:p>
        </w:tc>
        <w:tc>
          <w:tcPr>
            <w:tcW w:w="620" w:type="dxa"/>
            <w:vAlign w:val="bottom"/>
            <w:shd w:val="clear" w:color="auto" w:fill="C0C0C0"/>
          </w:tcPr>
          <w:p>
            <w:pPr>
              <w:spacing w:after="0"/>
              <w:rPr>
                <w:sz w:val="23"/>
                <w:szCs w:val="23"/>
                <w:color w:val="auto"/>
              </w:rPr>
            </w:pPr>
          </w:p>
        </w:tc>
        <w:tc>
          <w:tcPr>
            <w:tcW w:w="1160" w:type="dxa"/>
            <w:vAlign w:val="bottom"/>
            <w:shd w:val="clear" w:color="auto" w:fill="C0C0C0"/>
          </w:tcPr>
          <w:p>
            <w:pPr>
              <w:jc w:val="right"/>
              <w:ind w:right="192"/>
              <w:spacing w:after="0"/>
              <w:rPr>
                <w:sz w:val="20"/>
                <w:szCs w:val="20"/>
                <w:color w:val="auto"/>
              </w:rPr>
            </w:pPr>
            <w:r>
              <w:rPr>
                <w:rFonts w:ascii="Times New Roman" w:cs="Times New Roman" w:eastAsia="Times New Roman" w:hAnsi="Times New Roman"/>
                <w:sz w:val="18"/>
                <w:szCs w:val="18"/>
                <w:color w:val="auto"/>
              </w:rPr>
              <w:t>11,296</w:t>
            </w:r>
          </w:p>
        </w:tc>
        <w:tc>
          <w:tcPr>
            <w:tcW w:w="940" w:type="dxa"/>
            <w:vAlign w:val="bottom"/>
            <w:shd w:val="clear" w:color="auto" w:fill="C0C0C0"/>
          </w:tcPr>
          <w:p>
            <w:pPr>
              <w:ind w:left="480"/>
              <w:spacing w:after="0"/>
              <w:rPr>
                <w:sz w:val="20"/>
                <w:szCs w:val="20"/>
                <w:color w:val="auto"/>
              </w:rPr>
            </w:pPr>
            <w:r>
              <w:rPr>
                <w:rFonts w:ascii="Times New Roman" w:cs="Times New Roman" w:eastAsia="Times New Roman" w:hAnsi="Times New Roman"/>
                <w:sz w:val="18"/>
                <w:szCs w:val="18"/>
                <w:color w:val="auto"/>
                <w:w w:val="94"/>
              </w:rPr>
              <w:t>7.54%</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margin</w:t>
            </w:r>
            <w:r>
              <w:rPr>
                <w:rFonts w:ascii="Times New Roman" w:cs="Times New Roman" w:eastAsia="Times New Roman" w:hAnsi="Times New Roman"/>
                <w:sz w:val="13"/>
                <w:szCs w:val="13"/>
                <w:color w:val="auto"/>
              </w:rPr>
              <w:t>*</w:t>
            </w:r>
          </w:p>
        </w:tc>
        <w:tc>
          <w:tcPr>
            <w:tcW w:w="284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3.42%</w:t>
            </w:r>
          </w:p>
        </w:tc>
        <w:tc>
          <w:tcPr>
            <w:tcW w:w="14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3.25%</w:t>
            </w:r>
          </w:p>
        </w:tc>
        <w:tc>
          <w:tcPr>
            <w:tcW w:w="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72"/>
        </w:trPr>
        <w:tc>
          <w:tcPr>
            <w:tcW w:w="420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Yield on earning assets</w:t>
            </w:r>
            <w:r>
              <w:rPr>
                <w:rFonts w:ascii="Times New Roman" w:cs="Times New Roman" w:eastAsia="Times New Roman" w:hAnsi="Times New Roman"/>
                <w:sz w:val="13"/>
                <w:szCs w:val="13"/>
                <w:color w:val="auto"/>
              </w:rPr>
              <w:t>*</w:t>
            </w:r>
          </w:p>
        </w:tc>
        <w:tc>
          <w:tcPr>
            <w:tcW w:w="2840" w:type="dxa"/>
            <w:vAlign w:val="bottom"/>
            <w:shd w:val="clear" w:color="auto" w:fill="C0C0C0"/>
          </w:tcPr>
          <w:p>
            <w:pPr>
              <w:jc w:val="right"/>
              <w:ind w:right="492"/>
              <w:spacing w:after="0"/>
              <w:rPr>
                <w:sz w:val="20"/>
                <w:szCs w:val="20"/>
                <w:color w:val="auto"/>
              </w:rPr>
            </w:pPr>
            <w:r>
              <w:rPr>
                <w:rFonts w:ascii="Times New Roman" w:cs="Times New Roman" w:eastAsia="Times New Roman" w:hAnsi="Times New Roman"/>
                <w:sz w:val="18"/>
                <w:szCs w:val="18"/>
                <w:color w:val="auto"/>
              </w:rPr>
              <w:t>3.79%</w:t>
            </w:r>
          </w:p>
        </w:tc>
        <w:tc>
          <w:tcPr>
            <w:tcW w:w="1400" w:type="dxa"/>
            <w:vAlign w:val="bottom"/>
            <w:shd w:val="clear" w:color="auto" w:fill="C0C0C0"/>
          </w:tcPr>
          <w:p>
            <w:pPr>
              <w:jc w:val="right"/>
              <w:ind w:right="292"/>
              <w:spacing w:after="0"/>
              <w:rPr>
                <w:sz w:val="20"/>
                <w:szCs w:val="20"/>
                <w:color w:val="auto"/>
              </w:rPr>
            </w:pPr>
            <w:r>
              <w:rPr>
                <w:rFonts w:ascii="Times New Roman" w:cs="Times New Roman" w:eastAsia="Times New Roman" w:hAnsi="Times New Roman"/>
                <w:sz w:val="18"/>
                <w:szCs w:val="18"/>
                <w:color w:val="auto"/>
              </w:rPr>
              <w:t>3.44%</w:t>
            </w:r>
          </w:p>
        </w:tc>
        <w:tc>
          <w:tcPr>
            <w:tcW w:w="700" w:type="dxa"/>
            <w:vAlign w:val="bottom"/>
            <w:shd w:val="clear" w:color="auto" w:fill="C0C0C0"/>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Rate on interest-bearing liabilities</w:t>
            </w:r>
          </w:p>
        </w:tc>
        <w:tc>
          <w:tcPr>
            <w:tcW w:w="284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1.34%</w:t>
            </w:r>
          </w:p>
        </w:tc>
        <w:tc>
          <w:tcPr>
            <w:tcW w:w="14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.72%</w:t>
            </w:r>
          </w:p>
        </w:tc>
        <w:tc>
          <w:tcPr>
            <w:tcW w:w="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57975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97550" cy="1714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*Presented on a tax-equivalent basis assuming a tax rate of 21% for both 2019 and 2018.</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Quarter of 2019 compared to First Quarter of 2018:</w:t>
      </w:r>
    </w:p>
    <w:p>
      <w:pPr>
        <w:spacing w:after="0" w:line="225"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6"/>
          <w:szCs w:val="16"/>
          <w:color w:val="auto"/>
        </w:rPr>
        <w:t>First Quarter of 2019 average earning assets increased $27,668,000, or 2.0%, compared to the same period in the prior year. Average interest-bearing deposits in other financial institutions increased $34,097,000, or 31.9%, and loans increased $31,426,000, or 4.6%. Average investment securities decreased $24,499,000, or 5.3%, and federal funds sold and other short-term investments decreased $7,835,000, or 5.4%, in the First Quarter of 2019 compared to the First Quarter of 2018.</w:t>
      </w:r>
    </w:p>
    <w:p>
      <w:pPr>
        <w:spacing w:after="0" w:line="151"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Total average interest-bearing liabilities for the First Quarter of 2019 increased $7,923,000, or 2.1%, compared to the First Quarter of 2018. Average accounts and drafts payable increased $8,958,000, or 1.2%, in the First Quarter of 2019 compared to the First Quarter of 2018.</w:t>
      </w:r>
    </w:p>
    <w:p>
      <w:pPr>
        <w:spacing w:after="0" w:line="1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First Quarter of 2019 tax-equivalized net interest income increased $852,000, or 7.5%, compared to the same period in the prior year as a result of the increase in average earning assets and the improving rate environment. The changes to the interest rate environment also led to an increase in the rate on interest-bearing liabilities in the First Quarter of 2019 compared to the First Quarter of 2018.</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on the changes in net interest income, please refer to the tables that follow.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of Assets, Liabilities and Shareholders' Equity; Interest Rate and Interest Differential</w:t>
      </w:r>
    </w:p>
    <w:p>
      <w:pPr>
        <w:spacing w:after="0" w:line="2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following tables show the condensed average balance sheets for each of the periods reported, the tax-equivalent interest income and expense on each category of interest-earning assets and interest-bearing liabilities, and the average yield on such categories of interest-earning assets and the average rates paid on such categories of interest-bearing liabilities for each of the periods reported.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First Quarter of 2019</w:t>
            </w: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First Quarter of 2018</w:t>
            </w:r>
          </w:p>
        </w:tc>
        <w:tc>
          <w:tcPr>
            <w:tcW w:w="580" w:type="dxa"/>
            <w:vAlign w:val="bottom"/>
            <w:tcBorders>
              <w:bottom w:val="single" w:sz="8" w:color="auto"/>
            </w:tcBorders>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58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60" w:type="dxa"/>
            <w:vAlign w:val="bottom"/>
          </w:tcPr>
          <w:p>
            <w:pPr>
              <w:spacing w:after="0"/>
              <w:rPr>
                <w:sz w:val="20"/>
                <w:szCs w:val="20"/>
                <w:color w:val="auto"/>
              </w:rPr>
            </w:pPr>
          </w:p>
        </w:tc>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95"/>
              </w:rPr>
              <w:t>Yield/</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91"/>
              </w:rPr>
              <w:t>Yield/</w:t>
            </w:r>
          </w:p>
        </w:tc>
      </w:tr>
      <w:tr>
        <w:trPr>
          <w:trHeight w:val="266"/>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40" w:type="dxa"/>
            <w:vAlign w:val="bottom"/>
          </w:tcPr>
          <w:p>
            <w:pPr>
              <w:spacing w:after="0"/>
              <w:rPr>
                <w:sz w:val="23"/>
                <w:szCs w:val="23"/>
                <w:color w:val="auto"/>
              </w:rPr>
            </w:pP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60" w:type="dxa"/>
            <w:vAlign w:val="bottom"/>
          </w:tcPr>
          <w:p>
            <w:pPr>
              <w:spacing w:after="0"/>
              <w:rPr>
                <w:sz w:val="23"/>
                <w:szCs w:val="23"/>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60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Rate</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60" w:type="dxa"/>
            <w:vAlign w:val="bottom"/>
          </w:tcPr>
          <w:p>
            <w:pPr>
              <w:spacing w:after="0"/>
              <w:rPr>
                <w:sz w:val="23"/>
                <w:szCs w:val="23"/>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Rate</w:t>
            </w:r>
          </w:p>
        </w:tc>
      </w:tr>
      <w:tr>
        <w:trPr>
          <w:trHeight w:val="311"/>
        </w:trPr>
        <w:tc>
          <w:tcPr>
            <w:tcW w:w="20" w:type="dxa"/>
            <w:vAlign w:val="bottom"/>
          </w:tcPr>
          <w:p>
            <w:pPr>
              <w:spacing w:after="0"/>
              <w:rPr>
                <w:sz w:val="24"/>
                <w:szCs w:val="24"/>
                <w:color w:val="auto"/>
              </w:rPr>
            </w:pPr>
          </w:p>
        </w:tc>
        <w:tc>
          <w:tcPr>
            <w:tcW w:w="5680" w:type="dxa"/>
            <w:vAlign w:val="bottom"/>
            <w:tcBorders>
              <w:top w:val="single" w:sz="8" w:color="auto"/>
            </w:tcBorders>
            <w:shd w:val="clear" w:color="auto" w:fill="C0C0C0"/>
          </w:tcPr>
          <w:p>
            <w:pPr>
              <w:spacing w:after="0" w:line="310" w:lineRule="exact"/>
              <w:rPr>
                <w:sz w:val="20"/>
                <w:szCs w:val="20"/>
                <w:color w:val="auto"/>
              </w:rPr>
            </w:pPr>
            <w:r>
              <w:rPr>
                <w:rFonts w:ascii="Times New Roman" w:cs="Times New Roman" w:eastAsia="Times New Roman" w:hAnsi="Times New Roman"/>
                <w:sz w:val="18"/>
                <w:szCs w:val="18"/>
                <w:b w:val="1"/>
                <w:bCs w:val="1"/>
                <w:color w:val="auto"/>
              </w:rPr>
              <w:t>Assets</w:t>
            </w:r>
            <w:r>
              <w:rPr>
                <w:rFonts w:ascii="Times New Roman" w:cs="Times New Roman" w:eastAsia="Times New Roman" w:hAnsi="Times New Roman"/>
                <w:sz w:val="29"/>
                <w:szCs w:val="29"/>
                <w:color w:val="auto"/>
                <w:vertAlign w:val="superscript"/>
              </w:rPr>
              <w:t>1</w:t>
            </w:r>
          </w:p>
        </w:tc>
        <w:tc>
          <w:tcPr>
            <w:tcW w:w="140" w:type="dxa"/>
            <w:vAlign w:val="bottom"/>
            <w:tcBorders>
              <w:top w:val="single" w:sz="8" w:color="auto"/>
            </w:tcBorders>
            <w:shd w:val="clear" w:color="auto" w:fill="C0C0C0"/>
          </w:tcPr>
          <w:p>
            <w:pPr>
              <w:spacing w:after="0"/>
              <w:rPr>
                <w:sz w:val="24"/>
                <w:szCs w:val="24"/>
                <w:color w:val="auto"/>
              </w:rPr>
            </w:pPr>
          </w:p>
        </w:tc>
        <w:tc>
          <w:tcPr>
            <w:tcW w:w="940" w:type="dxa"/>
            <w:vAlign w:val="bottom"/>
            <w:tcBorders>
              <w:top w:val="single" w:sz="8" w:color="auto"/>
            </w:tcBorders>
            <w:shd w:val="clear" w:color="auto" w:fill="C0C0C0"/>
          </w:tcPr>
          <w:p>
            <w:pPr>
              <w:spacing w:after="0"/>
              <w:rPr>
                <w:sz w:val="24"/>
                <w:szCs w:val="24"/>
                <w:color w:val="auto"/>
              </w:rPr>
            </w:pPr>
          </w:p>
        </w:tc>
        <w:tc>
          <w:tcPr>
            <w:tcW w:w="160" w:type="dxa"/>
            <w:vAlign w:val="bottom"/>
            <w:tcBorders>
              <w:top w:val="single" w:sz="8" w:color="auto"/>
            </w:tcBorders>
            <w:shd w:val="clear" w:color="auto" w:fill="C0C0C0"/>
          </w:tcPr>
          <w:p>
            <w:pPr>
              <w:spacing w:after="0"/>
              <w:rPr>
                <w:sz w:val="24"/>
                <w:szCs w:val="24"/>
                <w:color w:val="auto"/>
              </w:rPr>
            </w:pPr>
          </w:p>
        </w:tc>
        <w:tc>
          <w:tcPr>
            <w:tcW w:w="1000" w:type="dxa"/>
            <w:vAlign w:val="bottom"/>
            <w:tcBorders>
              <w:top w:val="single" w:sz="8" w:color="auto"/>
            </w:tcBorders>
            <w:shd w:val="clear" w:color="auto" w:fill="C0C0C0"/>
          </w:tcPr>
          <w:p>
            <w:pPr>
              <w:spacing w:after="0"/>
              <w:rPr>
                <w:sz w:val="24"/>
                <w:szCs w:val="24"/>
                <w:color w:val="auto"/>
              </w:rPr>
            </w:pPr>
          </w:p>
        </w:tc>
        <w:tc>
          <w:tcPr>
            <w:tcW w:w="600" w:type="dxa"/>
            <w:vAlign w:val="bottom"/>
            <w:tcBorders>
              <w:top w:val="single" w:sz="8" w:color="auto"/>
            </w:tcBorders>
            <w:shd w:val="clear" w:color="auto" w:fill="C0C0C0"/>
          </w:tcPr>
          <w:p>
            <w:pPr>
              <w:spacing w:after="0"/>
              <w:rPr>
                <w:sz w:val="24"/>
                <w:szCs w:val="24"/>
                <w:color w:val="auto"/>
              </w:rPr>
            </w:pPr>
          </w:p>
        </w:tc>
        <w:tc>
          <w:tcPr>
            <w:tcW w:w="120" w:type="dxa"/>
            <w:vAlign w:val="bottom"/>
            <w:tcBorders>
              <w:top w:val="single" w:sz="8" w:color="auto"/>
            </w:tcBorders>
            <w:shd w:val="clear" w:color="auto" w:fill="C0C0C0"/>
          </w:tcPr>
          <w:p>
            <w:pPr>
              <w:spacing w:after="0"/>
              <w:rPr>
                <w:sz w:val="24"/>
                <w:szCs w:val="24"/>
                <w:color w:val="auto"/>
              </w:rPr>
            </w:pPr>
          </w:p>
        </w:tc>
        <w:tc>
          <w:tcPr>
            <w:tcW w:w="160" w:type="dxa"/>
            <w:vAlign w:val="bottom"/>
            <w:tcBorders>
              <w:top w:val="single" w:sz="8" w:color="auto"/>
            </w:tcBorders>
            <w:shd w:val="clear" w:color="auto" w:fill="C0C0C0"/>
          </w:tcPr>
          <w:p>
            <w:pPr>
              <w:spacing w:after="0"/>
              <w:rPr>
                <w:sz w:val="24"/>
                <w:szCs w:val="24"/>
                <w:color w:val="auto"/>
              </w:rPr>
            </w:pPr>
          </w:p>
        </w:tc>
        <w:tc>
          <w:tcPr>
            <w:tcW w:w="960" w:type="dxa"/>
            <w:vAlign w:val="bottom"/>
            <w:tcBorders>
              <w:top w:val="single" w:sz="8" w:color="auto"/>
            </w:tcBorders>
            <w:shd w:val="clear" w:color="auto" w:fill="C0C0C0"/>
          </w:tcPr>
          <w:p>
            <w:pPr>
              <w:spacing w:after="0"/>
              <w:rPr>
                <w:sz w:val="24"/>
                <w:szCs w:val="24"/>
                <w:color w:val="auto"/>
              </w:rPr>
            </w:pPr>
          </w:p>
        </w:tc>
        <w:tc>
          <w:tcPr>
            <w:tcW w:w="160" w:type="dxa"/>
            <w:vAlign w:val="bottom"/>
            <w:tcBorders>
              <w:top w:val="single" w:sz="8" w:color="auto"/>
            </w:tcBorders>
            <w:shd w:val="clear" w:color="auto" w:fill="C0C0C0"/>
          </w:tcPr>
          <w:p>
            <w:pPr>
              <w:spacing w:after="0"/>
              <w:rPr>
                <w:sz w:val="24"/>
                <w:szCs w:val="24"/>
                <w:color w:val="auto"/>
              </w:rPr>
            </w:pPr>
          </w:p>
        </w:tc>
        <w:tc>
          <w:tcPr>
            <w:tcW w:w="900" w:type="dxa"/>
            <w:vAlign w:val="bottom"/>
            <w:tcBorders>
              <w:top w:val="single" w:sz="8" w:color="auto"/>
            </w:tcBorders>
            <w:shd w:val="clear" w:color="auto" w:fill="C0C0C0"/>
          </w:tcPr>
          <w:p>
            <w:pPr>
              <w:spacing w:after="0"/>
              <w:rPr>
                <w:sz w:val="24"/>
                <w:szCs w:val="24"/>
                <w:color w:val="auto"/>
              </w:rPr>
            </w:pPr>
          </w:p>
        </w:tc>
        <w:tc>
          <w:tcPr>
            <w:tcW w:w="580" w:type="dxa"/>
            <w:vAlign w:val="bottom"/>
            <w:tcBorders>
              <w:top w:val="single" w:sz="8" w:color="auto"/>
            </w:tcBorders>
            <w:shd w:val="clear" w:color="auto" w:fill="C0C0C0"/>
          </w:tcPr>
          <w:p>
            <w:pPr>
              <w:spacing w:after="0"/>
              <w:rPr>
                <w:sz w:val="24"/>
                <w:szCs w:val="24"/>
                <w:color w:val="auto"/>
              </w:rPr>
            </w:pPr>
          </w:p>
        </w:tc>
      </w:tr>
      <w:tr>
        <w:trPr>
          <w:trHeight w:val="236"/>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Earning assets</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18"/>
        </w:trPr>
        <w:tc>
          <w:tcPr>
            <w:tcW w:w="20" w:type="dxa"/>
            <w:vAlign w:val="bottom"/>
          </w:tcPr>
          <w:p>
            <w:pPr>
              <w:spacing w:after="0"/>
              <w:rPr>
                <w:sz w:val="24"/>
                <w:szCs w:val="24"/>
                <w:color w:val="auto"/>
              </w:rPr>
            </w:pPr>
          </w:p>
        </w:tc>
        <w:tc>
          <w:tcPr>
            <w:tcW w:w="5680" w:type="dxa"/>
            <w:vAlign w:val="bottom"/>
            <w:shd w:val="clear" w:color="auto" w:fill="C0C0C0"/>
          </w:tcPr>
          <w:p>
            <w:pPr>
              <w:spacing w:after="0" w:line="317" w:lineRule="exact"/>
              <w:rPr>
                <w:sz w:val="20"/>
                <w:szCs w:val="20"/>
                <w:color w:val="auto"/>
              </w:rPr>
            </w:pPr>
            <w:r>
              <w:rPr>
                <w:rFonts w:ascii="Times New Roman" w:cs="Times New Roman" w:eastAsia="Times New Roman" w:hAnsi="Times New Roman"/>
                <w:sz w:val="18"/>
                <w:szCs w:val="18"/>
                <w:color w:val="auto"/>
              </w:rPr>
              <w:t>Loans</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p>
        </w:tc>
        <w:tc>
          <w:tcPr>
            <w:tcW w:w="140" w:type="dxa"/>
            <w:vAlign w:val="bottom"/>
            <w:shd w:val="clear" w:color="auto" w:fill="C0C0C0"/>
          </w:tcPr>
          <w:p>
            <w:pPr>
              <w:spacing w:after="0"/>
              <w:rPr>
                <w:sz w:val="24"/>
                <w:szCs w:val="24"/>
                <w:color w:val="auto"/>
              </w:rPr>
            </w:pPr>
          </w:p>
        </w:tc>
        <w:tc>
          <w:tcPr>
            <w:tcW w:w="940" w:type="dxa"/>
            <w:vAlign w:val="bottom"/>
            <w:shd w:val="clear" w:color="auto" w:fill="C0C0C0"/>
          </w:tcPr>
          <w:p>
            <w:pPr>
              <w:spacing w:after="0"/>
              <w:rPr>
                <w:sz w:val="24"/>
                <w:szCs w:val="24"/>
                <w:color w:val="auto"/>
              </w:rPr>
            </w:pPr>
          </w:p>
        </w:tc>
        <w:tc>
          <w:tcPr>
            <w:tcW w:w="160" w:type="dxa"/>
            <w:vAlign w:val="bottom"/>
            <w:shd w:val="clear" w:color="auto" w:fill="C0C0C0"/>
          </w:tcPr>
          <w:p>
            <w:pPr>
              <w:spacing w:after="0"/>
              <w:rPr>
                <w:sz w:val="24"/>
                <w:szCs w:val="24"/>
                <w:color w:val="auto"/>
              </w:rPr>
            </w:pPr>
          </w:p>
        </w:tc>
        <w:tc>
          <w:tcPr>
            <w:tcW w:w="1000" w:type="dxa"/>
            <w:vAlign w:val="bottom"/>
            <w:shd w:val="clear" w:color="auto" w:fill="C0C0C0"/>
          </w:tcPr>
          <w:p>
            <w:pPr>
              <w:spacing w:after="0"/>
              <w:rPr>
                <w:sz w:val="24"/>
                <w:szCs w:val="24"/>
                <w:color w:val="auto"/>
              </w:rPr>
            </w:pPr>
          </w:p>
        </w:tc>
        <w:tc>
          <w:tcPr>
            <w:tcW w:w="600" w:type="dxa"/>
            <w:vAlign w:val="bottom"/>
            <w:shd w:val="clear" w:color="auto" w:fill="C0C0C0"/>
          </w:tcPr>
          <w:p>
            <w:pPr>
              <w:spacing w:after="0"/>
              <w:rPr>
                <w:sz w:val="24"/>
                <w:szCs w:val="24"/>
                <w:color w:val="auto"/>
              </w:rPr>
            </w:pPr>
          </w:p>
        </w:tc>
        <w:tc>
          <w:tcPr>
            <w:tcW w:w="120" w:type="dxa"/>
            <w:vAlign w:val="bottom"/>
            <w:shd w:val="clear" w:color="auto" w:fill="C0C0C0"/>
          </w:tcPr>
          <w:p>
            <w:pPr>
              <w:spacing w:after="0"/>
              <w:rPr>
                <w:sz w:val="24"/>
                <w:szCs w:val="24"/>
                <w:color w:val="auto"/>
              </w:rPr>
            </w:pPr>
          </w:p>
        </w:tc>
        <w:tc>
          <w:tcPr>
            <w:tcW w:w="160" w:type="dxa"/>
            <w:vAlign w:val="bottom"/>
            <w:shd w:val="clear" w:color="auto" w:fill="C0C0C0"/>
          </w:tcPr>
          <w:p>
            <w:pPr>
              <w:spacing w:after="0"/>
              <w:rPr>
                <w:sz w:val="24"/>
                <w:szCs w:val="24"/>
                <w:color w:val="auto"/>
              </w:rPr>
            </w:pPr>
          </w:p>
        </w:tc>
        <w:tc>
          <w:tcPr>
            <w:tcW w:w="960" w:type="dxa"/>
            <w:vAlign w:val="bottom"/>
            <w:shd w:val="clear" w:color="auto" w:fill="C0C0C0"/>
          </w:tcPr>
          <w:p>
            <w:pPr>
              <w:spacing w:after="0"/>
              <w:rPr>
                <w:sz w:val="24"/>
                <w:szCs w:val="24"/>
                <w:color w:val="auto"/>
              </w:rPr>
            </w:pPr>
          </w:p>
        </w:tc>
        <w:tc>
          <w:tcPr>
            <w:tcW w:w="160" w:type="dxa"/>
            <w:vAlign w:val="bottom"/>
            <w:shd w:val="clear" w:color="auto" w:fill="C0C0C0"/>
          </w:tcPr>
          <w:p>
            <w:pPr>
              <w:spacing w:after="0"/>
              <w:rPr>
                <w:sz w:val="24"/>
                <w:szCs w:val="24"/>
                <w:color w:val="auto"/>
              </w:rPr>
            </w:pPr>
          </w:p>
        </w:tc>
        <w:tc>
          <w:tcPr>
            <w:tcW w:w="900" w:type="dxa"/>
            <w:vAlign w:val="bottom"/>
            <w:shd w:val="clear" w:color="auto" w:fill="C0C0C0"/>
          </w:tcPr>
          <w:p>
            <w:pPr>
              <w:spacing w:after="0"/>
              <w:rPr>
                <w:sz w:val="24"/>
                <w:szCs w:val="24"/>
                <w:color w:val="auto"/>
              </w:rPr>
            </w:pPr>
          </w:p>
        </w:tc>
        <w:tc>
          <w:tcPr>
            <w:tcW w:w="580" w:type="dxa"/>
            <w:vAlign w:val="bottom"/>
            <w:shd w:val="clear" w:color="auto" w:fill="C0C0C0"/>
          </w:tcPr>
          <w:p>
            <w:pPr>
              <w:spacing w:after="0"/>
              <w:rPr>
                <w:sz w:val="24"/>
                <w:szCs w:val="24"/>
                <w:color w:val="auto"/>
              </w:rPr>
            </w:pPr>
          </w:p>
        </w:tc>
      </w:tr>
      <w:tr>
        <w:trPr>
          <w:trHeight w:val="236"/>
        </w:trPr>
        <w:tc>
          <w:tcPr>
            <w:tcW w:w="20" w:type="dxa"/>
            <w:vAlign w:val="bottom"/>
          </w:tcPr>
          <w:p>
            <w:pPr>
              <w:spacing w:after="0"/>
              <w:rPr>
                <w:sz w:val="20"/>
                <w:szCs w:val="20"/>
                <w:color w:val="auto"/>
              </w:rPr>
            </w:pPr>
          </w:p>
        </w:tc>
        <w:tc>
          <w:tcPr>
            <w:tcW w:w="5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Taxable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721,526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8,629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687,271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7,523</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318"/>
        </w:trPr>
        <w:tc>
          <w:tcPr>
            <w:tcW w:w="20" w:type="dxa"/>
            <w:vAlign w:val="bottom"/>
          </w:tcPr>
          <w:p>
            <w:pPr>
              <w:spacing w:after="0"/>
              <w:rPr>
                <w:sz w:val="24"/>
                <w:szCs w:val="24"/>
                <w:color w:val="auto"/>
              </w:rPr>
            </w:pPr>
          </w:p>
        </w:tc>
        <w:tc>
          <w:tcPr>
            <w:tcW w:w="5680" w:type="dxa"/>
            <w:vAlign w:val="bottom"/>
            <w:shd w:val="clear" w:color="auto" w:fill="C0C0C0"/>
          </w:tcPr>
          <w:p>
            <w:pPr>
              <w:ind w:left="260"/>
              <w:spacing w:after="0" w:line="317" w:lineRule="exact"/>
              <w:rPr>
                <w:sz w:val="20"/>
                <w:szCs w:val="20"/>
                <w:color w:val="auto"/>
              </w:rPr>
            </w:pPr>
            <w:r>
              <w:rPr>
                <w:rFonts w:ascii="Times New Roman" w:cs="Times New Roman" w:eastAsia="Times New Roman" w:hAnsi="Times New Roman"/>
                <w:sz w:val="18"/>
                <w:szCs w:val="18"/>
                <w:color w:val="auto"/>
              </w:rPr>
              <w:t>Tax-exempt</w:t>
            </w:r>
            <w:r>
              <w:rPr>
                <w:rFonts w:ascii="Times New Roman" w:cs="Times New Roman" w:eastAsia="Times New Roman" w:hAnsi="Times New Roman"/>
                <w:sz w:val="29"/>
                <w:szCs w:val="29"/>
                <w:color w:val="auto"/>
                <w:vertAlign w:val="superscript"/>
              </w:rPr>
              <w:t>3</w:t>
            </w:r>
          </w:p>
        </w:tc>
        <w:tc>
          <w:tcPr>
            <w:tcW w:w="140" w:type="dxa"/>
            <w:vAlign w:val="bottom"/>
            <w:shd w:val="clear" w:color="auto" w:fill="C0C0C0"/>
          </w:tcPr>
          <w:p>
            <w:pPr>
              <w:spacing w:after="0"/>
              <w:rPr>
                <w:sz w:val="24"/>
                <w:szCs w:val="24"/>
                <w:color w:val="auto"/>
              </w:rPr>
            </w:pPr>
          </w:p>
        </w:tc>
        <w:tc>
          <w:tcPr>
            <w:tcW w:w="9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0C0C0"/>
          </w:tcPr>
          <w:p>
            <w:pPr>
              <w:spacing w:after="0"/>
              <w:rPr>
                <w:sz w:val="24"/>
                <w:szCs w:val="24"/>
                <w:color w:val="auto"/>
              </w:rPr>
            </w:pPr>
          </w:p>
        </w:tc>
        <w:tc>
          <w:tcPr>
            <w:tcW w:w="1000" w:type="dxa"/>
            <w:vAlign w:val="bottom"/>
            <w:shd w:val="clear" w:color="auto" w:fill="C0C0C0"/>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0C0C0"/>
          </w:tcPr>
          <w:p>
            <w:pPr>
              <w:spacing w:after="0"/>
              <w:rPr>
                <w:sz w:val="24"/>
                <w:szCs w:val="24"/>
                <w:color w:val="auto"/>
              </w:rPr>
            </w:pPr>
          </w:p>
        </w:tc>
        <w:tc>
          <w:tcPr>
            <w:tcW w:w="160" w:type="dxa"/>
            <w:vAlign w:val="bottom"/>
            <w:shd w:val="clear" w:color="auto" w:fill="C0C0C0"/>
          </w:tcPr>
          <w:p>
            <w:pPr>
              <w:spacing w:after="0"/>
              <w:rPr>
                <w:sz w:val="24"/>
                <w:szCs w:val="24"/>
                <w:color w:val="auto"/>
              </w:rPr>
            </w:pPr>
          </w:p>
        </w:tc>
        <w:tc>
          <w:tcPr>
            <w:tcW w:w="9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160" w:type="dxa"/>
            <w:vAlign w:val="bottom"/>
            <w:shd w:val="clear" w:color="auto" w:fill="C0C0C0"/>
          </w:tcPr>
          <w:p>
            <w:pPr>
              <w:spacing w:after="0"/>
              <w:rPr>
                <w:sz w:val="24"/>
                <w:szCs w:val="24"/>
                <w:color w:val="auto"/>
              </w:rPr>
            </w:pPr>
          </w:p>
        </w:tc>
        <w:tc>
          <w:tcPr>
            <w:tcW w:w="900" w:type="dxa"/>
            <w:vAlign w:val="bottom"/>
            <w:shd w:val="clear" w:color="auto" w:fill="C0C0C0"/>
          </w:tcPr>
          <w:p>
            <w:pPr>
              <w:jc w:val="right"/>
              <w:ind w:right="92"/>
              <w:spacing w:after="0"/>
              <w:rPr>
                <w:sz w:val="20"/>
                <w:szCs w:val="20"/>
                <w:color w:val="auto"/>
              </w:rPr>
            </w:pPr>
            <w:r>
              <w:rPr>
                <w:rFonts w:ascii="Times New Roman" w:cs="Times New Roman" w:eastAsia="Times New Roman" w:hAnsi="Times New Roman"/>
                <w:sz w:val="18"/>
                <w:szCs w:val="18"/>
                <w:color w:val="auto"/>
              </w:rPr>
              <w:t>24</w:t>
            </w:r>
          </w:p>
        </w:tc>
        <w:tc>
          <w:tcPr>
            <w:tcW w:w="580" w:type="dxa"/>
            <w:vAlign w:val="bottom"/>
            <w:shd w:val="clear" w:color="auto" w:fill="C0C0C0"/>
          </w:tcPr>
          <w:p>
            <w:pPr>
              <w:jc w:val="right"/>
              <w:ind w:right="92"/>
              <w:spacing w:after="0"/>
              <w:rPr>
                <w:sz w:val="20"/>
                <w:szCs w:val="20"/>
                <w:color w:val="auto"/>
              </w:rPr>
            </w:pPr>
            <w:r>
              <w:rPr>
                <w:rFonts w:ascii="Times New Roman" w:cs="Times New Roman" w:eastAsia="Times New Roman" w:hAnsi="Times New Roman"/>
                <w:sz w:val="18"/>
                <w:szCs w:val="18"/>
                <w:color w:val="auto"/>
              </w:rPr>
              <w:t>3.44</w:t>
            </w:r>
          </w:p>
        </w:tc>
      </w:tr>
      <w:tr>
        <w:trPr>
          <w:trHeight w:val="311"/>
        </w:trPr>
        <w:tc>
          <w:tcPr>
            <w:tcW w:w="5700" w:type="dxa"/>
            <w:vAlign w:val="bottom"/>
            <w:gridSpan w:val="2"/>
          </w:tcPr>
          <w:p>
            <w:pPr>
              <w:spacing w:after="0" w:line="310" w:lineRule="exact"/>
              <w:rPr>
                <w:sz w:val="20"/>
                <w:szCs w:val="20"/>
                <w:color w:val="auto"/>
              </w:rPr>
            </w:pPr>
            <w:r>
              <w:rPr>
                <w:rFonts w:ascii="Times New Roman" w:cs="Times New Roman" w:eastAsia="Times New Roman" w:hAnsi="Times New Roman"/>
                <w:sz w:val="18"/>
                <w:szCs w:val="18"/>
                <w:color w:val="auto"/>
              </w:rPr>
              <w:t>Investment securities</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5680" w:type="dxa"/>
            <w:vAlign w:val="bottom"/>
            <w:shd w:val="clear" w:color="auto" w:fill="C0C0C0"/>
          </w:tcPr>
          <w:p>
            <w:pPr>
              <w:ind w:left="260"/>
              <w:spacing w:after="0"/>
              <w:rPr>
                <w:sz w:val="20"/>
                <w:szCs w:val="20"/>
                <w:color w:val="auto"/>
              </w:rPr>
            </w:pPr>
            <w:r>
              <w:rPr>
                <w:rFonts w:ascii="Times New Roman" w:cs="Times New Roman" w:eastAsia="Times New Roman" w:hAnsi="Times New Roman"/>
                <w:sz w:val="18"/>
                <w:szCs w:val="18"/>
                <w:color w:val="auto"/>
              </w:rPr>
              <w:t>Taxable</w:t>
            </w:r>
          </w:p>
        </w:tc>
        <w:tc>
          <w:tcPr>
            <w:tcW w:w="140" w:type="dxa"/>
            <w:vAlign w:val="bottom"/>
            <w:shd w:val="clear" w:color="auto" w:fill="C0C0C0"/>
          </w:tcPr>
          <w:p>
            <w:pPr>
              <w:spacing w:after="0"/>
              <w:rPr>
                <w:sz w:val="21"/>
                <w:szCs w:val="21"/>
                <w:color w:val="auto"/>
              </w:rPr>
            </w:pPr>
          </w:p>
        </w:tc>
        <w:tc>
          <w:tcPr>
            <w:tcW w:w="9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106,641</w:t>
            </w:r>
          </w:p>
        </w:tc>
        <w:tc>
          <w:tcPr>
            <w:tcW w:w="16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152"/>
              <w:spacing w:after="0"/>
              <w:rPr>
                <w:sz w:val="20"/>
                <w:szCs w:val="20"/>
                <w:color w:val="auto"/>
              </w:rPr>
            </w:pPr>
            <w:r>
              <w:rPr>
                <w:rFonts w:ascii="Times New Roman" w:cs="Times New Roman" w:eastAsia="Times New Roman" w:hAnsi="Times New Roman"/>
                <w:sz w:val="18"/>
                <w:szCs w:val="18"/>
                <w:color w:val="auto"/>
              </w:rPr>
              <w:t>632</w:t>
            </w:r>
          </w:p>
        </w:tc>
        <w:tc>
          <w:tcPr>
            <w:tcW w:w="60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9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54,502</w:t>
            </w:r>
          </w:p>
        </w:tc>
        <w:tc>
          <w:tcPr>
            <w:tcW w:w="16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92"/>
              <w:spacing w:after="0"/>
              <w:rPr>
                <w:sz w:val="20"/>
                <w:szCs w:val="20"/>
                <w:color w:val="auto"/>
              </w:rPr>
            </w:pPr>
            <w:r>
              <w:rPr>
                <w:rFonts w:ascii="Times New Roman" w:cs="Times New Roman" w:eastAsia="Times New Roman" w:hAnsi="Times New Roman"/>
                <w:sz w:val="18"/>
                <w:szCs w:val="18"/>
                <w:color w:val="auto"/>
              </w:rPr>
              <w:t>294</w:t>
            </w:r>
          </w:p>
        </w:tc>
        <w:tc>
          <w:tcPr>
            <w:tcW w:w="580" w:type="dxa"/>
            <w:vAlign w:val="bottom"/>
            <w:shd w:val="clear" w:color="auto" w:fill="C0C0C0"/>
          </w:tcPr>
          <w:p>
            <w:pPr>
              <w:jc w:val="right"/>
              <w:ind w:right="92"/>
              <w:spacing w:after="0"/>
              <w:rPr>
                <w:sz w:val="20"/>
                <w:szCs w:val="20"/>
                <w:color w:val="auto"/>
              </w:rPr>
            </w:pPr>
            <w:r>
              <w:rPr>
                <w:rFonts w:ascii="Times New Roman" w:cs="Times New Roman" w:eastAsia="Times New Roman" w:hAnsi="Times New Roman"/>
                <w:sz w:val="18"/>
                <w:szCs w:val="18"/>
                <w:color w:val="auto"/>
              </w:rPr>
              <w:t>2.19</w:t>
            </w:r>
          </w:p>
        </w:tc>
      </w:tr>
      <w:tr>
        <w:trPr>
          <w:trHeight w:val="311"/>
        </w:trPr>
        <w:tc>
          <w:tcPr>
            <w:tcW w:w="20" w:type="dxa"/>
            <w:vAlign w:val="bottom"/>
          </w:tcPr>
          <w:p>
            <w:pPr>
              <w:spacing w:after="0"/>
              <w:rPr>
                <w:sz w:val="24"/>
                <w:szCs w:val="24"/>
                <w:color w:val="auto"/>
              </w:rPr>
            </w:pPr>
          </w:p>
        </w:tc>
        <w:tc>
          <w:tcPr>
            <w:tcW w:w="5680" w:type="dxa"/>
            <w:vAlign w:val="bottom"/>
          </w:tcPr>
          <w:p>
            <w:pPr>
              <w:ind w:left="260"/>
              <w:spacing w:after="0" w:line="310" w:lineRule="exact"/>
              <w:rPr>
                <w:sz w:val="20"/>
                <w:szCs w:val="20"/>
                <w:color w:val="auto"/>
              </w:rPr>
            </w:pPr>
            <w:r>
              <w:rPr>
                <w:rFonts w:ascii="Times New Roman" w:cs="Times New Roman" w:eastAsia="Times New Roman" w:hAnsi="Times New Roman"/>
                <w:sz w:val="18"/>
                <w:szCs w:val="18"/>
                <w:color w:val="auto"/>
              </w:rPr>
              <w:t>Tax-exempt</w:t>
            </w:r>
            <w:r>
              <w:rPr>
                <w:rFonts w:ascii="Times New Roman" w:cs="Times New Roman" w:eastAsia="Times New Roman" w:hAnsi="Times New Roman"/>
                <w:sz w:val="29"/>
                <w:szCs w:val="29"/>
                <w:color w:val="auto"/>
                <w:vertAlign w:val="superscript"/>
              </w:rPr>
              <w:t>3</w:t>
            </w: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330,624</w:t>
            </w:r>
          </w:p>
        </w:tc>
        <w:tc>
          <w:tcPr>
            <w:tcW w:w="160" w:type="dxa"/>
            <w:vAlign w:val="bottom"/>
          </w:tcPr>
          <w:p>
            <w:pPr>
              <w:spacing w:after="0"/>
              <w:rPr>
                <w:sz w:val="24"/>
                <w:szCs w:val="24"/>
                <w:color w:val="auto"/>
              </w:rPr>
            </w:pP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2,578</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407,262</w:t>
            </w:r>
          </w:p>
        </w:tc>
        <w:tc>
          <w:tcPr>
            <w:tcW w:w="160" w:type="dxa"/>
            <w:vAlign w:val="bottom"/>
          </w:tcPr>
          <w:p>
            <w:pPr>
              <w:spacing w:after="0"/>
              <w:rPr>
                <w:sz w:val="24"/>
                <w:szCs w:val="24"/>
                <w:color w:val="auto"/>
              </w:rPr>
            </w:pP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3,247</w:t>
            </w: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3.23</w:t>
            </w:r>
          </w:p>
        </w:tc>
      </w:tr>
      <w:tr>
        <w:trPr>
          <w:trHeight w:val="243"/>
        </w:trPr>
        <w:tc>
          <w:tcPr>
            <w:tcW w:w="20" w:type="dxa"/>
            <w:vAlign w:val="bottom"/>
          </w:tcPr>
          <w:p>
            <w:pPr>
              <w:spacing w:after="0"/>
              <w:rPr>
                <w:sz w:val="21"/>
                <w:szCs w:val="21"/>
                <w:color w:val="auto"/>
              </w:rPr>
            </w:pPr>
          </w:p>
        </w:tc>
        <w:tc>
          <w:tcPr>
            <w:tcW w:w="568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40" w:type="dxa"/>
            <w:vAlign w:val="bottom"/>
            <w:shd w:val="clear" w:color="auto" w:fill="C0C0C0"/>
          </w:tcPr>
          <w:p>
            <w:pPr>
              <w:spacing w:after="0"/>
              <w:rPr>
                <w:sz w:val="21"/>
                <w:szCs w:val="21"/>
                <w:color w:val="auto"/>
              </w:rPr>
            </w:pPr>
          </w:p>
        </w:tc>
        <w:tc>
          <w:tcPr>
            <w:tcW w:w="9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6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152"/>
              <w:spacing w:after="0"/>
              <w:rPr>
                <w:sz w:val="20"/>
                <w:szCs w:val="20"/>
                <w:color w:val="auto"/>
              </w:rPr>
            </w:pPr>
            <w:r>
              <w:rPr>
                <w:rFonts w:ascii="Times New Roman" w:cs="Times New Roman" w:eastAsia="Times New Roman" w:hAnsi="Times New Roman"/>
                <w:sz w:val="18"/>
                <w:szCs w:val="18"/>
                <w:color w:val="auto"/>
              </w:rPr>
              <w:t>10</w:t>
            </w:r>
          </w:p>
        </w:tc>
        <w:tc>
          <w:tcPr>
            <w:tcW w:w="60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9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7,516</w:t>
            </w:r>
          </w:p>
        </w:tc>
        <w:tc>
          <w:tcPr>
            <w:tcW w:w="16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92"/>
              <w:spacing w:after="0"/>
              <w:rPr>
                <w:sz w:val="20"/>
                <w:szCs w:val="20"/>
                <w:color w:val="auto"/>
              </w:rPr>
            </w:pPr>
            <w:r>
              <w:rPr>
                <w:rFonts w:ascii="Times New Roman" w:cs="Times New Roman" w:eastAsia="Times New Roman" w:hAnsi="Times New Roman"/>
                <w:sz w:val="18"/>
                <w:szCs w:val="18"/>
                <w:color w:val="auto"/>
              </w:rPr>
              <w:t>27</w:t>
            </w:r>
          </w:p>
        </w:tc>
        <w:tc>
          <w:tcPr>
            <w:tcW w:w="580" w:type="dxa"/>
            <w:vAlign w:val="bottom"/>
            <w:shd w:val="clear" w:color="auto" w:fill="C0C0C0"/>
          </w:tcPr>
          <w:p>
            <w:pPr>
              <w:jc w:val="right"/>
              <w:ind w:right="92"/>
              <w:spacing w:after="0"/>
              <w:rPr>
                <w:sz w:val="20"/>
                <w:szCs w:val="20"/>
                <w:color w:val="auto"/>
              </w:rPr>
            </w:pPr>
            <w:r>
              <w:rPr>
                <w:rFonts w:ascii="Times New Roman" w:cs="Times New Roman" w:eastAsia="Times New Roman" w:hAnsi="Times New Roman"/>
                <w:sz w:val="18"/>
                <w:szCs w:val="18"/>
                <w:color w:val="auto"/>
              </w:rPr>
              <w:t>1.46</w:t>
            </w:r>
          </w:p>
        </w:tc>
      </w:tr>
      <w:tr>
        <w:trPr>
          <w:trHeight w:val="228"/>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 deposits in other financial institutions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141,038</w:t>
            </w:r>
          </w:p>
        </w:tc>
        <w:tc>
          <w:tcPr>
            <w:tcW w:w="160" w:type="dxa"/>
            <w:vAlign w:val="bottom"/>
          </w:tcPr>
          <w:p>
            <w:pPr>
              <w:spacing w:after="0"/>
              <w:rPr>
                <w:sz w:val="19"/>
                <w:szCs w:val="19"/>
                <w:color w:val="auto"/>
              </w:rPr>
            </w:pP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810</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106,941</w:t>
            </w:r>
          </w:p>
        </w:tc>
        <w:tc>
          <w:tcPr>
            <w:tcW w:w="160" w:type="dxa"/>
            <w:vAlign w:val="bottom"/>
          </w:tcPr>
          <w:p>
            <w:pPr>
              <w:spacing w:after="0"/>
              <w:rPr>
                <w:sz w:val="19"/>
                <w:szCs w:val="19"/>
                <w:color w:val="auto"/>
              </w:rPr>
            </w:pP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399</w:t>
            </w: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1.51</w:t>
            </w:r>
          </w:p>
        </w:tc>
      </w:tr>
      <w:tr>
        <w:trPr>
          <w:trHeight w:val="251"/>
        </w:trPr>
        <w:tc>
          <w:tcPr>
            <w:tcW w:w="20" w:type="dxa"/>
            <w:vAlign w:val="bottom"/>
          </w:tcPr>
          <w:p>
            <w:pPr>
              <w:spacing w:after="0"/>
              <w:rPr>
                <w:sz w:val="21"/>
                <w:szCs w:val="21"/>
                <w:color w:val="auto"/>
              </w:rPr>
            </w:pPr>
          </w:p>
        </w:tc>
        <w:tc>
          <w:tcPr>
            <w:tcW w:w="568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Federal funds sold and other short-term investments</w:t>
            </w:r>
          </w:p>
        </w:tc>
        <w:tc>
          <w:tcPr>
            <w:tcW w:w="140" w:type="dxa"/>
            <w:vAlign w:val="bottom"/>
            <w:tcBorders>
              <w:bottom w:val="single" w:sz="8" w:color="auto"/>
            </w:tcBorders>
            <w:shd w:val="clear" w:color="auto" w:fill="C0C0C0"/>
          </w:tcPr>
          <w:p>
            <w:pPr>
              <w:spacing w:after="0"/>
              <w:rPr>
                <w:sz w:val="21"/>
                <w:szCs w:val="21"/>
                <w:color w:val="auto"/>
              </w:rPr>
            </w:pPr>
          </w:p>
        </w:tc>
        <w:tc>
          <w:tcPr>
            <w:tcW w:w="94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136,789</w:t>
            </w:r>
          </w:p>
        </w:tc>
        <w:tc>
          <w:tcPr>
            <w:tcW w:w="160" w:type="dxa"/>
            <w:vAlign w:val="bottom"/>
            <w:tcBorders>
              <w:bottom w:val="single" w:sz="8" w:color="auto"/>
            </w:tcBorders>
            <w:shd w:val="clear" w:color="auto" w:fill="C0C0C0"/>
          </w:tcPr>
          <w:p>
            <w:pPr>
              <w:spacing w:after="0"/>
              <w:rPr>
                <w:sz w:val="21"/>
                <w:szCs w:val="21"/>
                <w:color w:val="auto"/>
              </w:rPr>
            </w:pPr>
          </w:p>
        </w:tc>
        <w:tc>
          <w:tcPr>
            <w:tcW w:w="1000" w:type="dxa"/>
            <w:vAlign w:val="bottom"/>
            <w:tcBorders>
              <w:bottom w:val="single" w:sz="8" w:color="auto"/>
            </w:tcBorders>
            <w:shd w:val="clear" w:color="auto" w:fill="C0C0C0"/>
          </w:tcPr>
          <w:p>
            <w:pPr>
              <w:jc w:val="right"/>
              <w:ind w:right="152"/>
              <w:spacing w:after="0"/>
              <w:rPr>
                <w:sz w:val="20"/>
                <w:szCs w:val="20"/>
                <w:color w:val="auto"/>
              </w:rPr>
            </w:pPr>
            <w:r>
              <w:rPr>
                <w:rFonts w:ascii="Times New Roman" w:cs="Times New Roman" w:eastAsia="Times New Roman" w:hAnsi="Times New Roman"/>
                <w:sz w:val="18"/>
                <w:szCs w:val="18"/>
                <w:color w:val="auto"/>
              </w:rPr>
              <w:t>779</w:t>
            </w:r>
          </w:p>
        </w:tc>
        <w:tc>
          <w:tcPr>
            <w:tcW w:w="600" w:type="dxa"/>
            <w:vAlign w:val="bottom"/>
            <w:tcBorders>
              <w:bottom w:val="single" w:sz="8" w:color="auto"/>
            </w:tcBorders>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Borders>
              <w:bottom w:val="single" w:sz="8" w:color="auto"/>
            </w:tcBorders>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96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144,624</w:t>
            </w:r>
          </w:p>
        </w:tc>
        <w:tc>
          <w:tcPr>
            <w:tcW w:w="16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ind w:right="92"/>
              <w:spacing w:after="0"/>
              <w:rPr>
                <w:sz w:val="20"/>
                <w:szCs w:val="20"/>
                <w:color w:val="auto"/>
              </w:rPr>
            </w:pPr>
            <w:r>
              <w:rPr>
                <w:rFonts w:ascii="Times New Roman" w:cs="Times New Roman" w:eastAsia="Times New Roman" w:hAnsi="Times New Roman"/>
                <w:sz w:val="18"/>
                <w:szCs w:val="18"/>
                <w:color w:val="auto"/>
              </w:rPr>
              <w:t>461</w:t>
            </w:r>
          </w:p>
        </w:tc>
        <w:tc>
          <w:tcPr>
            <w:tcW w:w="580" w:type="dxa"/>
            <w:vAlign w:val="bottom"/>
            <w:tcBorders>
              <w:bottom w:val="single" w:sz="8" w:color="auto"/>
            </w:tcBorders>
            <w:shd w:val="clear" w:color="auto" w:fill="C0C0C0"/>
          </w:tcPr>
          <w:p>
            <w:pPr>
              <w:jc w:val="right"/>
              <w:ind w:right="92"/>
              <w:spacing w:after="0"/>
              <w:rPr>
                <w:sz w:val="20"/>
                <w:szCs w:val="20"/>
                <w:color w:val="auto"/>
              </w:rPr>
            </w:pPr>
            <w:r>
              <w:rPr>
                <w:rFonts w:ascii="Times New Roman" w:cs="Times New Roman" w:eastAsia="Times New Roman" w:hAnsi="Times New Roman"/>
                <w:sz w:val="18"/>
                <w:szCs w:val="18"/>
                <w:color w:val="auto"/>
              </w:rPr>
              <w:t>1.29</w:t>
            </w:r>
          </w:p>
        </w:tc>
      </w:tr>
      <w:tr>
        <w:trPr>
          <w:trHeight w:val="228"/>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Total earning assets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1,438,613</w:t>
            </w:r>
          </w:p>
        </w:tc>
        <w:tc>
          <w:tcPr>
            <w:tcW w:w="160" w:type="dxa"/>
            <w:vAlign w:val="bottom"/>
          </w:tcPr>
          <w:p>
            <w:pPr>
              <w:spacing w:after="0"/>
              <w:rPr>
                <w:sz w:val="19"/>
                <w:szCs w:val="19"/>
                <w:color w:val="auto"/>
              </w:rPr>
            </w:pP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13,438</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1,410,945</w:t>
            </w:r>
          </w:p>
        </w:tc>
        <w:tc>
          <w:tcPr>
            <w:tcW w:w="160" w:type="dxa"/>
            <w:vAlign w:val="bottom"/>
          </w:tcPr>
          <w:p>
            <w:pPr>
              <w:spacing w:after="0"/>
              <w:rPr>
                <w:sz w:val="19"/>
                <w:szCs w:val="19"/>
                <w:color w:val="auto"/>
              </w:rPr>
            </w:pP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11,975</w:t>
            </w: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3.44</w:t>
            </w:r>
          </w:p>
        </w:tc>
      </w:tr>
      <w:tr>
        <w:trPr>
          <w:trHeight w:val="258"/>
        </w:trPr>
        <w:tc>
          <w:tcPr>
            <w:tcW w:w="20" w:type="dxa"/>
            <w:vAlign w:val="bottom"/>
          </w:tcPr>
          <w:p>
            <w:pPr>
              <w:spacing w:after="0"/>
              <w:rPr>
                <w:sz w:val="22"/>
                <w:szCs w:val="22"/>
                <w:color w:val="auto"/>
              </w:rPr>
            </w:pPr>
          </w:p>
        </w:tc>
        <w:tc>
          <w:tcPr>
            <w:tcW w:w="568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Non-earning assets</w:t>
            </w:r>
          </w:p>
        </w:tc>
        <w:tc>
          <w:tcPr>
            <w:tcW w:w="140" w:type="dxa"/>
            <w:vAlign w:val="bottom"/>
            <w:shd w:val="clear" w:color="auto" w:fill="C0C0C0"/>
          </w:tcPr>
          <w:p>
            <w:pPr>
              <w:spacing w:after="0"/>
              <w:rPr>
                <w:sz w:val="22"/>
                <w:szCs w:val="22"/>
                <w:color w:val="auto"/>
              </w:rPr>
            </w:pPr>
          </w:p>
        </w:tc>
        <w:tc>
          <w:tcPr>
            <w:tcW w:w="94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1000" w:type="dxa"/>
            <w:vAlign w:val="bottom"/>
            <w:shd w:val="clear" w:color="auto" w:fill="C0C0C0"/>
          </w:tcPr>
          <w:p>
            <w:pPr>
              <w:spacing w:after="0"/>
              <w:rPr>
                <w:sz w:val="22"/>
                <w:szCs w:val="22"/>
                <w:color w:val="auto"/>
              </w:rPr>
            </w:pPr>
          </w:p>
        </w:tc>
        <w:tc>
          <w:tcPr>
            <w:tcW w:w="60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96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900" w:type="dxa"/>
            <w:vAlign w:val="bottom"/>
            <w:shd w:val="clear" w:color="auto" w:fill="C0C0C0"/>
          </w:tcPr>
          <w:p>
            <w:pPr>
              <w:spacing w:after="0"/>
              <w:rPr>
                <w:sz w:val="22"/>
                <w:szCs w:val="22"/>
                <w:color w:val="auto"/>
              </w:rPr>
            </w:pPr>
          </w:p>
        </w:tc>
        <w:tc>
          <w:tcPr>
            <w:tcW w:w="580" w:type="dxa"/>
            <w:vAlign w:val="bottom"/>
            <w:shd w:val="clear" w:color="auto" w:fill="C0C0C0"/>
          </w:tcPr>
          <w:p>
            <w:pPr>
              <w:spacing w:after="0"/>
              <w:rPr>
                <w:sz w:val="22"/>
                <w:szCs w:val="22"/>
                <w:color w:val="auto"/>
              </w:rPr>
            </w:pPr>
          </w:p>
        </w:tc>
      </w:tr>
      <w:tr>
        <w:trPr>
          <w:trHeight w:val="236"/>
        </w:trPr>
        <w:tc>
          <w:tcPr>
            <w:tcW w:w="20" w:type="dxa"/>
            <w:vAlign w:val="bottom"/>
          </w:tcPr>
          <w:p>
            <w:pPr>
              <w:spacing w:after="0"/>
              <w:rPr>
                <w:sz w:val="20"/>
                <w:szCs w:val="20"/>
                <w:color w:val="auto"/>
              </w:rPr>
            </w:pPr>
          </w:p>
        </w:tc>
        <w:tc>
          <w:tcPr>
            <w:tcW w:w="5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and due from banks</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13,816</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14,259</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5680" w:type="dxa"/>
            <w:vAlign w:val="bottom"/>
            <w:shd w:val="clear" w:color="auto" w:fill="C0C0C0"/>
          </w:tcPr>
          <w:p>
            <w:pPr>
              <w:ind w:left="26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140" w:type="dxa"/>
            <w:vAlign w:val="bottom"/>
            <w:shd w:val="clear" w:color="auto" w:fill="C0C0C0"/>
          </w:tcPr>
          <w:p>
            <w:pPr>
              <w:spacing w:after="0"/>
              <w:rPr>
                <w:sz w:val="21"/>
                <w:szCs w:val="21"/>
                <w:color w:val="auto"/>
              </w:rPr>
            </w:pPr>
          </w:p>
        </w:tc>
        <w:tc>
          <w:tcPr>
            <w:tcW w:w="9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22,015</w:t>
            </w:r>
          </w:p>
        </w:tc>
        <w:tc>
          <w:tcPr>
            <w:tcW w:w="160" w:type="dxa"/>
            <w:vAlign w:val="bottom"/>
            <w:shd w:val="clear" w:color="auto" w:fill="C0C0C0"/>
          </w:tcPr>
          <w:p>
            <w:pPr>
              <w:spacing w:after="0"/>
              <w:rPr>
                <w:sz w:val="21"/>
                <w:szCs w:val="21"/>
                <w:color w:val="auto"/>
              </w:rPr>
            </w:pPr>
          </w:p>
        </w:tc>
        <w:tc>
          <w:tcPr>
            <w:tcW w:w="100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9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21,797</w:t>
            </w:r>
          </w:p>
        </w:tc>
        <w:tc>
          <w:tcPr>
            <w:tcW w:w="16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5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Bank-owned life insurance</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17,429</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16,968</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5680" w:type="dxa"/>
            <w:vAlign w:val="bottom"/>
            <w:shd w:val="clear" w:color="auto" w:fill="C0C0C0"/>
          </w:tcPr>
          <w:p>
            <w:pPr>
              <w:ind w:left="26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140" w:type="dxa"/>
            <w:vAlign w:val="bottom"/>
            <w:shd w:val="clear" w:color="auto" w:fill="C0C0C0"/>
          </w:tcPr>
          <w:p>
            <w:pPr>
              <w:spacing w:after="0"/>
              <w:rPr>
                <w:sz w:val="21"/>
                <w:szCs w:val="21"/>
                <w:color w:val="auto"/>
              </w:rPr>
            </w:pPr>
          </w:p>
        </w:tc>
        <w:tc>
          <w:tcPr>
            <w:tcW w:w="9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14,080</w:t>
            </w:r>
          </w:p>
        </w:tc>
        <w:tc>
          <w:tcPr>
            <w:tcW w:w="160" w:type="dxa"/>
            <w:vAlign w:val="bottom"/>
            <w:shd w:val="clear" w:color="auto" w:fill="C0C0C0"/>
          </w:tcPr>
          <w:p>
            <w:pPr>
              <w:spacing w:after="0"/>
              <w:rPr>
                <w:sz w:val="21"/>
                <w:szCs w:val="21"/>
                <w:color w:val="auto"/>
              </w:rPr>
            </w:pPr>
          </w:p>
        </w:tc>
        <w:tc>
          <w:tcPr>
            <w:tcW w:w="100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9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14,520</w:t>
            </w:r>
          </w:p>
        </w:tc>
        <w:tc>
          <w:tcPr>
            <w:tcW w:w="16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5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191,474</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162,286</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44"/>
        </w:trPr>
        <w:tc>
          <w:tcPr>
            <w:tcW w:w="20" w:type="dxa"/>
            <w:vAlign w:val="bottom"/>
          </w:tcPr>
          <w:p>
            <w:pPr>
              <w:spacing w:after="0"/>
              <w:rPr>
                <w:sz w:val="21"/>
                <w:szCs w:val="21"/>
                <w:color w:val="auto"/>
              </w:rPr>
            </w:pPr>
          </w:p>
        </w:tc>
        <w:tc>
          <w:tcPr>
            <w:tcW w:w="5680" w:type="dxa"/>
            <w:vAlign w:val="bottom"/>
            <w:tcBorders>
              <w:bottom w:val="single" w:sz="8" w:color="auto"/>
            </w:tcBorders>
            <w:shd w:val="clear" w:color="auto" w:fill="C0C0C0"/>
          </w:tcPr>
          <w:p>
            <w:pPr>
              <w:ind w:left="26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140" w:type="dxa"/>
            <w:vAlign w:val="bottom"/>
            <w:tcBorders>
              <w:bottom w:val="single" w:sz="8" w:color="auto"/>
            </w:tcBorders>
            <w:shd w:val="clear" w:color="auto" w:fill="C0C0C0"/>
          </w:tcPr>
          <w:p>
            <w:pPr>
              <w:spacing w:after="0"/>
              <w:rPr>
                <w:sz w:val="21"/>
                <w:szCs w:val="21"/>
                <w:color w:val="auto"/>
              </w:rPr>
            </w:pPr>
          </w:p>
        </w:tc>
        <w:tc>
          <w:tcPr>
            <w:tcW w:w="94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(10,232)</w:t>
            </w:r>
          </w:p>
        </w:tc>
        <w:tc>
          <w:tcPr>
            <w:tcW w:w="160" w:type="dxa"/>
            <w:vAlign w:val="bottom"/>
            <w:tcBorders>
              <w:bottom w:val="single" w:sz="8" w:color="auto"/>
            </w:tcBorders>
            <w:shd w:val="clear" w:color="auto" w:fill="C0C0C0"/>
          </w:tcPr>
          <w:p>
            <w:pPr>
              <w:spacing w:after="0"/>
              <w:rPr>
                <w:sz w:val="21"/>
                <w:szCs w:val="21"/>
                <w:color w:val="auto"/>
              </w:rPr>
            </w:pPr>
          </w:p>
        </w:tc>
        <w:tc>
          <w:tcPr>
            <w:tcW w:w="1000" w:type="dxa"/>
            <w:vAlign w:val="bottom"/>
            <w:tcBorders>
              <w:bottom w:val="single" w:sz="8" w:color="auto"/>
            </w:tcBorders>
            <w:shd w:val="clear" w:color="auto" w:fill="C0C0C0"/>
          </w:tcPr>
          <w:p>
            <w:pPr>
              <w:spacing w:after="0"/>
              <w:rPr>
                <w:sz w:val="21"/>
                <w:szCs w:val="21"/>
                <w:color w:val="auto"/>
              </w:rPr>
            </w:pPr>
          </w:p>
        </w:tc>
        <w:tc>
          <w:tcPr>
            <w:tcW w:w="600" w:type="dxa"/>
            <w:vAlign w:val="bottom"/>
            <w:tcBorders>
              <w:bottom w:val="single" w:sz="8" w:color="auto"/>
            </w:tcBorders>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96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(10,208)</w:t>
            </w:r>
          </w:p>
        </w:tc>
        <w:tc>
          <w:tcPr>
            <w:tcW w:w="16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spacing w:after="0"/>
              <w:rPr>
                <w:sz w:val="21"/>
                <w:szCs w:val="21"/>
                <w:color w:val="auto"/>
              </w:rPr>
            </w:pPr>
          </w:p>
        </w:tc>
        <w:tc>
          <w:tcPr>
            <w:tcW w:w="580" w:type="dxa"/>
            <w:vAlign w:val="bottom"/>
            <w:tcBorders>
              <w:bottom w:val="single" w:sz="8" w:color="auto"/>
            </w:tcBorders>
            <w:shd w:val="clear" w:color="auto" w:fill="C0C0C0"/>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1,687,195</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1,630,567</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r>
      <w:tr>
        <w:trPr>
          <w:trHeight w:val="311"/>
        </w:trPr>
        <w:tc>
          <w:tcPr>
            <w:tcW w:w="20" w:type="dxa"/>
            <w:vAlign w:val="bottom"/>
          </w:tcPr>
          <w:p>
            <w:pPr>
              <w:spacing w:after="0"/>
              <w:rPr>
                <w:sz w:val="24"/>
                <w:szCs w:val="24"/>
                <w:color w:val="auto"/>
              </w:rPr>
            </w:pPr>
          </w:p>
        </w:tc>
        <w:tc>
          <w:tcPr>
            <w:tcW w:w="5680" w:type="dxa"/>
            <w:vAlign w:val="bottom"/>
            <w:shd w:val="clear" w:color="auto" w:fill="C0C0C0"/>
          </w:tcPr>
          <w:p>
            <w:pPr>
              <w:spacing w:after="0" w:line="310"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r>
              <w:rPr>
                <w:rFonts w:ascii="Times New Roman" w:cs="Times New Roman" w:eastAsia="Times New Roman" w:hAnsi="Times New Roman"/>
                <w:sz w:val="29"/>
                <w:szCs w:val="29"/>
                <w:b w:val="1"/>
                <w:bCs w:val="1"/>
                <w:color w:val="auto"/>
                <w:vertAlign w:val="superscript"/>
              </w:rPr>
              <w:t>1</w:t>
            </w:r>
          </w:p>
        </w:tc>
        <w:tc>
          <w:tcPr>
            <w:tcW w:w="140" w:type="dxa"/>
            <w:vAlign w:val="bottom"/>
            <w:shd w:val="clear" w:color="auto" w:fill="C0C0C0"/>
          </w:tcPr>
          <w:p>
            <w:pPr>
              <w:spacing w:after="0"/>
              <w:rPr>
                <w:sz w:val="24"/>
                <w:szCs w:val="24"/>
                <w:color w:val="auto"/>
              </w:rPr>
            </w:pPr>
          </w:p>
        </w:tc>
        <w:tc>
          <w:tcPr>
            <w:tcW w:w="940" w:type="dxa"/>
            <w:vAlign w:val="bottom"/>
            <w:shd w:val="clear" w:color="auto" w:fill="C0C0C0"/>
          </w:tcPr>
          <w:p>
            <w:pPr>
              <w:spacing w:after="0"/>
              <w:rPr>
                <w:sz w:val="24"/>
                <w:szCs w:val="24"/>
                <w:color w:val="auto"/>
              </w:rPr>
            </w:pPr>
          </w:p>
        </w:tc>
        <w:tc>
          <w:tcPr>
            <w:tcW w:w="160" w:type="dxa"/>
            <w:vAlign w:val="bottom"/>
            <w:shd w:val="clear" w:color="auto" w:fill="C0C0C0"/>
          </w:tcPr>
          <w:p>
            <w:pPr>
              <w:spacing w:after="0"/>
              <w:rPr>
                <w:sz w:val="24"/>
                <w:szCs w:val="24"/>
                <w:color w:val="auto"/>
              </w:rPr>
            </w:pPr>
          </w:p>
        </w:tc>
        <w:tc>
          <w:tcPr>
            <w:tcW w:w="1000" w:type="dxa"/>
            <w:vAlign w:val="bottom"/>
            <w:shd w:val="clear" w:color="auto" w:fill="C0C0C0"/>
          </w:tcPr>
          <w:p>
            <w:pPr>
              <w:spacing w:after="0"/>
              <w:rPr>
                <w:sz w:val="24"/>
                <w:szCs w:val="24"/>
                <w:color w:val="auto"/>
              </w:rPr>
            </w:pPr>
          </w:p>
        </w:tc>
        <w:tc>
          <w:tcPr>
            <w:tcW w:w="600" w:type="dxa"/>
            <w:vAlign w:val="bottom"/>
            <w:shd w:val="clear" w:color="auto" w:fill="C0C0C0"/>
          </w:tcPr>
          <w:p>
            <w:pPr>
              <w:spacing w:after="0"/>
              <w:rPr>
                <w:sz w:val="24"/>
                <w:szCs w:val="24"/>
                <w:color w:val="auto"/>
              </w:rPr>
            </w:pPr>
          </w:p>
        </w:tc>
        <w:tc>
          <w:tcPr>
            <w:tcW w:w="120" w:type="dxa"/>
            <w:vAlign w:val="bottom"/>
            <w:shd w:val="clear" w:color="auto" w:fill="C0C0C0"/>
          </w:tcPr>
          <w:p>
            <w:pPr>
              <w:spacing w:after="0"/>
              <w:rPr>
                <w:sz w:val="24"/>
                <w:szCs w:val="24"/>
                <w:color w:val="auto"/>
              </w:rPr>
            </w:pPr>
          </w:p>
        </w:tc>
        <w:tc>
          <w:tcPr>
            <w:tcW w:w="160" w:type="dxa"/>
            <w:vAlign w:val="bottom"/>
            <w:shd w:val="clear" w:color="auto" w:fill="C0C0C0"/>
          </w:tcPr>
          <w:p>
            <w:pPr>
              <w:spacing w:after="0"/>
              <w:rPr>
                <w:sz w:val="24"/>
                <w:szCs w:val="24"/>
                <w:color w:val="auto"/>
              </w:rPr>
            </w:pPr>
          </w:p>
        </w:tc>
        <w:tc>
          <w:tcPr>
            <w:tcW w:w="960" w:type="dxa"/>
            <w:vAlign w:val="bottom"/>
            <w:shd w:val="clear" w:color="auto" w:fill="C0C0C0"/>
          </w:tcPr>
          <w:p>
            <w:pPr>
              <w:spacing w:after="0"/>
              <w:rPr>
                <w:sz w:val="24"/>
                <w:szCs w:val="24"/>
                <w:color w:val="auto"/>
              </w:rPr>
            </w:pPr>
          </w:p>
        </w:tc>
        <w:tc>
          <w:tcPr>
            <w:tcW w:w="160" w:type="dxa"/>
            <w:vAlign w:val="bottom"/>
            <w:shd w:val="clear" w:color="auto" w:fill="C0C0C0"/>
          </w:tcPr>
          <w:p>
            <w:pPr>
              <w:spacing w:after="0"/>
              <w:rPr>
                <w:sz w:val="24"/>
                <w:szCs w:val="24"/>
                <w:color w:val="auto"/>
              </w:rPr>
            </w:pPr>
          </w:p>
        </w:tc>
        <w:tc>
          <w:tcPr>
            <w:tcW w:w="900" w:type="dxa"/>
            <w:vAlign w:val="bottom"/>
            <w:shd w:val="clear" w:color="auto" w:fill="C0C0C0"/>
          </w:tcPr>
          <w:p>
            <w:pPr>
              <w:spacing w:after="0"/>
              <w:rPr>
                <w:sz w:val="24"/>
                <w:szCs w:val="24"/>
                <w:color w:val="auto"/>
              </w:rPr>
            </w:pPr>
          </w:p>
        </w:tc>
        <w:tc>
          <w:tcPr>
            <w:tcW w:w="580" w:type="dxa"/>
            <w:vAlign w:val="bottom"/>
            <w:shd w:val="clear" w:color="auto" w:fill="C0C0C0"/>
          </w:tcPr>
          <w:p>
            <w:pPr>
              <w:spacing w:after="0"/>
              <w:rPr>
                <w:sz w:val="24"/>
                <w:szCs w:val="24"/>
                <w:color w:val="auto"/>
              </w:rPr>
            </w:pPr>
          </w:p>
        </w:tc>
      </w:tr>
      <w:tr>
        <w:trPr>
          <w:trHeight w:val="236"/>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5680" w:type="dxa"/>
            <w:vAlign w:val="bottom"/>
            <w:shd w:val="clear" w:color="auto" w:fill="C0C0C0"/>
          </w:tcPr>
          <w:p>
            <w:pPr>
              <w:ind w:left="260"/>
              <w:spacing w:after="0"/>
              <w:rPr>
                <w:sz w:val="20"/>
                <w:szCs w:val="20"/>
                <w:color w:val="auto"/>
              </w:rPr>
            </w:pPr>
            <w:r>
              <w:rPr>
                <w:rFonts w:ascii="Times New Roman" w:cs="Times New Roman" w:eastAsia="Times New Roman" w:hAnsi="Times New Roman"/>
                <w:sz w:val="18"/>
                <w:szCs w:val="18"/>
                <w:color w:val="auto"/>
              </w:rPr>
              <w:t>Interest-bearing demand Deposits</w:t>
            </w:r>
          </w:p>
        </w:tc>
        <w:tc>
          <w:tcPr>
            <w:tcW w:w="1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304,890</w:t>
            </w:r>
          </w:p>
        </w:tc>
        <w:tc>
          <w:tcPr>
            <w:tcW w:w="1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0C0C0"/>
          </w:tcPr>
          <w:p>
            <w:pPr>
              <w:jc w:val="right"/>
              <w:ind w:right="152"/>
              <w:spacing w:after="0"/>
              <w:rPr>
                <w:sz w:val="20"/>
                <w:szCs w:val="20"/>
                <w:color w:val="auto"/>
              </w:rPr>
            </w:pPr>
            <w:r>
              <w:rPr>
                <w:rFonts w:ascii="Times New Roman" w:cs="Times New Roman" w:eastAsia="Times New Roman" w:hAnsi="Times New Roman"/>
                <w:sz w:val="18"/>
                <w:szCs w:val="18"/>
                <w:color w:val="auto"/>
              </w:rPr>
              <w:t>922</w:t>
            </w:r>
          </w:p>
        </w:tc>
        <w:tc>
          <w:tcPr>
            <w:tcW w:w="6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80" w:type="dxa"/>
            <w:vAlign w:val="bottom"/>
            <w:gridSpan w:val="2"/>
            <w:shd w:val="clear" w:color="auto" w:fill="C0C0C0"/>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318,996</w:t>
            </w:r>
          </w:p>
        </w:tc>
        <w:tc>
          <w:tcPr>
            <w:tcW w:w="1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0C0C0"/>
          </w:tcPr>
          <w:p>
            <w:pPr>
              <w:jc w:val="right"/>
              <w:ind w:right="92"/>
              <w:spacing w:after="0"/>
              <w:rPr>
                <w:sz w:val="20"/>
                <w:szCs w:val="20"/>
                <w:color w:val="auto"/>
              </w:rPr>
            </w:pPr>
            <w:r>
              <w:rPr>
                <w:rFonts w:ascii="Times New Roman" w:cs="Times New Roman" w:eastAsia="Times New Roman" w:hAnsi="Times New Roman"/>
                <w:sz w:val="18"/>
                <w:szCs w:val="18"/>
                <w:color w:val="auto"/>
              </w:rPr>
              <w:t>520</w:t>
            </w:r>
          </w:p>
        </w:tc>
        <w:tc>
          <w:tcPr>
            <w:tcW w:w="58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6"/>
        </w:trPr>
        <w:tc>
          <w:tcPr>
            <w:tcW w:w="20" w:type="dxa"/>
            <w:vAlign w:val="bottom"/>
          </w:tcPr>
          <w:p>
            <w:pPr>
              <w:spacing w:after="0"/>
              <w:rPr>
                <w:sz w:val="20"/>
                <w:szCs w:val="20"/>
                <w:color w:val="auto"/>
              </w:rPr>
            </w:pPr>
          </w:p>
        </w:tc>
        <w:tc>
          <w:tcPr>
            <w:tcW w:w="5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Savings deposits</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12,009</w:t>
            </w:r>
          </w:p>
        </w:tc>
        <w:tc>
          <w:tcPr>
            <w:tcW w:w="160" w:type="dxa"/>
            <w:vAlign w:val="bottom"/>
          </w:tcPr>
          <w:p>
            <w:pPr>
              <w:spacing w:after="0"/>
              <w:rPr>
                <w:sz w:val="20"/>
                <w:szCs w:val="20"/>
                <w:color w:val="auto"/>
              </w:rPr>
            </w:pP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33</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10,301</w:t>
            </w:r>
          </w:p>
        </w:tc>
        <w:tc>
          <w:tcPr>
            <w:tcW w:w="160" w:type="dxa"/>
            <w:vAlign w:val="bottom"/>
          </w:tcPr>
          <w:p>
            <w:pPr>
              <w:spacing w:after="0"/>
              <w:rPr>
                <w:sz w:val="20"/>
                <w:szCs w:val="20"/>
                <w:color w:val="auto"/>
              </w:rPr>
            </w:pP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19</w:t>
            </w: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.75</w:t>
            </w:r>
          </w:p>
        </w:tc>
      </w:tr>
      <w:tr>
        <w:trPr>
          <w:trHeight w:val="250"/>
        </w:trPr>
        <w:tc>
          <w:tcPr>
            <w:tcW w:w="20" w:type="dxa"/>
            <w:vAlign w:val="bottom"/>
          </w:tcPr>
          <w:p>
            <w:pPr>
              <w:spacing w:after="0"/>
              <w:rPr>
                <w:sz w:val="21"/>
                <w:szCs w:val="21"/>
                <w:color w:val="auto"/>
              </w:rPr>
            </w:pPr>
          </w:p>
        </w:tc>
        <w:tc>
          <w:tcPr>
            <w:tcW w:w="5680" w:type="dxa"/>
            <w:vAlign w:val="bottom"/>
            <w:shd w:val="clear" w:color="auto" w:fill="C0C0C0"/>
          </w:tcPr>
          <w:p>
            <w:pPr>
              <w:ind w:left="260"/>
              <w:spacing w:after="0"/>
              <w:rPr>
                <w:sz w:val="20"/>
                <w:szCs w:val="20"/>
                <w:color w:val="auto"/>
              </w:rPr>
            </w:pPr>
            <w:r>
              <w:rPr>
                <w:rFonts w:ascii="Times New Roman" w:cs="Times New Roman" w:eastAsia="Times New Roman" w:hAnsi="Times New Roman"/>
                <w:sz w:val="18"/>
                <w:szCs w:val="18"/>
                <w:color w:val="auto"/>
              </w:rPr>
              <w:t>Time deposits &gt;= $100</w:t>
            </w:r>
          </w:p>
        </w:tc>
        <w:tc>
          <w:tcPr>
            <w:tcW w:w="140" w:type="dxa"/>
            <w:vAlign w:val="bottom"/>
            <w:shd w:val="clear" w:color="auto" w:fill="C0C0C0"/>
          </w:tcPr>
          <w:p>
            <w:pPr>
              <w:spacing w:after="0"/>
              <w:rPr>
                <w:sz w:val="21"/>
                <w:szCs w:val="21"/>
                <w:color w:val="auto"/>
              </w:rPr>
            </w:pPr>
          </w:p>
        </w:tc>
        <w:tc>
          <w:tcPr>
            <w:tcW w:w="9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23,221</w:t>
            </w:r>
          </w:p>
        </w:tc>
        <w:tc>
          <w:tcPr>
            <w:tcW w:w="16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152"/>
              <w:spacing w:after="0"/>
              <w:rPr>
                <w:sz w:val="20"/>
                <w:szCs w:val="20"/>
                <w:color w:val="auto"/>
              </w:rPr>
            </w:pPr>
            <w:r>
              <w:rPr>
                <w:rFonts w:ascii="Times New Roman" w:cs="Times New Roman" w:eastAsia="Times New Roman" w:hAnsi="Times New Roman"/>
                <w:sz w:val="18"/>
                <w:szCs w:val="18"/>
                <w:color w:val="auto"/>
              </w:rPr>
              <w:t>111</w:t>
            </w:r>
          </w:p>
        </w:tc>
        <w:tc>
          <w:tcPr>
            <w:tcW w:w="60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9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23,386</w:t>
            </w:r>
          </w:p>
        </w:tc>
        <w:tc>
          <w:tcPr>
            <w:tcW w:w="16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92"/>
              <w:spacing w:after="0"/>
              <w:rPr>
                <w:sz w:val="20"/>
                <w:szCs w:val="20"/>
                <w:color w:val="auto"/>
              </w:rPr>
            </w:pPr>
            <w:r>
              <w:rPr>
                <w:rFonts w:ascii="Times New Roman" w:cs="Times New Roman" w:eastAsia="Times New Roman" w:hAnsi="Times New Roman"/>
                <w:sz w:val="18"/>
                <w:szCs w:val="18"/>
                <w:color w:val="auto"/>
              </w:rPr>
              <w:t>75</w:t>
            </w:r>
          </w:p>
        </w:tc>
        <w:tc>
          <w:tcPr>
            <w:tcW w:w="580" w:type="dxa"/>
            <w:vAlign w:val="bottom"/>
            <w:shd w:val="clear" w:color="auto" w:fill="C0C0C0"/>
          </w:tcPr>
          <w:p>
            <w:pPr>
              <w:jc w:val="right"/>
              <w:ind w:right="92"/>
              <w:spacing w:after="0"/>
              <w:rPr>
                <w:sz w:val="20"/>
                <w:szCs w:val="20"/>
                <w:color w:val="auto"/>
              </w:rPr>
            </w:pPr>
            <w:r>
              <w:rPr>
                <w:rFonts w:ascii="Times New Roman" w:cs="Times New Roman" w:eastAsia="Times New Roman" w:hAnsi="Times New Roman"/>
                <w:sz w:val="18"/>
                <w:szCs w:val="18"/>
                <w:color w:val="auto"/>
              </w:rPr>
              <w:t>1.30</w:t>
            </w:r>
          </w:p>
        </w:tc>
      </w:tr>
      <w:tr>
        <w:trPr>
          <w:trHeight w:val="237"/>
        </w:trPr>
        <w:tc>
          <w:tcPr>
            <w:tcW w:w="20" w:type="dxa"/>
            <w:vAlign w:val="bottom"/>
          </w:tcPr>
          <w:p>
            <w:pPr>
              <w:spacing w:after="0"/>
              <w:rPr>
                <w:sz w:val="20"/>
                <w:szCs w:val="20"/>
                <w:color w:val="auto"/>
              </w:rPr>
            </w:pPr>
          </w:p>
        </w:tc>
        <w:tc>
          <w:tcPr>
            <w:tcW w:w="56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Other time deposits</w:t>
            </w: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49,729</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224</w:t>
            </w:r>
          </w:p>
        </w:tc>
        <w:tc>
          <w:tcPr>
            <w:tcW w:w="6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29,243</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65</w:t>
            </w: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.90</w:t>
            </w:r>
          </w:p>
        </w:tc>
      </w:tr>
      <w:tr>
        <w:trPr>
          <w:trHeight w:val="243"/>
        </w:trPr>
        <w:tc>
          <w:tcPr>
            <w:tcW w:w="20" w:type="dxa"/>
            <w:vAlign w:val="bottom"/>
          </w:tcPr>
          <w:p>
            <w:pPr>
              <w:spacing w:after="0"/>
              <w:rPr>
                <w:sz w:val="21"/>
                <w:szCs w:val="21"/>
                <w:color w:val="auto"/>
              </w:rPr>
            </w:pPr>
          </w:p>
        </w:tc>
        <w:tc>
          <w:tcPr>
            <w:tcW w:w="568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Total interest-bearing deposits</w:t>
            </w:r>
          </w:p>
        </w:tc>
        <w:tc>
          <w:tcPr>
            <w:tcW w:w="140" w:type="dxa"/>
            <w:vAlign w:val="bottom"/>
            <w:shd w:val="clear" w:color="auto" w:fill="C0C0C0"/>
          </w:tcPr>
          <w:p>
            <w:pPr>
              <w:spacing w:after="0"/>
              <w:rPr>
                <w:sz w:val="21"/>
                <w:szCs w:val="21"/>
                <w:color w:val="auto"/>
              </w:rPr>
            </w:pPr>
          </w:p>
        </w:tc>
        <w:tc>
          <w:tcPr>
            <w:tcW w:w="9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389,849</w:t>
            </w:r>
          </w:p>
        </w:tc>
        <w:tc>
          <w:tcPr>
            <w:tcW w:w="16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152"/>
              <w:spacing w:after="0"/>
              <w:rPr>
                <w:sz w:val="20"/>
                <w:szCs w:val="20"/>
                <w:color w:val="auto"/>
              </w:rPr>
            </w:pPr>
            <w:r>
              <w:rPr>
                <w:rFonts w:ascii="Times New Roman" w:cs="Times New Roman" w:eastAsia="Times New Roman" w:hAnsi="Times New Roman"/>
                <w:sz w:val="18"/>
                <w:szCs w:val="18"/>
                <w:color w:val="auto"/>
              </w:rPr>
              <w:t>1,290</w:t>
            </w:r>
          </w:p>
        </w:tc>
        <w:tc>
          <w:tcPr>
            <w:tcW w:w="60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9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381,926</w:t>
            </w:r>
          </w:p>
        </w:tc>
        <w:tc>
          <w:tcPr>
            <w:tcW w:w="16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92"/>
              <w:spacing w:after="0"/>
              <w:rPr>
                <w:sz w:val="20"/>
                <w:szCs w:val="20"/>
                <w:color w:val="auto"/>
              </w:rPr>
            </w:pPr>
            <w:r>
              <w:rPr>
                <w:rFonts w:ascii="Times New Roman" w:cs="Times New Roman" w:eastAsia="Times New Roman" w:hAnsi="Times New Roman"/>
                <w:sz w:val="18"/>
                <w:szCs w:val="18"/>
                <w:color w:val="auto"/>
              </w:rPr>
              <w:t>679</w:t>
            </w:r>
          </w:p>
        </w:tc>
        <w:tc>
          <w:tcPr>
            <w:tcW w:w="580" w:type="dxa"/>
            <w:vAlign w:val="bottom"/>
            <w:shd w:val="clear" w:color="auto" w:fill="C0C0C0"/>
          </w:tcPr>
          <w:p>
            <w:pPr>
              <w:jc w:val="right"/>
              <w:ind w:right="92"/>
              <w:spacing w:after="0"/>
              <w:rPr>
                <w:sz w:val="20"/>
                <w:szCs w:val="20"/>
                <w:color w:val="auto"/>
              </w:rPr>
            </w:pPr>
            <w:r>
              <w:rPr>
                <w:rFonts w:ascii="Times New Roman" w:cs="Times New Roman" w:eastAsia="Times New Roman" w:hAnsi="Times New Roman"/>
                <w:sz w:val="18"/>
                <w:szCs w:val="18"/>
                <w:color w:val="auto"/>
              </w:rPr>
              <w:t>.72</w:t>
            </w:r>
          </w:p>
        </w:tc>
      </w:tr>
      <w:tr>
        <w:trPr>
          <w:trHeight w:val="237"/>
        </w:trPr>
        <w:tc>
          <w:tcPr>
            <w:tcW w:w="20" w:type="dxa"/>
            <w:vAlign w:val="bottom"/>
          </w:tcPr>
          <w:p>
            <w:pPr>
              <w:spacing w:after="0"/>
              <w:rPr>
                <w:sz w:val="20"/>
                <w:szCs w:val="20"/>
                <w:color w:val="auto"/>
              </w:rPr>
            </w:pPr>
          </w:p>
        </w:tc>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Pr>
          <w:p>
            <w:pPr>
              <w:spacing w:after="0"/>
              <w:rPr>
                <w:sz w:val="21"/>
                <w:szCs w:val="21"/>
                <w:color w:val="auto"/>
              </w:rPr>
            </w:pPr>
          </w:p>
        </w:tc>
        <w:tc>
          <w:tcPr>
            <w:tcW w:w="568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140" w:type="dxa"/>
            <w:vAlign w:val="bottom"/>
            <w:shd w:val="clear" w:color="auto" w:fill="C0C0C0"/>
          </w:tcPr>
          <w:p>
            <w:pPr>
              <w:spacing w:after="0"/>
              <w:rPr>
                <w:sz w:val="21"/>
                <w:szCs w:val="21"/>
                <w:color w:val="auto"/>
              </w:rPr>
            </w:pPr>
          </w:p>
        </w:tc>
        <w:tc>
          <w:tcPr>
            <w:tcW w:w="9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389,849</w:t>
            </w:r>
          </w:p>
        </w:tc>
        <w:tc>
          <w:tcPr>
            <w:tcW w:w="16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152"/>
              <w:spacing w:after="0"/>
              <w:rPr>
                <w:sz w:val="20"/>
                <w:szCs w:val="20"/>
                <w:color w:val="auto"/>
              </w:rPr>
            </w:pPr>
            <w:r>
              <w:rPr>
                <w:rFonts w:ascii="Times New Roman" w:cs="Times New Roman" w:eastAsia="Times New Roman" w:hAnsi="Times New Roman"/>
                <w:sz w:val="18"/>
                <w:szCs w:val="18"/>
                <w:color w:val="auto"/>
              </w:rPr>
              <w:t>1,290</w:t>
            </w:r>
          </w:p>
        </w:tc>
        <w:tc>
          <w:tcPr>
            <w:tcW w:w="60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9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381,926</w:t>
            </w:r>
          </w:p>
        </w:tc>
        <w:tc>
          <w:tcPr>
            <w:tcW w:w="16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92"/>
              <w:spacing w:after="0"/>
              <w:rPr>
                <w:sz w:val="20"/>
                <w:szCs w:val="20"/>
                <w:color w:val="auto"/>
              </w:rPr>
            </w:pPr>
            <w:r>
              <w:rPr>
                <w:rFonts w:ascii="Times New Roman" w:cs="Times New Roman" w:eastAsia="Times New Roman" w:hAnsi="Times New Roman"/>
                <w:sz w:val="18"/>
                <w:szCs w:val="18"/>
                <w:color w:val="auto"/>
              </w:rPr>
              <w:t>679</w:t>
            </w:r>
          </w:p>
        </w:tc>
        <w:tc>
          <w:tcPr>
            <w:tcW w:w="580" w:type="dxa"/>
            <w:vAlign w:val="bottom"/>
            <w:shd w:val="clear" w:color="auto" w:fill="C0C0C0"/>
          </w:tcPr>
          <w:p>
            <w:pPr>
              <w:jc w:val="right"/>
              <w:ind w:right="92"/>
              <w:spacing w:after="0"/>
              <w:rPr>
                <w:sz w:val="20"/>
                <w:szCs w:val="20"/>
                <w:color w:val="auto"/>
              </w:rPr>
            </w:pPr>
            <w:r>
              <w:rPr>
                <w:rFonts w:ascii="Times New Roman" w:cs="Times New Roman" w:eastAsia="Times New Roman" w:hAnsi="Times New Roman"/>
                <w:sz w:val="18"/>
                <w:szCs w:val="18"/>
                <w:color w:val="auto"/>
              </w:rPr>
              <w:t>.72</w:t>
            </w:r>
          </w:p>
        </w:tc>
      </w:tr>
      <w:tr>
        <w:trPr>
          <w:trHeight w:val="236"/>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Non-interest bearing liabilities</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5680" w:type="dxa"/>
            <w:vAlign w:val="bottom"/>
            <w:shd w:val="clear" w:color="auto" w:fill="C0C0C0"/>
          </w:tcPr>
          <w:p>
            <w:pPr>
              <w:ind w:left="260"/>
              <w:spacing w:after="0"/>
              <w:rPr>
                <w:sz w:val="20"/>
                <w:szCs w:val="20"/>
                <w:color w:val="auto"/>
              </w:rPr>
            </w:pPr>
            <w:r>
              <w:rPr>
                <w:rFonts w:ascii="Times New Roman" w:cs="Times New Roman" w:eastAsia="Times New Roman" w:hAnsi="Times New Roman"/>
                <w:sz w:val="18"/>
                <w:szCs w:val="18"/>
                <w:color w:val="auto"/>
              </w:rPr>
              <w:t>Demand deposits</w:t>
            </w:r>
          </w:p>
        </w:tc>
        <w:tc>
          <w:tcPr>
            <w:tcW w:w="140" w:type="dxa"/>
            <w:vAlign w:val="bottom"/>
            <w:shd w:val="clear" w:color="auto" w:fill="C0C0C0"/>
          </w:tcPr>
          <w:p>
            <w:pPr>
              <w:spacing w:after="0"/>
              <w:rPr>
                <w:sz w:val="21"/>
                <w:szCs w:val="21"/>
                <w:color w:val="auto"/>
              </w:rPr>
            </w:pPr>
          </w:p>
        </w:tc>
        <w:tc>
          <w:tcPr>
            <w:tcW w:w="9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270,169</w:t>
            </w:r>
          </w:p>
        </w:tc>
        <w:tc>
          <w:tcPr>
            <w:tcW w:w="160" w:type="dxa"/>
            <w:vAlign w:val="bottom"/>
            <w:shd w:val="clear" w:color="auto" w:fill="C0C0C0"/>
          </w:tcPr>
          <w:p>
            <w:pPr>
              <w:spacing w:after="0"/>
              <w:rPr>
                <w:sz w:val="21"/>
                <w:szCs w:val="21"/>
                <w:color w:val="auto"/>
              </w:rPr>
            </w:pPr>
          </w:p>
        </w:tc>
        <w:tc>
          <w:tcPr>
            <w:tcW w:w="100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9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247,882</w:t>
            </w:r>
          </w:p>
        </w:tc>
        <w:tc>
          <w:tcPr>
            <w:tcW w:w="16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5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and drafts payable</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750,074</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741,116</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44"/>
        </w:trPr>
        <w:tc>
          <w:tcPr>
            <w:tcW w:w="20" w:type="dxa"/>
            <w:vAlign w:val="bottom"/>
          </w:tcPr>
          <w:p>
            <w:pPr>
              <w:spacing w:after="0"/>
              <w:rPr>
                <w:sz w:val="21"/>
                <w:szCs w:val="21"/>
                <w:color w:val="auto"/>
              </w:rPr>
            </w:pPr>
          </w:p>
        </w:tc>
        <w:tc>
          <w:tcPr>
            <w:tcW w:w="5680" w:type="dxa"/>
            <w:vAlign w:val="bottom"/>
            <w:tcBorders>
              <w:bottom w:val="single" w:sz="8" w:color="auto"/>
            </w:tcBorders>
            <w:shd w:val="clear" w:color="auto" w:fill="C0C0C0"/>
          </w:tcPr>
          <w:p>
            <w:pPr>
              <w:ind w:left="26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Borders>
              <w:bottom w:val="single" w:sz="8" w:color="auto"/>
            </w:tcBorders>
            <w:shd w:val="clear" w:color="auto" w:fill="C0C0C0"/>
          </w:tcPr>
          <w:p>
            <w:pPr>
              <w:spacing w:after="0"/>
              <w:rPr>
                <w:sz w:val="21"/>
                <w:szCs w:val="21"/>
                <w:color w:val="auto"/>
              </w:rPr>
            </w:pPr>
          </w:p>
        </w:tc>
        <w:tc>
          <w:tcPr>
            <w:tcW w:w="94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51,427</w:t>
            </w:r>
          </w:p>
        </w:tc>
        <w:tc>
          <w:tcPr>
            <w:tcW w:w="160" w:type="dxa"/>
            <w:vAlign w:val="bottom"/>
            <w:tcBorders>
              <w:bottom w:val="single" w:sz="8" w:color="auto"/>
            </w:tcBorders>
            <w:shd w:val="clear" w:color="auto" w:fill="C0C0C0"/>
          </w:tcPr>
          <w:p>
            <w:pPr>
              <w:spacing w:after="0"/>
              <w:rPr>
                <w:sz w:val="21"/>
                <w:szCs w:val="21"/>
                <w:color w:val="auto"/>
              </w:rPr>
            </w:pPr>
          </w:p>
        </w:tc>
        <w:tc>
          <w:tcPr>
            <w:tcW w:w="1000" w:type="dxa"/>
            <w:vAlign w:val="bottom"/>
            <w:tcBorders>
              <w:bottom w:val="single" w:sz="8" w:color="auto"/>
            </w:tcBorders>
            <w:shd w:val="clear" w:color="auto" w:fill="C0C0C0"/>
          </w:tcPr>
          <w:p>
            <w:pPr>
              <w:spacing w:after="0"/>
              <w:rPr>
                <w:sz w:val="21"/>
                <w:szCs w:val="21"/>
                <w:color w:val="auto"/>
              </w:rPr>
            </w:pPr>
          </w:p>
        </w:tc>
        <w:tc>
          <w:tcPr>
            <w:tcW w:w="600" w:type="dxa"/>
            <w:vAlign w:val="bottom"/>
            <w:tcBorders>
              <w:bottom w:val="single" w:sz="8" w:color="auto"/>
            </w:tcBorders>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96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39,960</w:t>
            </w:r>
          </w:p>
        </w:tc>
        <w:tc>
          <w:tcPr>
            <w:tcW w:w="16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spacing w:after="0"/>
              <w:rPr>
                <w:sz w:val="21"/>
                <w:szCs w:val="21"/>
                <w:color w:val="auto"/>
              </w:rPr>
            </w:pPr>
          </w:p>
        </w:tc>
        <w:tc>
          <w:tcPr>
            <w:tcW w:w="580" w:type="dxa"/>
            <w:vAlign w:val="bottom"/>
            <w:tcBorders>
              <w:bottom w:val="single" w:sz="8" w:color="auto"/>
            </w:tcBorders>
            <w:shd w:val="clear" w:color="auto" w:fill="C0C0C0"/>
          </w:tcPr>
          <w:p>
            <w:pPr>
              <w:spacing w:after="0"/>
              <w:rPr>
                <w:sz w:val="21"/>
                <w:szCs w:val="21"/>
                <w:color w:val="auto"/>
              </w:rPr>
            </w:pPr>
          </w:p>
        </w:tc>
      </w:tr>
      <w:tr>
        <w:trPr>
          <w:trHeight w:val="228"/>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1,461,519</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1,410,884</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51"/>
        </w:trPr>
        <w:tc>
          <w:tcPr>
            <w:tcW w:w="20" w:type="dxa"/>
            <w:vAlign w:val="bottom"/>
          </w:tcPr>
          <w:p>
            <w:pPr>
              <w:spacing w:after="0"/>
              <w:rPr>
                <w:sz w:val="21"/>
                <w:szCs w:val="21"/>
                <w:color w:val="auto"/>
              </w:rPr>
            </w:pPr>
          </w:p>
        </w:tc>
        <w:tc>
          <w:tcPr>
            <w:tcW w:w="568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40" w:type="dxa"/>
            <w:vAlign w:val="bottom"/>
            <w:tcBorders>
              <w:bottom w:val="single" w:sz="8" w:color="auto"/>
            </w:tcBorders>
            <w:shd w:val="clear" w:color="auto" w:fill="C0C0C0"/>
          </w:tcPr>
          <w:p>
            <w:pPr>
              <w:spacing w:after="0"/>
              <w:rPr>
                <w:sz w:val="21"/>
                <w:szCs w:val="21"/>
                <w:color w:val="auto"/>
              </w:rPr>
            </w:pPr>
          </w:p>
        </w:tc>
        <w:tc>
          <w:tcPr>
            <w:tcW w:w="94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225,676</w:t>
            </w:r>
          </w:p>
        </w:tc>
        <w:tc>
          <w:tcPr>
            <w:tcW w:w="160" w:type="dxa"/>
            <w:vAlign w:val="bottom"/>
            <w:tcBorders>
              <w:bottom w:val="single" w:sz="8" w:color="auto"/>
            </w:tcBorders>
            <w:shd w:val="clear" w:color="auto" w:fill="C0C0C0"/>
          </w:tcPr>
          <w:p>
            <w:pPr>
              <w:spacing w:after="0"/>
              <w:rPr>
                <w:sz w:val="21"/>
                <w:szCs w:val="21"/>
                <w:color w:val="auto"/>
              </w:rPr>
            </w:pPr>
          </w:p>
        </w:tc>
        <w:tc>
          <w:tcPr>
            <w:tcW w:w="1000" w:type="dxa"/>
            <w:vAlign w:val="bottom"/>
            <w:tcBorders>
              <w:bottom w:val="single" w:sz="8" w:color="auto"/>
            </w:tcBorders>
            <w:shd w:val="clear" w:color="auto" w:fill="C0C0C0"/>
          </w:tcPr>
          <w:p>
            <w:pPr>
              <w:spacing w:after="0"/>
              <w:rPr>
                <w:sz w:val="21"/>
                <w:szCs w:val="21"/>
                <w:color w:val="auto"/>
              </w:rPr>
            </w:pPr>
          </w:p>
        </w:tc>
        <w:tc>
          <w:tcPr>
            <w:tcW w:w="600" w:type="dxa"/>
            <w:vAlign w:val="bottom"/>
            <w:tcBorders>
              <w:bottom w:val="single" w:sz="8" w:color="auto"/>
            </w:tcBorders>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96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219,683</w:t>
            </w:r>
          </w:p>
        </w:tc>
        <w:tc>
          <w:tcPr>
            <w:tcW w:w="16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spacing w:after="0"/>
              <w:rPr>
                <w:sz w:val="21"/>
                <w:szCs w:val="21"/>
                <w:color w:val="auto"/>
              </w:rPr>
            </w:pPr>
          </w:p>
        </w:tc>
        <w:tc>
          <w:tcPr>
            <w:tcW w:w="580" w:type="dxa"/>
            <w:vAlign w:val="bottom"/>
            <w:tcBorders>
              <w:bottom w:val="single" w:sz="8" w:color="auto"/>
            </w:tcBorders>
            <w:shd w:val="clear" w:color="auto" w:fill="C0C0C0"/>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1,687,195</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1,630,567</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68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14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1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0C0C0"/>
          </w:tcPr>
          <w:p>
            <w:pPr>
              <w:jc w:val="right"/>
              <w:ind w:right="152"/>
              <w:spacing w:after="0"/>
              <w:rPr>
                <w:sz w:val="20"/>
                <w:szCs w:val="20"/>
                <w:color w:val="auto"/>
              </w:rPr>
            </w:pPr>
            <w:r>
              <w:rPr>
                <w:rFonts w:ascii="Times New Roman" w:cs="Times New Roman" w:eastAsia="Times New Roman" w:hAnsi="Times New Roman"/>
                <w:sz w:val="18"/>
                <w:szCs w:val="18"/>
                <w:color w:val="auto"/>
              </w:rPr>
              <w:t>12,148</w:t>
            </w:r>
          </w:p>
        </w:tc>
        <w:tc>
          <w:tcPr>
            <w:tcW w:w="6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960" w:type="dxa"/>
            <w:vAlign w:val="bottom"/>
            <w:shd w:val="clear" w:color="auto" w:fill="C0C0C0"/>
          </w:tcPr>
          <w:p>
            <w:pPr>
              <w:spacing w:after="0"/>
              <w:rPr>
                <w:sz w:val="21"/>
                <w:szCs w:val="21"/>
                <w:color w:val="auto"/>
              </w:rPr>
            </w:pPr>
          </w:p>
        </w:tc>
        <w:tc>
          <w:tcPr>
            <w:tcW w:w="1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0C0C0"/>
          </w:tcPr>
          <w:p>
            <w:pPr>
              <w:jc w:val="right"/>
              <w:ind w:right="92"/>
              <w:spacing w:after="0"/>
              <w:rPr>
                <w:sz w:val="20"/>
                <w:szCs w:val="20"/>
                <w:color w:val="auto"/>
              </w:rPr>
            </w:pPr>
            <w:r>
              <w:rPr>
                <w:rFonts w:ascii="Times New Roman" w:cs="Times New Roman" w:eastAsia="Times New Roman" w:hAnsi="Times New Roman"/>
                <w:sz w:val="18"/>
                <w:szCs w:val="18"/>
                <w:color w:val="auto"/>
              </w:rPr>
              <w:t>11,296</w:t>
            </w:r>
          </w:p>
        </w:tc>
        <w:tc>
          <w:tcPr>
            <w:tcW w:w="580" w:type="dxa"/>
            <w:vAlign w:val="bottom"/>
            <w:shd w:val="clear" w:color="auto" w:fill="C0C0C0"/>
          </w:tcPr>
          <w:p>
            <w:pPr>
              <w:spacing w:after="0"/>
              <w:rPr>
                <w:sz w:val="21"/>
                <w:szCs w:val="21"/>
                <w:color w:val="auto"/>
              </w:rPr>
            </w:pPr>
          </w:p>
        </w:tc>
      </w:tr>
      <w:tr>
        <w:trPr>
          <w:trHeight w:val="228"/>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margin</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65"/>
        </w:trPr>
        <w:tc>
          <w:tcPr>
            <w:tcW w:w="20" w:type="dxa"/>
            <w:vAlign w:val="bottom"/>
          </w:tcPr>
          <w:p>
            <w:pPr>
              <w:spacing w:after="0"/>
              <w:rPr>
                <w:sz w:val="23"/>
                <w:szCs w:val="23"/>
                <w:color w:val="auto"/>
              </w:rPr>
            </w:pPr>
          </w:p>
        </w:tc>
        <w:tc>
          <w:tcPr>
            <w:tcW w:w="568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Interest spread</w:t>
            </w:r>
          </w:p>
        </w:tc>
        <w:tc>
          <w:tcPr>
            <w:tcW w:w="140" w:type="dxa"/>
            <w:vAlign w:val="bottom"/>
            <w:tcBorders>
              <w:bottom w:val="single" w:sz="8" w:color="auto"/>
            </w:tcBorders>
            <w:shd w:val="clear" w:color="auto" w:fill="C0C0C0"/>
          </w:tcPr>
          <w:p>
            <w:pPr>
              <w:spacing w:after="0"/>
              <w:rPr>
                <w:sz w:val="23"/>
                <w:szCs w:val="23"/>
                <w:color w:val="auto"/>
              </w:rPr>
            </w:pPr>
          </w:p>
        </w:tc>
        <w:tc>
          <w:tcPr>
            <w:tcW w:w="940" w:type="dxa"/>
            <w:vAlign w:val="bottom"/>
            <w:tcBorders>
              <w:bottom w:val="single" w:sz="8" w:color="auto"/>
            </w:tcBorders>
            <w:shd w:val="clear" w:color="auto" w:fill="C0C0C0"/>
          </w:tcPr>
          <w:p>
            <w:pPr>
              <w:spacing w:after="0"/>
              <w:rPr>
                <w:sz w:val="23"/>
                <w:szCs w:val="23"/>
                <w:color w:val="auto"/>
              </w:rPr>
            </w:pPr>
          </w:p>
        </w:tc>
        <w:tc>
          <w:tcPr>
            <w:tcW w:w="160" w:type="dxa"/>
            <w:vAlign w:val="bottom"/>
            <w:tcBorders>
              <w:bottom w:val="single" w:sz="8" w:color="auto"/>
            </w:tcBorders>
            <w:shd w:val="clear" w:color="auto" w:fill="C0C0C0"/>
          </w:tcPr>
          <w:p>
            <w:pPr>
              <w:spacing w:after="0"/>
              <w:rPr>
                <w:sz w:val="23"/>
                <w:szCs w:val="23"/>
                <w:color w:val="auto"/>
              </w:rPr>
            </w:pPr>
          </w:p>
        </w:tc>
        <w:tc>
          <w:tcPr>
            <w:tcW w:w="1000" w:type="dxa"/>
            <w:vAlign w:val="bottom"/>
            <w:tcBorders>
              <w:bottom w:val="single" w:sz="8" w:color="auto"/>
            </w:tcBorders>
            <w:shd w:val="clear" w:color="auto" w:fill="C0C0C0"/>
          </w:tcPr>
          <w:p>
            <w:pPr>
              <w:spacing w:after="0"/>
              <w:rPr>
                <w:sz w:val="23"/>
                <w:szCs w:val="23"/>
                <w:color w:val="auto"/>
              </w:rPr>
            </w:pPr>
          </w:p>
        </w:tc>
        <w:tc>
          <w:tcPr>
            <w:tcW w:w="600" w:type="dxa"/>
            <w:vAlign w:val="bottom"/>
            <w:tcBorders>
              <w:bottom w:val="single" w:sz="8" w:color="auto"/>
            </w:tcBorders>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Borders>
              <w:bottom w:val="single" w:sz="8" w:color="auto"/>
            </w:tcBorders>
            <w:shd w:val="clear" w:color="auto" w:fill="C0C0C0"/>
          </w:tcPr>
          <w:p>
            <w:pPr>
              <w:spacing w:after="0"/>
              <w:rPr>
                <w:sz w:val="23"/>
                <w:szCs w:val="23"/>
                <w:color w:val="auto"/>
              </w:rPr>
            </w:pPr>
          </w:p>
        </w:tc>
        <w:tc>
          <w:tcPr>
            <w:tcW w:w="160" w:type="dxa"/>
            <w:vAlign w:val="bottom"/>
            <w:tcBorders>
              <w:bottom w:val="single" w:sz="8" w:color="auto"/>
            </w:tcBorders>
            <w:shd w:val="clear" w:color="auto" w:fill="C0C0C0"/>
          </w:tcPr>
          <w:p>
            <w:pPr>
              <w:spacing w:after="0"/>
              <w:rPr>
                <w:sz w:val="23"/>
                <w:szCs w:val="23"/>
                <w:color w:val="auto"/>
              </w:rPr>
            </w:pPr>
          </w:p>
        </w:tc>
        <w:tc>
          <w:tcPr>
            <w:tcW w:w="960" w:type="dxa"/>
            <w:vAlign w:val="bottom"/>
            <w:tcBorders>
              <w:bottom w:val="single" w:sz="8" w:color="auto"/>
            </w:tcBorders>
            <w:shd w:val="clear" w:color="auto" w:fill="C0C0C0"/>
          </w:tcPr>
          <w:p>
            <w:pPr>
              <w:spacing w:after="0"/>
              <w:rPr>
                <w:sz w:val="23"/>
                <w:szCs w:val="23"/>
                <w:color w:val="auto"/>
              </w:rPr>
            </w:pPr>
          </w:p>
        </w:tc>
        <w:tc>
          <w:tcPr>
            <w:tcW w:w="160" w:type="dxa"/>
            <w:vAlign w:val="bottom"/>
            <w:tcBorders>
              <w:bottom w:val="single" w:sz="8" w:color="auto"/>
            </w:tcBorders>
            <w:shd w:val="clear" w:color="auto" w:fill="C0C0C0"/>
          </w:tcPr>
          <w:p>
            <w:pPr>
              <w:spacing w:after="0"/>
              <w:rPr>
                <w:sz w:val="23"/>
                <w:szCs w:val="23"/>
                <w:color w:val="auto"/>
              </w:rPr>
            </w:pPr>
          </w:p>
        </w:tc>
        <w:tc>
          <w:tcPr>
            <w:tcW w:w="900" w:type="dxa"/>
            <w:vAlign w:val="bottom"/>
            <w:tcBorders>
              <w:bottom w:val="single" w:sz="8" w:color="auto"/>
            </w:tcBorders>
            <w:shd w:val="clear" w:color="auto" w:fill="C0C0C0"/>
          </w:tcPr>
          <w:p>
            <w:pPr>
              <w:spacing w:after="0"/>
              <w:rPr>
                <w:sz w:val="23"/>
                <w:szCs w:val="23"/>
                <w:color w:val="auto"/>
              </w:rPr>
            </w:pPr>
          </w:p>
        </w:tc>
        <w:tc>
          <w:tcPr>
            <w:tcW w:w="580" w:type="dxa"/>
            <w:vAlign w:val="bottom"/>
            <w:tcBorders>
              <w:bottom w:val="single" w:sz="8" w:color="auto"/>
            </w:tcBorders>
            <w:shd w:val="clear" w:color="auto" w:fill="C0C0C0"/>
          </w:tcPr>
          <w:p>
            <w:pPr>
              <w:jc w:val="right"/>
              <w:ind w:right="92"/>
              <w:spacing w:after="0"/>
              <w:rPr>
                <w:sz w:val="20"/>
                <w:szCs w:val="20"/>
                <w:color w:val="auto"/>
              </w:rPr>
            </w:pPr>
            <w:r>
              <w:rPr>
                <w:rFonts w:ascii="Times New Roman" w:cs="Times New Roman" w:eastAsia="Times New Roman" w:hAnsi="Times New Roman"/>
                <w:sz w:val="18"/>
                <w:szCs w:val="18"/>
                <w:color w:val="auto"/>
              </w:rPr>
              <w:t>2.72</w:t>
            </w:r>
          </w:p>
        </w:tc>
      </w:tr>
    </w:tbl>
    <w:p>
      <w:pPr>
        <w:ind w:left="120" w:hanging="112"/>
        <w:spacing w:after="0" w:line="223" w:lineRule="auto"/>
        <w:tabs>
          <w:tab w:leader="none" w:pos="1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Balances shown are daily averages.</w:t>
      </w:r>
    </w:p>
    <w:p>
      <w:pPr>
        <w:ind w:left="120" w:hanging="112"/>
        <w:spacing w:after="0" w:line="221" w:lineRule="auto"/>
        <w:tabs>
          <w:tab w:leader="none" w:pos="1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on loans includes net loan fees of $165,000 and $110,000 for the First Quarter of 2019 and 2018, respectively.</w:t>
      </w:r>
    </w:p>
    <w:p>
      <w:pPr>
        <w:ind w:left="120" w:hanging="112"/>
        <w:spacing w:after="0" w:line="221" w:lineRule="auto"/>
        <w:tabs>
          <w:tab w:leader="none" w:pos="1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is presented on a tax-equivalent basis assuming a tax rate of 21% for both 2019 and 2018. The tax-equivalent adjustment was approximately $541,000 and $687,000 for the First Quarter of 2019 and 2018, respectively.</w:t>
      </w:r>
    </w:p>
    <w:p>
      <w:pPr>
        <w:ind w:left="120" w:hanging="112"/>
        <w:spacing w:after="0"/>
        <w:tabs>
          <w:tab w:leader="none" w:pos="1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these computations, yields on investment securities are computed as interest income divided by the average amortized cost of the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80"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Analysis of Net Interest Income Changes</w:t>
      </w:r>
    </w:p>
    <w:p>
      <w:pPr>
        <w:spacing w:after="0" w:line="2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following tables present the changes in interest income and expense between periods due to changes in volume and interest rates. That portion of the change in interest attributable to the combined rate/volume variance has been allocated to rate and volume changes in proportion to the absolute dollar amounts of the change in each.</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60" w:type="dxa"/>
            <w:vAlign w:val="bottom"/>
            <w:gridSpan w:val="6"/>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First Quarter of 2019 Over</w:t>
            </w:r>
          </w:p>
        </w:tc>
      </w:tr>
      <w:tr>
        <w:trPr>
          <w:trHeight w:val="252"/>
        </w:trPr>
        <w:tc>
          <w:tcPr>
            <w:tcW w:w="20" w:type="dxa"/>
            <w:vAlign w:val="bottom"/>
          </w:tcPr>
          <w:p>
            <w:pPr>
              <w:spacing w:after="0"/>
              <w:rPr>
                <w:sz w:val="21"/>
                <w:szCs w:val="21"/>
                <w:color w:val="auto"/>
              </w:rPr>
            </w:pPr>
          </w:p>
        </w:tc>
        <w:tc>
          <w:tcPr>
            <w:tcW w:w="64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First Quarter of 2018</w:t>
            </w:r>
          </w:p>
        </w:tc>
        <w:tc>
          <w:tcPr>
            <w:tcW w:w="4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93"/>
              </w:rPr>
              <w:t>Volume</w:t>
            </w:r>
          </w:p>
        </w:tc>
        <w:tc>
          <w:tcPr>
            <w:tcW w:w="280" w:type="dxa"/>
            <w:vAlign w:val="bottom"/>
          </w:tcPr>
          <w:p>
            <w:pPr>
              <w:spacing w:after="0"/>
              <w:rPr>
                <w:sz w:val="20"/>
                <w:szCs w:val="20"/>
                <w:color w:val="auto"/>
              </w:rPr>
            </w:pPr>
          </w:p>
        </w:tc>
        <w:tc>
          <w:tcPr>
            <w:tcW w:w="72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Rate</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460" w:type="dxa"/>
            <w:vAlign w:val="bottom"/>
            <w:tcBorders>
              <w:top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Increase (decrease) in interest income:</w:t>
            </w:r>
          </w:p>
        </w:tc>
        <w:tc>
          <w:tcPr>
            <w:tcW w:w="2420" w:type="dxa"/>
            <w:vAlign w:val="bottom"/>
            <w:tcBorders>
              <w:top w:val="single" w:sz="8" w:color="auto"/>
            </w:tcBorders>
            <w:shd w:val="clear" w:color="auto" w:fill="C0C0C0"/>
          </w:tcPr>
          <w:p>
            <w:pPr>
              <w:spacing w:after="0"/>
              <w:rPr>
                <w:sz w:val="21"/>
                <w:szCs w:val="21"/>
                <w:color w:val="auto"/>
              </w:rPr>
            </w:pPr>
          </w:p>
        </w:tc>
        <w:tc>
          <w:tcPr>
            <w:tcW w:w="80" w:type="dxa"/>
            <w:vAlign w:val="bottom"/>
            <w:tcBorders>
              <w:top w:val="single" w:sz="8" w:color="auto"/>
            </w:tcBorders>
            <w:shd w:val="clear" w:color="auto" w:fill="C0C0C0"/>
          </w:tcPr>
          <w:p>
            <w:pPr>
              <w:spacing w:after="0"/>
              <w:rPr>
                <w:sz w:val="21"/>
                <w:szCs w:val="21"/>
                <w:color w:val="auto"/>
              </w:rPr>
            </w:pPr>
          </w:p>
        </w:tc>
        <w:tc>
          <w:tcPr>
            <w:tcW w:w="800" w:type="dxa"/>
            <w:vAlign w:val="bottom"/>
            <w:tcBorders>
              <w:top w:val="single" w:sz="8" w:color="auto"/>
            </w:tcBorders>
            <w:shd w:val="clear" w:color="auto" w:fill="C0C0C0"/>
          </w:tcPr>
          <w:p>
            <w:pPr>
              <w:spacing w:after="0"/>
              <w:rPr>
                <w:sz w:val="21"/>
                <w:szCs w:val="21"/>
                <w:color w:val="auto"/>
              </w:rPr>
            </w:pPr>
          </w:p>
        </w:tc>
        <w:tc>
          <w:tcPr>
            <w:tcW w:w="280" w:type="dxa"/>
            <w:vAlign w:val="bottom"/>
            <w:tcBorders>
              <w:top w:val="single" w:sz="8" w:color="auto"/>
            </w:tcBorders>
            <w:shd w:val="clear" w:color="auto" w:fill="C0C0C0"/>
          </w:tcPr>
          <w:p>
            <w:pPr>
              <w:spacing w:after="0"/>
              <w:rPr>
                <w:sz w:val="21"/>
                <w:szCs w:val="21"/>
                <w:color w:val="auto"/>
              </w:rPr>
            </w:pPr>
          </w:p>
        </w:tc>
        <w:tc>
          <w:tcPr>
            <w:tcW w:w="720" w:type="dxa"/>
            <w:vAlign w:val="bottom"/>
            <w:tcBorders>
              <w:top w:val="single" w:sz="8" w:color="auto"/>
            </w:tcBorders>
            <w:shd w:val="clear" w:color="auto" w:fill="C0C0C0"/>
          </w:tcPr>
          <w:p>
            <w:pPr>
              <w:spacing w:after="0"/>
              <w:rPr>
                <w:sz w:val="21"/>
                <w:szCs w:val="21"/>
                <w:color w:val="auto"/>
              </w:rPr>
            </w:pPr>
          </w:p>
        </w:tc>
        <w:tc>
          <w:tcPr>
            <w:tcW w:w="240" w:type="dxa"/>
            <w:vAlign w:val="bottom"/>
            <w:tcBorders>
              <w:top w:val="single" w:sz="8" w:color="auto"/>
            </w:tcBorders>
            <w:shd w:val="clear" w:color="auto" w:fill="C0C0C0"/>
          </w:tcPr>
          <w:p>
            <w:pPr>
              <w:spacing w:after="0"/>
              <w:rPr>
                <w:sz w:val="21"/>
                <w:szCs w:val="21"/>
                <w:color w:val="auto"/>
              </w:rPr>
            </w:pPr>
          </w:p>
        </w:tc>
        <w:tc>
          <w:tcPr>
            <w:tcW w:w="400" w:type="dxa"/>
            <w:vAlign w:val="bottom"/>
            <w:tcBorders>
              <w:top w:val="single" w:sz="8" w:color="auto"/>
            </w:tcBorders>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311"/>
        </w:trPr>
        <w:tc>
          <w:tcPr>
            <w:tcW w:w="20" w:type="dxa"/>
            <w:vAlign w:val="bottom"/>
          </w:tcPr>
          <w:p>
            <w:pPr>
              <w:spacing w:after="0"/>
              <w:rPr>
                <w:sz w:val="24"/>
                <w:szCs w:val="24"/>
                <w:color w:val="auto"/>
              </w:rPr>
            </w:pPr>
          </w:p>
        </w:tc>
        <w:tc>
          <w:tcPr>
            <w:tcW w:w="6460" w:type="dxa"/>
            <w:vAlign w:val="bottom"/>
          </w:tcPr>
          <w:p>
            <w:pPr>
              <w:ind w:left="260"/>
              <w:spacing w:after="0" w:line="310" w:lineRule="exact"/>
              <w:rPr>
                <w:sz w:val="20"/>
                <w:szCs w:val="20"/>
                <w:color w:val="auto"/>
              </w:rPr>
            </w:pPr>
            <w:r>
              <w:rPr>
                <w:rFonts w:ascii="Times New Roman" w:cs="Times New Roman" w:eastAsia="Times New Roman" w:hAnsi="Times New Roman"/>
                <w:sz w:val="18"/>
                <w:szCs w:val="18"/>
                <w:color w:val="auto"/>
              </w:rPr>
              <w:t>Loans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tc>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6460" w:type="dxa"/>
            <w:vAlign w:val="bottom"/>
            <w:shd w:val="clear" w:color="auto" w:fill="C0C0C0"/>
          </w:tcPr>
          <w:p>
            <w:pPr>
              <w:ind w:left="520"/>
              <w:spacing w:after="0"/>
              <w:rPr>
                <w:sz w:val="20"/>
                <w:szCs w:val="20"/>
                <w:color w:val="auto"/>
              </w:rPr>
            </w:pPr>
            <w:r>
              <w:rPr>
                <w:rFonts w:ascii="Times New Roman" w:cs="Times New Roman" w:eastAsia="Times New Roman" w:hAnsi="Times New Roman"/>
                <w:sz w:val="18"/>
                <w:szCs w:val="18"/>
                <w:color w:val="auto"/>
              </w:rPr>
              <w:t>Taxable</w:t>
            </w:r>
          </w:p>
        </w:tc>
        <w:tc>
          <w:tcPr>
            <w:tcW w:w="2500" w:type="dxa"/>
            <w:vAlign w:val="bottom"/>
            <w:gridSpan w:val="2"/>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0C0C0"/>
          </w:tcPr>
          <w:p>
            <w:pPr>
              <w:jc w:val="right"/>
              <w:ind w:right="32"/>
              <w:spacing w:after="0"/>
              <w:rPr>
                <w:sz w:val="20"/>
                <w:szCs w:val="20"/>
                <w:color w:val="auto"/>
              </w:rPr>
            </w:pPr>
            <w:r>
              <w:rPr>
                <w:rFonts w:ascii="Times New Roman" w:cs="Times New Roman" w:eastAsia="Times New Roman" w:hAnsi="Times New Roman"/>
                <w:sz w:val="18"/>
                <w:szCs w:val="18"/>
                <w:color w:val="auto"/>
              </w:rPr>
              <w:t>387</w:t>
            </w:r>
          </w:p>
        </w:tc>
        <w:tc>
          <w:tcPr>
            <w:tcW w:w="28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0C0C0"/>
          </w:tcPr>
          <w:p>
            <w:pPr>
              <w:jc w:val="right"/>
              <w:ind w:right="32"/>
              <w:spacing w:after="0"/>
              <w:rPr>
                <w:sz w:val="20"/>
                <w:szCs w:val="20"/>
                <w:color w:val="auto"/>
              </w:rPr>
            </w:pPr>
            <w:r>
              <w:rPr>
                <w:rFonts w:ascii="Times New Roman" w:cs="Times New Roman" w:eastAsia="Times New Roman" w:hAnsi="Times New Roman"/>
                <w:sz w:val="18"/>
                <w:szCs w:val="18"/>
                <w:color w:val="auto"/>
              </w:rPr>
              <w:t>719</w:t>
            </w:r>
          </w:p>
        </w:tc>
        <w:tc>
          <w:tcPr>
            <w:tcW w:w="2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w w:val="93"/>
              </w:rPr>
              <w:t>1,106</w:t>
            </w:r>
          </w:p>
        </w:tc>
        <w:tc>
          <w:tcPr>
            <w:tcW w:w="20" w:type="dxa"/>
            <w:vAlign w:val="bottom"/>
          </w:tcPr>
          <w:p>
            <w:pPr>
              <w:spacing w:after="0"/>
              <w:rPr>
                <w:sz w:val="21"/>
                <w:szCs w:val="21"/>
                <w:color w:val="auto"/>
              </w:rPr>
            </w:pPr>
          </w:p>
        </w:tc>
      </w:tr>
      <w:tr>
        <w:trPr>
          <w:trHeight w:val="311"/>
        </w:trPr>
        <w:tc>
          <w:tcPr>
            <w:tcW w:w="20" w:type="dxa"/>
            <w:vAlign w:val="bottom"/>
          </w:tcPr>
          <w:p>
            <w:pPr>
              <w:spacing w:after="0"/>
              <w:rPr>
                <w:sz w:val="24"/>
                <w:szCs w:val="24"/>
                <w:color w:val="auto"/>
              </w:rPr>
            </w:pPr>
          </w:p>
        </w:tc>
        <w:tc>
          <w:tcPr>
            <w:tcW w:w="6460" w:type="dxa"/>
            <w:vAlign w:val="bottom"/>
          </w:tcPr>
          <w:p>
            <w:pPr>
              <w:ind w:left="520"/>
              <w:spacing w:after="0" w:line="310" w:lineRule="exact"/>
              <w:rPr>
                <w:sz w:val="20"/>
                <w:szCs w:val="20"/>
                <w:color w:val="auto"/>
              </w:rPr>
            </w:pPr>
            <w:r>
              <w:rPr>
                <w:rFonts w:ascii="Times New Roman" w:cs="Times New Roman" w:eastAsia="Times New Roman" w:hAnsi="Times New Roman"/>
                <w:sz w:val="18"/>
                <w:szCs w:val="18"/>
                <w:color w:val="auto"/>
              </w:rPr>
              <w:t>Tax-exempt</w:t>
            </w:r>
            <w:r>
              <w:rPr>
                <w:rFonts w:ascii="Times New Roman" w:cs="Times New Roman" w:eastAsia="Times New Roman" w:hAnsi="Times New Roman"/>
                <w:sz w:val="29"/>
                <w:szCs w:val="29"/>
                <w:color w:val="auto"/>
                <w:vertAlign w:val="superscript"/>
              </w:rPr>
              <w:t>1</w:t>
            </w:r>
          </w:p>
        </w:tc>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Pr>
          <w:p>
            <w:pPr>
              <w:spacing w:after="0"/>
              <w:rPr>
                <w:sz w:val="24"/>
                <w:szCs w:val="24"/>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r>
      <w:tr>
        <w:trPr>
          <w:trHeight w:val="243"/>
        </w:trPr>
        <w:tc>
          <w:tcPr>
            <w:tcW w:w="20" w:type="dxa"/>
            <w:vAlign w:val="bottom"/>
          </w:tcPr>
          <w:p>
            <w:pPr>
              <w:spacing w:after="0"/>
              <w:rPr>
                <w:sz w:val="21"/>
                <w:szCs w:val="21"/>
                <w:color w:val="auto"/>
              </w:rPr>
            </w:pPr>
          </w:p>
        </w:tc>
        <w:tc>
          <w:tcPr>
            <w:tcW w:w="6460" w:type="dxa"/>
            <w:vAlign w:val="bottom"/>
            <w:shd w:val="clear" w:color="auto" w:fill="C0C0C0"/>
          </w:tcPr>
          <w:p>
            <w:pPr>
              <w:ind w:left="260"/>
              <w:spacing w:after="0"/>
              <w:rPr>
                <w:sz w:val="20"/>
                <w:szCs w:val="20"/>
                <w:color w:val="auto"/>
              </w:rPr>
            </w:pPr>
            <w:r>
              <w:rPr>
                <w:rFonts w:ascii="Times New Roman" w:cs="Times New Roman" w:eastAsia="Times New Roman" w:hAnsi="Times New Roman"/>
                <w:sz w:val="18"/>
                <w:szCs w:val="18"/>
                <w:color w:val="auto"/>
              </w:rPr>
              <w:t>Investment securities:</w:t>
            </w:r>
          </w:p>
        </w:tc>
        <w:tc>
          <w:tcPr>
            <w:tcW w:w="242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6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Taxable</w:t>
            </w:r>
          </w:p>
        </w:tc>
        <w:tc>
          <w:tcPr>
            <w:tcW w:w="2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306</w:t>
            </w:r>
          </w:p>
        </w:tc>
        <w:tc>
          <w:tcPr>
            <w:tcW w:w="28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0" w:type="dxa"/>
            <w:vAlign w:val="bottom"/>
          </w:tcPr>
          <w:p>
            <w:pPr>
              <w:spacing w:after="0"/>
              <w:rPr>
                <w:sz w:val="20"/>
                <w:szCs w:val="20"/>
                <w:color w:val="auto"/>
              </w:rPr>
            </w:pPr>
          </w:p>
        </w:tc>
      </w:tr>
      <w:tr>
        <w:trPr>
          <w:trHeight w:val="318"/>
        </w:trPr>
        <w:tc>
          <w:tcPr>
            <w:tcW w:w="20" w:type="dxa"/>
            <w:vAlign w:val="bottom"/>
          </w:tcPr>
          <w:p>
            <w:pPr>
              <w:spacing w:after="0"/>
              <w:rPr>
                <w:sz w:val="24"/>
                <w:szCs w:val="24"/>
                <w:color w:val="auto"/>
              </w:rPr>
            </w:pPr>
          </w:p>
        </w:tc>
        <w:tc>
          <w:tcPr>
            <w:tcW w:w="6460" w:type="dxa"/>
            <w:vAlign w:val="bottom"/>
            <w:shd w:val="clear" w:color="auto" w:fill="C0C0C0"/>
          </w:tcPr>
          <w:p>
            <w:pPr>
              <w:ind w:left="520"/>
              <w:spacing w:after="0" w:line="317" w:lineRule="exact"/>
              <w:rPr>
                <w:sz w:val="20"/>
                <w:szCs w:val="20"/>
                <w:color w:val="auto"/>
              </w:rPr>
            </w:pPr>
            <w:r>
              <w:rPr>
                <w:rFonts w:ascii="Times New Roman" w:cs="Times New Roman" w:eastAsia="Times New Roman" w:hAnsi="Times New Roman"/>
                <w:sz w:val="18"/>
                <w:szCs w:val="18"/>
                <w:color w:val="auto"/>
              </w:rPr>
              <w:t>Tax-exempt</w:t>
            </w:r>
            <w:r>
              <w:rPr>
                <w:rFonts w:ascii="Times New Roman" w:cs="Times New Roman" w:eastAsia="Times New Roman" w:hAnsi="Times New Roman"/>
                <w:sz w:val="29"/>
                <w:szCs w:val="29"/>
                <w:color w:val="auto"/>
                <w:vertAlign w:val="superscript"/>
              </w:rPr>
              <w:t>2</w:t>
            </w:r>
          </w:p>
        </w:tc>
        <w:tc>
          <w:tcPr>
            <w:tcW w:w="2420" w:type="dxa"/>
            <w:vAlign w:val="bottom"/>
            <w:shd w:val="clear" w:color="auto" w:fill="C0C0C0"/>
          </w:tcPr>
          <w:p>
            <w:pPr>
              <w:spacing w:after="0"/>
              <w:rPr>
                <w:sz w:val="24"/>
                <w:szCs w:val="24"/>
                <w:color w:val="auto"/>
              </w:rPr>
            </w:pPr>
          </w:p>
        </w:tc>
        <w:tc>
          <w:tcPr>
            <w:tcW w:w="80" w:type="dxa"/>
            <w:vAlign w:val="bottom"/>
            <w:shd w:val="clear" w:color="auto" w:fill="C0C0C0"/>
          </w:tcPr>
          <w:p>
            <w:pPr>
              <w:spacing w:after="0"/>
              <w:rPr>
                <w:sz w:val="24"/>
                <w:szCs w:val="24"/>
                <w:color w:val="auto"/>
              </w:rPr>
            </w:pPr>
          </w:p>
        </w:tc>
        <w:tc>
          <w:tcPr>
            <w:tcW w:w="800" w:type="dxa"/>
            <w:vAlign w:val="bottom"/>
            <w:shd w:val="clear" w:color="auto" w:fill="C0C0C0"/>
          </w:tcPr>
          <w:p>
            <w:pPr>
              <w:jc w:val="right"/>
              <w:ind w:right="32"/>
              <w:spacing w:after="0"/>
              <w:rPr>
                <w:sz w:val="20"/>
                <w:szCs w:val="20"/>
                <w:color w:val="auto"/>
              </w:rPr>
            </w:pPr>
            <w:r>
              <w:rPr>
                <w:rFonts w:ascii="Times New Roman" w:cs="Times New Roman" w:eastAsia="Times New Roman" w:hAnsi="Times New Roman"/>
                <w:sz w:val="18"/>
                <w:szCs w:val="18"/>
                <w:color w:val="auto"/>
              </w:rPr>
              <w:t>(599)</w:t>
            </w:r>
          </w:p>
        </w:tc>
        <w:tc>
          <w:tcPr>
            <w:tcW w:w="280" w:type="dxa"/>
            <w:vAlign w:val="bottom"/>
            <w:shd w:val="clear" w:color="auto" w:fill="C0C0C0"/>
          </w:tcPr>
          <w:p>
            <w:pPr>
              <w:spacing w:after="0"/>
              <w:rPr>
                <w:sz w:val="24"/>
                <w:szCs w:val="24"/>
                <w:color w:val="auto"/>
              </w:rPr>
            </w:pPr>
          </w:p>
        </w:tc>
        <w:tc>
          <w:tcPr>
            <w:tcW w:w="720" w:type="dxa"/>
            <w:vAlign w:val="bottom"/>
            <w:shd w:val="clear" w:color="auto" w:fill="C0C0C0"/>
          </w:tcPr>
          <w:p>
            <w:pPr>
              <w:jc w:val="right"/>
              <w:ind w:right="32"/>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shd w:val="clear" w:color="auto" w:fill="C0C0C0"/>
          </w:tcPr>
          <w:p>
            <w:pPr>
              <w:spacing w:after="0"/>
              <w:rPr>
                <w:sz w:val="24"/>
                <w:szCs w:val="24"/>
                <w:color w:val="auto"/>
              </w:rPr>
            </w:pPr>
          </w:p>
        </w:tc>
        <w:tc>
          <w:tcPr>
            <w:tcW w:w="4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w w:val="97"/>
              </w:rPr>
              <w:t>(669)</w:t>
            </w:r>
          </w:p>
        </w:tc>
        <w:tc>
          <w:tcPr>
            <w:tcW w:w="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tcPr>
          <w:p>
            <w:pPr>
              <w:spacing w:after="0"/>
              <w:rPr>
                <w:sz w:val="19"/>
                <w:szCs w:val="19"/>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9"/>
                <w:szCs w:val="19"/>
                <w:color w:val="auto"/>
              </w:rPr>
            </w:pPr>
          </w:p>
        </w:tc>
      </w:tr>
      <w:tr>
        <w:trPr>
          <w:trHeight w:val="258"/>
        </w:trPr>
        <w:tc>
          <w:tcPr>
            <w:tcW w:w="20" w:type="dxa"/>
            <w:vAlign w:val="bottom"/>
          </w:tcPr>
          <w:p>
            <w:pPr>
              <w:spacing w:after="0"/>
              <w:rPr>
                <w:sz w:val="22"/>
                <w:szCs w:val="22"/>
                <w:color w:val="auto"/>
              </w:rPr>
            </w:pPr>
          </w:p>
        </w:tc>
        <w:tc>
          <w:tcPr>
            <w:tcW w:w="6460" w:type="dxa"/>
            <w:vAlign w:val="bottom"/>
            <w:shd w:val="clear" w:color="auto" w:fill="C0C0C0"/>
          </w:tcPr>
          <w:p>
            <w:pPr>
              <w:ind w:left="260"/>
              <w:spacing w:after="0"/>
              <w:rPr>
                <w:sz w:val="20"/>
                <w:szCs w:val="20"/>
                <w:color w:val="auto"/>
              </w:rPr>
            </w:pPr>
            <w:r>
              <w:rPr>
                <w:rFonts w:ascii="Times New Roman" w:cs="Times New Roman" w:eastAsia="Times New Roman" w:hAnsi="Times New Roman"/>
                <w:sz w:val="18"/>
                <w:szCs w:val="18"/>
                <w:color w:val="auto"/>
              </w:rPr>
              <w:t>Interest-bearing deposits in other financial institutions</w:t>
            </w:r>
          </w:p>
        </w:tc>
        <w:tc>
          <w:tcPr>
            <w:tcW w:w="2420" w:type="dxa"/>
            <w:vAlign w:val="bottom"/>
            <w:shd w:val="clear" w:color="auto" w:fill="C0C0C0"/>
          </w:tcPr>
          <w:p>
            <w:pPr>
              <w:spacing w:after="0"/>
              <w:rPr>
                <w:sz w:val="22"/>
                <w:szCs w:val="22"/>
                <w:color w:val="auto"/>
              </w:rPr>
            </w:pPr>
          </w:p>
        </w:tc>
        <w:tc>
          <w:tcPr>
            <w:tcW w:w="80" w:type="dxa"/>
            <w:vAlign w:val="bottom"/>
            <w:shd w:val="clear" w:color="auto" w:fill="C0C0C0"/>
          </w:tcPr>
          <w:p>
            <w:pPr>
              <w:spacing w:after="0"/>
              <w:rPr>
                <w:sz w:val="22"/>
                <w:szCs w:val="22"/>
                <w:color w:val="auto"/>
              </w:rPr>
            </w:pPr>
          </w:p>
        </w:tc>
        <w:tc>
          <w:tcPr>
            <w:tcW w:w="800" w:type="dxa"/>
            <w:vAlign w:val="bottom"/>
            <w:shd w:val="clear" w:color="auto" w:fill="C0C0C0"/>
          </w:tcPr>
          <w:p>
            <w:pPr>
              <w:jc w:val="right"/>
              <w:ind w:right="32"/>
              <w:spacing w:after="0"/>
              <w:rPr>
                <w:sz w:val="20"/>
                <w:szCs w:val="20"/>
                <w:color w:val="auto"/>
              </w:rPr>
            </w:pPr>
            <w:r>
              <w:rPr>
                <w:rFonts w:ascii="Times New Roman" w:cs="Times New Roman" w:eastAsia="Times New Roman" w:hAnsi="Times New Roman"/>
                <w:sz w:val="18"/>
                <w:szCs w:val="18"/>
                <w:color w:val="auto"/>
              </w:rPr>
              <w:t>153</w:t>
            </w:r>
          </w:p>
        </w:tc>
        <w:tc>
          <w:tcPr>
            <w:tcW w:w="280" w:type="dxa"/>
            <w:vAlign w:val="bottom"/>
            <w:shd w:val="clear" w:color="auto" w:fill="C0C0C0"/>
          </w:tcPr>
          <w:p>
            <w:pPr>
              <w:spacing w:after="0"/>
              <w:rPr>
                <w:sz w:val="22"/>
                <w:szCs w:val="22"/>
                <w:color w:val="auto"/>
              </w:rPr>
            </w:pPr>
          </w:p>
        </w:tc>
        <w:tc>
          <w:tcPr>
            <w:tcW w:w="720" w:type="dxa"/>
            <w:vAlign w:val="bottom"/>
            <w:shd w:val="clear" w:color="auto" w:fill="C0C0C0"/>
          </w:tcPr>
          <w:p>
            <w:pPr>
              <w:jc w:val="right"/>
              <w:ind w:right="32"/>
              <w:spacing w:after="0"/>
              <w:rPr>
                <w:sz w:val="20"/>
                <w:szCs w:val="20"/>
                <w:color w:val="auto"/>
              </w:rPr>
            </w:pPr>
            <w:r>
              <w:rPr>
                <w:rFonts w:ascii="Times New Roman" w:cs="Times New Roman" w:eastAsia="Times New Roman" w:hAnsi="Times New Roman"/>
                <w:sz w:val="18"/>
                <w:szCs w:val="18"/>
                <w:color w:val="auto"/>
              </w:rPr>
              <w:t>258</w:t>
            </w:r>
          </w:p>
        </w:tc>
        <w:tc>
          <w:tcPr>
            <w:tcW w:w="240" w:type="dxa"/>
            <w:vAlign w:val="bottom"/>
            <w:shd w:val="clear" w:color="auto" w:fill="C0C0C0"/>
          </w:tcPr>
          <w:p>
            <w:pPr>
              <w:spacing w:after="0"/>
              <w:rPr>
                <w:sz w:val="22"/>
                <w:szCs w:val="22"/>
                <w:color w:val="auto"/>
              </w:rPr>
            </w:pPr>
          </w:p>
        </w:tc>
        <w:tc>
          <w:tcPr>
            <w:tcW w:w="4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0" w:type="dxa"/>
            <w:vAlign w:val="bottom"/>
          </w:tcPr>
          <w:p>
            <w:pPr>
              <w:spacing w:after="0"/>
              <w:rPr>
                <w:sz w:val="22"/>
                <w:szCs w:val="22"/>
                <w:color w:val="auto"/>
              </w:rPr>
            </w:pPr>
          </w:p>
        </w:tc>
      </w:tr>
      <w:tr>
        <w:trPr>
          <w:trHeight w:val="242"/>
        </w:trPr>
        <w:tc>
          <w:tcPr>
            <w:tcW w:w="20" w:type="dxa"/>
            <w:vAlign w:val="bottom"/>
          </w:tcPr>
          <w:p>
            <w:pPr>
              <w:spacing w:after="0"/>
              <w:rPr>
                <w:sz w:val="21"/>
                <w:szCs w:val="21"/>
                <w:color w:val="auto"/>
              </w:rPr>
            </w:pPr>
          </w:p>
        </w:tc>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Federal funds sold and other short-term investments</w:t>
            </w:r>
          </w:p>
        </w:tc>
        <w:tc>
          <w:tcPr>
            <w:tcW w:w="24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344</w:t>
            </w:r>
          </w:p>
        </w:tc>
        <w:tc>
          <w:tcPr>
            <w:tcW w:w="2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0" w:type="dxa"/>
            <w:vAlign w:val="bottom"/>
          </w:tcPr>
          <w:p>
            <w:pPr>
              <w:spacing w:after="0"/>
              <w:rPr>
                <w:sz w:val="21"/>
                <w:szCs w:val="21"/>
                <w:color w:val="auto"/>
              </w:rPr>
            </w:pPr>
          </w:p>
        </w:tc>
      </w:tr>
      <w:tr>
        <w:trPr>
          <w:trHeight w:val="231"/>
        </w:trPr>
        <w:tc>
          <w:tcPr>
            <w:tcW w:w="20" w:type="dxa"/>
            <w:vAlign w:val="bottom"/>
          </w:tcPr>
          <w:p>
            <w:pPr>
              <w:spacing w:after="0"/>
              <w:rPr>
                <w:sz w:val="20"/>
                <w:szCs w:val="20"/>
                <w:color w:val="auto"/>
              </w:rPr>
            </w:pPr>
          </w:p>
        </w:tc>
        <w:tc>
          <w:tcPr>
            <w:tcW w:w="646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Total interest income</w:t>
            </w:r>
          </w:p>
        </w:tc>
        <w:tc>
          <w:tcPr>
            <w:tcW w:w="2420" w:type="dxa"/>
            <w:vAlign w:val="bottom"/>
            <w:tcBorders>
              <w:bottom w:val="single" w:sz="8" w:color="auto"/>
            </w:tcBorders>
            <w:shd w:val="clear" w:color="auto" w:fill="C0C0C0"/>
          </w:tcPr>
          <w:p>
            <w:pPr>
              <w:spacing w:after="0"/>
              <w:rPr>
                <w:sz w:val="20"/>
                <w:szCs w:val="20"/>
                <w:color w:val="auto"/>
              </w:rPr>
            </w:pPr>
          </w:p>
        </w:tc>
        <w:tc>
          <w:tcPr>
            <w:tcW w:w="80" w:type="dxa"/>
            <w:vAlign w:val="bottom"/>
            <w:tcBorders>
              <w:bottom w:val="single" w:sz="8" w:color="auto"/>
            </w:tcBorders>
            <w:shd w:val="clear" w:color="auto" w:fill="C0C0C0"/>
          </w:tcPr>
          <w:p>
            <w:pPr>
              <w:spacing w:after="0"/>
              <w:rPr>
                <w:sz w:val="20"/>
                <w:szCs w:val="20"/>
                <w:color w:val="auto"/>
              </w:rPr>
            </w:pPr>
          </w:p>
        </w:tc>
        <w:tc>
          <w:tcPr>
            <w:tcW w:w="800" w:type="dxa"/>
            <w:vAlign w:val="bottom"/>
            <w:tcBorders>
              <w:bottom w:val="single" w:sz="8" w:color="auto"/>
            </w:tcBorders>
            <w:shd w:val="clear" w:color="auto" w:fill="C0C0C0"/>
          </w:tcPr>
          <w:p>
            <w:pPr>
              <w:jc w:val="right"/>
              <w:ind w:right="32"/>
              <w:spacing w:after="0"/>
              <w:rPr>
                <w:sz w:val="20"/>
                <w:szCs w:val="20"/>
                <w:color w:val="auto"/>
              </w:rPr>
            </w:pPr>
            <w:r>
              <w:rPr>
                <w:rFonts w:ascii="Times New Roman" w:cs="Times New Roman" w:eastAsia="Times New Roman" w:hAnsi="Times New Roman"/>
                <w:sz w:val="18"/>
                <w:szCs w:val="18"/>
                <w:color w:val="auto"/>
              </w:rPr>
              <w:t>172</w:t>
            </w:r>
          </w:p>
        </w:tc>
        <w:tc>
          <w:tcPr>
            <w:tcW w:w="280" w:type="dxa"/>
            <w:vAlign w:val="bottom"/>
            <w:tcBorders>
              <w:bottom w:val="single" w:sz="8" w:color="auto"/>
            </w:tcBorders>
            <w:shd w:val="clear" w:color="auto" w:fill="C0C0C0"/>
          </w:tcPr>
          <w:p>
            <w:pPr>
              <w:spacing w:after="0"/>
              <w:rPr>
                <w:sz w:val="20"/>
                <w:szCs w:val="20"/>
                <w:color w:val="auto"/>
              </w:rPr>
            </w:pPr>
          </w:p>
        </w:tc>
        <w:tc>
          <w:tcPr>
            <w:tcW w:w="720" w:type="dxa"/>
            <w:vAlign w:val="bottom"/>
            <w:tcBorders>
              <w:bottom w:val="single" w:sz="8" w:color="auto"/>
            </w:tcBorders>
            <w:shd w:val="clear" w:color="auto" w:fill="C0C0C0"/>
          </w:tcPr>
          <w:p>
            <w:pPr>
              <w:jc w:val="right"/>
              <w:ind w:right="32"/>
              <w:spacing w:after="0"/>
              <w:rPr>
                <w:sz w:val="20"/>
                <w:szCs w:val="20"/>
                <w:color w:val="auto"/>
              </w:rPr>
            </w:pPr>
            <w:r>
              <w:rPr>
                <w:rFonts w:ascii="Times New Roman" w:cs="Times New Roman" w:eastAsia="Times New Roman" w:hAnsi="Times New Roman"/>
                <w:sz w:val="18"/>
                <w:szCs w:val="18"/>
                <w:color w:val="auto"/>
              </w:rPr>
              <w:t>1,291</w:t>
            </w:r>
          </w:p>
        </w:tc>
        <w:tc>
          <w:tcPr>
            <w:tcW w:w="240" w:type="dxa"/>
            <w:vAlign w:val="bottom"/>
            <w:tcBorders>
              <w:bottom w:val="single" w:sz="8" w:color="auto"/>
            </w:tcBorders>
            <w:shd w:val="clear" w:color="auto" w:fill="C0C0C0"/>
          </w:tcPr>
          <w:p>
            <w:pPr>
              <w:spacing w:after="0"/>
              <w:rPr>
                <w:sz w:val="20"/>
                <w:szCs w:val="20"/>
                <w:color w:val="auto"/>
              </w:rPr>
            </w:pPr>
          </w:p>
        </w:tc>
        <w:tc>
          <w:tcPr>
            <w:tcW w:w="40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w w:val="93"/>
              </w:rPr>
              <w:t>1,463</w:t>
            </w:r>
          </w:p>
        </w:tc>
        <w:tc>
          <w:tcPr>
            <w:tcW w:w="20" w:type="dxa"/>
            <w:vAlign w:val="bottom"/>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w:t>
            </w:r>
          </w:p>
        </w:tc>
        <w:tc>
          <w:tcPr>
            <w:tcW w:w="2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8"/>
        </w:trPr>
        <w:tc>
          <w:tcPr>
            <w:tcW w:w="20" w:type="dxa"/>
            <w:vAlign w:val="bottom"/>
          </w:tcPr>
          <w:p>
            <w:pPr>
              <w:spacing w:after="0"/>
              <w:rPr>
                <w:sz w:val="22"/>
                <w:szCs w:val="22"/>
                <w:color w:val="auto"/>
              </w:rPr>
            </w:pPr>
          </w:p>
        </w:tc>
        <w:tc>
          <w:tcPr>
            <w:tcW w:w="6460" w:type="dxa"/>
            <w:vAlign w:val="bottom"/>
            <w:shd w:val="clear" w:color="auto" w:fill="C0C0C0"/>
          </w:tcPr>
          <w:p>
            <w:pPr>
              <w:ind w:left="260"/>
              <w:spacing w:after="0"/>
              <w:rPr>
                <w:sz w:val="20"/>
                <w:szCs w:val="20"/>
                <w:color w:val="auto"/>
              </w:rPr>
            </w:pPr>
            <w:r>
              <w:rPr>
                <w:rFonts w:ascii="Times New Roman" w:cs="Times New Roman" w:eastAsia="Times New Roman" w:hAnsi="Times New Roman"/>
                <w:sz w:val="18"/>
                <w:szCs w:val="18"/>
                <w:color w:val="auto"/>
              </w:rPr>
              <w:t>Interest-bearing demand deposits</w:t>
            </w:r>
          </w:p>
        </w:tc>
        <w:tc>
          <w:tcPr>
            <w:tcW w:w="2420" w:type="dxa"/>
            <w:vAlign w:val="bottom"/>
            <w:shd w:val="clear" w:color="auto" w:fill="C0C0C0"/>
          </w:tcPr>
          <w:p>
            <w:pPr>
              <w:spacing w:after="0"/>
              <w:rPr>
                <w:sz w:val="22"/>
                <w:szCs w:val="22"/>
                <w:color w:val="auto"/>
              </w:rPr>
            </w:pPr>
          </w:p>
        </w:tc>
        <w:tc>
          <w:tcPr>
            <w:tcW w:w="80" w:type="dxa"/>
            <w:vAlign w:val="bottom"/>
            <w:shd w:val="clear" w:color="auto" w:fill="C0C0C0"/>
          </w:tcPr>
          <w:p>
            <w:pPr>
              <w:spacing w:after="0"/>
              <w:rPr>
                <w:sz w:val="22"/>
                <w:szCs w:val="22"/>
                <w:color w:val="auto"/>
              </w:rPr>
            </w:pPr>
          </w:p>
        </w:tc>
        <w:tc>
          <w:tcPr>
            <w:tcW w:w="800" w:type="dxa"/>
            <w:vAlign w:val="bottom"/>
            <w:shd w:val="clear" w:color="auto" w:fill="C0C0C0"/>
          </w:tcPr>
          <w:p>
            <w:pPr>
              <w:jc w:val="right"/>
              <w:ind w:right="32"/>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shd w:val="clear" w:color="auto" w:fill="C0C0C0"/>
          </w:tcPr>
          <w:p>
            <w:pPr>
              <w:spacing w:after="0"/>
              <w:rPr>
                <w:sz w:val="22"/>
                <w:szCs w:val="22"/>
                <w:color w:val="auto"/>
              </w:rPr>
            </w:pPr>
          </w:p>
        </w:tc>
        <w:tc>
          <w:tcPr>
            <w:tcW w:w="720" w:type="dxa"/>
            <w:vAlign w:val="bottom"/>
            <w:shd w:val="clear" w:color="auto" w:fill="C0C0C0"/>
          </w:tcPr>
          <w:p>
            <w:pPr>
              <w:jc w:val="right"/>
              <w:ind w:right="32"/>
              <w:spacing w:after="0"/>
              <w:rPr>
                <w:sz w:val="20"/>
                <w:szCs w:val="20"/>
                <w:color w:val="auto"/>
              </w:rPr>
            </w:pPr>
            <w:r>
              <w:rPr>
                <w:rFonts w:ascii="Times New Roman" w:cs="Times New Roman" w:eastAsia="Times New Roman" w:hAnsi="Times New Roman"/>
                <w:sz w:val="18"/>
                <w:szCs w:val="18"/>
                <w:color w:val="auto"/>
              </w:rPr>
              <w:t>426</w:t>
            </w:r>
          </w:p>
        </w:tc>
        <w:tc>
          <w:tcPr>
            <w:tcW w:w="240" w:type="dxa"/>
            <w:vAlign w:val="bottom"/>
            <w:shd w:val="clear" w:color="auto" w:fill="C0C0C0"/>
          </w:tcPr>
          <w:p>
            <w:pPr>
              <w:spacing w:after="0"/>
              <w:rPr>
                <w:sz w:val="22"/>
                <w:szCs w:val="22"/>
                <w:color w:val="auto"/>
              </w:rPr>
            </w:pPr>
          </w:p>
        </w:tc>
        <w:tc>
          <w:tcPr>
            <w:tcW w:w="4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0" w:type="dxa"/>
            <w:vAlign w:val="bottom"/>
          </w:tcPr>
          <w:p>
            <w:pPr>
              <w:spacing w:after="0"/>
              <w:rPr>
                <w:sz w:val="22"/>
                <w:szCs w:val="22"/>
                <w:color w:val="auto"/>
              </w:rPr>
            </w:pPr>
          </w:p>
        </w:tc>
      </w:tr>
      <w:tr>
        <w:trPr>
          <w:trHeight w:val="228"/>
        </w:trPr>
        <w:tc>
          <w:tcPr>
            <w:tcW w:w="20" w:type="dxa"/>
            <w:vAlign w:val="bottom"/>
          </w:tcPr>
          <w:p>
            <w:pPr>
              <w:spacing w:after="0"/>
              <w:rPr>
                <w:sz w:val="19"/>
                <w:szCs w:val="19"/>
                <w:color w:val="auto"/>
              </w:rPr>
            </w:pPr>
          </w:p>
        </w:tc>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Savings deposits</w:t>
            </w:r>
          </w:p>
        </w:tc>
        <w:tc>
          <w:tcPr>
            <w:tcW w:w="2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9"/>
                <w:szCs w:val="19"/>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9"/>
                <w:szCs w:val="19"/>
                <w:color w:val="auto"/>
              </w:rPr>
            </w:pPr>
          </w:p>
        </w:tc>
      </w:tr>
      <w:tr>
        <w:trPr>
          <w:trHeight w:val="258"/>
        </w:trPr>
        <w:tc>
          <w:tcPr>
            <w:tcW w:w="20" w:type="dxa"/>
            <w:vAlign w:val="bottom"/>
          </w:tcPr>
          <w:p>
            <w:pPr>
              <w:spacing w:after="0"/>
              <w:rPr>
                <w:sz w:val="22"/>
                <w:szCs w:val="22"/>
                <w:color w:val="auto"/>
              </w:rPr>
            </w:pPr>
          </w:p>
        </w:tc>
        <w:tc>
          <w:tcPr>
            <w:tcW w:w="6460" w:type="dxa"/>
            <w:vAlign w:val="bottom"/>
            <w:shd w:val="clear" w:color="auto" w:fill="C0C0C0"/>
          </w:tcPr>
          <w:p>
            <w:pPr>
              <w:ind w:left="260"/>
              <w:spacing w:after="0"/>
              <w:rPr>
                <w:sz w:val="20"/>
                <w:szCs w:val="20"/>
                <w:color w:val="auto"/>
              </w:rPr>
            </w:pPr>
            <w:r>
              <w:rPr>
                <w:rFonts w:ascii="Times New Roman" w:cs="Times New Roman" w:eastAsia="Times New Roman" w:hAnsi="Times New Roman"/>
                <w:sz w:val="18"/>
                <w:szCs w:val="18"/>
                <w:color w:val="auto"/>
              </w:rPr>
              <w:t>Time deposits of &gt;=$100</w:t>
            </w:r>
          </w:p>
        </w:tc>
        <w:tc>
          <w:tcPr>
            <w:tcW w:w="2420" w:type="dxa"/>
            <w:vAlign w:val="bottom"/>
            <w:shd w:val="clear" w:color="auto" w:fill="C0C0C0"/>
          </w:tcPr>
          <w:p>
            <w:pPr>
              <w:spacing w:after="0"/>
              <w:rPr>
                <w:sz w:val="22"/>
                <w:szCs w:val="22"/>
                <w:color w:val="auto"/>
              </w:rPr>
            </w:pPr>
          </w:p>
        </w:tc>
        <w:tc>
          <w:tcPr>
            <w:tcW w:w="80" w:type="dxa"/>
            <w:vAlign w:val="bottom"/>
            <w:shd w:val="clear" w:color="auto" w:fill="C0C0C0"/>
          </w:tcPr>
          <w:p>
            <w:pPr>
              <w:spacing w:after="0"/>
              <w:rPr>
                <w:sz w:val="22"/>
                <w:szCs w:val="22"/>
                <w:color w:val="auto"/>
              </w:rPr>
            </w:pPr>
          </w:p>
        </w:tc>
        <w:tc>
          <w:tcPr>
            <w:tcW w:w="800" w:type="dxa"/>
            <w:vAlign w:val="bottom"/>
            <w:shd w:val="clear" w:color="auto" w:fill="C0C0C0"/>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0C0C0"/>
          </w:tcPr>
          <w:p>
            <w:pPr>
              <w:spacing w:after="0"/>
              <w:rPr>
                <w:sz w:val="22"/>
                <w:szCs w:val="22"/>
                <w:color w:val="auto"/>
              </w:rPr>
            </w:pPr>
          </w:p>
        </w:tc>
        <w:tc>
          <w:tcPr>
            <w:tcW w:w="720" w:type="dxa"/>
            <w:vAlign w:val="bottom"/>
            <w:shd w:val="clear" w:color="auto" w:fill="C0C0C0"/>
          </w:tcPr>
          <w:p>
            <w:pPr>
              <w:jc w:val="right"/>
              <w:ind w:right="32"/>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shd w:val="clear" w:color="auto" w:fill="C0C0C0"/>
          </w:tcPr>
          <w:p>
            <w:pPr>
              <w:spacing w:after="0"/>
              <w:rPr>
                <w:sz w:val="22"/>
                <w:szCs w:val="22"/>
                <w:color w:val="auto"/>
              </w:rPr>
            </w:pPr>
          </w:p>
        </w:tc>
        <w:tc>
          <w:tcPr>
            <w:tcW w:w="4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22"/>
                <w:szCs w:val="22"/>
                <w:color w:val="auto"/>
              </w:rPr>
            </w:pPr>
          </w:p>
        </w:tc>
      </w:tr>
      <w:tr>
        <w:trPr>
          <w:trHeight w:val="242"/>
        </w:trPr>
        <w:tc>
          <w:tcPr>
            <w:tcW w:w="20" w:type="dxa"/>
            <w:vAlign w:val="bottom"/>
          </w:tcPr>
          <w:p>
            <w:pPr>
              <w:spacing w:after="0"/>
              <w:rPr>
                <w:sz w:val="21"/>
                <w:szCs w:val="21"/>
                <w:color w:val="auto"/>
              </w:rPr>
            </w:pPr>
          </w:p>
        </w:tc>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time deposits</w:t>
            </w:r>
          </w:p>
        </w:tc>
        <w:tc>
          <w:tcPr>
            <w:tcW w:w="24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64</w:t>
            </w:r>
          </w:p>
        </w:tc>
        <w:tc>
          <w:tcPr>
            <w:tcW w:w="2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tcPr>
          <w:p>
            <w:pPr>
              <w:spacing w:after="0"/>
              <w:rPr>
                <w:sz w:val="21"/>
                <w:szCs w:val="21"/>
                <w:color w:val="auto"/>
              </w:rPr>
            </w:pPr>
          </w:p>
        </w:tc>
      </w:tr>
      <w:tr>
        <w:trPr>
          <w:trHeight w:val="231"/>
        </w:trPr>
        <w:tc>
          <w:tcPr>
            <w:tcW w:w="20" w:type="dxa"/>
            <w:vAlign w:val="bottom"/>
          </w:tcPr>
          <w:p>
            <w:pPr>
              <w:spacing w:after="0"/>
              <w:rPr>
                <w:sz w:val="20"/>
                <w:szCs w:val="20"/>
                <w:color w:val="auto"/>
              </w:rPr>
            </w:pPr>
          </w:p>
        </w:tc>
        <w:tc>
          <w:tcPr>
            <w:tcW w:w="646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Total interest expense</w:t>
            </w:r>
          </w:p>
        </w:tc>
        <w:tc>
          <w:tcPr>
            <w:tcW w:w="2420" w:type="dxa"/>
            <w:vAlign w:val="bottom"/>
            <w:tcBorders>
              <w:bottom w:val="single" w:sz="8" w:color="auto"/>
            </w:tcBorders>
            <w:shd w:val="clear" w:color="auto" w:fill="C0C0C0"/>
          </w:tcPr>
          <w:p>
            <w:pPr>
              <w:spacing w:after="0"/>
              <w:rPr>
                <w:sz w:val="20"/>
                <w:szCs w:val="20"/>
                <w:color w:val="auto"/>
              </w:rPr>
            </w:pPr>
          </w:p>
        </w:tc>
        <w:tc>
          <w:tcPr>
            <w:tcW w:w="80" w:type="dxa"/>
            <w:vAlign w:val="bottom"/>
            <w:tcBorders>
              <w:bottom w:val="single" w:sz="8" w:color="auto"/>
            </w:tcBorders>
            <w:shd w:val="clear" w:color="auto" w:fill="C0C0C0"/>
          </w:tcPr>
          <w:p>
            <w:pPr>
              <w:spacing w:after="0"/>
              <w:rPr>
                <w:sz w:val="20"/>
                <w:szCs w:val="20"/>
                <w:color w:val="auto"/>
              </w:rPr>
            </w:pPr>
          </w:p>
        </w:tc>
        <w:tc>
          <w:tcPr>
            <w:tcW w:w="800" w:type="dxa"/>
            <w:vAlign w:val="bottom"/>
            <w:tcBorders>
              <w:bottom w:val="single" w:sz="8" w:color="auto"/>
            </w:tcBorders>
            <w:shd w:val="clear" w:color="auto" w:fill="C0C0C0"/>
          </w:tcPr>
          <w:p>
            <w:pPr>
              <w:jc w:val="right"/>
              <w:ind w:right="32"/>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Borders>
              <w:bottom w:val="single" w:sz="8" w:color="auto"/>
            </w:tcBorders>
            <w:shd w:val="clear" w:color="auto" w:fill="C0C0C0"/>
          </w:tcPr>
          <w:p>
            <w:pPr>
              <w:spacing w:after="0"/>
              <w:rPr>
                <w:sz w:val="20"/>
                <w:szCs w:val="20"/>
                <w:color w:val="auto"/>
              </w:rPr>
            </w:pPr>
          </w:p>
        </w:tc>
        <w:tc>
          <w:tcPr>
            <w:tcW w:w="720" w:type="dxa"/>
            <w:vAlign w:val="bottom"/>
            <w:tcBorders>
              <w:bottom w:val="single" w:sz="8" w:color="auto"/>
            </w:tcBorders>
            <w:shd w:val="clear" w:color="auto" w:fill="C0C0C0"/>
          </w:tcPr>
          <w:p>
            <w:pPr>
              <w:jc w:val="right"/>
              <w:ind w:right="32"/>
              <w:spacing w:after="0"/>
              <w:rPr>
                <w:sz w:val="20"/>
                <w:szCs w:val="20"/>
                <w:color w:val="auto"/>
              </w:rPr>
            </w:pPr>
            <w:r>
              <w:rPr>
                <w:rFonts w:ascii="Times New Roman" w:cs="Times New Roman" w:eastAsia="Times New Roman" w:hAnsi="Times New Roman"/>
                <w:sz w:val="18"/>
                <w:szCs w:val="18"/>
                <w:color w:val="auto"/>
              </w:rPr>
              <w:t>568</w:t>
            </w:r>
          </w:p>
        </w:tc>
        <w:tc>
          <w:tcPr>
            <w:tcW w:w="240" w:type="dxa"/>
            <w:vAlign w:val="bottom"/>
            <w:tcBorders>
              <w:bottom w:val="single" w:sz="8" w:color="auto"/>
            </w:tcBorders>
            <w:shd w:val="clear" w:color="auto" w:fill="C0C0C0"/>
          </w:tcPr>
          <w:p>
            <w:pPr>
              <w:spacing w:after="0"/>
              <w:rPr>
                <w:sz w:val="20"/>
                <w:szCs w:val="20"/>
                <w:color w:val="auto"/>
              </w:rPr>
            </w:pPr>
          </w:p>
        </w:tc>
        <w:tc>
          <w:tcPr>
            <w:tcW w:w="40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20" w:type="dxa"/>
            <w:vAlign w:val="bottom"/>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129</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723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1.Interest income includes net loan fees.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2.Interest income is presented on a tax-equivalent basis assuming a tax rate of 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and Allowance for Loan Losses (“ALLL”)</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significant determinant of the Company's operating results can be the provision for loan losses. There was a loan loss provision of $250,000 recorded in the First Quarter of 2019 to support the growth in the loan portfolio. There was no loan loss provision in the First Quarter of 2018. As discussed below, the Company continually analyzes the outstanding loan portfolio based on the performance, financial condition and collateralization of the credits. Net loan recoveries during the First Quarter of 2019 were $11,000, and net loan recoveries during the First Quarter of 2018 were $5,000.</w:t>
      </w:r>
    </w:p>
    <w:p>
      <w:pPr>
        <w:spacing w:after="0" w:line="19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ALLL at March 31, 2019 was $10,486,000 and at December 31, 2018 was $10,225,000. The ratio of ALLL to total loans outstanding at March 31, 2019 was 1.40% compared to 1.42% at December 31, 2018. There were no nonperforming loans at March 31, 2019 or December 31, 2018.</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ALLL has been established and is maintained to absorb reasonably estimated and probable losses in the loan portfolio. An ongoing assessment is performed to determine if the balance is adequate. Charges or credits are made to expense to cover any deficiency or reduce any excess, as required. The current methodology consists of two components: 1) estimated credit losses on individually evaluated loans that are determined to be impaired in accordance with FASB ASC 310 “Allowance for Credit Losses,” and 2) estimated credit losses inherent in the remainder of the loan portfolio in accordance with FASB ASC 450, “Contingencies.” Estimated credit losses are an estimate of the current amount of loans that is probable the Company will be unable to collect according to the original terms.</w:t>
      </w:r>
    </w:p>
    <w:p>
      <w:pPr>
        <w:spacing w:after="0" w:line="1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loans that are individually evaluated, the Company uses two impairment measurement methods: 1) the present value of expected future cash flows and 2) collateral value. For the remainder of the portfolio, the Company groups loans with similar risk characteristics into eight segments and applies historical loss rates to each segment based on a five fiscal-year look-back period. In addition, qualitative factors including credit concentration risk, national and local economic conditions, nature and volume of loan portfolio, legal and regulatory factors, downturns in specific industries including losses in collateral value, trends in credit quality at the Company and in the banking industry and trends in risk-rating agencies are also considered.</w:t>
      </w:r>
    </w:p>
    <w:p>
      <w:pPr>
        <w:spacing w:after="0" w:line="1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Company also utilizes ratio analysis to evaluate the overall reasonableness of the ALLL compared to its peers and required levels of regulatory capital. Federal and state agencies review the Company’s methodology for maintaining the ALLL. These agencies may require the Company to adjust the ALLL based on their judgments and interpretations about information available to them at the time of their examinations.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Summary of Asset Quality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on the Company's provision for loan losses and analysis of the ALLL:</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First Quarter of</w:t>
            </w:r>
          </w:p>
        </w:tc>
      </w:tr>
      <w:tr>
        <w:trPr>
          <w:trHeight w:val="250"/>
        </w:trPr>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7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2019</w:t>
            </w: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43"/>
        </w:trPr>
        <w:tc>
          <w:tcPr>
            <w:tcW w:w="506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Allowance at beginning of period</w:t>
            </w:r>
          </w:p>
        </w:tc>
        <w:tc>
          <w:tcPr>
            <w:tcW w:w="1940" w:type="dxa"/>
            <w:vAlign w:val="bottom"/>
            <w:gridSpan w:val="2"/>
            <w:shd w:val="clear" w:color="auto" w:fill="C0C0C0"/>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0C0C0"/>
          </w:tcPr>
          <w:p>
            <w:pPr>
              <w:jc w:val="right"/>
              <w:ind w:right="192"/>
              <w:spacing w:after="0"/>
              <w:rPr>
                <w:sz w:val="20"/>
                <w:szCs w:val="20"/>
                <w:color w:val="auto"/>
              </w:rPr>
            </w:pPr>
            <w:r>
              <w:rPr>
                <w:rFonts w:ascii="Times New Roman" w:cs="Times New Roman" w:eastAsia="Times New Roman" w:hAnsi="Times New Roman"/>
                <w:sz w:val="18"/>
                <w:szCs w:val="18"/>
                <w:color w:val="auto"/>
              </w:rPr>
              <w:t>10,225</w:t>
            </w:r>
          </w:p>
        </w:tc>
        <w:tc>
          <w:tcPr>
            <w:tcW w:w="340" w:type="dxa"/>
            <w:vAlign w:val="bottom"/>
            <w:shd w:val="clear" w:color="auto" w:fill="C0C0C0"/>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0C0C0"/>
          </w:tcPr>
          <w:p>
            <w:pPr>
              <w:jc w:val="right"/>
              <w:ind w:right="72"/>
              <w:spacing w:after="0"/>
              <w:rPr>
                <w:sz w:val="20"/>
                <w:szCs w:val="20"/>
                <w:color w:val="auto"/>
              </w:rPr>
            </w:pPr>
            <w:r>
              <w:rPr>
                <w:rFonts w:ascii="Times New Roman" w:cs="Times New Roman" w:eastAsia="Times New Roman" w:hAnsi="Times New Roman"/>
                <w:sz w:val="18"/>
                <w:szCs w:val="18"/>
                <w:color w:val="auto"/>
              </w:rPr>
              <w:t>10,205</w:t>
            </w:r>
          </w:p>
        </w:tc>
      </w:tr>
      <w:tr>
        <w:trPr>
          <w:trHeight w:val="23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Provision</w:t>
            </w: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250</w:t>
            </w:r>
          </w:p>
        </w:tc>
        <w:tc>
          <w:tcPr>
            <w:tcW w:w="340" w:type="dxa"/>
            <w:vAlign w:val="bottom"/>
          </w:tcPr>
          <w:p>
            <w:pPr>
              <w:spacing w:after="0"/>
              <w:rPr>
                <w:sz w:val="20"/>
                <w:szCs w:val="20"/>
                <w:color w:val="auto"/>
              </w:rPr>
            </w:pP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60" w:type="dxa"/>
            <w:vAlign w:val="bottom"/>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Loans charged off</w:t>
            </w:r>
          </w:p>
        </w:tc>
        <w:tc>
          <w:tcPr>
            <w:tcW w:w="17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0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Recoveries on loans previously charged off</w:t>
            </w:r>
          </w:p>
        </w:tc>
        <w:tc>
          <w:tcPr>
            <w:tcW w:w="1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506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Net (charge-offs) recoveries</w:t>
            </w:r>
          </w:p>
        </w:tc>
        <w:tc>
          <w:tcPr>
            <w:tcW w:w="17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92"/>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72"/>
              <w:spacing w:after="0"/>
              <w:rPr>
                <w:sz w:val="20"/>
                <w:szCs w:val="20"/>
                <w:color w:val="auto"/>
              </w:rPr>
            </w:pPr>
            <w:r>
              <w:rPr>
                <w:rFonts w:ascii="Times New Roman" w:cs="Times New Roman" w:eastAsia="Times New Roman" w:hAnsi="Times New Roman"/>
                <w:sz w:val="18"/>
                <w:szCs w:val="18"/>
                <w:color w:val="auto"/>
              </w:rPr>
              <w:t>5</w:t>
            </w:r>
          </w:p>
        </w:tc>
      </w:tr>
      <w:tr>
        <w:trPr>
          <w:trHeight w:val="237"/>
        </w:trPr>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Allowance at end of period</w:t>
            </w:r>
          </w:p>
        </w:tc>
        <w:tc>
          <w:tcPr>
            <w:tcW w:w="19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10,486</w:t>
            </w:r>
          </w:p>
        </w:tc>
        <w:tc>
          <w:tcPr>
            <w:tcW w:w="3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10,210</w:t>
            </w:r>
          </w:p>
        </w:tc>
      </w:tr>
      <w:tr>
        <w:trPr>
          <w:trHeight w:val="243"/>
        </w:trPr>
        <w:tc>
          <w:tcPr>
            <w:tcW w:w="506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Loans outstanding:</w:t>
            </w:r>
          </w:p>
        </w:tc>
        <w:tc>
          <w:tcPr>
            <w:tcW w:w="17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96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r>
      <w:tr>
        <w:trPr>
          <w:trHeight w:val="236"/>
        </w:trPr>
        <w:tc>
          <w:tcPr>
            <w:tcW w:w="5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Average</w:t>
            </w: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721,526</w:t>
            </w:r>
          </w:p>
        </w:tc>
        <w:tc>
          <w:tcPr>
            <w:tcW w:w="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690,100</w:t>
            </w:r>
          </w:p>
        </w:tc>
      </w:tr>
      <w:tr>
        <w:trPr>
          <w:trHeight w:val="250"/>
        </w:trPr>
        <w:tc>
          <w:tcPr>
            <w:tcW w:w="5060" w:type="dxa"/>
            <w:vAlign w:val="bottom"/>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March 31</w:t>
            </w:r>
          </w:p>
        </w:tc>
        <w:tc>
          <w:tcPr>
            <w:tcW w:w="17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92"/>
              <w:spacing w:after="0"/>
              <w:rPr>
                <w:sz w:val="20"/>
                <w:szCs w:val="20"/>
                <w:color w:val="auto"/>
              </w:rPr>
            </w:pPr>
            <w:r>
              <w:rPr>
                <w:rFonts w:ascii="Times New Roman" w:cs="Times New Roman" w:eastAsia="Times New Roman" w:hAnsi="Times New Roman"/>
                <w:sz w:val="18"/>
                <w:szCs w:val="18"/>
                <w:color w:val="auto"/>
              </w:rPr>
              <w:t>751,309</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72"/>
              <w:spacing w:after="0"/>
              <w:rPr>
                <w:sz w:val="20"/>
                <w:szCs w:val="20"/>
                <w:color w:val="auto"/>
              </w:rPr>
            </w:pPr>
            <w:r>
              <w:rPr>
                <w:rFonts w:ascii="Times New Roman" w:cs="Times New Roman" w:eastAsia="Times New Roman" w:hAnsi="Times New Roman"/>
                <w:sz w:val="18"/>
                <w:szCs w:val="18"/>
                <w:color w:val="auto"/>
              </w:rPr>
              <w:t>702,000</w:t>
            </w:r>
          </w:p>
        </w:tc>
      </w:tr>
      <w:tr>
        <w:trPr>
          <w:trHeight w:val="23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Ratio of ALLL to loans outstanding:</w:t>
            </w: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50"/>
        </w:trPr>
        <w:tc>
          <w:tcPr>
            <w:tcW w:w="5060" w:type="dxa"/>
            <w:vAlign w:val="bottom"/>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Average</w:t>
            </w:r>
          </w:p>
        </w:tc>
        <w:tc>
          <w:tcPr>
            <w:tcW w:w="17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1.45%</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28"/>
        </w:trPr>
        <w:tc>
          <w:tcPr>
            <w:tcW w:w="5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March 31</w:t>
            </w: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1.40</w:t>
            </w:r>
          </w:p>
        </w:tc>
        <w:tc>
          <w:tcPr>
            <w:tcW w:w="340" w:type="dxa"/>
            <w:vAlign w:val="bottom"/>
          </w:tcPr>
          <w:p>
            <w:pPr>
              <w:spacing w:after="0"/>
              <w:rPr>
                <w:sz w:val="19"/>
                <w:szCs w:val="19"/>
                <w:color w:val="auto"/>
              </w:rPr>
            </w:pP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1.45</w:t>
            </w:r>
          </w:p>
        </w:tc>
      </w:tr>
      <w:tr>
        <w:trPr>
          <w:trHeight w:val="258"/>
        </w:trPr>
        <w:tc>
          <w:tcPr>
            <w:tcW w:w="506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Impaired loans:</w:t>
            </w:r>
          </w:p>
        </w:tc>
        <w:tc>
          <w:tcPr>
            <w:tcW w:w="1720" w:type="dxa"/>
            <w:vAlign w:val="bottom"/>
            <w:shd w:val="clear" w:color="auto" w:fill="C0C0C0"/>
          </w:tcPr>
          <w:p>
            <w:pPr>
              <w:spacing w:after="0"/>
              <w:rPr>
                <w:sz w:val="22"/>
                <w:szCs w:val="22"/>
                <w:color w:val="auto"/>
              </w:rPr>
            </w:pPr>
          </w:p>
        </w:tc>
        <w:tc>
          <w:tcPr>
            <w:tcW w:w="220" w:type="dxa"/>
            <w:vAlign w:val="bottom"/>
            <w:shd w:val="clear" w:color="auto" w:fill="C0C0C0"/>
          </w:tcPr>
          <w:p>
            <w:pPr>
              <w:spacing w:after="0"/>
              <w:rPr>
                <w:sz w:val="22"/>
                <w:szCs w:val="22"/>
                <w:color w:val="auto"/>
              </w:rPr>
            </w:pPr>
          </w:p>
        </w:tc>
        <w:tc>
          <w:tcPr>
            <w:tcW w:w="960" w:type="dxa"/>
            <w:vAlign w:val="bottom"/>
            <w:shd w:val="clear" w:color="auto" w:fill="C0C0C0"/>
          </w:tcPr>
          <w:p>
            <w:pPr>
              <w:spacing w:after="0"/>
              <w:rPr>
                <w:sz w:val="22"/>
                <w:szCs w:val="22"/>
                <w:color w:val="auto"/>
              </w:rPr>
            </w:pPr>
          </w:p>
        </w:tc>
        <w:tc>
          <w:tcPr>
            <w:tcW w:w="340" w:type="dxa"/>
            <w:vAlign w:val="bottom"/>
            <w:shd w:val="clear" w:color="auto" w:fill="C0C0C0"/>
          </w:tcPr>
          <w:p>
            <w:pPr>
              <w:spacing w:after="0"/>
              <w:rPr>
                <w:sz w:val="22"/>
                <w:szCs w:val="22"/>
                <w:color w:val="auto"/>
              </w:rPr>
            </w:pPr>
          </w:p>
        </w:tc>
        <w:tc>
          <w:tcPr>
            <w:tcW w:w="840" w:type="dxa"/>
            <w:vAlign w:val="bottom"/>
            <w:shd w:val="clear" w:color="auto" w:fill="C0C0C0"/>
          </w:tcPr>
          <w:p>
            <w:pPr>
              <w:spacing w:after="0"/>
              <w:rPr>
                <w:sz w:val="22"/>
                <w:szCs w:val="22"/>
                <w:color w:val="auto"/>
              </w:rPr>
            </w:pPr>
          </w:p>
        </w:tc>
      </w:tr>
      <w:tr>
        <w:trPr>
          <w:trHeight w:val="236"/>
        </w:trPr>
        <w:tc>
          <w:tcPr>
            <w:tcW w:w="5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Nonaccrual loans</w:t>
            </w: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60" w:type="dxa"/>
            <w:vAlign w:val="bottom"/>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Loans past due 90 days or more</w:t>
            </w:r>
          </w:p>
        </w:tc>
        <w:tc>
          <w:tcPr>
            <w:tcW w:w="17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0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Troubled debt restructurings</w:t>
            </w:r>
          </w:p>
        </w:tc>
        <w:tc>
          <w:tcPr>
            <w:tcW w:w="1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060" w:type="dxa"/>
            <w:vAlign w:val="bottom"/>
            <w:shd w:val="clear" w:color="auto" w:fill="C0C0C0"/>
          </w:tcPr>
          <w:p>
            <w:pPr>
              <w:ind w:left="540"/>
              <w:spacing w:after="0"/>
              <w:rPr>
                <w:sz w:val="20"/>
                <w:szCs w:val="20"/>
                <w:color w:val="auto"/>
              </w:rPr>
            </w:pPr>
            <w:r>
              <w:rPr>
                <w:rFonts w:ascii="Times New Roman" w:cs="Times New Roman" w:eastAsia="Times New Roman" w:hAnsi="Times New Roman"/>
                <w:sz w:val="18"/>
                <w:szCs w:val="18"/>
                <w:color w:val="auto"/>
              </w:rPr>
              <w:t>Total impaired loans</w:t>
            </w:r>
          </w:p>
        </w:tc>
        <w:tc>
          <w:tcPr>
            <w:tcW w:w="1940" w:type="dxa"/>
            <w:vAlign w:val="bottom"/>
            <w:gridSpan w:val="2"/>
            <w:shd w:val="clear" w:color="auto" w:fill="C0C0C0"/>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0C0C0"/>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0C0C0"/>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0C0C0"/>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Foreclosed assets</w:t>
            </w:r>
          </w:p>
        </w:tc>
        <w:tc>
          <w:tcPr>
            <w:tcW w:w="19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6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Impaired loans as percentage of average loans</w:t>
            </w:r>
          </w:p>
        </w:tc>
        <w:tc>
          <w:tcPr>
            <w:tcW w:w="1720" w:type="dxa"/>
            <w:vAlign w:val="bottom"/>
            <w:tcBorders>
              <w:bottom w:val="single" w:sz="8" w:color="auto"/>
            </w:tcBorders>
            <w:shd w:val="clear" w:color="auto" w:fill="C0C0C0"/>
          </w:tcPr>
          <w:p>
            <w:pPr>
              <w:spacing w:after="0"/>
              <w:rPr>
                <w:sz w:val="21"/>
                <w:szCs w:val="21"/>
                <w:color w:val="auto"/>
              </w:rPr>
            </w:pPr>
          </w:p>
        </w:tc>
        <w:tc>
          <w:tcPr>
            <w:tcW w:w="220" w:type="dxa"/>
            <w:vAlign w:val="bottom"/>
            <w:tcBorders>
              <w:bottom w:val="single" w:sz="8" w:color="auto"/>
            </w:tcBorders>
            <w:shd w:val="clear" w:color="auto" w:fill="C0C0C0"/>
          </w:tcPr>
          <w:p>
            <w:pPr>
              <w:spacing w:after="0"/>
              <w:rPr>
                <w:sz w:val="21"/>
                <w:szCs w:val="21"/>
                <w:color w:val="auto"/>
              </w:rPr>
            </w:pPr>
          </w:p>
        </w:tc>
        <w:tc>
          <w:tcPr>
            <w:tcW w:w="960" w:type="dxa"/>
            <w:vAlign w:val="bottom"/>
            <w:tcBorders>
              <w:bottom w:val="single" w:sz="8" w:color="auto"/>
            </w:tcBorders>
            <w:shd w:val="clear" w:color="auto" w:fill="C0C0C0"/>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had no property carried as other real estate owned as of March 31, 2019 and March 31, 2018.</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operating expenses for the First Quarter of 2019 were up 8.7%, or $2,280,000, compared to the First Quarter of 2018.</w:t>
      </w:r>
    </w:p>
    <w:p>
      <w:pPr>
        <w:spacing w:after="0" w:line="22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Personnel expense for the First Quarter of 2019 increased 9.3% to $22,277,000 compared to the First Quarter of 2018 due mainly to on-going strategic investment in the technology and staff required to win and support new business, annual merit salary increases, and increased retirement plan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assets at March 31, 2019 were $1,684,881,000, a decrease of $10,295,000, or 0.6%, from December 31, 2018. The most significant change in asset balances during this period was a decrease in cash and cash equivalents of $46,579,000. This decrease was offset by an increase in loans of $29,722,000. Changes in cash and cash equivalents reflect the Company’s daily liquidity position and are affected by the changes in the other asset balances and changes in deposit and accounts and drafts payable balances.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liabilities at March 31, 2019 were $1,450,401,000, a decrease of $14,927,000, or 1.0%, from December 31, 2018. Total deposits at March 31, 2019 were $655,432,000, a decrease of $66,494,000, or 9.2%, from December 31, 2018. The decrease in deposits was a result of maintaining conservative rates on interest-bearing accounts and daily fluctuations in the B2B payment platform. Accounts and drafts payable at March 31, 2019 were $739,357,000, an increase of $44,997,000, or 6.5%, from December 31, 2018.</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Total shareholders’ equity at March 31, 2019 was $234,480,000, a $4,632,000, or 2.0%, increase from December 31, 2018. Total shareholders’ equity increased as a result of net income of $8,163,000 and the change in accumulated other comprehensive loss of $5,417,000. These were partially offset by share repurchases of $5,701,000 and dividends paid of $3,776,000.</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Accounts and drafts payable will fluctuate from period-end to period-end due to the payment processing cycle, which results in lower balances on days when payments clear and higher balances on days when payments are issued. For this reason, average balances are a more meaningful measure of accounts and drafts payable (for average balances refer to the tables under the “Distribution of Assets, Liabilities and Shareholders’ Equity; Interest Rate and Interest Differential” section of this report).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balance of liquid assets consists of cash and cash equivalents, which include cash and due from banks, interest-bearing deposits in other financial institutions, federal funds sold and money market funds, and was $184,354,000 at March 31, 2019, a decrease of $46,579,000, or 20.2%, from December 31, 2018. At March 31, 2019, these assets represented 10.9% of total assets. These funds are the Company’s and its subsidiaries’ primary source of liquidity to meet future expected and unexpected loan demand, depositor withdrawals or reductions in accounts and drafts payable. Changes in the Company’s daily liquidity position are affected by the changes in the other asset balances and changes in deposit and accounts and drafts payable balances.</w:t>
      </w:r>
    </w:p>
    <w:p>
      <w:pPr>
        <w:spacing w:after="0" w:line="1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Secondary sources of liquidity include the investment portfolio and borrowing lines. Total investment in securities was $441,189,000 at March 31, 2019, a decrease of $345,000 from December 31, 2018. These assets represented 26.2% of total assets at March 31, 2019. Of this total, 76% were state and political subdivision securities. Of the total portfolio, 4.0% mature in one year, 28.2% mature in one to five years, and 67.8% mature in five or more years</w:t>
      </w:r>
      <w:r>
        <w:rPr>
          <w:rFonts w:ascii="Times New Roman" w:cs="Times New Roman" w:eastAsia="Times New Roman" w:hAnsi="Times New Roman"/>
          <w:sz w:val="18"/>
          <w:szCs w:val="18"/>
          <w:i w:val="1"/>
          <w:iCs w:val="1"/>
          <w:color w:val="auto"/>
        </w:rPr>
        <w:t>.</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Bank has unsecured lines of credit at correspondent banks to purchase federal funds up to a maximum of $83,000,000 at the following banks: US Bank, $20,000,000; Wells Fargo Bank, $15,000,000; Frost National Bank, $10,000,000; PNC Bank, $12,000,000; UMB Bank, $20,000,000; and JPM Chase Bank, $6,000,000. The Bank also has secured lines of credit with the Federal Home Loan Bank of $197,164,000 collateralized by commercial mortgage loans. The Company also has secured lines of credit with UMB Bank of $50,000,000 and First Tennessee Bank of $50,000,000 collateralized by state and political subdivision securities. There were no amounts outstanding under any line of credit as of March 31, 2019 or December 31, 2018.</w:t>
      </w:r>
    </w:p>
    <w:p>
      <w:pPr>
        <w:spacing w:after="0" w:line="1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deposits of the Company's banking subsidiary have historically been stable, consisting of a sizable volume of core deposits related to customers that utilize other commercial products of the Bank. The accounts and drafts payable generated by the Company has also historically been a stable source of funds. The Company is part of the Certificate of Deposit Account Registry Service (“CDARS”) and Insured Cash Sweep (“ICS”) deposit placement programs. Time deposits include $39,968,000 of CDARS deposits and interest-bearing demand deposits include $62,809,000 of ICS deposits. These programs offer the Bank’s customers the ability to maximize Federal Deposit Insurance Corporation (“FDIC”) insurance coverage. The Company uses these programs to retain or attract deposits from existing customers.</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cash flows provided by operating activities were $16,435,000 for the three months ended March 31, 2019, compared to $18,159,000 for the three months ended March 31, 2018, a decrease of $1,724,000. Net cash flows from investing and financing activities fluctuate greatly as the Company actively manages its investment and loan portfolios and customer activity influences changes in deposit and accounts and drafts payable balances. Other causes for the changes in these account balances are discussed earlier in this report. Due to the daily fluctuations in these account balances, the analysis of changes in average balances, also discussed earlier in this report, can be more indicative of underlying activity than the period-end balances used in the statements of cash flows. Management anticipates that cash and cash equivalents, maturing investments and cash from operations will continue to be sufficient to fund the Company’s operations and capital expenditures in 2019, which are estimated to range from $4 million to $6 million.</w:t>
      </w:r>
    </w:p>
    <w:p>
      <w:pPr>
        <w:spacing w:after="0" w:line="19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Company faces market risk to the extent that its net interest income and fair market value of equity are affected by changes in market interest rates. For information regarding the market risk of the Company’s financial instruments, see Item 3, “Quantitative and Qualitative Disclosures about Market Risk.”</w:t>
      </w:r>
    </w:p>
    <w:p>
      <w:pPr>
        <w:spacing w:after="0" w:line="1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There are several trends and uncertainties that may impact the Company’s ability to generate revenues and income at the levels that it has in the past. In addition, these trends and uncertainties may impact available liquidity. Those that could significantly impact the Company include the general levels of interest rates, business activity, and energy costs as well as new business opportunities available to the Company.</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financial institution, a significant source of the Company’s earnings is generated from net interest income. Therefore, the prevailing interest rate environment is important to the Company’s performance. A major portion of the Company’s funding sources are the non-interest bearing accounts and drafts payable generated from its payment and information processing services. Accordingly, higher levels of interest rates will generally allow the Company to earn more net interest income. Conversely, a lower interest rate environment will generally tend to depress net interest income. The Company actively manages its balance sheet in an effort to maximize net interest income as the interest rate environment changes. This balance sheet management impacts the mix of earning assets maintained by the Company at any point in time. For example, in a low interest rate environment, short-term relatively lower rate liquid investments may be reduced in favor of longer term relatively higher yielding investments and loans. If the primary source of liquidity is reduced in a low interest rate environment, a greater reliance would be placed on secondary sources of liquidity including borrowing lines, the ability of the Bank to generate deposits, and the investment portfolio to ensure overall liquidity remains at acceptable levels.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26" w:name="page27"/>
    <w:bookmarkEnd w:id="26"/>
    <w:p>
      <w:pPr>
        <w:jc w:val="both"/>
        <w:spacing w:after="0" w:line="262" w:lineRule="auto"/>
        <w:rPr>
          <w:sz w:val="20"/>
          <w:szCs w:val="20"/>
          <w:color w:val="auto"/>
        </w:rPr>
      </w:pPr>
      <w:r>
        <w:rPr>
          <w:rFonts w:ascii="Times New Roman" w:cs="Times New Roman" w:eastAsia="Times New Roman" w:hAnsi="Times New Roman"/>
          <w:sz w:val="18"/>
          <w:szCs w:val="18"/>
          <w:color w:val="auto"/>
        </w:rPr>
        <w:t>The overall level of economic activity can have a significant impact on the Company’s ability to generate revenues and income, as the volume and size of customer invoices processed may increase or decrease. Higher levels of economic activity increase both fee income (as more invoices are processed) and balances of accounts and drafts payable.</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relative level of energy costs can impact the Company’s earnings and available liquidity. Lower levels of energy costs will tend to decrease transportation and energy invoice amounts resulting in a corresponding decrease in accounts and drafts payable. Decreases in accounts and drafts payable generate lower interest income.</w:t>
      </w:r>
    </w:p>
    <w:p>
      <w:pPr>
        <w:spacing w:after="0" w:line="18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New business opportunities are an important component of the Company’s strategy to grow earnings and improve performance. Generating new customers allows the Company to leverage existing systems and facilities and grow revenues faster than expenses.</w:t>
      </w:r>
    </w:p>
    <w:p>
      <w:pPr>
        <w:spacing w:after="0" w:line="1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Basel III Capital Rules require FDIC insured depository institutions to meet and maintain several minimum capital standards: a common equity Tier 1 capital to risk-based assets ratio of 4.5%, a Tier 1 capital to risk-based assets ratio of 6.0%, a total capital to risk-based assets of 8.0%, and a 4.0% Tier 1 capital to total assets leverage ratio.</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Common equity Tier 1 capital is generally defined as common stockholders’ equity and retained earnings. Tier 1 capital is generally defined as common equity Tier 1 and Additional Tier 1 capital. Additional Tier 1 capital generally includes certain noncumulative perpetual preferred stock and related surplus and minority interests in equity accounts of consolidated subsidiaries. Total capital includes Tier 1 capital (common equity Tier 1 capital plus Additional Tier 1 capital) and Tier 2 capital. Tier 2 capital is comprised of capital instruments and related surplus meeting specified requirements. Also included in Tier 2 capital is the allowance for loan losses limited to a maximum of 1.25% of risk-weighted assets and, for non-advanced approaches institutions like Cass that have exercised a one-time opt-out election regarding the treatment of Accumulated Other Comprehensive Income, up to 45% of net unrealized gains on available-for-sale equity securities with readily determinable fair market values. The calculation of all types of regulatory capital is subject to deductions and adjustments specified in applicable regulations.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determining the amount of risk-weighted assets for purposes of calculating risk-based capital ratios, all assets, including certain off-balance sheet assets are multiplied by a risk weight factor assigned by the regulations based on the risks believed inherent in the type of asset. Higher levels of capital are required for asset categories believed to present greater risk. For example, a risk weight of 0% is assigned to cash and U.S. government securities, a risk weight of 50% is generally assigned to prudently underwritten first lien one to four-family residential mortgages, a risk weight of 100% is assigned to commercial and consumer loans, a risk weight of 150% is assigned to certain past due loans, and a risk weight of between 0% to 600% is assigned to permissible equity interests, depending on certain specified factors.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Fully phased-in as of January 1, 2019, the Basel III Capital Rules require banking organizations, like Cass, to maintain:</w:t>
      </w:r>
    </w:p>
    <w:p>
      <w:pPr>
        <w:spacing w:after="0" w:line="221" w:lineRule="exact"/>
        <w:rPr>
          <w:sz w:val="20"/>
          <w:szCs w:val="20"/>
          <w:color w:val="auto"/>
        </w:rPr>
      </w:pPr>
    </w:p>
    <w:p>
      <w:pPr>
        <w:ind w:left="540" w:hanging="262"/>
        <w:spacing w:after="0"/>
        <w:tabs>
          <w:tab w:leader="none" w:pos="5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minimum ratio of common equity Tier 1 capital to risk-weighted assets of at least 4.5%, plus a 2.5% capital conservation buffer;</w:t>
      </w:r>
    </w:p>
    <w:p>
      <w:pPr>
        <w:spacing w:after="0" w:line="27" w:lineRule="exact"/>
        <w:rPr>
          <w:rFonts w:ascii="Times New Roman" w:cs="Times New Roman" w:eastAsia="Times New Roman" w:hAnsi="Times New Roman"/>
          <w:sz w:val="17"/>
          <w:szCs w:val="17"/>
          <w:color w:val="auto"/>
        </w:rPr>
      </w:pPr>
    </w:p>
    <w:p>
      <w:pPr>
        <w:ind w:left="540" w:hanging="262"/>
        <w:spacing w:after="0"/>
        <w:tabs>
          <w:tab w:leader="none" w:pos="5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minimum ratio of Tier 1 capital to risk-weighted assets of at least 6.0%, plus a 2.5% capital conservation buffer;</w:t>
      </w:r>
    </w:p>
    <w:p>
      <w:pPr>
        <w:spacing w:after="0" w:line="9" w:lineRule="exact"/>
        <w:rPr>
          <w:rFonts w:ascii="Times New Roman" w:cs="Times New Roman" w:eastAsia="Times New Roman" w:hAnsi="Times New Roman"/>
          <w:sz w:val="17"/>
          <w:szCs w:val="17"/>
          <w:color w:val="auto"/>
        </w:rPr>
      </w:pPr>
    </w:p>
    <w:p>
      <w:pPr>
        <w:ind w:left="540" w:hanging="262"/>
        <w:spacing w:after="0" w:line="250" w:lineRule="auto"/>
        <w:tabs>
          <w:tab w:leader="none" w:pos="5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minimum ratio of total capital (that is, Tier 1 plus Tier 2 capital) to risk-weighted assets of at least 8.0%, plus the 2.5% capital conservation buffer; and</w:t>
      </w:r>
    </w:p>
    <w:p>
      <w:pPr>
        <w:ind w:left="540" w:hanging="262"/>
        <w:spacing w:after="0"/>
        <w:tabs>
          <w:tab w:leader="none" w:pos="5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minimum leverage ratio of 4.0%, calculated as the ratio of Tier 1 capital to adjusted average consolidated assets.</w:t>
      </w:r>
    </w:p>
    <w:p>
      <w:pPr>
        <w:spacing w:after="0" w:line="21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capital conservation buffer is designed to absorb losses during periods of economic stress. Banking institutions with a ratio of common equity Tier 1 capital to risk-weighted assets above the minimum but below the conservation buffer will face limitations on the payment of dividends, common stock repurchases and discretionary cash payments to executive officers based on the amount of the shortfall.</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The Company and the Bank continue to exceed all regulatory capital requirements, as evidenced by the following capital amounts and ratios: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26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43"/>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2080" w:type="dxa"/>
            <w:vAlign w:val="bottom"/>
          </w:tcPr>
          <w:p>
            <w:pPr>
              <w:spacing w:after="0"/>
              <w:rPr>
                <w:sz w:val="21"/>
                <w:szCs w:val="21"/>
                <w:color w:val="auto"/>
              </w:rPr>
            </w:pP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Ratio</w:t>
            </w:r>
          </w:p>
        </w:tc>
        <w:tc>
          <w:tcPr>
            <w:tcW w:w="260" w:type="dxa"/>
            <w:vAlign w:val="bottom"/>
          </w:tcPr>
          <w:p>
            <w:pPr>
              <w:spacing w:after="0"/>
              <w:rPr>
                <w:sz w:val="21"/>
                <w:szCs w:val="21"/>
                <w:color w:val="auto"/>
              </w:rPr>
            </w:pP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680" w:type="dxa"/>
            <w:vAlign w:val="bottom"/>
          </w:tcPr>
          <w:p>
            <w:pPr>
              <w:jc w:val="center"/>
              <w:ind w:left="32"/>
              <w:spacing w:after="0"/>
              <w:rPr>
                <w:sz w:val="20"/>
                <w:szCs w:val="20"/>
                <w:color w:val="auto"/>
              </w:rPr>
            </w:pPr>
            <w:r>
              <w:rPr>
                <w:rFonts w:ascii="Times New Roman" w:cs="Times New Roman" w:eastAsia="Times New Roman" w:hAnsi="Times New Roman"/>
                <w:sz w:val="18"/>
                <w:szCs w:val="18"/>
                <w:b w:val="1"/>
                <w:bCs w:val="1"/>
                <w:color w:val="auto"/>
                <w:w w:val="95"/>
              </w:rPr>
              <w:t>Ratio</w:t>
            </w:r>
          </w:p>
        </w:tc>
      </w:tr>
      <w:tr>
        <w:trPr>
          <w:trHeight w:val="259"/>
        </w:trPr>
        <w:tc>
          <w:tcPr>
            <w:tcW w:w="576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2080" w:type="dxa"/>
            <w:vAlign w:val="bottom"/>
            <w:shd w:val="clear" w:color="auto" w:fill="C0C0C0"/>
          </w:tcPr>
          <w:p>
            <w:pPr>
              <w:spacing w:after="0"/>
              <w:rPr>
                <w:sz w:val="22"/>
                <w:szCs w:val="22"/>
                <w:color w:val="auto"/>
              </w:rPr>
            </w:pPr>
          </w:p>
        </w:tc>
        <w:tc>
          <w:tcPr>
            <w:tcW w:w="920" w:type="dxa"/>
            <w:vAlign w:val="bottom"/>
            <w:shd w:val="clear" w:color="auto" w:fill="C0C0C0"/>
          </w:tcPr>
          <w:p>
            <w:pPr>
              <w:spacing w:after="0"/>
              <w:rPr>
                <w:sz w:val="22"/>
                <w:szCs w:val="22"/>
                <w:color w:val="auto"/>
              </w:rPr>
            </w:pPr>
          </w:p>
        </w:tc>
        <w:tc>
          <w:tcPr>
            <w:tcW w:w="800" w:type="dxa"/>
            <w:vAlign w:val="bottom"/>
            <w:shd w:val="clear" w:color="auto" w:fill="C0C0C0"/>
          </w:tcPr>
          <w:p>
            <w:pPr>
              <w:spacing w:after="0"/>
              <w:rPr>
                <w:sz w:val="22"/>
                <w:szCs w:val="22"/>
                <w:color w:val="auto"/>
              </w:rPr>
            </w:pPr>
          </w:p>
        </w:tc>
        <w:tc>
          <w:tcPr>
            <w:tcW w:w="260" w:type="dxa"/>
            <w:vAlign w:val="bottom"/>
            <w:shd w:val="clear" w:color="auto" w:fill="C0C0C0"/>
          </w:tcPr>
          <w:p>
            <w:pPr>
              <w:spacing w:after="0"/>
              <w:rPr>
                <w:sz w:val="22"/>
                <w:szCs w:val="22"/>
                <w:color w:val="auto"/>
              </w:rPr>
            </w:pPr>
          </w:p>
        </w:tc>
        <w:tc>
          <w:tcPr>
            <w:tcW w:w="920" w:type="dxa"/>
            <w:vAlign w:val="bottom"/>
            <w:shd w:val="clear" w:color="auto" w:fill="C0C0C0"/>
          </w:tcPr>
          <w:p>
            <w:pPr>
              <w:spacing w:after="0"/>
              <w:rPr>
                <w:sz w:val="22"/>
                <w:szCs w:val="22"/>
                <w:color w:val="auto"/>
              </w:rPr>
            </w:pPr>
          </w:p>
        </w:tc>
        <w:tc>
          <w:tcPr>
            <w:tcW w:w="680" w:type="dxa"/>
            <w:vAlign w:val="bottom"/>
            <w:shd w:val="clear" w:color="auto" w:fill="C0C0C0"/>
          </w:tcPr>
          <w:p>
            <w:pPr>
              <w:spacing w:after="0"/>
              <w:rPr>
                <w:sz w:val="22"/>
                <w:szCs w:val="22"/>
                <w:color w:val="auto"/>
              </w:rPr>
            </w:pPr>
          </w:p>
        </w:tc>
      </w:tr>
      <w:tr>
        <w:trPr>
          <w:trHeight w:val="236"/>
        </w:trPr>
        <w:tc>
          <w:tcPr>
            <w:tcW w:w="5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244,230</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20.58%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244,660</w:t>
            </w:r>
          </w:p>
        </w:tc>
        <w:tc>
          <w:tcPr>
            <w:tcW w:w="68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7"/>
              </w:rPr>
              <w:t>21.38%</w:t>
            </w:r>
          </w:p>
        </w:tc>
      </w:tr>
      <w:tr>
        <w:trPr>
          <w:trHeight w:val="250"/>
        </w:trPr>
        <w:tc>
          <w:tcPr>
            <w:tcW w:w="5760" w:type="dxa"/>
            <w:vAlign w:val="bottom"/>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Cass Commercial Bank</w:t>
            </w:r>
          </w:p>
        </w:tc>
        <w:tc>
          <w:tcPr>
            <w:tcW w:w="208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141,952</w:t>
            </w:r>
          </w:p>
        </w:tc>
        <w:tc>
          <w:tcPr>
            <w:tcW w:w="800" w:type="dxa"/>
            <w:vAlign w:val="bottom"/>
            <w:shd w:val="clear" w:color="auto" w:fill="C0C0C0"/>
          </w:tcPr>
          <w:p>
            <w:pPr>
              <w:jc w:val="center"/>
              <w:spacing w:after="0"/>
              <w:rPr>
                <w:sz w:val="20"/>
                <w:szCs w:val="20"/>
                <w:color w:val="auto"/>
              </w:rPr>
            </w:pPr>
            <w:r>
              <w:rPr>
                <w:rFonts w:ascii="Times New Roman" w:cs="Times New Roman" w:eastAsia="Times New Roman" w:hAnsi="Times New Roman"/>
                <w:sz w:val="18"/>
                <w:szCs w:val="18"/>
                <w:color w:val="auto"/>
                <w:w w:val="97"/>
              </w:rPr>
              <w:t>18.38%</w:t>
            </w:r>
          </w:p>
        </w:tc>
        <w:tc>
          <w:tcPr>
            <w:tcW w:w="26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72"/>
              <w:spacing w:after="0"/>
              <w:rPr>
                <w:sz w:val="20"/>
                <w:szCs w:val="20"/>
                <w:color w:val="auto"/>
              </w:rPr>
            </w:pPr>
            <w:r>
              <w:rPr>
                <w:rFonts w:ascii="Times New Roman" w:cs="Times New Roman" w:eastAsia="Times New Roman" w:hAnsi="Times New Roman"/>
                <w:sz w:val="18"/>
                <w:szCs w:val="18"/>
                <w:color w:val="auto"/>
              </w:rPr>
              <w:t>137,894</w:t>
            </w:r>
          </w:p>
        </w:tc>
        <w:tc>
          <w:tcPr>
            <w:tcW w:w="680" w:type="dxa"/>
            <w:vAlign w:val="bottom"/>
            <w:shd w:val="clear" w:color="auto" w:fill="C0C0C0"/>
          </w:tcPr>
          <w:p>
            <w:pPr>
              <w:jc w:val="center"/>
              <w:ind w:left="52"/>
              <w:spacing w:after="0"/>
              <w:rPr>
                <w:sz w:val="20"/>
                <w:szCs w:val="20"/>
                <w:color w:val="auto"/>
              </w:rPr>
            </w:pPr>
            <w:r>
              <w:rPr>
                <w:rFonts w:ascii="Times New Roman" w:cs="Times New Roman" w:eastAsia="Times New Roman" w:hAnsi="Times New Roman"/>
                <w:sz w:val="18"/>
                <w:szCs w:val="18"/>
                <w:color w:val="auto"/>
                <w:w w:val="97"/>
              </w:rPr>
              <w:t>18.31%</w:t>
            </w:r>
          </w:p>
        </w:tc>
      </w:tr>
      <w:tr>
        <w:trPr>
          <w:trHeight w:val="23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Common equity tier I capital (to risk-weighted assets)</w:t>
            </w:r>
          </w:p>
        </w:tc>
        <w:tc>
          <w:tcPr>
            <w:tcW w:w="2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50"/>
        </w:trPr>
        <w:tc>
          <w:tcPr>
            <w:tcW w:w="5760" w:type="dxa"/>
            <w:vAlign w:val="bottom"/>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208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233,744</w:t>
            </w:r>
          </w:p>
        </w:tc>
        <w:tc>
          <w:tcPr>
            <w:tcW w:w="800" w:type="dxa"/>
            <w:vAlign w:val="bottom"/>
            <w:shd w:val="clear" w:color="auto" w:fill="C0C0C0"/>
          </w:tcPr>
          <w:p>
            <w:pPr>
              <w:jc w:val="center"/>
              <w:spacing w:after="0"/>
              <w:rPr>
                <w:sz w:val="20"/>
                <w:szCs w:val="20"/>
                <w:color w:val="auto"/>
              </w:rPr>
            </w:pPr>
            <w:r>
              <w:rPr>
                <w:rFonts w:ascii="Times New Roman" w:cs="Times New Roman" w:eastAsia="Times New Roman" w:hAnsi="Times New Roman"/>
                <w:sz w:val="18"/>
                <w:szCs w:val="18"/>
                <w:color w:val="auto"/>
                <w:w w:val="97"/>
              </w:rPr>
              <w:t>19.70%</w:t>
            </w:r>
          </w:p>
        </w:tc>
        <w:tc>
          <w:tcPr>
            <w:tcW w:w="2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0C0C0"/>
          </w:tcPr>
          <w:p>
            <w:pPr>
              <w:jc w:val="right"/>
              <w:ind w:right="72"/>
              <w:spacing w:after="0"/>
              <w:rPr>
                <w:sz w:val="20"/>
                <w:szCs w:val="20"/>
                <w:color w:val="auto"/>
              </w:rPr>
            </w:pPr>
            <w:r>
              <w:rPr>
                <w:rFonts w:ascii="Times New Roman" w:cs="Times New Roman" w:eastAsia="Times New Roman" w:hAnsi="Times New Roman"/>
                <w:sz w:val="18"/>
                <w:szCs w:val="18"/>
                <w:color w:val="auto"/>
              </w:rPr>
              <w:t>234,435</w:t>
            </w:r>
          </w:p>
        </w:tc>
        <w:tc>
          <w:tcPr>
            <w:tcW w:w="680" w:type="dxa"/>
            <w:vAlign w:val="bottom"/>
            <w:shd w:val="clear" w:color="auto" w:fill="C0C0C0"/>
          </w:tcPr>
          <w:p>
            <w:pPr>
              <w:jc w:val="center"/>
              <w:ind w:left="52"/>
              <w:spacing w:after="0"/>
              <w:rPr>
                <w:sz w:val="20"/>
                <w:szCs w:val="20"/>
                <w:color w:val="auto"/>
              </w:rPr>
            </w:pPr>
            <w:r>
              <w:rPr>
                <w:rFonts w:ascii="Times New Roman" w:cs="Times New Roman" w:eastAsia="Times New Roman" w:hAnsi="Times New Roman"/>
                <w:sz w:val="18"/>
                <w:szCs w:val="18"/>
                <w:color w:val="auto"/>
                <w:w w:val="97"/>
              </w:rPr>
              <w:t>20.49%</w:t>
            </w:r>
          </w:p>
        </w:tc>
      </w:tr>
      <w:tr>
        <w:trPr>
          <w:trHeight w:val="228"/>
        </w:trPr>
        <w:tc>
          <w:tcPr>
            <w:tcW w:w="5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Cass Commercial Bank</w:t>
            </w:r>
          </w:p>
        </w:tc>
        <w:tc>
          <w:tcPr>
            <w:tcW w:w="2080" w:type="dxa"/>
            <w:vAlign w:val="bottom"/>
          </w:tcPr>
          <w:p>
            <w:pPr>
              <w:spacing w:after="0"/>
              <w:rPr>
                <w:sz w:val="19"/>
                <w:szCs w:val="19"/>
                <w:color w:val="auto"/>
              </w:rPr>
            </w:pP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134,034</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17.35%</w:t>
            </w:r>
          </w:p>
        </w:tc>
        <w:tc>
          <w:tcPr>
            <w:tcW w:w="260" w:type="dxa"/>
            <w:vAlign w:val="bottom"/>
          </w:tcPr>
          <w:p>
            <w:pPr>
              <w:spacing w:after="0"/>
              <w:rPr>
                <w:sz w:val="19"/>
                <w:szCs w:val="19"/>
                <w:color w:val="auto"/>
              </w:rPr>
            </w:pP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130,037</w:t>
            </w:r>
          </w:p>
        </w:tc>
        <w:tc>
          <w:tcPr>
            <w:tcW w:w="68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7"/>
              </w:rPr>
              <w:t>17.26%</w:t>
            </w:r>
          </w:p>
        </w:tc>
      </w:tr>
      <w:tr>
        <w:trPr>
          <w:trHeight w:val="258"/>
        </w:trPr>
        <w:tc>
          <w:tcPr>
            <w:tcW w:w="576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Tier I capital (to risk-weighted assets)</w:t>
            </w:r>
          </w:p>
        </w:tc>
        <w:tc>
          <w:tcPr>
            <w:tcW w:w="2080" w:type="dxa"/>
            <w:vAlign w:val="bottom"/>
            <w:shd w:val="clear" w:color="auto" w:fill="C0C0C0"/>
          </w:tcPr>
          <w:p>
            <w:pPr>
              <w:spacing w:after="0"/>
              <w:rPr>
                <w:sz w:val="22"/>
                <w:szCs w:val="22"/>
                <w:color w:val="auto"/>
              </w:rPr>
            </w:pPr>
          </w:p>
        </w:tc>
        <w:tc>
          <w:tcPr>
            <w:tcW w:w="920" w:type="dxa"/>
            <w:vAlign w:val="bottom"/>
            <w:shd w:val="clear" w:color="auto" w:fill="C0C0C0"/>
          </w:tcPr>
          <w:p>
            <w:pPr>
              <w:spacing w:after="0"/>
              <w:rPr>
                <w:sz w:val="22"/>
                <w:szCs w:val="22"/>
                <w:color w:val="auto"/>
              </w:rPr>
            </w:pPr>
          </w:p>
        </w:tc>
        <w:tc>
          <w:tcPr>
            <w:tcW w:w="800" w:type="dxa"/>
            <w:vAlign w:val="bottom"/>
            <w:shd w:val="clear" w:color="auto" w:fill="C0C0C0"/>
          </w:tcPr>
          <w:p>
            <w:pPr>
              <w:spacing w:after="0"/>
              <w:rPr>
                <w:sz w:val="22"/>
                <w:szCs w:val="22"/>
                <w:color w:val="auto"/>
              </w:rPr>
            </w:pPr>
          </w:p>
        </w:tc>
        <w:tc>
          <w:tcPr>
            <w:tcW w:w="260" w:type="dxa"/>
            <w:vAlign w:val="bottom"/>
            <w:shd w:val="clear" w:color="auto" w:fill="C0C0C0"/>
          </w:tcPr>
          <w:p>
            <w:pPr>
              <w:spacing w:after="0"/>
              <w:rPr>
                <w:sz w:val="22"/>
                <w:szCs w:val="22"/>
                <w:color w:val="auto"/>
              </w:rPr>
            </w:pPr>
          </w:p>
        </w:tc>
        <w:tc>
          <w:tcPr>
            <w:tcW w:w="920" w:type="dxa"/>
            <w:vAlign w:val="bottom"/>
            <w:shd w:val="clear" w:color="auto" w:fill="C0C0C0"/>
          </w:tcPr>
          <w:p>
            <w:pPr>
              <w:spacing w:after="0"/>
              <w:rPr>
                <w:sz w:val="22"/>
                <w:szCs w:val="22"/>
                <w:color w:val="auto"/>
              </w:rPr>
            </w:pPr>
          </w:p>
        </w:tc>
        <w:tc>
          <w:tcPr>
            <w:tcW w:w="680" w:type="dxa"/>
            <w:vAlign w:val="bottom"/>
            <w:shd w:val="clear" w:color="auto" w:fill="C0C0C0"/>
          </w:tcPr>
          <w:p>
            <w:pPr>
              <w:spacing w:after="0"/>
              <w:rPr>
                <w:sz w:val="22"/>
                <w:szCs w:val="22"/>
                <w:color w:val="auto"/>
              </w:rPr>
            </w:pPr>
          </w:p>
        </w:tc>
      </w:tr>
      <w:tr>
        <w:trPr>
          <w:trHeight w:val="236"/>
        </w:trPr>
        <w:tc>
          <w:tcPr>
            <w:tcW w:w="5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233,744</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19.70%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234,435</w:t>
            </w:r>
          </w:p>
        </w:tc>
        <w:tc>
          <w:tcPr>
            <w:tcW w:w="68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7"/>
              </w:rPr>
              <w:t>20.49%</w:t>
            </w:r>
          </w:p>
        </w:tc>
      </w:tr>
      <w:tr>
        <w:trPr>
          <w:trHeight w:val="250"/>
        </w:trPr>
        <w:tc>
          <w:tcPr>
            <w:tcW w:w="5760" w:type="dxa"/>
            <w:vAlign w:val="bottom"/>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Cass Commercial Bank</w:t>
            </w:r>
          </w:p>
        </w:tc>
        <w:tc>
          <w:tcPr>
            <w:tcW w:w="208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134,034</w:t>
            </w:r>
          </w:p>
        </w:tc>
        <w:tc>
          <w:tcPr>
            <w:tcW w:w="800" w:type="dxa"/>
            <w:vAlign w:val="bottom"/>
            <w:shd w:val="clear" w:color="auto" w:fill="C0C0C0"/>
          </w:tcPr>
          <w:p>
            <w:pPr>
              <w:jc w:val="center"/>
              <w:spacing w:after="0"/>
              <w:rPr>
                <w:sz w:val="20"/>
                <w:szCs w:val="20"/>
                <w:color w:val="auto"/>
              </w:rPr>
            </w:pPr>
            <w:r>
              <w:rPr>
                <w:rFonts w:ascii="Times New Roman" w:cs="Times New Roman" w:eastAsia="Times New Roman" w:hAnsi="Times New Roman"/>
                <w:sz w:val="18"/>
                <w:szCs w:val="18"/>
                <w:color w:val="auto"/>
                <w:w w:val="97"/>
              </w:rPr>
              <w:t>17.35%</w:t>
            </w:r>
          </w:p>
        </w:tc>
        <w:tc>
          <w:tcPr>
            <w:tcW w:w="26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72"/>
              <w:spacing w:after="0"/>
              <w:rPr>
                <w:sz w:val="20"/>
                <w:szCs w:val="20"/>
                <w:color w:val="auto"/>
              </w:rPr>
            </w:pPr>
            <w:r>
              <w:rPr>
                <w:rFonts w:ascii="Times New Roman" w:cs="Times New Roman" w:eastAsia="Times New Roman" w:hAnsi="Times New Roman"/>
                <w:sz w:val="18"/>
                <w:szCs w:val="18"/>
                <w:color w:val="auto"/>
              </w:rPr>
              <w:t>130,037</w:t>
            </w:r>
          </w:p>
        </w:tc>
        <w:tc>
          <w:tcPr>
            <w:tcW w:w="680" w:type="dxa"/>
            <w:vAlign w:val="bottom"/>
            <w:shd w:val="clear" w:color="auto" w:fill="C0C0C0"/>
          </w:tcPr>
          <w:p>
            <w:pPr>
              <w:jc w:val="center"/>
              <w:ind w:left="52"/>
              <w:spacing w:after="0"/>
              <w:rPr>
                <w:sz w:val="20"/>
                <w:szCs w:val="20"/>
                <w:color w:val="auto"/>
              </w:rPr>
            </w:pPr>
            <w:r>
              <w:rPr>
                <w:rFonts w:ascii="Times New Roman" w:cs="Times New Roman" w:eastAsia="Times New Roman" w:hAnsi="Times New Roman"/>
                <w:sz w:val="18"/>
                <w:szCs w:val="18"/>
                <w:color w:val="auto"/>
                <w:w w:val="97"/>
              </w:rPr>
              <w:t>17.26%</w:t>
            </w:r>
          </w:p>
        </w:tc>
      </w:tr>
      <w:tr>
        <w:trPr>
          <w:trHeight w:val="23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Tier I capital (to leverage assets)</w:t>
            </w:r>
          </w:p>
        </w:tc>
        <w:tc>
          <w:tcPr>
            <w:tcW w:w="2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50"/>
        </w:trPr>
        <w:tc>
          <w:tcPr>
            <w:tcW w:w="5760" w:type="dxa"/>
            <w:vAlign w:val="bottom"/>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208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233,744</w:t>
            </w:r>
          </w:p>
        </w:tc>
        <w:tc>
          <w:tcPr>
            <w:tcW w:w="800" w:type="dxa"/>
            <w:vAlign w:val="bottom"/>
            <w:shd w:val="clear" w:color="auto" w:fill="C0C0C0"/>
          </w:tcPr>
          <w:p>
            <w:pPr>
              <w:jc w:val="center"/>
              <w:spacing w:after="0"/>
              <w:rPr>
                <w:sz w:val="20"/>
                <w:szCs w:val="20"/>
                <w:color w:val="auto"/>
              </w:rPr>
            </w:pPr>
            <w:r>
              <w:rPr>
                <w:rFonts w:ascii="Times New Roman" w:cs="Times New Roman" w:eastAsia="Times New Roman" w:hAnsi="Times New Roman"/>
                <w:sz w:val="18"/>
                <w:szCs w:val="18"/>
                <w:color w:val="auto"/>
                <w:w w:val="97"/>
              </w:rPr>
              <w:t>13.97%</w:t>
            </w:r>
          </w:p>
        </w:tc>
        <w:tc>
          <w:tcPr>
            <w:tcW w:w="2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0C0C0"/>
          </w:tcPr>
          <w:p>
            <w:pPr>
              <w:jc w:val="right"/>
              <w:ind w:right="72"/>
              <w:spacing w:after="0"/>
              <w:rPr>
                <w:sz w:val="20"/>
                <w:szCs w:val="20"/>
                <w:color w:val="auto"/>
              </w:rPr>
            </w:pPr>
            <w:r>
              <w:rPr>
                <w:rFonts w:ascii="Times New Roman" w:cs="Times New Roman" w:eastAsia="Times New Roman" w:hAnsi="Times New Roman"/>
                <w:sz w:val="18"/>
                <w:szCs w:val="18"/>
                <w:color w:val="auto"/>
              </w:rPr>
              <w:t>234,435</w:t>
            </w:r>
          </w:p>
        </w:tc>
        <w:tc>
          <w:tcPr>
            <w:tcW w:w="680" w:type="dxa"/>
            <w:vAlign w:val="bottom"/>
            <w:shd w:val="clear" w:color="auto" w:fill="C0C0C0"/>
          </w:tcPr>
          <w:p>
            <w:pPr>
              <w:jc w:val="center"/>
              <w:ind w:left="52"/>
              <w:spacing w:after="0"/>
              <w:rPr>
                <w:sz w:val="20"/>
                <w:szCs w:val="20"/>
                <w:color w:val="auto"/>
              </w:rPr>
            </w:pPr>
            <w:r>
              <w:rPr>
                <w:rFonts w:ascii="Times New Roman" w:cs="Times New Roman" w:eastAsia="Times New Roman" w:hAnsi="Times New Roman"/>
                <w:sz w:val="18"/>
                <w:szCs w:val="18"/>
                <w:color w:val="auto"/>
                <w:w w:val="97"/>
              </w:rPr>
              <w:t>13.89%</w:t>
            </w:r>
          </w:p>
        </w:tc>
      </w:tr>
      <w:tr>
        <w:trPr>
          <w:trHeight w:val="237"/>
        </w:trPr>
        <w:tc>
          <w:tcPr>
            <w:tcW w:w="57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Cass Commercial Bank</w:t>
            </w:r>
          </w:p>
        </w:tc>
        <w:tc>
          <w:tcPr>
            <w:tcW w:w="20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134,034</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16.05%</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130,037</w:t>
            </w:r>
          </w:p>
        </w:tc>
        <w:tc>
          <w:tcPr>
            <w:tcW w:w="680" w:type="dxa"/>
            <w:vAlign w:val="bottom"/>
            <w:tcBorders>
              <w:bottom w:val="single" w:sz="8" w:color="auto"/>
            </w:tcBorders>
          </w:tcPr>
          <w:p>
            <w:pPr>
              <w:jc w:val="center"/>
              <w:ind w:left="52"/>
              <w:spacing w:after="0"/>
              <w:rPr>
                <w:sz w:val="20"/>
                <w:szCs w:val="20"/>
                <w:color w:val="auto"/>
              </w:rPr>
            </w:pPr>
            <w:r>
              <w:rPr>
                <w:rFonts w:ascii="Times New Roman" w:cs="Times New Roman" w:eastAsia="Times New Roman" w:hAnsi="Times New Roman"/>
                <w:sz w:val="18"/>
                <w:szCs w:val="18"/>
                <w:color w:val="auto"/>
                <w:w w:val="97"/>
              </w:rPr>
              <w:t>15.35%</w:t>
            </w: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assets and liabilities are primarily monetary, consisting of cash, cash equivalents, securities, loans, payables and deposits. Monetary assets and liabilities are those that can be converted into a fixed number of dollars. The Company's consolidated balance sheet reflects a net positive monetary position (monetary assets exceed monetary liabilities). During periods of inflation, the holding of a net positive monetary position will result in an overall decline in the purchasing power of a company. Management believes that replacement costs of equipment, furniture, and leasehold improvements will not materially affect operations. The rate of inflation does affect certain expenses, such as those for employee compensation, which may not be readily recoverable in the price of the Company’s services.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New and Not Yet Adopted Accounting Pronouncements</w:t>
      </w:r>
    </w:p>
    <w:p>
      <w:pPr>
        <w:spacing w:after="0" w:line="22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 xml:space="preserve">In February 2016, the FASB issued ASU No. 2016-02 – </w:t>
      </w:r>
      <w:r>
        <w:rPr>
          <w:rFonts w:ascii="Times New Roman" w:cs="Times New Roman" w:eastAsia="Times New Roman" w:hAnsi="Times New Roman"/>
          <w:sz w:val="16"/>
          <w:szCs w:val="16"/>
          <w:i w:val="1"/>
          <w:iCs w:val="1"/>
          <w:color w:val="auto"/>
        </w:rPr>
        <w:t>Leases (ASC Topic 842)</w:t>
      </w:r>
      <w:r>
        <w:rPr>
          <w:rFonts w:ascii="Times New Roman" w:cs="Times New Roman" w:eastAsia="Times New Roman" w:hAnsi="Times New Roman"/>
          <w:sz w:val="16"/>
          <w:szCs w:val="16"/>
          <w:color w:val="auto"/>
        </w:rPr>
        <w:t>. The ASU improves financial reporting about leasing transactions. The ASU affects all companies and other organizations that lease assets such as real estate, airplanes, and manufacturing equipment. Consistent with current generally accepted accounting principles (GAAP), the recognition, measurement, and presentation of expenses and cash flows arising from a lease by a lessee primarily will depend on its classification as a finance or operating lease. However, unlike current GAAP—which requires only capital leases to be recognized on the balance sheet—the new ASU will require both types of leases to be recognized on the balance sheet. The ASU also requires disclosures to help investors and other financial statement users better understand the amount, timing, and uncertainty of cash flows arising from leases. These disclosures include qualitative and quantitative requirements, providing additional information about the amounts recorded in the financial statements. The Company elected to apply ASU 2016-02 as of the beginning of the period of adoption (January 1, 2019) and will not restate comparative periods. The Company has elected to apply the package of practical expedients allowed by the new standard under which the Company need not reassess (i) whether any expired or existing contracts are or contain leases,</w:t>
      </w:r>
    </w:p>
    <w:p>
      <w:pPr>
        <w:spacing w:after="0" w:line="7" w:lineRule="exact"/>
        <w:rPr>
          <w:sz w:val="20"/>
          <w:szCs w:val="20"/>
          <w:color w:val="auto"/>
        </w:rPr>
      </w:pPr>
    </w:p>
    <w:p>
      <w:pPr>
        <w:jc w:val="both"/>
        <w:ind w:firstLine="8"/>
        <w:spacing w:after="0" w:line="255" w:lineRule="auto"/>
        <w:tabs>
          <w:tab w:leader="none" w:pos="25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classification for any expired or existing leases and (iii) initial direct costs for any existing leases. Adoption of the ASU resulted in the recognition of lease liabilities totaling $7,808,000 and the right-of-use assets totaling $7,383,000. The initial balance sheet gross up upon adoption was related to operating leases of certain real estate properties. See Note 14 – Leases for additional disclosures related to leases.</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 Financial Instruments – </w:t>
      </w:r>
      <w:r>
        <w:rPr>
          <w:rFonts w:ascii="Times New Roman" w:cs="Times New Roman" w:eastAsia="Times New Roman" w:hAnsi="Times New Roman"/>
          <w:sz w:val="18"/>
          <w:szCs w:val="18"/>
          <w:i w:val="1"/>
          <w:iCs w:val="1"/>
          <w:color w:val="auto"/>
        </w:rPr>
        <w:t>Credit Losses (Topic 326): Measurement of Credit Losses on Financial Instruments</w:t>
      </w:r>
      <w:r>
        <w:rPr>
          <w:rFonts w:ascii="Times New Roman" w:cs="Times New Roman" w:eastAsia="Times New Roman" w:hAnsi="Times New Roman"/>
          <w:sz w:val="18"/>
          <w:szCs w:val="18"/>
          <w:color w:val="auto"/>
        </w:rPr>
        <w:t>. The ASU requires measurement and recognition of expected credit losses for financial assets held. Under this standard, it will be required to hold an allowance equal to the expected life-of-loan losses on the loan portfolio. The standard is effective for fiscal periods beginning after December 15, 2019. The Company expects to recognize a one-time cumulative effect adjustment to the allowance for loan losses as of the beginning of the first reporting period in which the new standard is effective, but cannot yet determine the magnitude of any such on-time adjustment or the overall impact of the new guidance on the consolidated financial statements.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described in the Company’s Annual Report on Form 10-K for the year ended December 31, 2018, the Company manages its interest rate risk through measurement techniques that include gap analysis and a simulation model. As part of the risk management process, asset/liability management policies are established and monitored by management. The policy objective is to limit the change in annualized net interest income to 15% from an immediate and sustained parallel change in interest rates of 200 basis points. Based on the Company's most recent evaluation, management does not believe the Company's risk position at March 31, 2019 has changed materially from that at December 31, 2018.</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Company’s management, under the supervision and with the participation of the principal executive officer and the principal financial officer, evaluated the effectiveness of the Company’s disclosure controls and procedures (as defined in Rules 13a-15(e) and 15d-15(e) under the Securities Exchange Act of 1934, as amended) as of the end of the period covered by this report and concluded that, as of such date, these controls and procedures were effective.</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There were no changes in the First Quarter of 2019 in the Company's internal control over financial reporting identified by the Company’s principal executive officer and principal financial officer in connection with their evaluation that materially affected or are reasonably likely to materially affect the Company’s internal control over financial reporting (as defined in Rules 13a-15(f) and 15d-15(f) under the Securities Exchange Act of 1934, as amended).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23" w:lineRule="exact"/>
        <w:rPr>
          <w:sz w:val="20"/>
          <w:szCs w:val="20"/>
          <w:color w:val="auto"/>
        </w:rPr>
      </w:pPr>
    </w:p>
    <w:p>
      <w:pPr>
        <w:jc w:val="both"/>
        <w:ind w:left="840"/>
        <w:spacing w:after="0" w:line="255" w:lineRule="auto"/>
        <w:rPr>
          <w:sz w:val="20"/>
          <w:szCs w:val="20"/>
          <w:color w:val="auto"/>
        </w:rPr>
      </w:pPr>
      <w:r>
        <w:rPr>
          <w:rFonts w:ascii="Times New Roman" w:cs="Times New Roman" w:eastAsia="Times New Roman" w:hAnsi="Times New Roman"/>
          <w:sz w:val="18"/>
          <w:szCs w:val="18"/>
          <w:color w:val="auto"/>
        </w:rPr>
        <w:t>The Company is the subject of various pending or threatened legal actions and proceedings, including those that arise in the ordinary course of business. Management believes the outcome of all such proceedings will not have a material effect on the businesses or financial conditions of the Company or its subsidiaries.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3" w:lineRule="exact"/>
        <w:rPr>
          <w:sz w:val="20"/>
          <w:szCs w:val="20"/>
          <w:color w:val="auto"/>
        </w:rPr>
      </w:pPr>
    </w:p>
    <w:p>
      <w:pPr>
        <w:jc w:val="both"/>
        <w:ind w:left="840"/>
        <w:spacing w:after="0" w:line="255" w:lineRule="auto"/>
        <w:rPr>
          <w:sz w:val="20"/>
          <w:szCs w:val="20"/>
          <w:color w:val="auto"/>
        </w:rPr>
      </w:pPr>
      <w:r>
        <w:rPr>
          <w:rFonts w:ascii="Times New Roman" w:cs="Times New Roman" w:eastAsia="Times New Roman" w:hAnsi="Times New Roman"/>
          <w:sz w:val="18"/>
          <w:szCs w:val="18"/>
          <w:color w:val="auto"/>
        </w:rPr>
        <w:t>The Company has included in Part I, Item 1A of its Annual Report on Form 10-K for the year ended December 31, 2018, a description of certain risks and uncertainties that could affect the Company’s business, future performance or financial condition (the “Risk Factors”). There are no material changes to the Risk Factors as disclosed in the Company’s 2018 Annual Report on Form 10-K.</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3" w:lineRule="exact"/>
        <w:rPr>
          <w:sz w:val="20"/>
          <w:szCs w:val="20"/>
          <w:color w:val="auto"/>
        </w:rPr>
      </w:pPr>
    </w:p>
    <w:p>
      <w:pPr>
        <w:ind w:left="700" w:right="16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2019, the Company repurchased a total of 107,815 shares of its common stock pursuant to its treasury stock buyback program,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Total Number</w:t>
            </w:r>
          </w:p>
        </w:tc>
        <w:tc>
          <w:tcPr>
            <w:tcW w:w="104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b w:val="1"/>
                <w:bCs w:val="1"/>
                <w:color w:val="auto"/>
                <w:w w:val="97"/>
              </w:rPr>
              <w:t>Maximum</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58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10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b w:val="1"/>
                <w:bCs w:val="1"/>
                <w:color w:val="auto"/>
                <w:w w:val="95"/>
              </w:rPr>
              <w:t>Number of</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58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Purchased as</w:t>
            </w:r>
          </w:p>
        </w:tc>
        <w:tc>
          <w:tcPr>
            <w:tcW w:w="10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b w:val="1"/>
                <w:bCs w:val="1"/>
                <w:color w:val="auto"/>
                <w:w w:val="95"/>
              </w:rPr>
              <w:t>Shares that</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58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Part of</w:t>
            </w:r>
          </w:p>
        </w:tc>
        <w:tc>
          <w:tcPr>
            <w:tcW w:w="10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b w:val="1"/>
                <w:bCs w:val="1"/>
                <w:color w:val="auto"/>
                <w:w w:val="96"/>
              </w:rPr>
              <w:t>May Yet Be</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5820" w:type="dxa"/>
            <w:vAlign w:val="bottom"/>
          </w:tcPr>
          <w:p>
            <w:pPr>
              <w:spacing w:after="0"/>
              <w:rPr>
                <w:sz w:val="21"/>
                <w:szCs w:val="21"/>
                <w:color w:val="auto"/>
              </w:rPr>
            </w:pPr>
          </w:p>
        </w:tc>
        <w:tc>
          <w:tcPr>
            <w:tcW w:w="1220" w:type="dxa"/>
            <w:vAlign w:val="bottom"/>
          </w:tcPr>
          <w:p>
            <w:pPr>
              <w:jc w:val="center"/>
              <w:ind w:left="52"/>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Publicly</w:t>
            </w:r>
          </w:p>
        </w:tc>
        <w:tc>
          <w:tcPr>
            <w:tcW w:w="10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5820" w:type="dxa"/>
            <w:vAlign w:val="bottom"/>
          </w:tcPr>
          <w:p>
            <w:pPr>
              <w:spacing w:after="0"/>
              <w:rPr>
                <w:sz w:val="21"/>
                <w:szCs w:val="21"/>
                <w:color w:val="auto"/>
              </w:rPr>
            </w:pPr>
          </w:p>
        </w:tc>
        <w:tc>
          <w:tcPr>
            <w:tcW w:w="1220" w:type="dxa"/>
            <w:vAlign w:val="bottom"/>
          </w:tcPr>
          <w:p>
            <w:pPr>
              <w:jc w:val="center"/>
              <w:ind w:left="72"/>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Announced</w:t>
            </w:r>
          </w:p>
        </w:tc>
        <w:tc>
          <w:tcPr>
            <w:tcW w:w="10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b w:val="1"/>
                <w:bCs w:val="1"/>
                <w:color w:val="auto"/>
                <w:w w:val="98"/>
              </w:rPr>
              <w:t>Under the</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5820" w:type="dxa"/>
            <w:vAlign w:val="bottom"/>
          </w:tcPr>
          <w:p>
            <w:pPr>
              <w:spacing w:after="0"/>
              <w:rPr>
                <w:sz w:val="21"/>
                <w:szCs w:val="21"/>
                <w:color w:val="auto"/>
              </w:rPr>
            </w:pPr>
          </w:p>
        </w:tc>
        <w:tc>
          <w:tcPr>
            <w:tcW w:w="1220" w:type="dxa"/>
            <w:vAlign w:val="bottom"/>
          </w:tcPr>
          <w:p>
            <w:pPr>
              <w:jc w:val="center"/>
              <w:ind w:left="52"/>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Plans or</w:t>
            </w:r>
          </w:p>
        </w:tc>
        <w:tc>
          <w:tcPr>
            <w:tcW w:w="104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b w:val="1"/>
                <w:bCs w:val="1"/>
                <w:color w:val="auto"/>
                <w:w w:val="97"/>
              </w:rPr>
              <w:t>Plans or</w:t>
            </w:r>
          </w:p>
        </w:tc>
        <w:tc>
          <w:tcPr>
            <w:tcW w:w="0" w:type="dxa"/>
            <w:vAlign w:val="bottom"/>
          </w:tcPr>
          <w:p>
            <w:pPr>
              <w:spacing w:after="0"/>
              <w:rPr>
                <w:sz w:val="1"/>
                <w:szCs w:val="1"/>
                <w:color w:val="auto"/>
              </w:rPr>
            </w:pPr>
          </w:p>
        </w:tc>
      </w:tr>
      <w:tr>
        <w:trPr>
          <w:trHeight w:val="326"/>
        </w:trPr>
        <w:tc>
          <w:tcPr>
            <w:tcW w:w="648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2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1320" w:type="dxa"/>
            <w:vAlign w:val="bottom"/>
          </w:tcPr>
          <w:p>
            <w:pPr>
              <w:jc w:val="center"/>
              <w:spacing w:after="0" w:line="326" w:lineRule="exact"/>
              <w:rPr>
                <w:sz w:val="20"/>
                <w:szCs w:val="20"/>
                <w:color w:val="auto"/>
              </w:rPr>
            </w:pPr>
            <w:r>
              <w:rPr>
                <w:rFonts w:ascii="Times New Roman" w:cs="Times New Roman" w:eastAsia="Times New Roman" w:hAnsi="Times New Roman"/>
                <w:sz w:val="18"/>
                <w:szCs w:val="18"/>
                <w:b w:val="1"/>
                <w:bCs w:val="1"/>
                <w:color w:val="auto"/>
                <w:w w:val="95"/>
              </w:rPr>
              <w:t>Programs</w:t>
            </w:r>
            <w:r>
              <w:rPr>
                <w:rFonts w:ascii="Times New Roman" w:cs="Times New Roman" w:eastAsia="Times New Roman" w:hAnsi="Times New Roman"/>
                <w:sz w:val="29"/>
                <w:szCs w:val="29"/>
                <w:b w:val="1"/>
                <w:bCs w:val="1"/>
                <w:color w:val="auto"/>
                <w:w w:val="95"/>
                <w:vertAlign w:val="superscript"/>
              </w:rPr>
              <w:t>1</w:t>
            </w:r>
          </w:p>
        </w:tc>
        <w:tc>
          <w:tcPr>
            <w:tcW w:w="104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b w:val="1"/>
                <w:bCs w:val="1"/>
                <w:color w:val="auto"/>
                <w:w w:val="97"/>
              </w:rPr>
              <w:t>Programs</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58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480" w:type="dxa"/>
            <w:vAlign w:val="bottom"/>
            <w:gridSpan w:val="2"/>
            <w:shd w:val="clear" w:color="auto" w:fill="C0C0C0"/>
          </w:tcPr>
          <w:p>
            <w:pPr>
              <w:ind w:left="660"/>
              <w:spacing w:after="0"/>
              <w:rPr>
                <w:sz w:val="20"/>
                <w:szCs w:val="20"/>
                <w:color w:val="auto"/>
              </w:rPr>
            </w:pPr>
            <w:r>
              <w:rPr>
                <w:rFonts w:ascii="Times New Roman" w:cs="Times New Roman" w:eastAsia="Times New Roman" w:hAnsi="Times New Roman"/>
                <w:sz w:val="18"/>
                <w:szCs w:val="18"/>
                <w:color w:val="auto"/>
              </w:rPr>
              <w:t>January 1, 2019 – January 31, 2019</w:t>
            </w:r>
          </w:p>
        </w:tc>
        <w:tc>
          <w:tcPr>
            <w:tcW w:w="1220" w:type="dxa"/>
            <w:vAlign w:val="bottom"/>
            <w:shd w:val="clear" w:color="auto" w:fill="C0C0C0"/>
          </w:tcPr>
          <w:p>
            <w:pPr>
              <w:jc w:val="right"/>
              <w:ind w:right="32"/>
              <w:spacing w:after="0"/>
              <w:rPr>
                <w:sz w:val="20"/>
                <w:szCs w:val="20"/>
                <w:color w:val="auto"/>
              </w:rPr>
            </w:pPr>
            <w:r>
              <w:rPr>
                <w:rFonts w:ascii="Times New Roman" w:cs="Times New Roman" w:eastAsia="Times New Roman" w:hAnsi="Times New Roman"/>
                <w:sz w:val="18"/>
                <w:szCs w:val="18"/>
                <w:color w:val="auto"/>
              </w:rPr>
              <w:t>104,815</w:t>
            </w:r>
          </w:p>
        </w:tc>
        <w:tc>
          <w:tcPr>
            <w:tcW w:w="540" w:type="dxa"/>
            <w:vAlign w:val="bottom"/>
            <w:shd w:val="clear" w:color="auto" w:fill="C0C0C0"/>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52.97</w:t>
            </w:r>
          </w:p>
        </w:tc>
        <w:tc>
          <w:tcPr>
            <w:tcW w:w="1320" w:type="dxa"/>
            <w:vAlign w:val="bottom"/>
            <w:shd w:val="clear" w:color="auto" w:fill="C0C0C0"/>
          </w:tcPr>
          <w:p>
            <w:pPr>
              <w:jc w:val="right"/>
              <w:ind w:right="32"/>
              <w:spacing w:after="0"/>
              <w:rPr>
                <w:sz w:val="20"/>
                <w:szCs w:val="20"/>
                <w:color w:val="auto"/>
              </w:rPr>
            </w:pPr>
            <w:r>
              <w:rPr>
                <w:rFonts w:ascii="Times New Roman" w:cs="Times New Roman" w:eastAsia="Times New Roman" w:hAnsi="Times New Roman"/>
                <w:sz w:val="18"/>
                <w:szCs w:val="18"/>
                <w:color w:val="auto"/>
              </w:rPr>
              <w:t>104,815</w:t>
            </w:r>
          </w:p>
        </w:tc>
        <w:tc>
          <w:tcPr>
            <w:tcW w:w="10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64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February 1, 2019 – February 28, 2019</w:t>
            </w: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3,000</w:t>
            </w:r>
          </w:p>
        </w:tc>
        <w:tc>
          <w:tcPr>
            <w:tcW w:w="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49.98</w:t>
            </w: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3,000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480" w:type="dxa"/>
            <w:vAlign w:val="bottom"/>
            <w:gridSpan w:val="2"/>
            <w:shd w:val="clear" w:color="auto" w:fill="C0C0C0"/>
          </w:tcPr>
          <w:p>
            <w:pPr>
              <w:ind w:left="660"/>
              <w:spacing w:after="0"/>
              <w:rPr>
                <w:sz w:val="20"/>
                <w:szCs w:val="20"/>
                <w:color w:val="auto"/>
              </w:rPr>
            </w:pPr>
            <w:r>
              <w:rPr>
                <w:rFonts w:ascii="Times New Roman" w:cs="Times New Roman" w:eastAsia="Times New Roman" w:hAnsi="Times New Roman"/>
                <w:sz w:val="18"/>
                <w:szCs w:val="18"/>
                <w:color w:val="auto"/>
              </w:rPr>
              <w:t>March 1, 2019 – March 31, 2019</w:t>
            </w:r>
          </w:p>
        </w:tc>
        <w:tc>
          <w:tcPr>
            <w:tcW w:w="1220" w:type="dxa"/>
            <w:vAlign w:val="bottom"/>
            <w:shd w:val="clear" w:color="auto" w:fill="C0C0C0"/>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0C0C0"/>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497,000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660" w:type="dxa"/>
            <w:vAlign w:val="bottom"/>
            <w:tcBorders>
              <w:bottom w:val="single" w:sz="8" w:color="C0C0C0"/>
            </w:tcBorders>
            <w:shd w:val="clear" w:color="auto" w:fill="C0C0C0"/>
          </w:tcPr>
          <w:p>
            <w:pPr>
              <w:spacing w:after="0"/>
              <w:rPr>
                <w:sz w:val="23"/>
                <w:szCs w:val="23"/>
                <w:color w:val="auto"/>
              </w:rPr>
            </w:pPr>
          </w:p>
        </w:tc>
        <w:tc>
          <w:tcPr>
            <w:tcW w:w="582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bottom w:val="single" w:sz="8" w:color="auto"/>
            </w:tcBorders>
            <w:shd w:val="clear" w:color="auto" w:fill="C0C0C0"/>
          </w:tcPr>
          <w:p>
            <w:pPr>
              <w:jc w:val="right"/>
              <w:ind w:right="32"/>
              <w:spacing w:after="0"/>
              <w:rPr>
                <w:sz w:val="20"/>
                <w:szCs w:val="20"/>
                <w:color w:val="auto"/>
              </w:rPr>
            </w:pPr>
            <w:r>
              <w:rPr>
                <w:rFonts w:ascii="Times New Roman" w:cs="Times New Roman" w:eastAsia="Times New Roman" w:hAnsi="Times New Roman"/>
                <w:sz w:val="18"/>
                <w:szCs w:val="18"/>
                <w:color w:val="auto"/>
              </w:rPr>
              <w:t>107,815</w:t>
            </w:r>
          </w:p>
        </w:tc>
        <w:tc>
          <w:tcPr>
            <w:tcW w:w="540" w:type="dxa"/>
            <w:vAlign w:val="bottom"/>
            <w:tcBorders>
              <w:bottom w:val="single" w:sz="8" w:color="auto"/>
            </w:tcBorders>
            <w:shd w:val="clear" w:color="auto" w:fill="C0C0C0"/>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0C0C0"/>
          </w:tcPr>
          <w:p>
            <w:pPr>
              <w:jc w:val="right"/>
              <w:ind w:right="52"/>
              <w:spacing w:after="0"/>
              <w:rPr>
                <w:sz w:val="20"/>
                <w:szCs w:val="20"/>
                <w:color w:val="auto"/>
              </w:rPr>
            </w:pPr>
            <w:r>
              <w:rPr>
                <w:rFonts w:ascii="Times New Roman" w:cs="Times New Roman" w:eastAsia="Times New Roman" w:hAnsi="Times New Roman"/>
                <w:sz w:val="18"/>
                <w:szCs w:val="18"/>
                <w:color w:val="auto"/>
              </w:rPr>
              <w:t>52.79</w:t>
            </w:r>
          </w:p>
        </w:tc>
        <w:tc>
          <w:tcPr>
            <w:tcW w:w="1320" w:type="dxa"/>
            <w:vAlign w:val="bottom"/>
            <w:tcBorders>
              <w:bottom w:val="single" w:sz="8" w:color="auto"/>
            </w:tcBorders>
            <w:shd w:val="clear" w:color="auto" w:fill="C0C0C0"/>
          </w:tcPr>
          <w:p>
            <w:pPr>
              <w:jc w:val="right"/>
              <w:ind w:right="32"/>
              <w:spacing w:after="0"/>
              <w:rPr>
                <w:sz w:val="20"/>
                <w:szCs w:val="20"/>
                <w:color w:val="auto"/>
              </w:rPr>
            </w:pPr>
            <w:r>
              <w:rPr>
                <w:rFonts w:ascii="Times New Roman" w:cs="Times New Roman" w:eastAsia="Times New Roman" w:hAnsi="Times New Roman"/>
                <w:sz w:val="18"/>
                <w:szCs w:val="18"/>
                <w:color w:val="auto"/>
              </w:rPr>
              <w:t>107,815</w:t>
            </w:r>
          </w:p>
        </w:tc>
        <w:tc>
          <w:tcPr>
            <w:tcW w:w="102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497,000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-633730</wp:posOffset>
            </wp:positionV>
            <wp:extent cx="41148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1148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246620" cy="3257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325755"/>
                    </a:xfrm>
                    <a:prstGeom prst="rect">
                      <a:avLst/>
                    </a:prstGeom>
                    <a:noFill/>
                  </pic:spPr>
                </pic:pic>
              </a:graphicData>
            </a:graphic>
          </wp:anchor>
        </w:drawing>
      </w:r>
    </w:p>
    <w:p>
      <w:pPr>
        <w:jc w:val="both"/>
        <w:ind w:left="820" w:hanging="156"/>
        <w:spacing w:after="0" w:line="226" w:lineRule="auto"/>
        <w:rPr>
          <w:sz w:val="20"/>
          <w:szCs w:val="20"/>
          <w:color w:val="auto"/>
        </w:rPr>
      </w:pPr>
      <w:r>
        <w:rPr>
          <w:rFonts w:ascii="Times New Roman" w:cs="Times New Roman" w:eastAsia="Times New Roman" w:hAnsi="Times New Roman"/>
          <w:sz w:val="14"/>
          <w:szCs w:val="14"/>
          <w:color w:val="auto"/>
        </w:rPr>
        <w:t>(1)All repurchases made during the quarter ended March 31, 2019 were made pursuant to the treasury stock buyback program, which was authorized by the Board of Directors on October 17, 2011 and announced by the Company on October 20, 2011. The program, as modified by the Board of Directors on October 20, 2014, provides that the Company may repurchase up to an aggregate of 500,000 shares of common stock and has no expiration date. The program is periodically modified by the Board of Directors and was most recently modified on January 29, 2019 to restore the aggregate number of shares available for repurchase to 500,000.</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3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3" w:lineRule="exact"/>
        <w:rPr>
          <w:sz w:val="20"/>
          <w:szCs w:val="20"/>
          <w:color w:val="auto"/>
        </w:rPr>
      </w:pPr>
    </w:p>
    <w:p>
      <w:pPr>
        <w:ind w:left="1240" w:hanging="543"/>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9" w:lineRule="exact"/>
        <w:rPr>
          <w:rFonts w:ascii="Times New Roman" w:cs="Times New Roman" w:eastAsia="Times New Roman" w:hAnsi="Times New Roman"/>
          <w:sz w:val="18"/>
          <w:szCs w:val="18"/>
          <w:color w:val="auto"/>
        </w:rPr>
      </w:pPr>
    </w:p>
    <w:p>
      <w:pPr>
        <w:ind w:left="1240" w:hanging="543"/>
        <w:spacing w:after="0" w:line="261" w:lineRule="auto"/>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no material changes to the procedures by which security holders may recommend nominees to the Company’s Board of Directors implemented in the First Quarter of 2019.</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4" w:lineRule="exact"/>
        <w:rPr>
          <w:sz w:val="20"/>
          <w:szCs w:val="20"/>
          <w:color w:val="auto"/>
        </w:rPr>
      </w:pPr>
    </w:p>
    <w:p>
      <w:pPr>
        <w:ind w:left="700"/>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Exhibit 31.1 Certification Pursuant to Section 302 of the Sarbanes-Oxley Act of 2002.</w:t>
        </w:r>
      </w:hyperlink>
    </w:p>
    <w:p>
      <w:pPr>
        <w:spacing w:after="0" w:line="252" w:lineRule="exact"/>
        <w:rPr>
          <w:sz w:val="20"/>
          <w:szCs w:val="20"/>
          <w:color w:val="auto"/>
        </w:rPr>
      </w:pPr>
    </w:p>
    <w:p>
      <w:pPr>
        <w:ind w:left="700"/>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Exhibit 31.2 Certification Pursuant to Section 302 of the Sarbanes-Oxley Act of 2002.</w:t>
        </w:r>
      </w:hyperlink>
    </w:p>
    <w:p>
      <w:pPr>
        <w:spacing w:after="0" w:line="252" w:lineRule="exact"/>
        <w:rPr>
          <w:sz w:val="20"/>
          <w:szCs w:val="20"/>
          <w:color w:val="auto"/>
        </w:rPr>
      </w:pPr>
    </w:p>
    <w:p>
      <w:pPr>
        <w:ind w:left="700"/>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Exhibit 32.1 Certification Pursuant to 18 U.S.C. Section 1350, as Adopted Pursuant to Section 906 of the Sarbanes-Oxley Act of 2002.</w:t>
        </w:r>
      </w:hyperlink>
    </w:p>
    <w:p>
      <w:pPr>
        <w:spacing w:after="0" w:line="252" w:lineRule="exact"/>
        <w:rPr>
          <w:sz w:val="20"/>
          <w:szCs w:val="20"/>
          <w:color w:val="auto"/>
        </w:rPr>
      </w:pPr>
    </w:p>
    <w:p>
      <w:pPr>
        <w:ind w:left="700"/>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Exhibit 32.2 Certification Pursuant to 18 U.S.C. Section 1350, as Adopted Pursuant to Section 906 of the Sarbanes-Oxley Act of 2002.</w:t>
        </w:r>
      </w:hyperlink>
    </w:p>
    <w:p>
      <w:pPr>
        <w:spacing w:after="0" w:line="2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Exhibit 101.INS XBRL Instance Document.</w:t>
      </w:r>
    </w:p>
    <w:p>
      <w:pPr>
        <w:spacing w:after="0" w:line="2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Exhibit 101.SCH XBRL Taxonomy Extension Schema Document.</w:t>
      </w:r>
    </w:p>
    <w:p>
      <w:pPr>
        <w:spacing w:after="0" w:line="2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Exhibit 101.CAL XBRL Taxonomy Extension Calculation Linkbase Document.</w:t>
      </w:r>
    </w:p>
    <w:p>
      <w:pPr>
        <w:spacing w:after="0" w:line="2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Exhibit 101.LAB XBRL Taxonomy Extension Label Linkbase Document.</w:t>
      </w:r>
    </w:p>
    <w:p>
      <w:pPr>
        <w:spacing w:after="0" w:line="2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Exhibit 101.PRE XBRL Taxonomy Extension Presentation Linkbase Document.</w:t>
      </w:r>
    </w:p>
    <w:p>
      <w:pPr>
        <w:spacing w:after="0" w:line="2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Exhibit 101.DEF XBRL Taxonomy Extension Definition Linkbase Document.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ind w:firstLine="270"/>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20" w:type="dxa"/>
            <w:vAlign w:val="bottom"/>
          </w:tcPr>
          <w:p>
            <w:pPr>
              <w:spacing w:after="0"/>
              <w:rPr>
                <w:sz w:val="19"/>
                <w:szCs w:val="19"/>
                <w:color w:val="auto"/>
              </w:rPr>
            </w:pPr>
          </w:p>
        </w:tc>
        <w:tc>
          <w:tcPr>
            <w:tcW w:w="790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CASS INFORMATION SYSTEMS, INC.</w:t>
            </w:r>
          </w:p>
        </w:tc>
      </w:tr>
      <w:tr>
        <w:trPr>
          <w:trHeight w:val="495"/>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2019</w:t>
            </w:r>
          </w:p>
        </w:tc>
        <w:tc>
          <w:tcPr>
            <w:tcW w:w="238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Eric H. Brunngraber</w:t>
            </w:r>
          </w:p>
        </w:tc>
      </w:tr>
      <w:tr>
        <w:trPr>
          <w:trHeight w:val="228"/>
        </w:trPr>
        <w:tc>
          <w:tcPr>
            <w:tcW w:w="35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Eric H. Brunngraber</w:t>
            </w:r>
          </w:p>
        </w:tc>
      </w:tr>
      <w:tr>
        <w:trPr>
          <w:trHeight w:val="242"/>
        </w:trPr>
        <w:tc>
          <w:tcPr>
            <w:tcW w:w="35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552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7"/>
              </w:rPr>
              <w:t>Chairman, President, and Chief Executive Officer</w:t>
            </w:r>
          </w:p>
        </w:tc>
      </w:tr>
      <w:tr>
        <w:trPr>
          <w:trHeight w:val="243"/>
        </w:trPr>
        <w:tc>
          <w:tcPr>
            <w:tcW w:w="35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552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8"/>
              </w:rPr>
              <w:t>(Principal Executive Officer)</w:t>
            </w:r>
          </w:p>
        </w:tc>
      </w:tr>
      <w:tr>
        <w:trPr>
          <w:trHeight w:val="73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2019</w:t>
            </w:r>
          </w:p>
        </w:tc>
        <w:tc>
          <w:tcPr>
            <w:tcW w:w="238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 P. Stephen Appelbaum</w:t>
            </w:r>
          </w:p>
        </w:tc>
      </w:tr>
      <w:tr>
        <w:trPr>
          <w:trHeight w:val="228"/>
        </w:trPr>
        <w:tc>
          <w:tcPr>
            <w:tcW w:w="35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P. Stephen Appelbaum</w:t>
            </w:r>
          </w:p>
        </w:tc>
      </w:tr>
    </w:tbl>
    <w:p>
      <w:pPr>
        <w:spacing w:after="0" w:line="14"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36"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H. Brunngraber, certify that:</w:t>
      </w:r>
    </w:p>
    <w:p>
      <w:pPr>
        <w:spacing w:after="0" w:line="225" w:lineRule="exact"/>
        <w:rPr>
          <w:sz w:val="20"/>
          <w:szCs w:val="20"/>
          <w:color w:val="auto"/>
        </w:rPr>
      </w:pPr>
    </w:p>
    <w:p>
      <w:pPr>
        <w:ind w:left="300" w:hanging="292"/>
        <w:spacing w:after="0"/>
        <w:tabs>
          <w:tab w:leader="none" w:pos="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Cass Information Systems, Inc.;</w:t>
      </w:r>
    </w:p>
    <w:p>
      <w:pPr>
        <w:spacing w:after="0" w:line="225" w:lineRule="exact"/>
        <w:rPr>
          <w:rFonts w:ascii="Times New Roman" w:cs="Times New Roman" w:eastAsia="Times New Roman" w:hAnsi="Times New Roman"/>
          <w:sz w:val="18"/>
          <w:szCs w:val="18"/>
          <w:color w:val="auto"/>
        </w:rPr>
      </w:pPr>
    </w:p>
    <w:p>
      <w:pPr>
        <w:ind w:left="300" w:hanging="292"/>
        <w:spacing w:after="0" w:line="275" w:lineRule="auto"/>
        <w:tabs>
          <w:tab w:leader="none" w:pos="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Times New Roman" w:cs="Times New Roman" w:eastAsia="Times New Roman" w:hAnsi="Times New Roman"/>
          <w:sz w:val="18"/>
          <w:szCs w:val="18"/>
          <w:color w:val="auto"/>
        </w:rPr>
      </w:pPr>
    </w:p>
    <w:p>
      <w:pPr>
        <w:ind w:left="300" w:hanging="292"/>
        <w:spacing w:after="0" w:line="275" w:lineRule="auto"/>
        <w:tabs>
          <w:tab w:leader="none" w:pos="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Times New Roman" w:cs="Times New Roman" w:eastAsia="Times New Roman" w:hAnsi="Times New Roman"/>
          <w:sz w:val="18"/>
          <w:szCs w:val="18"/>
          <w:color w:val="auto"/>
        </w:rPr>
      </w:pPr>
    </w:p>
    <w:p>
      <w:pPr>
        <w:jc w:val="both"/>
        <w:ind w:left="300" w:hanging="292"/>
        <w:spacing w:after="0" w:line="262" w:lineRule="auto"/>
        <w:tabs>
          <w:tab w:leader="none" w:pos="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6" w:lineRule="exact"/>
        <w:rPr>
          <w:rFonts w:ascii="Times New Roman" w:cs="Times New Roman" w:eastAsia="Times New Roman" w:hAnsi="Times New Roman"/>
          <w:sz w:val="18"/>
          <w:szCs w:val="18"/>
          <w:color w:val="auto"/>
        </w:rPr>
      </w:pPr>
    </w:p>
    <w:p>
      <w:pPr>
        <w:jc w:val="both"/>
        <w:ind w:left="840" w:hanging="373"/>
        <w:spacing w:after="0" w:line="262" w:lineRule="auto"/>
        <w:tabs>
          <w:tab w:leader="none" w:pos="8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Times New Roman" w:cs="Times New Roman" w:eastAsia="Times New Roman" w:hAnsi="Times New Roman"/>
          <w:sz w:val="18"/>
          <w:szCs w:val="18"/>
          <w:color w:val="auto"/>
        </w:rPr>
      </w:pPr>
    </w:p>
    <w:p>
      <w:pPr>
        <w:jc w:val="both"/>
        <w:ind w:left="840" w:hanging="373"/>
        <w:spacing w:after="0" w:line="262" w:lineRule="auto"/>
        <w:tabs>
          <w:tab w:leader="none" w:pos="8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Times New Roman" w:cs="Times New Roman" w:eastAsia="Times New Roman" w:hAnsi="Times New Roman"/>
          <w:sz w:val="18"/>
          <w:szCs w:val="18"/>
          <w:color w:val="auto"/>
        </w:rPr>
      </w:pPr>
    </w:p>
    <w:p>
      <w:pPr>
        <w:ind w:left="840" w:hanging="373"/>
        <w:spacing w:after="0" w:line="275" w:lineRule="auto"/>
        <w:tabs>
          <w:tab w:leader="none" w:pos="8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Times New Roman" w:cs="Times New Roman" w:eastAsia="Times New Roman" w:hAnsi="Times New Roman"/>
          <w:sz w:val="18"/>
          <w:szCs w:val="18"/>
          <w:color w:val="auto"/>
        </w:rPr>
      </w:pPr>
    </w:p>
    <w:p>
      <w:pPr>
        <w:jc w:val="both"/>
        <w:ind w:left="840" w:hanging="373"/>
        <w:spacing w:after="0" w:line="262" w:lineRule="auto"/>
        <w:tabs>
          <w:tab w:leader="none" w:pos="8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Times New Roman" w:cs="Times New Roman" w:eastAsia="Times New Roman" w:hAnsi="Times New Roman"/>
          <w:sz w:val="18"/>
          <w:szCs w:val="18"/>
          <w:color w:val="auto"/>
        </w:rPr>
      </w:pPr>
    </w:p>
    <w:p>
      <w:pPr>
        <w:ind w:left="300" w:right="20" w:hanging="292"/>
        <w:spacing w:after="0" w:line="275" w:lineRule="auto"/>
        <w:tabs>
          <w:tab w:leader="none" w:pos="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Times New Roman" w:cs="Times New Roman" w:eastAsia="Times New Roman" w:hAnsi="Times New Roman"/>
          <w:sz w:val="18"/>
          <w:szCs w:val="18"/>
          <w:color w:val="auto"/>
        </w:rPr>
      </w:pPr>
    </w:p>
    <w:p>
      <w:pPr>
        <w:ind w:left="840" w:hanging="373"/>
        <w:spacing w:after="0" w:line="275" w:lineRule="auto"/>
        <w:tabs>
          <w:tab w:leader="none" w:pos="8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Times New Roman" w:cs="Times New Roman" w:eastAsia="Times New Roman" w:hAnsi="Times New Roman"/>
          <w:sz w:val="18"/>
          <w:szCs w:val="18"/>
          <w:color w:val="auto"/>
        </w:rPr>
      </w:pPr>
    </w:p>
    <w:p>
      <w:pPr>
        <w:ind w:left="840" w:hanging="373"/>
        <w:spacing w:after="0" w:line="275" w:lineRule="auto"/>
        <w:tabs>
          <w:tab w:leader="none" w:pos="8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2019</w:t>
      </w:r>
    </w:p>
    <w:p>
      <w:pPr>
        <w:spacing w:after="0" w:line="36" w:lineRule="exact"/>
        <w:rPr>
          <w:sz w:val="20"/>
          <w:szCs w:val="20"/>
          <w:color w:val="auto"/>
        </w:rPr>
      </w:pPr>
    </w:p>
    <w:p>
      <w:pPr>
        <w:ind w:left="9360"/>
        <w:spacing w:after="0"/>
        <w:rPr>
          <w:sz w:val="20"/>
          <w:szCs w:val="20"/>
          <w:color w:val="auto"/>
        </w:rPr>
      </w:pPr>
      <w:r>
        <w:rPr>
          <w:rFonts w:ascii="Times New Roman" w:cs="Times New Roman" w:eastAsia="Times New Roman" w:hAnsi="Times New Roman"/>
          <w:sz w:val="18"/>
          <w:szCs w:val="18"/>
          <w:color w:val="auto"/>
        </w:rPr>
        <w:t>/s/ Eric H. Brunngraber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5673725</wp:posOffset>
            </wp:positionH>
            <wp:positionV relativeFrom="paragraph">
              <wp:posOffset>92075</wp:posOffset>
            </wp:positionV>
            <wp:extent cx="15779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138"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color w:val="auto"/>
        </w:rPr>
        <w:t>Eric H. Brunngraber</w:t>
      </w:r>
    </w:p>
    <w:p>
      <w:pPr>
        <w:spacing w:after="0" w:line="36"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color w:val="auto"/>
        </w:rPr>
        <w:t>Chairman, President, and Chief</w:t>
      </w:r>
    </w:p>
    <w:p>
      <w:pPr>
        <w:spacing w:after="0" w:line="36"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36"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6757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 Stephen Appelbaum, certify that:</w:t>
      </w:r>
    </w:p>
    <w:p>
      <w:pPr>
        <w:spacing w:after="0" w:line="225" w:lineRule="exact"/>
        <w:rPr>
          <w:sz w:val="20"/>
          <w:szCs w:val="20"/>
          <w:color w:val="auto"/>
        </w:rPr>
      </w:pPr>
    </w:p>
    <w:p>
      <w:pPr>
        <w:ind w:left="300" w:hanging="292"/>
        <w:spacing w:after="0"/>
        <w:tabs>
          <w:tab w:leader="none" w:pos="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Cass Information Systems, Inc.;</w:t>
      </w:r>
    </w:p>
    <w:p>
      <w:pPr>
        <w:spacing w:after="0" w:line="225" w:lineRule="exact"/>
        <w:rPr>
          <w:rFonts w:ascii="Times New Roman" w:cs="Times New Roman" w:eastAsia="Times New Roman" w:hAnsi="Times New Roman"/>
          <w:sz w:val="18"/>
          <w:szCs w:val="18"/>
          <w:color w:val="auto"/>
        </w:rPr>
      </w:pPr>
    </w:p>
    <w:p>
      <w:pPr>
        <w:ind w:left="300" w:hanging="292"/>
        <w:spacing w:after="0" w:line="275" w:lineRule="auto"/>
        <w:tabs>
          <w:tab w:leader="none" w:pos="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Times New Roman" w:cs="Times New Roman" w:eastAsia="Times New Roman" w:hAnsi="Times New Roman"/>
          <w:sz w:val="18"/>
          <w:szCs w:val="18"/>
          <w:color w:val="auto"/>
        </w:rPr>
      </w:pPr>
    </w:p>
    <w:p>
      <w:pPr>
        <w:ind w:left="300" w:hanging="292"/>
        <w:spacing w:after="0" w:line="275" w:lineRule="auto"/>
        <w:tabs>
          <w:tab w:leader="none" w:pos="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Times New Roman" w:cs="Times New Roman" w:eastAsia="Times New Roman" w:hAnsi="Times New Roman"/>
          <w:sz w:val="18"/>
          <w:szCs w:val="18"/>
          <w:color w:val="auto"/>
        </w:rPr>
      </w:pPr>
    </w:p>
    <w:p>
      <w:pPr>
        <w:jc w:val="both"/>
        <w:ind w:left="300" w:hanging="292"/>
        <w:spacing w:after="0" w:line="262" w:lineRule="auto"/>
        <w:tabs>
          <w:tab w:leader="none" w:pos="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6" w:lineRule="exact"/>
        <w:rPr>
          <w:rFonts w:ascii="Times New Roman" w:cs="Times New Roman" w:eastAsia="Times New Roman" w:hAnsi="Times New Roman"/>
          <w:sz w:val="18"/>
          <w:szCs w:val="18"/>
          <w:color w:val="auto"/>
        </w:rPr>
      </w:pPr>
    </w:p>
    <w:p>
      <w:pPr>
        <w:jc w:val="both"/>
        <w:ind w:left="840" w:hanging="373"/>
        <w:spacing w:after="0" w:line="262" w:lineRule="auto"/>
        <w:tabs>
          <w:tab w:leader="none" w:pos="8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Times New Roman" w:cs="Times New Roman" w:eastAsia="Times New Roman" w:hAnsi="Times New Roman"/>
          <w:sz w:val="18"/>
          <w:szCs w:val="18"/>
          <w:color w:val="auto"/>
        </w:rPr>
      </w:pPr>
    </w:p>
    <w:p>
      <w:pPr>
        <w:jc w:val="both"/>
        <w:ind w:left="840" w:hanging="373"/>
        <w:spacing w:after="0" w:line="262" w:lineRule="auto"/>
        <w:tabs>
          <w:tab w:leader="none" w:pos="8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Times New Roman" w:cs="Times New Roman" w:eastAsia="Times New Roman" w:hAnsi="Times New Roman"/>
          <w:sz w:val="18"/>
          <w:szCs w:val="18"/>
          <w:color w:val="auto"/>
        </w:rPr>
      </w:pPr>
    </w:p>
    <w:p>
      <w:pPr>
        <w:ind w:left="840" w:hanging="373"/>
        <w:spacing w:after="0" w:line="275" w:lineRule="auto"/>
        <w:tabs>
          <w:tab w:leader="none" w:pos="8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Times New Roman" w:cs="Times New Roman" w:eastAsia="Times New Roman" w:hAnsi="Times New Roman"/>
          <w:sz w:val="18"/>
          <w:szCs w:val="18"/>
          <w:color w:val="auto"/>
        </w:rPr>
      </w:pPr>
    </w:p>
    <w:p>
      <w:pPr>
        <w:jc w:val="both"/>
        <w:ind w:left="840" w:hanging="373"/>
        <w:spacing w:after="0" w:line="262" w:lineRule="auto"/>
        <w:tabs>
          <w:tab w:leader="none" w:pos="8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Times New Roman" w:cs="Times New Roman" w:eastAsia="Times New Roman" w:hAnsi="Times New Roman"/>
          <w:sz w:val="18"/>
          <w:szCs w:val="18"/>
          <w:color w:val="auto"/>
        </w:rPr>
      </w:pPr>
    </w:p>
    <w:p>
      <w:pPr>
        <w:ind w:left="300" w:right="20" w:hanging="292"/>
        <w:spacing w:after="0" w:line="275" w:lineRule="auto"/>
        <w:tabs>
          <w:tab w:leader="none" w:pos="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Times New Roman" w:cs="Times New Roman" w:eastAsia="Times New Roman" w:hAnsi="Times New Roman"/>
          <w:sz w:val="18"/>
          <w:szCs w:val="18"/>
          <w:color w:val="auto"/>
        </w:rPr>
      </w:pPr>
    </w:p>
    <w:p>
      <w:pPr>
        <w:ind w:left="840" w:hanging="373"/>
        <w:spacing w:after="0" w:line="275" w:lineRule="auto"/>
        <w:tabs>
          <w:tab w:leader="none" w:pos="8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Times New Roman" w:cs="Times New Roman" w:eastAsia="Times New Roman" w:hAnsi="Times New Roman"/>
          <w:sz w:val="18"/>
          <w:szCs w:val="18"/>
          <w:color w:val="auto"/>
        </w:rPr>
      </w:pPr>
    </w:p>
    <w:p>
      <w:pPr>
        <w:ind w:left="840" w:hanging="373"/>
        <w:spacing w:after="0" w:line="275" w:lineRule="auto"/>
        <w:tabs>
          <w:tab w:leader="none" w:pos="8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2019</w:t>
      </w:r>
    </w:p>
    <w:p>
      <w:pPr>
        <w:spacing w:after="0" w:line="36"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color w:val="auto"/>
        </w:rPr>
        <w:t>/s/ P. Stephen Appelbaum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5245100</wp:posOffset>
            </wp:positionH>
            <wp:positionV relativeFrom="paragraph">
              <wp:posOffset>92075</wp:posOffset>
            </wp:positionV>
            <wp:extent cx="20066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138"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color w:val="auto"/>
        </w:rPr>
        <w:t>P. Stephen Appelbaum</w:t>
      </w:r>
    </w:p>
    <w:p>
      <w:pPr>
        <w:spacing w:after="0" w:line="36"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color w:val="auto"/>
        </w:rPr>
        <w:t>Executive Vice President and Chief</w:t>
      </w:r>
    </w:p>
    <w:p>
      <w:pPr>
        <w:spacing w:after="0" w:line="36"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36"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259080</wp:posOffset>
            </wp:positionV>
            <wp:extent cx="72675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connection with the Quarterly Report of Cass Information Systems, Inc. (“the Company”) on Form 10-Q for the period ended March 31, 2019 as filed with the Securities and Exchange Commission on the date hereof (the “Report”), I, Eric H. Brunngraber, Chairman, President and Chief Executive Officer of the Company, certify, pursuant to 18 U.S.C. § 1350, as adopted pursuant to § 906 of the Sarbanes-Oxley Act of 2002, that:</w:t>
      </w:r>
    </w:p>
    <w:p>
      <w:pPr>
        <w:spacing w:after="0" w:line="186" w:lineRule="exact"/>
        <w:rPr>
          <w:sz w:val="20"/>
          <w:szCs w:val="20"/>
          <w:color w:val="auto"/>
        </w:rPr>
      </w:pPr>
    </w:p>
    <w:p>
      <w:pPr>
        <w:ind w:left="840" w:hanging="521"/>
        <w:spacing w:after="0"/>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40" w:hanging="521"/>
        <w:spacing w:after="0"/>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8"/>
          <w:szCs w:val="18"/>
          <w:color w:val="auto"/>
        </w:rPr>
        <w:t>/s/ Eric H. Brunngraber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92075</wp:posOffset>
            </wp:positionV>
            <wp:extent cx="18783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38"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8"/>
          <w:szCs w:val="18"/>
          <w:color w:val="auto"/>
        </w:rPr>
        <w:t>Eric H. Brunngraber</w:t>
      </w:r>
    </w:p>
    <w:p>
      <w:pPr>
        <w:spacing w:after="0" w:line="36"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6"/>
          <w:szCs w:val="16"/>
          <w:color w:val="auto"/>
        </w:rPr>
        <w:t>Chairman, President, and Chief Executive</w:t>
      </w:r>
    </w:p>
    <w:p>
      <w:pPr>
        <w:spacing w:after="0" w:line="59"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8"/>
          <w:szCs w:val="18"/>
          <w:color w:val="auto"/>
        </w:rPr>
        <w:t>Officer</w:t>
      </w:r>
    </w:p>
    <w:p>
      <w:pPr>
        <w:spacing w:after="0" w:line="36"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6"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8"/>
          <w:szCs w:val="18"/>
          <w:color w:val="auto"/>
        </w:rPr>
        <w:t>May 7, 2019</w:t>
      </w:r>
    </w:p>
    <w:p>
      <w:pPr>
        <w:spacing w:after="0" w:line="239"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267575"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connection with the Quarterly Report of Cass Information Systems, Inc. (“the Company”) on Form 10-Q for the period ended March 31, 2019 as filed with the Securities and Exchange Commission on the date hereof (the “Report”), I, P. Stephen Appelbaum, Executive Vice President and Chief Financial Officer of the Company, certify, pursuant to 18 U.S.C. § 1350, as adopted pursuant to § 906 of the Sarbanes-Oxley Act of 2002, that:</w:t>
      </w:r>
    </w:p>
    <w:p>
      <w:pPr>
        <w:spacing w:after="0" w:line="186" w:lineRule="exact"/>
        <w:rPr>
          <w:sz w:val="20"/>
          <w:szCs w:val="20"/>
          <w:color w:val="auto"/>
        </w:rPr>
      </w:pPr>
    </w:p>
    <w:p>
      <w:pPr>
        <w:ind w:left="840" w:hanging="521"/>
        <w:spacing w:after="0"/>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40" w:hanging="521"/>
        <w:spacing w:after="0"/>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color w:val="auto"/>
        </w:rPr>
        <w:t>/s/ P. Stephen Appelbaum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5245100</wp:posOffset>
            </wp:positionH>
            <wp:positionV relativeFrom="paragraph">
              <wp:posOffset>92075</wp:posOffset>
            </wp:positionV>
            <wp:extent cx="20066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138"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color w:val="auto"/>
        </w:rPr>
        <w:t>P. Stephen Appelbaum</w:t>
      </w:r>
    </w:p>
    <w:p>
      <w:pPr>
        <w:spacing w:after="0" w:line="36"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color w:val="auto"/>
        </w:rPr>
        <w:t>Executive Vice President and Chief</w:t>
      </w:r>
    </w:p>
    <w:p>
      <w:pPr>
        <w:spacing w:after="0" w:line="36"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36"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pacing w:after="0" w:line="59"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color w:val="auto"/>
        </w:rPr>
        <w:t>May 7, 2019</w:t>
      </w:r>
    </w:p>
    <w:p>
      <w:pPr>
        <w:spacing w:after="0" w:line="239"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267575"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bullet"/>
      <w:start w:val="1"/>
    </w:lvl>
  </w:abstractNum>
  <w:abstractNum w:abstractNumId="6">
    <w:nsid w:val="1F16E9E8"/>
    <w:multiLevelType w:val="hybridMultilevel"/>
    <w:lvl w:ilvl="0">
      <w:lvlJc w:val="left"/>
      <w:lvlText w:val="1"/>
      <w:numFmt w:val="bullet"/>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lowerRoman"/>
      <w:start w:val="2"/>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2019-12-28T13:06:51Z</dcterms:created>
  <dcterms:modified xsi:type="dcterms:W3CDTF">2019-12-28T13:06:51Z</dcterms:modified>
</cp:coreProperties>
</file>