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360045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color w:val="auto"/>
        </w:rPr>
        <w:t>UNITED STATES</w:t>
      </w:r>
    </w:p>
    <w:p>
      <w:pPr>
        <w:spacing w:after="0" w:line="2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7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96" w:lineRule="exact"/>
        <w:rPr>
          <w:sz w:val="24"/>
          <w:szCs w:val="24"/>
          <w:color w:val="auto"/>
        </w:rPr>
      </w:pPr>
    </w:p>
    <w:p>
      <w:pPr>
        <w:ind w:left="580" w:right="3960" w:hanging="561"/>
        <w:spacing w:after="0" w:line="616" w:lineRule="auto"/>
        <w:tabs>
          <w:tab w:leader="none" w:pos="5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 xml:space="preserve">QUARTERLY REPORT PURSUANT TO SECTION 13 or 15(d) OF THE SECURITIES EXCHANGE ACT OF 1934 For the quarterly period ended </w:t>
      </w:r>
      <w:r>
        <w:rPr>
          <w:rFonts w:ascii="Times New Roman" w:cs="Times New Roman" w:eastAsia="Times New Roman" w:hAnsi="Times New Roman"/>
          <w:sz w:val="14"/>
          <w:szCs w:val="14"/>
          <w:u w:val="single" w:color="auto"/>
          <w:color w:val="auto"/>
        </w:rPr>
        <w:t>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253" w:lineRule="exact"/>
        <w:rPr>
          <w:sz w:val="24"/>
          <w:szCs w:val="24"/>
          <w:color w:val="auto"/>
        </w:rPr>
      </w:pPr>
    </w:p>
    <w:p>
      <w:pPr>
        <w:ind w:left="580" w:right="3860" w:hanging="561"/>
        <w:spacing w:after="0" w:line="552" w:lineRule="auto"/>
        <w:tabs>
          <w:tab w:leader="none" w:pos="5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TRANSITION REPORT PURSUANT TO SECTION 13 OR 15(d) OF THE SECURITIES EXCHANGE ACT OF 1934 For the transition period from __________ to __________</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 File No. 000-20827</w:t>
            </w:r>
          </w:p>
        </w:tc>
        <w:tc>
          <w:tcPr>
            <w:tcW w:w="3960" w:type="dxa"/>
            <w:vAlign w:val="bottom"/>
          </w:tcPr>
          <w:p>
            <w:pPr>
              <w:spacing w:after="0"/>
              <w:rPr>
                <w:sz w:val="16"/>
                <w:szCs w:val="16"/>
                <w:color w:val="auto"/>
              </w:rPr>
            </w:pPr>
          </w:p>
        </w:tc>
      </w:tr>
      <w:tr>
        <w:trPr>
          <w:trHeight w:val="298"/>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3"/>
          </w:tcPr>
          <w:p>
            <w:pPr>
              <w:jc w:val="right"/>
              <w:ind w:right="720"/>
              <w:spacing w:after="0"/>
              <w:rPr>
                <w:sz w:val="20"/>
                <w:szCs w:val="20"/>
                <w:color w:val="auto"/>
              </w:rPr>
            </w:pPr>
            <w:r>
              <w:rPr>
                <w:rFonts w:ascii="Arial" w:cs="Arial" w:eastAsia="Arial" w:hAnsi="Arial"/>
                <w:sz w:val="17"/>
                <w:szCs w:val="17"/>
                <w:color w:val="auto"/>
              </w:rPr>
              <w:t>____________________</w:t>
            </w:r>
          </w:p>
        </w:tc>
        <w:tc>
          <w:tcPr>
            <w:tcW w:w="3960" w:type="dxa"/>
            <w:vAlign w:val="bottom"/>
          </w:tcPr>
          <w:p>
            <w:pPr>
              <w:spacing w:after="0"/>
              <w:rPr>
                <w:sz w:val="24"/>
                <w:szCs w:val="24"/>
                <w:color w:val="auto"/>
              </w:rPr>
            </w:pPr>
          </w:p>
        </w:tc>
      </w:tr>
      <w:tr>
        <w:trPr>
          <w:trHeight w:val="271"/>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6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9"/>
              </w:rPr>
              <w:t>CASS INFORMATION SYSTEMS, INC.</w:t>
            </w:r>
          </w:p>
        </w:tc>
        <w:tc>
          <w:tcPr>
            <w:tcW w:w="3960" w:type="dxa"/>
            <w:vAlign w:val="bottom"/>
          </w:tcPr>
          <w:p>
            <w:pPr>
              <w:spacing w:after="0"/>
              <w:rPr>
                <w:sz w:val="23"/>
                <w:szCs w:val="23"/>
                <w:color w:val="auto"/>
              </w:rPr>
            </w:pPr>
          </w:p>
        </w:tc>
      </w:tr>
      <w:tr>
        <w:trPr>
          <w:trHeight w:val="18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960" w:type="dxa"/>
            <w:vAlign w:val="bottom"/>
          </w:tcPr>
          <w:p>
            <w:pPr>
              <w:spacing w:after="0"/>
              <w:rPr>
                <w:sz w:val="16"/>
                <w:szCs w:val="16"/>
                <w:color w:val="auto"/>
              </w:rPr>
            </w:pPr>
          </w:p>
        </w:tc>
      </w:tr>
      <w:tr>
        <w:trPr>
          <w:trHeight w:val="340"/>
        </w:trPr>
        <w:tc>
          <w:tcPr>
            <w:tcW w:w="20" w:type="dxa"/>
            <w:vAlign w:val="bottom"/>
          </w:tcPr>
          <w:p>
            <w:pPr>
              <w:spacing w:after="0"/>
              <w:rPr>
                <w:sz w:val="24"/>
                <w:szCs w:val="24"/>
                <w:color w:val="auto"/>
              </w:rPr>
            </w:pPr>
          </w:p>
        </w:tc>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Missouri</w:t>
            </w:r>
          </w:p>
        </w:tc>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60" w:type="dxa"/>
            <w:vAlign w:val="bottom"/>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43-1265338</w:t>
            </w:r>
          </w:p>
        </w:tc>
      </w:tr>
      <w:tr>
        <w:trPr>
          <w:trHeight w:val="160"/>
        </w:trPr>
        <w:tc>
          <w:tcPr>
            <w:tcW w:w="4040" w:type="dxa"/>
            <w:vAlign w:val="bottom"/>
            <w:gridSpan w:val="4"/>
          </w:tcPr>
          <w:p>
            <w:pPr>
              <w:ind w:left="20"/>
              <w:spacing w:after="0" w:line="159" w:lineRule="exact"/>
              <w:rPr>
                <w:sz w:val="20"/>
                <w:szCs w:val="20"/>
                <w:color w:val="auto"/>
              </w:rPr>
            </w:pPr>
            <w:r>
              <w:rPr>
                <w:rFonts w:ascii="Arial" w:cs="Arial" w:eastAsia="Arial" w:hAnsi="Arial"/>
                <w:sz w:val="14"/>
                <w:szCs w:val="14"/>
                <w:color w:val="auto"/>
              </w:rPr>
              <w:t>(State or other jurisdiction of incorporation or</w:t>
            </w: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960" w:type="dxa"/>
            <w:vAlign w:val="bottom"/>
          </w:tcPr>
          <w:p>
            <w:pPr>
              <w:jc w:val="center"/>
              <w:ind w:right="1549"/>
              <w:spacing w:after="0" w:line="15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5"/>
        </w:trPr>
        <w:tc>
          <w:tcPr>
            <w:tcW w:w="4040" w:type="dxa"/>
            <w:vAlign w:val="bottom"/>
            <w:gridSpan w:val="4"/>
          </w:tcPr>
          <w:p>
            <w:pPr>
              <w:ind w:left="20"/>
              <w:spacing w:after="0"/>
              <w:rPr>
                <w:sz w:val="20"/>
                <w:szCs w:val="20"/>
                <w:color w:val="auto"/>
              </w:rPr>
            </w:pPr>
            <w:r>
              <w:rPr>
                <w:rFonts w:ascii="Arial" w:cs="Arial" w:eastAsia="Arial" w:hAnsi="Arial"/>
                <w:sz w:val="14"/>
                <w:szCs w:val="14"/>
                <w:color w:val="auto"/>
              </w:rPr>
              <w:t>organization)</w:t>
            </w: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12444 Powerscourt Drive, Suite 550</w:t>
            </w: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020" w:type="dxa"/>
            <w:vAlign w:val="bottom"/>
            <w:gridSpan w:val="3"/>
          </w:tcPr>
          <w:p>
            <w:pPr>
              <w:jc w:val="center"/>
              <w:ind w:left="1529"/>
              <w:spacing w:after="0"/>
              <w:rPr>
                <w:sz w:val="20"/>
                <w:szCs w:val="20"/>
                <w:color w:val="auto"/>
              </w:rPr>
            </w:pPr>
            <w:r>
              <w:rPr>
                <w:rFonts w:ascii="Times New Roman" w:cs="Times New Roman" w:eastAsia="Times New Roman" w:hAnsi="Times New Roman"/>
                <w:sz w:val="14"/>
                <w:szCs w:val="14"/>
                <w:b w:val="1"/>
                <w:bCs w:val="1"/>
                <w:color w:val="auto"/>
              </w:rPr>
              <w:t>St. Louis, Missouri</w:t>
            </w:r>
          </w:p>
        </w:tc>
        <w:tc>
          <w:tcPr>
            <w:tcW w:w="2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60" w:type="dxa"/>
            <w:vAlign w:val="bottom"/>
          </w:tcPr>
          <w:p>
            <w:pPr>
              <w:jc w:val="right"/>
              <w:ind w:right="2549"/>
              <w:spacing w:after="0"/>
              <w:rPr>
                <w:sz w:val="20"/>
                <w:szCs w:val="20"/>
                <w:color w:val="auto"/>
              </w:rPr>
            </w:pPr>
            <w:r>
              <w:rPr>
                <w:rFonts w:ascii="Times New Roman" w:cs="Times New Roman" w:eastAsia="Times New Roman" w:hAnsi="Times New Roman"/>
                <w:sz w:val="14"/>
                <w:szCs w:val="14"/>
                <w:b w:val="1"/>
                <w:bCs w:val="1"/>
                <w:color w:val="auto"/>
              </w:rPr>
              <w:t>63131</w:t>
            </w:r>
          </w:p>
        </w:tc>
      </w:tr>
      <w:tr>
        <w:trPr>
          <w:trHeight w:val="202"/>
        </w:trPr>
        <w:tc>
          <w:tcPr>
            <w:tcW w:w="20" w:type="dxa"/>
            <w:vAlign w:val="bottom"/>
          </w:tcPr>
          <w:p>
            <w:pPr>
              <w:spacing w:after="0"/>
              <w:rPr>
                <w:sz w:val="17"/>
                <w:szCs w:val="17"/>
                <w:color w:val="auto"/>
              </w:rPr>
            </w:pPr>
          </w:p>
        </w:tc>
        <w:tc>
          <w:tcPr>
            <w:tcW w:w="4020" w:type="dxa"/>
            <w:vAlign w:val="bottom"/>
            <w:gridSpan w:val="3"/>
          </w:tcPr>
          <w:p>
            <w:pPr>
              <w:jc w:val="center"/>
              <w:ind w:left="150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60" w:type="dxa"/>
            <w:vAlign w:val="bottom"/>
          </w:tcPr>
          <w:p>
            <w:pPr>
              <w:jc w:val="center"/>
              <w:ind w:right="1549"/>
              <w:spacing w:after="0"/>
              <w:rPr>
                <w:sz w:val="20"/>
                <w:szCs w:val="20"/>
                <w:color w:val="auto"/>
              </w:rPr>
            </w:pPr>
            <w:r>
              <w:rPr>
                <w:rFonts w:ascii="Times New Roman" w:cs="Times New Roman" w:eastAsia="Times New Roman" w:hAnsi="Times New Roman"/>
                <w:sz w:val="14"/>
                <w:szCs w:val="14"/>
                <w:color w:val="auto"/>
              </w:rPr>
              <w:t>(Zip Code)</w:t>
            </w:r>
          </w:p>
        </w:tc>
      </w:tr>
      <w:tr>
        <w:trPr>
          <w:trHeight w:val="32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(314) 506-5500</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960" w:type="dxa"/>
            <w:vAlign w:val="bottom"/>
          </w:tcPr>
          <w:p>
            <w:pPr>
              <w:spacing w:after="0"/>
              <w:rPr>
                <w:sz w:val="16"/>
                <w:szCs w:val="16"/>
                <w:color w:val="auto"/>
              </w:rPr>
            </w:pPr>
          </w:p>
        </w:tc>
      </w:tr>
      <w:tr>
        <w:trPr>
          <w:trHeight w:val="244"/>
        </w:trPr>
        <w:tc>
          <w:tcPr>
            <w:tcW w:w="4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Trading symbols</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tcPr>
          <w:p>
            <w:pPr>
              <w:jc w:val="center"/>
              <w:ind w:right="909"/>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7"/>
        </w:trPr>
        <w:tc>
          <w:tcPr>
            <w:tcW w:w="20" w:type="dxa"/>
            <w:vAlign w:val="bottom"/>
          </w:tcPr>
          <w:p>
            <w:pPr>
              <w:spacing w:after="0"/>
              <w:rPr>
                <w:sz w:val="16"/>
                <w:szCs w:val="16"/>
                <w:color w:val="auto"/>
              </w:rPr>
            </w:pPr>
          </w:p>
        </w:tc>
        <w:tc>
          <w:tcPr>
            <w:tcW w:w="4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auto"/>
              </w:rPr>
              <w:t>Common stock, par value $.50</w:t>
            </w:r>
          </w:p>
        </w:tc>
        <w:tc>
          <w:tcPr>
            <w:tcW w:w="326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rPr>
              <w:t>CASS</w:t>
            </w:r>
          </w:p>
        </w:tc>
        <w:tc>
          <w:tcPr>
            <w:tcW w:w="396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38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gridSpan w:val="3"/>
          </w:tcPr>
          <w:p>
            <w:pPr>
              <w:ind w:left="780"/>
              <w:spacing w:after="0"/>
              <w:rPr>
                <w:sz w:val="20"/>
                <w:szCs w:val="20"/>
                <w:color w:val="auto"/>
              </w:rPr>
            </w:pPr>
            <w:r>
              <w:rPr>
                <w:rFonts w:ascii="Arial" w:cs="Arial" w:eastAsia="Arial" w:hAnsi="Arial"/>
                <w:sz w:val="17"/>
                <w:szCs w:val="17"/>
                <w:color w:val="auto"/>
              </w:rPr>
              <w:t>____________________</w:t>
            </w:r>
          </w:p>
        </w:tc>
        <w:tc>
          <w:tcPr>
            <w:tcW w:w="3960" w:type="dxa"/>
            <w:vAlign w:val="bottom"/>
          </w:tcPr>
          <w:p>
            <w:pPr>
              <w:spacing w:after="0"/>
              <w:rPr>
                <w:sz w:val="24"/>
                <w:szCs w:val="24"/>
                <w:color w:val="auto"/>
              </w:rPr>
            </w:pPr>
          </w:p>
        </w:tc>
      </w:tr>
    </w:tbl>
    <w:p>
      <w:pPr>
        <w:spacing w:after="0" w:line="122" w:lineRule="exact"/>
        <w:rPr>
          <w:sz w:val="24"/>
          <w:szCs w:val="24"/>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7" w:lineRule="exact"/>
        <w:rPr>
          <w:sz w:val="24"/>
          <w:szCs w:val="24"/>
          <w:color w:val="auto"/>
        </w:rPr>
      </w:pPr>
    </w:p>
    <w:p>
      <w:pPr>
        <w:ind w:left="2560"/>
        <w:spacing w:after="0"/>
        <w:tabs>
          <w:tab w:leader="none" w:pos="2920" w:val="left"/>
          <w:tab w:leader="none" w:pos="3660" w:val="left"/>
          <w:tab w:leader="none" w:pos="398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Wingdings" w:cs="Wingdings" w:eastAsia="Wingdings" w:hAnsi="Wingdings"/>
          <w:sz w:val="13"/>
          <w:szCs w:val="13"/>
          <w:b w:val="1"/>
          <w:bCs w:val="1"/>
          <w:color w:val="auto"/>
        </w:rPr>
        <w:t>o</w:t>
      </w:r>
    </w:p>
    <w:p>
      <w:pPr>
        <w:spacing w:after="0" w:line="147" w:lineRule="exact"/>
        <w:rPr>
          <w:sz w:val="24"/>
          <w:szCs w:val="24"/>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7" w:lineRule="exact"/>
        <w:rPr>
          <w:sz w:val="24"/>
          <w:szCs w:val="24"/>
          <w:color w:val="auto"/>
        </w:rPr>
      </w:pPr>
    </w:p>
    <w:p>
      <w:pPr>
        <w:ind w:left="2560"/>
        <w:spacing w:after="0"/>
        <w:tabs>
          <w:tab w:leader="none" w:pos="2920" w:val="left"/>
          <w:tab w:leader="none" w:pos="3660" w:val="left"/>
          <w:tab w:leader="none" w:pos="40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Wingdings" w:cs="Wingdings" w:eastAsia="Wingdings" w:hAnsi="Wingdings"/>
          <w:sz w:val="13"/>
          <w:szCs w:val="13"/>
          <w:b w:val="1"/>
          <w:bCs w:val="1"/>
          <w:color w:val="auto"/>
        </w:rPr>
        <w:t>o</w:t>
      </w:r>
    </w:p>
    <w:p>
      <w:pPr>
        <w:spacing w:after="0" w:line="147" w:lineRule="exact"/>
        <w:rPr>
          <w:sz w:val="24"/>
          <w:szCs w:val="24"/>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08" w:right="319" w:bottom="1440" w:gutter="0" w:footer="0" w:header="0"/>
        </w:sectPr>
      </w:pPr>
    </w:p>
    <w:p>
      <w:pPr>
        <w:spacing w:after="0" w:line="135"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200" w:lineRule="exact"/>
        <w:rPr>
          <w:sz w:val="24"/>
          <w:szCs w:val="24"/>
          <w:color w:val="auto"/>
        </w:rPr>
      </w:pPr>
    </w:p>
    <w:p>
      <w:pPr>
        <w:sectPr>
          <w:pgSz w:w="11900" w:h="16838" w:orient="portrait"/>
          <w:cols w:equalWidth="0" w:num="4">
            <w:col w:w="2780" w:space="720"/>
            <w:col w:w="140" w:space="300"/>
            <w:col w:w="2060" w:space="720"/>
            <w:col w:w="4560"/>
          </w:cols>
          <w:pgMar w:left="300" w:top="208" w:right="319" w:bottom="1440" w:gutter="0" w:footer="0" w:header="0"/>
          <w:type w:val="continuous"/>
        </w:sectPr>
      </w:pPr>
    </w:p>
    <w:p>
      <w:pPr>
        <w:spacing w:after="0" w:line="3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10" w:lineRule="exact"/>
        <w:rPr>
          <w:sz w:val="24"/>
          <w:szCs w:val="24"/>
          <w:color w:val="auto"/>
        </w:rPr>
      </w:pPr>
    </w:p>
    <w:p>
      <w:pPr>
        <w:sectPr>
          <w:pgSz w:w="11900" w:h="16838" w:orient="portrait"/>
          <w:cols w:equalWidth="0" w:num="6">
            <w:col w:w="2780" w:space="720"/>
            <w:col w:w="140" w:space="300"/>
            <w:col w:w="2060" w:space="720"/>
            <w:col w:w="140" w:space="340"/>
            <w:col w:w="2240" w:space="720"/>
            <w:col w:w="1120"/>
          </w:cols>
          <w:pgMar w:left="300" w:top="208" w:right="319" w:bottom="1440" w:gutter="0" w:footer="0" w:header="0"/>
          <w:type w:val="continuous"/>
        </w:sectPr>
      </w:pPr>
    </w:p>
    <w:p>
      <w:pPr>
        <w:spacing w:after="0" w:line="23" w:lineRule="exact"/>
        <w:rPr>
          <w:sz w:val="24"/>
          <w:szCs w:val="24"/>
          <w:color w:val="auto"/>
        </w:rPr>
      </w:pPr>
    </w:p>
    <w:p>
      <w:pPr>
        <w:ind w:firstLine="255"/>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115" w:lineRule="exact"/>
        <w:rPr>
          <w:sz w:val="24"/>
          <w:szCs w:val="24"/>
          <w:color w:val="auto"/>
        </w:rPr>
      </w:pPr>
    </w:p>
    <w:p>
      <w:pPr>
        <w:ind w:left="2560"/>
        <w:spacing w:after="0" w:line="161" w:lineRule="exact"/>
        <w:tabs>
          <w:tab w:leader="none" w:pos="2920" w:val="left"/>
          <w:tab w:leader="none" w:pos="3640" w:val="left"/>
          <w:tab w:leader="none" w:pos="3960" w:val="left"/>
        </w:tabs>
        <w:rPr>
          <w:sz w:val="20"/>
          <w:szCs w:val="20"/>
          <w:color w:val="auto"/>
        </w:rPr>
      </w:pPr>
      <w:r>
        <w:rPr>
          <w:rFonts w:ascii="Times New Roman" w:cs="Times New Roman" w:eastAsia="Times New Roman" w:hAnsi="Times New Roman"/>
          <w:sz w:val="14"/>
          <w:szCs w:val="14"/>
          <w:color w:val="auto"/>
        </w:rPr>
        <w:t>Yes</w:t>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Wingdings" w:cs="Wingdings" w:eastAsia="Wingdings" w:hAnsi="Wingdings"/>
          <w:sz w:val="13"/>
          <w:szCs w:val="13"/>
          <w:b w:val="1"/>
          <w:bCs w:val="1"/>
          <w:color w:val="auto"/>
        </w:rPr>
        <w:t>x</w:t>
      </w:r>
    </w:p>
    <w:p>
      <w:pPr>
        <w:spacing w:after="0" w:line="178"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number of shares outstanding of the registrant's only class of common stock as of August 6, 2024: Common stock, par value $.50 per share – 13,626,141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116205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FF"/>
        </w:rPr>
        <w:t>PART I – Financial Information</w:t>
      </w:r>
    </w:p>
    <w:p>
      <w:pPr>
        <w:spacing w:after="0" w:line="43" w:lineRule="exact"/>
        <w:rPr>
          <w:sz w:val="20"/>
          <w:szCs w:val="20"/>
          <w:color w:val="auto"/>
        </w:rPr>
      </w:pPr>
    </w:p>
    <w:p>
      <w:pPr>
        <w:ind w:left="24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FF"/>
        </w:rPr>
        <w:t>Item 1.</w:t>
      </w:r>
      <w:r>
        <w:rPr>
          <w:sz w:val="20"/>
          <w:szCs w:val="20"/>
          <w:color w:val="auto"/>
        </w:rPr>
        <w:tab/>
      </w:r>
      <w:r>
        <w:rPr>
          <w:rFonts w:ascii="Times New Roman" w:cs="Times New Roman" w:eastAsia="Times New Roman" w:hAnsi="Times New Roman"/>
          <w:sz w:val="14"/>
          <w:szCs w:val="14"/>
          <w:u w:val="single" w:color="auto"/>
          <w:color w:val="0000FF"/>
        </w:rPr>
        <w:t>FINANCIAL STATEMENTS</w:t>
      </w:r>
    </w:p>
    <w:p>
      <w:pPr>
        <w:spacing w:after="0" w:line="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Consolidated Balance Sheets June 30, 2024 (unaudited) and December 31, 2023</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Consolidated Statements of Income Three and Six-Month Periods Ended June 30, 2024 and 2023 (unaudited)</w:t>
      </w:r>
    </w:p>
    <w:p>
      <w:pPr>
        <w:spacing w:after="0" w:line="232"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Comprehensive Income Three and Six-Month Periods Ended June 30, 2024 and 2023 (unaudited)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Consolidated Statements of Cash Flows Six-Month Periods Ended June 30, 2024 and 2023 (unaudited)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Consolidated Statements of Shareholders’ Equity Three and Six-Month Periods Ended June 30, 2024 and 2023 (unaudited)</w:t>
      </w: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u w:val="single" w:color="auto"/>
          <w:color w:val="0000FF"/>
        </w:rPr>
        <w:t>Notes to Consolidated Financial Statements (unaudited)</w:t>
      </w:r>
    </w:p>
    <w:p>
      <w:pPr>
        <w:spacing w:after="0" w:line="51"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FF"/>
        </w:rPr>
        <w:t>Item 2.</w:t>
      </w:r>
      <w:r>
        <w:rPr>
          <w:sz w:val="20"/>
          <w:szCs w:val="20"/>
          <w:color w:val="auto"/>
        </w:rPr>
        <w:tab/>
      </w:r>
      <w:r>
        <w:rPr>
          <w:rFonts w:ascii="Times New Roman" w:cs="Times New Roman" w:eastAsia="Times New Roman" w:hAnsi="Times New Roman"/>
          <w:sz w:val="14"/>
          <w:szCs w:val="14"/>
          <w:u w:val="single" w:color="auto"/>
          <w:color w:val="0000FF"/>
        </w:rPr>
        <w:t>MANAGEMENT’S DISCUSSION AND ANALYSIS OF FINANCIAL CONDITION AND RESULTS OF OPERATIONS</w:t>
      </w:r>
    </w:p>
    <w:p>
      <w:pPr>
        <w:spacing w:after="0" w:line="51"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FF"/>
        </w:rPr>
        <w:t>Item 3.</w:t>
      </w:r>
      <w:r>
        <w:rPr>
          <w:sz w:val="20"/>
          <w:szCs w:val="20"/>
          <w:color w:val="auto"/>
        </w:rPr>
        <w:tab/>
      </w:r>
      <w:r>
        <w:rPr>
          <w:rFonts w:ascii="Times New Roman" w:cs="Times New Roman" w:eastAsia="Times New Roman" w:hAnsi="Times New Roman"/>
          <w:sz w:val="13"/>
          <w:szCs w:val="13"/>
          <w:u w:val="single" w:color="auto"/>
          <w:color w:val="0000FF"/>
        </w:rPr>
        <w:t>QUANTITATIVE AND QUALITATIVE DISCLOSURES ABOUT MARKET RISK</w:t>
      </w:r>
    </w:p>
    <w:p>
      <w:pPr>
        <w:spacing w:after="0" w:line="51" w:lineRule="exact"/>
        <w:rPr>
          <w:sz w:val="20"/>
          <w:szCs w:val="20"/>
          <w:color w:val="auto"/>
        </w:rPr>
      </w:pPr>
    </w:p>
    <w:p>
      <w:pPr>
        <w:ind w:left="200"/>
        <w:spacing w:after="0"/>
        <w:tabs>
          <w:tab w:leader="none" w:pos="1140" w:val="left"/>
        </w:tabs>
        <w:rPr>
          <w:sz w:val="20"/>
          <w:szCs w:val="20"/>
          <w:color w:val="auto"/>
        </w:rPr>
      </w:pPr>
      <w:r>
        <w:rPr>
          <w:rFonts w:ascii="Times New Roman" w:cs="Times New Roman" w:eastAsia="Times New Roman" w:hAnsi="Times New Roman"/>
          <w:sz w:val="14"/>
          <w:szCs w:val="14"/>
          <w:u w:val="single" w:color="auto"/>
          <w:color w:val="0000FF"/>
        </w:rPr>
        <w:t>Item 4.</w:t>
      </w:r>
      <w:r>
        <w:rPr>
          <w:sz w:val="20"/>
          <w:szCs w:val="20"/>
          <w:color w:val="auto"/>
        </w:rPr>
        <w:tab/>
      </w:r>
      <w:r>
        <w:rPr>
          <w:rFonts w:ascii="Times New Roman" w:cs="Times New Roman" w:eastAsia="Times New Roman" w:hAnsi="Times New Roman"/>
          <w:sz w:val="14"/>
          <w:szCs w:val="14"/>
          <w:u w:val="single" w:color="auto"/>
          <w:color w:val="0000FF"/>
        </w:rPr>
        <w:t>CONTROLS AND PROCEDURES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0000FF"/>
        </w:rPr>
        <w:t>PART II – Other Information – Items 1. – 6.</w:t>
      </w:r>
    </w:p>
    <w:p>
      <w:pPr>
        <w:spacing w:after="0" w:line="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u w:val="single" w:color="auto"/>
          <w:color w:val="0000FF"/>
        </w:rPr>
        <w:t>SIGNATURES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3</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4</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5</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6</w:t>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6</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0000FF"/>
        </w:rPr>
        <w:t>9</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35</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35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37</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39</w:t>
      </w:r>
    </w:p>
    <w:p>
      <w:pPr>
        <w:spacing w:after="0" w:line="539" w:lineRule="exact"/>
        <w:rPr>
          <w:sz w:val="20"/>
          <w:szCs w:val="20"/>
          <w:color w:val="auto"/>
        </w:rPr>
      </w:pPr>
    </w:p>
    <w:p>
      <w:pPr>
        <w:sectPr>
          <w:pgSz w:w="11900" w:h="16838" w:orient="portrait"/>
          <w:cols w:equalWidth="0" w:num="2">
            <w:col w:w="10080" w:space="720"/>
            <w:col w:w="480"/>
          </w:cols>
          <w:pgMar w:left="300" w:top="123" w:right="319" w:bottom="1440" w:gutter="0" w:footer="0" w:header="0"/>
        </w:sect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2023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786"/>
        </w:trPr>
        <w:tc>
          <w:tcPr>
            <w:tcW w:w="8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8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tcPr>
          <w:p>
            <w:pPr>
              <w:jc w:val="center"/>
              <w:ind w:left="1829"/>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60" w:type="dxa"/>
            <w:vAlign w:val="bottom"/>
          </w:tcPr>
          <w:p>
            <w:pPr>
              <w:jc w:val="center"/>
              <w:ind w:left="182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60" w:type="dxa"/>
            <w:vAlign w:val="bottom"/>
          </w:tcPr>
          <w:p>
            <w:pPr>
              <w:jc w:val="center"/>
              <w:ind w:left="1829"/>
              <w:spacing w:after="0"/>
              <w:rPr>
                <w:sz w:val="20"/>
                <w:szCs w:val="20"/>
                <w:color w:val="auto"/>
              </w:rPr>
            </w:pPr>
            <w:r>
              <w:rPr>
                <w:rFonts w:ascii="Times New Roman" w:cs="Times New Roman" w:eastAsia="Times New Roman" w:hAnsi="Times New Roman"/>
                <w:sz w:val="14"/>
                <w:szCs w:val="14"/>
                <w:color w:val="auto"/>
              </w:rPr>
              <w:t>(Dollars in Thousands except Share and Per Share Data)</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3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24"/>
                <w:szCs w:val="24"/>
                <w:color w:val="auto"/>
              </w:rPr>
            </w:pPr>
          </w:p>
        </w:tc>
        <w:tc>
          <w:tcPr>
            <w:tcW w:w="12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00" w:type="dxa"/>
            <w:vAlign w:val="bottom"/>
          </w:tcPr>
          <w:p>
            <w:pPr>
              <w:spacing w:after="0"/>
              <w:rPr>
                <w:sz w:val="16"/>
                <w:szCs w:val="16"/>
                <w:color w:val="auto"/>
              </w:rPr>
            </w:pPr>
          </w:p>
        </w:tc>
        <w:tc>
          <w:tcPr>
            <w:tcW w:w="128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B6B6B6"/>
          </w:tcPr>
          <w:p>
            <w:pPr>
              <w:spacing w:after="0"/>
              <w:rPr>
                <w:sz w:val="16"/>
                <w:szCs w:val="16"/>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B6B6B6"/>
          </w:tcPr>
          <w:p>
            <w:pPr>
              <w:spacing w:after="0"/>
              <w:rPr>
                <w:sz w:val="16"/>
                <w:szCs w:val="16"/>
                <w:color w:val="auto"/>
              </w:rPr>
            </w:pPr>
          </w:p>
        </w:tc>
        <w:tc>
          <w:tcPr>
            <w:tcW w:w="136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00" w:type="dxa"/>
            <w:vAlign w:val="bottom"/>
            <w:shd w:val="clear" w:color="auto" w:fill="B6B6B6"/>
          </w:tcPr>
          <w:p>
            <w:pPr>
              <w:spacing w:after="0"/>
              <w:rPr>
                <w:sz w:val="16"/>
                <w:szCs w:val="16"/>
                <w:color w:val="auto"/>
              </w:rPr>
            </w:pPr>
          </w:p>
        </w:tc>
        <w:tc>
          <w:tcPr>
            <w:tcW w:w="1280" w:type="dxa"/>
            <w:vAlign w:val="bottom"/>
            <w:shd w:val="clear" w:color="auto" w:fill="B6B6B6"/>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20,908</w:t>
            </w:r>
          </w:p>
        </w:tc>
      </w:tr>
      <w:tr>
        <w:trPr>
          <w:trHeight w:val="202"/>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217,972</w:t>
            </w:r>
          </w:p>
        </w:tc>
        <w:tc>
          <w:tcPr>
            <w:tcW w:w="80" w:type="dxa"/>
            <w:vAlign w:val="bottom"/>
            <w:shd w:val="clear" w:color="auto" w:fill="B6B6B6"/>
          </w:tcPr>
          <w:p>
            <w:pPr>
              <w:spacing w:after="0"/>
              <w:rPr>
                <w:sz w:val="17"/>
                <w:szCs w:val="17"/>
                <w:color w:val="auto"/>
              </w:rPr>
            </w:pPr>
          </w:p>
        </w:tc>
        <w:tc>
          <w:tcPr>
            <w:tcW w:w="20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351,560</w:t>
            </w:r>
          </w:p>
        </w:tc>
      </w:tr>
      <w:tr>
        <w:trPr>
          <w:trHeight w:val="192"/>
        </w:trPr>
        <w:tc>
          <w:tcPr>
            <w:tcW w:w="20" w:type="dxa"/>
            <w:vAlign w:val="bottom"/>
            <w:tcBorders>
              <w:bottom w:val="single" w:sz="8" w:color="B6B6B6"/>
            </w:tcBorders>
          </w:tcPr>
          <w:p>
            <w:pPr>
              <w:spacing w:after="0"/>
              <w:rPr>
                <w:sz w:val="16"/>
                <w:szCs w:val="16"/>
                <w:color w:val="auto"/>
              </w:rPr>
            </w:pPr>
          </w:p>
        </w:tc>
        <w:tc>
          <w:tcPr>
            <w:tcW w:w="8100" w:type="dxa"/>
            <w:vAlign w:val="bottom"/>
            <w:tcBorders>
              <w:bottom w:val="single" w:sz="8" w:color="B6B6B6"/>
            </w:tcBorders>
            <w:gridSpan w:val="4"/>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223,727</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372,468</w:t>
            </w:r>
          </w:p>
        </w:tc>
      </w:tr>
      <w:tr>
        <w:trPr>
          <w:trHeight w:val="198"/>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Securities available-for-sale, at fair value</w:t>
            </w:r>
          </w:p>
        </w:tc>
        <w:tc>
          <w:tcPr>
            <w:tcW w:w="240" w:type="dxa"/>
            <w:vAlign w:val="bottom"/>
            <w:shd w:val="clear" w:color="auto" w:fill="B6B6B6"/>
          </w:tcPr>
          <w:p>
            <w:pPr>
              <w:spacing w:after="0"/>
              <w:rPr>
                <w:sz w:val="17"/>
                <w:szCs w:val="17"/>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540,802</w:t>
            </w:r>
          </w:p>
        </w:tc>
        <w:tc>
          <w:tcPr>
            <w:tcW w:w="80" w:type="dxa"/>
            <w:vAlign w:val="bottom"/>
            <w:shd w:val="clear" w:color="auto" w:fill="B6B6B6"/>
          </w:tcPr>
          <w:p>
            <w:pPr>
              <w:spacing w:after="0"/>
              <w:rPr>
                <w:sz w:val="17"/>
                <w:szCs w:val="17"/>
                <w:color w:val="auto"/>
              </w:rPr>
            </w:pPr>
          </w:p>
        </w:tc>
        <w:tc>
          <w:tcPr>
            <w:tcW w:w="200" w:type="dxa"/>
            <w:vAlign w:val="bottom"/>
            <w:shd w:val="clear" w:color="auto" w:fill="B6B6B6"/>
          </w:tcPr>
          <w:p>
            <w:pPr>
              <w:spacing w:after="0"/>
              <w:rPr>
                <w:sz w:val="17"/>
                <w:szCs w:val="17"/>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627,117</w:t>
            </w:r>
          </w:p>
        </w:tc>
      </w:tr>
      <w:tr>
        <w:trPr>
          <w:trHeight w:val="42"/>
        </w:trPr>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6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2"/>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Loans</w:t>
            </w:r>
          </w:p>
        </w:tc>
        <w:tc>
          <w:tcPr>
            <w:tcW w:w="240" w:type="dxa"/>
            <w:vAlign w:val="bottom"/>
            <w:shd w:val="clear" w:color="auto" w:fill="B6B6B6"/>
          </w:tcPr>
          <w:p>
            <w:pPr>
              <w:spacing w:after="0"/>
              <w:rPr>
                <w:sz w:val="17"/>
                <w:szCs w:val="17"/>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1,061,991</w:t>
            </w:r>
          </w:p>
        </w:tc>
        <w:tc>
          <w:tcPr>
            <w:tcW w:w="80" w:type="dxa"/>
            <w:vAlign w:val="bottom"/>
            <w:shd w:val="clear" w:color="auto" w:fill="B6B6B6"/>
          </w:tcPr>
          <w:p>
            <w:pPr>
              <w:spacing w:after="0"/>
              <w:rPr>
                <w:sz w:val="17"/>
                <w:szCs w:val="17"/>
                <w:color w:val="auto"/>
              </w:rPr>
            </w:pPr>
          </w:p>
        </w:tc>
        <w:tc>
          <w:tcPr>
            <w:tcW w:w="200" w:type="dxa"/>
            <w:vAlign w:val="bottom"/>
            <w:shd w:val="clear" w:color="auto" w:fill="B6B6B6"/>
          </w:tcPr>
          <w:p>
            <w:pPr>
              <w:spacing w:after="0"/>
              <w:rPr>
                <w:sz w:val="17"/>
                <w:szCs w:val="17"/>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1,014,318</w:t>
            </w:r>
          </w:p>
        </w:tc>
      </w:tr>
      <w:tr>
        <w:trPr>
          <w:trHeight w:val="196"/>
        </w:trPr>
        <w:tc>
          <w:tcPr>
            <w:tcW w:w="20" w:type="dxa"/>
            <w:vAlign w:val="bottom"/>
            <w:tcBorders>
              <w:bottom w:val="single" w:sz="8" w:color="B6B6B6"/>
            </w:tcBorders>
          </w:tcPr>
          <w:p>
            <w:pPr>
              <w:spacing w:after="0"/>
              <w:rPr>
                <w:sz w:val="17"/>
                <w:szCs w:val="17"/>
                <w:color w:val="auto"/>
              </w:rPr>
            </w:pPr>
          </w:p>
        </w:tc>
        <w:tc>
          <w:tcPr>
            <w:tcW w:w="8100" w:type="dxa"/>
            <w:vAlign w:val="bottom"/>
            <w:tcBorders>
              <w:bottom w:val="single" w:sz="8" w:color="B6B6B6"/>
            </w:tcBorders>
            <w:gridSpan w:val="4"/>
          </w:tcPr>
          <w:p>
            <w:pPr>
              <w:ind w:left="28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13,634</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13,089</w:t>
            </w:r>
          </w:p>
        </w:tc>
      </w:tr>
      <w:tr>
        <w:trPr>
          <w:trHeight w:val="192"/>
        </w:trPr>
        <w:tc>
          <w:tcPr>
            <w:tcW w:w="20" w:type="dxa"/>
            <w:vAlign w:val="bottom"/>
            <w:shd w:val="clear" w:color="auto" w:fill="B6B6B6"/>
          </w:tcPr>
          <w:p>
            <w:pPr>
              <w:spacing w:after="0"/>
              <w:rPr>
                <w:sz w:val="16"/>
                <w:szCs w:val="16"/>
                <w:color w:val="auto"/>
              </w:rPr>
            </w:pPr>
          </w:p>
        </w:tc>
        <w:tc>
          <w:tcPr>
            <w:tcW w:w="8100" w:type="dxa"/>
            <w:vAlign w:val="bottom"/>
            <w:gridSpan w:val="4"/>
            <w:shd w:val="clear" w:color="auto" w:fill="B6B6B6"/>
          </w:tcPr>
          <w:p>
            <w:pPr>
              <w:ind w:left="560"/>
              <w:spacing w:after="0"/>
              <w:rPr>
                <w:sz w:val="20"/>
                <w:szCs w:val="20"/>
                <w:color w:val="auto"/>
              </w:rPr>
            </w:pPr>
            <w:r>
              <w:rPr>
                <w:rFonts w:ascii="Times New Roman" w:cs="Times New Roman" w:eastAsia="Times New Roman" w:hAnsi="Times New Roman"/>
                <w:sz w:val="14"/>
                <w:szCs w:val="14"/>
                <w:color w:val="auto"/>
              </w:rPr>
              <w:t>Loans, net</w:t>
            </w:r>
          </w:p>
        </w:tc>
        <w:tc>
          <w:tcPr>
            <w:tcW w:w="240" w:type="dxa"/>
            <w:vAlign w:val="bottom"/>
            <w:tcBorders>
              <w:bottom w:val="single" w:sz="8" w:color="auto"/>
            </w:tcBorders>
            <w:shd w:val="clear" w:color="auto" w:fill="B6B6B6"/>
          </w:tcPr>
          <w:p>
            <w:pPr>
              <w:spacing w:after="0"/>
              <w:rPr>
                <w:sz w:val="16"/>
                <w:szCs w:val="16"/>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1,048,357</w:t>
            </w:r>
          </w:p>
        </w:tc>
        <w:tc>
          <w:tcPr>
            <w:tcW w:w="80" w:type="dxa"/>
            <w:vAlign w:val="bottom"/>
            <w:shd w:val="clear" w:color="auto" w:fill="B6B6B6"/>
          </w:tcPr>
          <w:p>
            <w:pPr>
              <w:spacing w:after="0"/>
              <w:rPr>
                <w:sz w:val="16"/>
                <w:szCs w:val="16"/>
                <w:color w:val="auto"/>
              </w:rPr>
            </w:pPr>
          </w:p>
        </w:tc>
        <w:tc>
          <w:tcPr>
            <w:tcW w:w="200" w:type="dxa"/>
            <w:vAlign w:val="bottom"/>
            <w:tcBorders>
              <w:bottom w:val="single" w:sz="8" w:color="auto"/>
            </w:tcBorders>
            <w:shd w:val="clear" w:color="auto" w:fill="B6B6B6"/>
          </w:tcPr>
          <w:p>
            <w:pPr>
              <w:spacing w:after="0"/>
              <w:rPr>
                <w:sz w:val="16"/>
                <w:szCs w:val="16"/>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1,001,229</w:t>
            </w:r>
          </w:p>
        </w:tc>
      </w:tr>
      <w:tr>
        <w:trPr>
          <w:trHeight w:val="192"/>
        </w:trPr>
        <w:tc>
          <w:tcPr>
            <w:tcW w:w="20" w:type="dxa"/>
            <w:vAlign w:val="bottom"/>
          </w:tcPr>
          <w:p>
            <w:pPr>
              <w:spacing w:after="0"/>
              <w:rPr>
                <w:sz w:val="16"/>
                <w:szCs w:val="16"/>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198,861</w:t>
            </w:r>
          </w:p>
        </w:tc>
      </w:tr>
      <w:tr>
        <w:trPr>
          <w:trHeight w:val="207"/>
        </w:trPr>
        <w:tc>
          <w:tcPr>
            <w:tcW w:w="20" w:type="dxa"/>
            <w:vAlign w:val="bottom"/>
            <w:shd w:val="clear" w:color="auto" w:fill="B6B6B6"/>
          </w:tcPr>
          <w:p>
            <w:pPr>
              <w:spacing w:after="0"/>
              <w:rPr>
                <w:sz w:val="18"/>
                <w:szCs w:val="18"/>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shd w:val="clear" w:color="auto" w:fill="B6B6B6"/>
          </w:tcPr>
          <w:p>
            <w:pPr>
              <w:spacing w:after="0"/>
              <w:rPr>
                <w:sz w:val="18"/>
                <w:szCs w:val="18"/>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33,469</w:t>
            </w: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30,093</w:t>
            </w: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Investment in bank-owned life insurance</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49,159</w:t>
            </w:r>
          </w:p>
        </w:tc>
      </w:tr>
      <w:tr>
        <w:trPr>
          <w:trHeight w:val="207"/>
        </w:trPr>
        <w:tc>
          <w:tcPr>
            <w:tcW w:w="20" w:type="dxa"/>
            <w:vAlign w:val="bottom"/>
            <w:shd w:val="clear" w:color="auto" w:fill="B6B6B6"/>
          </w:tcPr>
          <w:p>
            <w:pPr>
              <w:spacing w:after="0"/>
              <w:rPr>
                <w:sz w:val="18"/>
                <w:szCs w:val="18"/>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B6B6B6"/>
          </w:tcPr>
          <w:p>
            <w:pPr>
              <w:spacing w:after="0"/>
              <w:rPr>
                <w:sz w:val="18"/>
                <w:szCs w:val="18"/>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r>
      <w:tr>
        <w:trPr>
          <w:trHeight w:val="207"/>
        </w:trPr>
        <w:tc>
          <w:tcPr>
            <w:tcW w:w="20" w:type="dxa"/>
            <w:vAlign w:val="bottom"/>
            <w:shd w:val="clear" w:color="auto" w:fill="B6B6B6"/>
          </w:tcPr>
          <w:p>
            <w:pPr>
              <w:spacing w:after="0"/>
              <w:rPr>
                <w:sz w:val="18"/>
                <w:szCs w:val="18"/>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Accounts and drafts receivable from customers</w:t>
            </w:r>
          </w:p>
        </w:tc>
        <w:tc>
          <w:tcPr>
            <w:tcW w:w="240" w:type="dxa"/>
            <w:vAlign w:val="bottom"/>
            <w:shd w:val="clear" w:color="auto" w:fill="B6B6B6"/>
          </w:tcPr>
          <w:p>
            <w:pPr>
              <w:spacing w:after="0"/>
              <w:rPr>
                <w:sz w:val="18"/>
                <w:szCs w:val="18"/>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78,407</w:t>
            </w: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110,651</w:t>
            </w:r>
          </w:p>
        </w:tc>
      </w:tr>
      <w:tr>
        <w:trPr>
          <w:trHeight w:val="196"/>
        </w:trPr>
        <w:tc>
          <w:tcPr>
            <w:tcW w:w="20" w:type="dxa"/>
            <w:vAlign w:val="bottom"/>
            <w:tcBorders>
              <w:bottom w:val="single" w:sz="8" w:color="B6B6B6"/>
            </w:tcBorders>
          </w:tcPr>
          <w:p>
            <w:pPr>
              <w:spacing w:after="0"/>
              <w:rPr>
                <w:sz w:val="17"/>
                <w:szCs w:val="17"/>
                <w:color w:val="auto"/>
              </w:rPr>
            </w:pPr>
          </w:p>
        </w:tc>
        <w:tc>
          <w:tcPr>
            <w:tcW w:w="8100" w:type="dxa"/>
            <w:vAlign w:val="bottom"/>
            <w:tcBorders>
              <w:bottom w:val="single" w:sz="8" w:color="B6B6B6"/>
            </w:tcBorders>
            <w:gridSpan w:val="4"/>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73,132</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68,390</w:t>
            </w:r>
          </w:p>
        </w:tc>
      </w:tr>
      <w:tr>
        <w:trPr>
          <w:trHeight w:val="223"/>
        </w:trPr>
        <w:tc>
          <w:tcPr>
            <w:tcW w:w="20" w:type="dxa"/>
            <w:vAlign w:val="bottom"/>
            <w:tcBorders>
              <w:bottom w:val="single" w:sz="8" w:color="B6B6B6"/>
            </w:tcBorders>
            <w:shd w:val="clear" w:color="auto" w:fill="B6B6B6"/>
          </w:tcPr>
          <w:p>
            <w:pPr>
              <w:spacing w:after="0"/>
              <w:rPr>
                <w:sz w:val="18"/>
                <w:szCs w:val="18"/>
                <w:color w:val="auto"/>
              </w:rPr>
            </w:pPr>
          </w:p>
        </w:tc>
        <w:tc>
          <w:tcPr>
            <w:tcW w:w="8100" w:type="dxa"/>
            <w:vAlign w:val="bottom"/>
            <w:tcBorders>
              <w:bottom w:val="single" w:sz="8" w:color="B6B6B6"/>
            </w:tcBorders>
            <w:gridSpan w:val="4"/>
            <w:shd w:val="clear" w:color="auto" w:fill="B6B6B6"/>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2,282,596</w:t>
            </w:r>
          </w:p>
        </w:tc>
        <w:tc>
          <w:tcPr>
            <w:tcW w:w="80" w:type="dxa"/>
            <w:vAlign w:val="bottom"/>
            <w:tcBorders>
              <w:bottom w:val="single" w:sz="8" w:color="B6B6B6"/>
            </w:tcBorders>
            <w:shd w:val="clear" w:color="auto" w:fill="B6B6B6"/>
          </w:tcPr>
          <w:p>
            <w:pPr>
              <w:spacing w:after="0"/>
              <w:rPr>
                <w:sz w:val="18"/>
                <w:szCs w:val="18"/>
                <w:color w:val="auto"/>
              </w:rPr>
            </w:pPr>
          </w:p>
        </w:tc>
        <w:tc>
          <w:tcPr>
            <w:tcW w:w="20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2,478,622</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620" w:type="dxa"/>
            <w:vAlign w:val="bottom"/>
            <w:tcBorders>
              <w:top w:val="single" w:sz="8" w:color="B6B6B6"/>
            </w:tcBorders>
          </w:tcPr>
          <w:p>
            <w:pPr>
              <w:spacing w:after="0" w:line="20" w:lineRule="exact"/>
              <w:rPr>
                <w:sz w:val="1"/>
                <w:szCs w:val="1"/>
                <w:color w:val="auto"/>
              </w:rPr>
            </w:pPr>
          </w:p>
        </w:tc>
        <w:tc>
          <w:tcPr>
            <w:tcW w:w="620" w:type="dxa"/>
            <w:vAlign w:val="bottom"/>
            <w:tcBorders>
              <w:top w:val="single" w:sz="8" w:color="B6B6B6"/>
            </w:tcBorders>
            <w:gridSpan w:val="2"/>
          </w:tcPr>
          <w:p>
            <w:pPr>
              <w:spacing w:after="0" w:line="20" w:lineRule="exact"/>
              <w:rPr>
                <w:sz w:val="1"/>
                <w:szCs w:val="1"/>
                <w:color w:val="auto"/>
              </w:rPr>
            </w:pPr>
          </w:p>
        </w:tc>
        <w:tc>
          <w:tcPr>
            <w:tcW w:w="686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13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bottom w:val="single" w:sz="8" w:color="auto"/>
            </w:tcBorders>
          </w:tcPr>
          <w:p>
            <w:pPr>
              <w:spacing w:after="0" w:line="20" w:lineRule="exact"/>
              <w:rPr>
                <w:sz w:val="1"/>
                <w:szCs w:val="1"/>
                <w:color w:val="auto"/>
              </w:rPr>
            </w:pPr>
          </w:p>
        </w:tc>
        <w:tc>
          <w:tcPr>
            <w:tcW w:w="1280" w:type="dxa"/>
            <w:vAlign w:val="bottom"/>
            <w:tcBorders>
              <w:top w:val="single" w:sz="8" w:color="B6B6B6"/>
              <w:bottom w:val="single" w:sz="8" w:color="auto"/>
            </w:tcBorders>
          </w:tcPr>
          <w:p>
            <w:pPr>
              <w:spacing w:after="0" w:line="20" w:lineRule="exact"/>
              <w:rPr>
                <w:sz w:val="1"/>
                <w:szCs w:val="1"/>
                <w:color w:val="auto"/>
              </w:rPr>
            </w:pPr>
          </w:p>
        </w:tc>
      </w:tr>
      <w:tr>
        <w:trPr>
          <w:trHeight w:val="185"/>
        </w:trPr>
        <w:tc>
          <w:tcPr>
            <w:tcW w:w="20" w:type="dxa"/>
            <w:vAlign w:val="bottom"/>
            <w:shd w:val="clear" w:color="auto" w:fill="B6B6B6"/>
          </w:tcPr>
          <w:p>
            <w:pPr>
              <w:spacing w:after="0"/>
              <w:rPr>
                <w:sz w:val="16"/>
                <w:szCs w:val="16"/>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shd w:val="clear" w:color="auto" w:fill="B6B6B6"/>
          </w:tcPr>
          <w:p>
            <w:pPr>
              <w:spacing w:after="0"/>
              <w:rPr>
                <w:sz w:val="16"/>
                <w:szCs w:val="16"/>
                <w:color w:val="auto"/>
              </w:rPr>
            </w:pPr>
          </w:p>
        </w:tc>
        <w:tc>
          <w:tcPr>
            <w:tcW w:w="136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00" w:type="dxa"/>
            <w:vAlign w:val="bottom"/>
            <w:shd w:val="clear" w:color="auto" w:fill="B6B6B6"/>
          </w:tcPr>
          <w:p>
            <w:pPr>
              <w:spacing w:after="0"/>
              <w:rPr>
                <w:sz w:val="16"/>
                <w:szCs w:val="16"/>
                <w:color w:val="auto"/>
              </w:rPr>
            </w:pPr>
          </w:p>
        </w:tc>
        <w:tc>
          <w:tcPr>
            <w:tcW w:w="1280" w:type="dxa"/>
            <w:vAlign w:val="bottom"/>
            <w:shd w:val="clear" w:color="auto" w:fill="B6B6B6"/>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8100" w:type="dxa"/>
            <w:vAlign w:val="bottom"/>
            <w:gridSpan w:val="4"/>
          </w:tcPr>
          <w:p>
            <w:pPr>
              <w:spacing w:after="0" w:line="159" w:lineRule="exact"/>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2"/>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shd w:val="clear" w:color="auto" w:fill="B6B6B6"/>
          </w:tcPr>
          <w:p>
            <w:pPr>
              <w:spacing w:after="0"/>
              <w:rPr>
                <w:sz w:val="17"/>
                <w:szCs w:val="17"/>
                <w:color w:val="auto"/>
              </w:rPr>
            </w:pPr>
          </w:p>
        </w:tc>
        <w:tc>
          <w:tcPr>
            <w:tcW w:w="136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200" w:type="dxa"/>
            <w:vAlign w:val="bottom"/>
            <w:shd w:val="clear" w:color="auto" w:fill="B6B6B6"/>
          </w:tcPr>
          <w:p>
            <w:pPr>
              <w:spacing w:after="0"/>
              <w:rPr>
                <w:sz w:val="17"/>
                <w:szCs w:val="17"/>
                <w:color w:val="auto"/>
              </w:rPr>
            </w:pPr>
          </w:p>
        </w:tc>
        <w:tc>
          <w:tcPr>
            <w:tcW w:w="1280" w:type="dxa"/>
            <w:vAlign w:val="bottom"/>
            <w:shd w:val="clear" w:color="auto" w:fill="B6B6B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10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Noninterest-bearing</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372,031</w:t>
            </w: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524,359</w:t>
            </w:r>
          </w:p>
        </w:tc>
      </w:tr>
      <w:tr>
        <w:trPr>
          <w:trHeight w:val="202"/>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Interest-bearing</w:t>
            </w:r>
          </w:p>
        </w:tc>
        <w:tc>
          <w:tcPr>
            <w:tcW w:w="24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640,315</w:t>
            </w:r>
          </w:p>
        </w:tc>
        <w:tc>
          <w:tcPr>
            <w:tcW w:w="80" w:type="dxa"/>
            <w:vAlign w:val="bottom"/>
            <w:shd w:val="clear" w:color="auto" w:fill="B6B6B6"/>
          </w:tcPr>
          <w:p>
            <w:pPr>
              <w:spacing w:after="0"/>
              <w:rPr>
                <w:sz w:val="17"/>
                <w:szCs w:val="17"/>
                <w:color w:val="auto"/>
              </w:rPr>
            </w:pPr>
          </w:p>
        </w:tc>
        <w:tc>
          <w:tcPr>
            <w:tcW w:w="20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616,455</w:t>
            </w:r>
          </w:p>
        </w:tc>
      </w:tr>
      <w:tr>
        <w:trPr>
          <w:trHeight w:val="192"/>
        </w:trPr>
        <w:tc>
          <w:tcPr>
            <w:tcW w:w="20" w:type="dxa"/>
            <w:vAlign w:val="bottom"/>
            <w:tcBorders>
              <w:bottom w:val="single" w:sz="8" w:color="B6B6B6"/>
            </w:tcBorders>
          </w:tcPr>
          <w:p>
            <w:pPr>
              <w:spacing w:after="0"/>
              <w:rPr>
                <w:sz w:val="16"/>
                <w:szCs w:val="16"/>
                <w:color w:val="auto"/>
              </w:rPr>
            </w:pPr>
          </w:p>
        </w:tc>
        <w:tc>
          <w:tcPr>
            <w:tcW w:w="8100" w:type="dxa"/>
            <w:vAlign w:val="bottom"/>
            <w:tcBorders>
              <w:bottom w:val="single" w:sz="8" w:color="B6B6B6"/>
            </w:tcBorders>
            <w:gridSpan w:val="4"/>
          </w:tcPr>
          <w:p>
            <w:pPr>
              <w:ind w:left="28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1,012,346</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1,140,814</w:t>
            </w:r>
          </w:p>
        </w:tc>
      </w:tr>
      <w:tr>
        <w:trPr>
          <w:trHeight w:val="198"/>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40" w:type="dxa"/>
            <w:vAlign w:val="bottom"/>
            <w:shd w:val="clear" w:color="auto" w:fill="B6B6B6"/>
          </w:tcPr>
          <w:p>
            <w:pPr>
              <w:spacing w:after="0"/>
              <w:rPr>
                <w:sz w:val="17"/>
                <w:szCs w:val="17"/>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996,832</w:t>
            </w:r>
          </w:p>
        </w:tc>
        <w:tc>
          <w:tcPr>
            <w:tcW w:w="80" w:type="dxa"/>
            <w:vAlign w:val="bottom"/>
            <w:shd w:val="clear" w:color="auto" w:fill="B6B6B6"/>
          </w:tcPr>
          <w:p>
            <w:pPr>
              <w:spacing w:after="0"/>
              <w:rPr>
                <w:sz w:val="17"/>
                <w:szCs w:val="17"/>
                <w:color w:val="auto"/>
              </w:rPr>
            </w:pPr>
          </w:p>
        </w:tc>
        <w:tc>
          <w:tcPr>
            <w:tcW w:w="200" w:type="dxa"/>
            <w:vAlign w:val="bottom"/>
            <w:shd w:val="clear" w:color="auto" w:fill="B6B6B6"/>
          </w:tcPr>
          <w:p>
            <w:pPr>
              <w:spacing w:after="0"/>
              <w:rPr>
                <w:sz w:val="17"/>
                <w:szCs w:val="17"/>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1,071,369</w:t>
            </w:r>
          </w:p>
        </w:tc>
      </w:tr>
      <w:tr>
        <w:trPr>
          <w:trHeight w:val="196"/>
        </w:trPr>
        <w:tc>
          <w:tcPr>
            <w:tcW w:w="20" w:type="dxa"/>
            <w:vAlign w:val="bottom"/>
            <w:tcBorders>
              <w:bottom w:val="single" w:sz="8" w:color="B6B6B6"/>
            </w:tcBorders>
          </w:tcPr>
          <w:p>
            <w:pPr>
              <w:spacing w:after="0"/>
              <w:rPr>
                <w:sz w:val="17"/>
                <w:szCs w:val="17"/>
                <w:color w:val="auto"/>
              </w:rPr>
            </w:pPr>
          </w:p>
        </w:tc>
        <w:tc>
          <w:tcPr>
            <w:tcW w:w="8100" w:type="dxa"/>
            <w:vAlign w:val="bottom"/>
            <w:tcBorders>
              <w:bottom w:val="single" w:sz="8" w:color="B6B6B6"/>
            </w:tcBorders>
            <w:gridSpan w:val="4"/>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43,493</w:t>
            </w:r>
          </w:p>
        </w:tc>
        <w:tc>
          <w:tcPr>
            <w:tcW w:w="80" w:type="dxa"/>
            <w:vAlign w:val="bottom"/>
            <w:tcBorders>
              <w:bottom w:val="single" w:sz="8" w:color="B6B6B6"/>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36,630</w:t>
            </w:r>
          </w:p>
        </w:tc>
      </w:tr>
      <w:tr>
        <w:trPr>
          <w:trHeight w:val="198"/>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2,052,671</w:t>
            </w:r>
          </w:p>
        </w:tc>
        <w:tc>
          <w:tcPr>
            <w:tcW w:w="80" w:type="dxa"/>
            <w:vAlign w:val="bottom"/>
            <w:shd w:val="clear" w:color="auto" w:fill="B6B6B6"/>
          </w:tcPr>
          <w:p>
            <w:pPr>
              <w:spacing w:after="0"/>
              <w:rPr>
                <w:sz w:val="17"/>
                <w:szCs w:val="17"/>
                <w:color w:val="auto"/>
              </w:rPr>
            </w:pPr>
          </w:p>
        </w:tc>
        <w:tc>
          <w:tcPr>
            <w:tcW w:w="20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2,248,813</w:t>
            </w: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2"/>
        </w:trPr>
        <w:tc>
          <w:tcPr>
            <w:tcW w:w="20" w:type="dxa"/>
            <w:vAlign w:val="bottom"/>
            <w:tcBorders>
              <w:bottom w:val="single" w:sz="8" w:color="B6B6B6"/>
            </w:tcBorders>
            <w:shd w:val="clear" w:color="auto" w:fill="B6B6B6"/>
          </w:tcPr>
          <w:p>
            <w:pPr>
              <w:spacing w:after="0"/>
              <w:rPr>
                <w:sz w:val="15"/>
                <w:szCs w:val="15"/>
                <w:color w:val="auto"/>
              </w:rPr>
            </w:pPr>
          </w:p>
        </w:tc>
        <w:tc>
          <w:tcPr>
            <w:tcW w:w="1240" w:type="dxa"/>
            <w:vAlign w:val="bottom"/>
            <w:tcBorders>
              <w:bottom w:val="single" w:sz="8" w:color="auto"/>
            </w:tcBorders>
            <w:gridSpan w:val="3"/>
            <w:shd w:val="clear" w:color="auto" w:fill="B6B6B6"/>
          </w:tcPr>
          <w:p>
            <w:pPr>
              <w:spacing w:after="0" w:line="159" w:lineRule="exact"/>
              <w:rPr>
                <w:sz w:val="20"/>
                <w:szCs w:val="20"/>
                <w:color w:val="auto"/>
              </w:rPr>
            </w:pPr>
            <w:r>
              <w:rPr>
                <w:rFonts w:ascii="Times New Roman" w:cs="Times New Roman" w:eastAsia="Times New Roman" w:hAnsi="Times New Roman"/>
                <w:sz w:val="14"/>
                <w:szCs w:val="14"/>
                <w:color w:val="auto"/>
                <w:w w:val="99"/>
              </w:rPr>
              <w:t>Shareholders’ Equity:</w:t>
            </w:r>
          </w:p>
        </w:tc>
        <w:tc>
          <w:tcPr>
            <w:tcW w:w="6860" w:type="dxa"/>
            <w:vAlign w:val="bottom"/>
            <w:tcBorders>
              <w:bottom w:val="single" w:sz="8" w:color="B6B6B6"/>
            </w:tcBorders>
            <w:shd w:val="clear" w:color="auto" w:fill="B6B6B6"/>
          </w:tcPr>
          <w:p>
            <w:pPr>
              <w:spacing w:after="0"/>
              <w:rPr>
                <w:sz w:val="15"/>
                <w:szCs w:val="15"/>
                <w:color w:val="auto"/>
              </w:rPr>
            </w:pPr>
          </w:p>
        </w:tc>
        <w:tc>
          <w:tcPr>
            <w:tcW w:w="240" w:type="dxa"/>
            <w:vAlign w:val="bottom"/>
            <w:tcBorders>
              <w:bottom w:val="single" w:sz="8" w:color="B6B6B6"/>
            </w:tcBorders>
            <w:shd w:val="clear" w:color="auto" w:fill="B6B6B6"/>
          </w:tcPr>
          <w:p>
            <w:pPr>
              <w:spacing w:after="0"/>
              <w:rPr>
                <w:sz w:val="15"/>
                <w:szCs w:val="15"/>
                <w:color w:val="auto"/>
              </w:rPr>
            </w:pPr>
          </w:p>
        </w:tc>
        <w:tc>
          <w:tcPr>
            <w:tcW w:w="1360" w:type="dxa"/>
            <w:vAlign w:val="bottom"/>
            <w:tcBorders>
              <w:bottom w:val="single" w:sz="8" w:color="B6B6B6"/>
            </w:tcBorders>
            <w:shd w:val="clear" w:color="auto" w:fill="B6B6B6"/>
          </w:tcPr>
          <w:p>
            <w:pPr>
              <w:spacing w:after="0"/>
              <w:rPr>
                <w:sz w:val="15"/>
                <w:szCs w:val="15"/>
                <w:color w:val="auto"/>
              </w:rPr>
            </w:pPr>
          </w:p>
        </w:tc>
        <w:tc>
          <w:tcPr>
            <w:tcW w:w="80" w:type="dxa"/>
            <w:vAlign w:val="bottom"/>
            <w:tcBorders>
              <w:bottom w:val="single" w:sz="8" w:color="B6B6B6"/>
            </w:tcBorders>
            <w:shd w:val="clear" w:color="auto" w:fill="B6B6B6"/>
          </w:tcPr>
          <w:p>
            <w:pPr>
              <w:spacing w:after="0"/>
              <w:rPr>
                <w:sz w:val="15"/>
                <w:szCs w:val="15"/>
                <w:color w:val="auto"/>
              </w:rPr>
            </w:pPr>
          </w:p>
        </w:tc>
        <w:tc>
          <w:tcPr>
            <w:tcW w:w="200" w:type="dxa"/>
            <w:vAlign w:val="bottom"/>
            <w:tcBorders>
              <w:bottom w:val="single" w:sz="8" w:color="B6B6B6"/>
            </w:tcBorders>
            <w:shd w:val="clear" w:color="auto" w:fill="B6B6B6"/>
          </w:tcPr>
          <w:p>
            <w:pPr>
              <w:spacing w:after="0"/>
              <w:rPr>
                <w:sz w:val="15"/>
                <w:szCs w:val="15"/>
                <w:color w:val="auto"/>
              </w:rPr>
            </w:pPr>
          </w:p>
        </w:tc>
        <w:tc>
          <w:tcPr>
            <w:tcW w:w="1280" w:type="dxa"/>
            <w:vAlign w:val="bottom"/>
            <w:tcBorders>
              <w:bottom w:val="single" w:sz="8" w:color="B6B6B6"/>
            </w:tcBorders>
            <w:shd w:val="clear" w:color="auto" w:fill="B6B6B6"/>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Preferred stock, par value $.50 per share; 2,000,000 shares authorized and no shares issued</w:t>
            </w:r>
          </w:p>
        </w:tc>
        <w:tc>
          <w:tcPr>
            <w:tcW w:w="24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0" w:type="dxa"/>
            <w:vAlign w:val="bottom"/>
            <w:shd w:val="clear" w:color="auto" w:fill="B6B6B6"/>
          </w:tcPr>
          <w:p>
            <w:pPr>
              <w:spacing w:after="0"/>
              <w:rPr>
                <w:sz w:val="14"/>
                <w:szCs w:val="14"/>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Common stock, par value $.50 per share; 40,000,000 shares authorized and 15,505,772 shares issued at June 30, 2024 and December 31,</w:t>
            </w:r>
          </w:p>
        </w:tc>
        <w:tc>
          <w:tcPr>
            <w:tcW w:w="240" w:type="dxa"/>
            <w:vAlign w:val="bottom"/>
            <w:shd w:val="clear" w:color="auto" w:fill="B6B6B6"/>
          </w:tcPr>
          <w:p>
            <w:pPr>
              <w:spacing w:after="0"/>
              <w:rPr>
                <w:sz w:val="14"/>
                <w:szCs w:val="14"/>
                <w:color w:val="auto"/>
              </w:rPr>
            </w:pPr>
          </w:p>
        </w:tc>
        <w:tc>
          <w:tcPr>
            <w:tcW w:w="13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1280" w:type="dxa"/>
            <w:vAlign w:val="bottom"/>
            <w:shd w:val="clear" w:color="auto" w:fill="B6B6B6"/>
          </w:tcPr>
          <w:p>
            <w:pPr>
              <w:spacing w:after="0"/>
              <w:rPr>
                <w:sz w:val="14"/>
                <w:szCs w:val="14"/>
                <w:color w:val="auto"/>
              </w:rPr>
            </w:pPr>
          </w:p>
        </w:tc>
      </w:tr>
      <w:tr>
        <w:trPr>
          <w:trHeight w:val="195"/>
        </w:trPr>
        <w:tc>
          <w:tcPr>
            <w:tcW w:w="20" w:type="dxa"/>
            <w:vAlign w:val="bottom"/>
            <w:shd w:val="clear" w:color="auto" w:fill="B6B6B6"/>
          </w:tcPr>
          <w:p>
            <w:pPr>
              <w:spacing w:after="0"/>
              <w:rPr>
                <w:sz w:val="16"/>
                <w:szCs w:val="16"/>
                <w:color w:val="auto"/>
              </w:rPr>
            </w:pPr>
          </w:p>
        </w:tc>
        <w:tc>
          <w:tcPr>
            <w:tcW w:w="8100" w:type="dxa"/>
            <w:vAlign w:val="bottom"/>
            <w:gridSpan w:val="4"/>
            <w:shd w:val="clear" w:color="auto" w:fill="B6B6B6"/>
          </w:tcPr>
          <w:p>
            <w:pPr>
              <w:ind w:left="120"/>
              <w:spacing w:after="0"/>
              <w:rPr>
                <w:sz w:val="20"/>
                <w:szCs w:val="20"/>
                <w:color w:val="auto"/>
              </w:rPr>
            </w:pPr>
            <w:r>
              <w:rPr>
                <w:rFonts w:ascii="Times New Roman" w:cs="Times New Roman" w:eastAsia="Times New Roman" w:hAnsi="Times New Roman"/>
                <w:sz w:val="14"/>
                <w:szCs w:val="14"/>
                <w:color w:val="auto"/>
              </w:rPr>
              <w:t>2023; 13,645,248 and 13,582,375 shares outstanding at June 30, 2024 and December 31, 2023, respectively.</w:t>
            </w:r>
          </w:p>
        </w:tc>
        <w:tc>
          <w:tcPr>
            <w:tcW w:w="240" w:type="dxa"/>
            <w:vAlign w:val="bottom"/>
            <w:shd w:val="clear" w:color="auto" w:fill="B6B6B6"/>
          </w:tcPr>
          <w:p>
            <w:pPr>
              <w:spacing w:after="0"/>
              <w:rPr>
                <w:sz w:val="16"/>
                <w:szCs w:val="16"/>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shd w:val="clear" w:color="auto" w:fill="B6B6B6"/>
          </w:tcPr>
          <w:p>
            <w:pPr>
              <w:spacing w:after="0"/>
              <w:rPr>
                <w:sz w:val="16"/>
                <w:szCs w:val="16"/>
                <w:color w:val="auto"/>
              </w:rPr>
            </w:pPr>
          </w:p>
        </w:tc>
        <w:tc>
          <w:tcPr>
            <w:tcW w:w="200" w:type="dxa"/>
            <w:vAlign w:val="bottom"/>
            <w:shd w:val="clear" w:color="auto" w:fill="B6B6B6"/>
          </w:tcPr>
          <w:p>
            <w:pPr>
              <w:spacing w:after="0"/>
              <w:rPr>
                <w:sz w:val="16"/>
                <w:szCs w:val="16"/>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7,753</w:t>
            </w: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208,007</w:t>
            </w:r>
          </w:p>
        </w:tc>
      </w:tr>
      <w:tr>
        <w:trPr>
          <w:trHeight w:val="207"/>
        </w:trPr>
        <w:tc>
          <w:tcPr>
            <w:tcW w:w="20" w:type="dxa"/>
            <w:vAlign w:val="bottom"/>
            <w:shd w:val="clear" w:color="auto" w:fill="B6B6B6"/>
          </w:tcPr>
          <w:p>
            <w:pPr>
              <w:spacing w:after="0"/>
              <w:rPr>
                <w:sz w:val="18"/>
                <w:szCs w:val="18"/>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B6B6B6"/>
          </w:tcPr>
          <w:p>
            <w:pPr>
              <w:spacing w:after="0"/>
              <w:rPr>
                <w:sz w:val="18"/>
                <w:szCs w:val="18"/>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149,236</w:t>
            </w:r>
          </w:p>
        </w:tc>
        <w:tc>
          <w:tcPr>
            <w:tcW w:w="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145,782</w:t>
            </w:r>
          </w:p>
        </w:tc>
      </w:tr>
      <w:tr>
        <w:trPr>
          <w:trHeight w:val="196"/>
        </w:trPr>
        <w:tc>
          <w:tcPr>
            <w:tcW w:w="20" w:type="dxa"/>
            <w:vAlign w:val="bottom"/>
          </w:tcPr>
          <w:p>
            <w:pPr>
              <w:spacing w:after="0"/>
              <w:rPr>
                <w:sz w:val="17"/>
                <w:szCs w:val="17"/>
                <w:color w:val="auto"/>
              </w:rPr>
            </w:pPr>
          </w:p>
        </w:tc>
        <w:tc>
          <w:tcPr>
            <w:tcW w:w="81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Common shares in treasury, at cost (1,860,524 shares at June 30, 2024 and 1,923,397 shares at December 31, 2023)</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(84,264)</w:t>
            </w:r>
          </w:p>
        </w:tc>
      </w:tr>
      <w:tr>
        <w:trPr>
          <w:trHeight w:val="202"/>
        </w:trPr>
        <w:tc>
          <w:tcPr>
            <w:tcW w:w="20" w:type="dxa"/>
            <w:vAlign w:val="bottom"/>
            <w:shd w:val="clear" w:color="auto" w:fill="B6B6B6"/>
          </w:tcPr>
          <w:p>
            <w:pPr>
              <w:spacing w:after="0"/>
              <w:rPr>
                <w:sz w:val="17"/>
                <w:szCs w:val="17"/>
                <w:color w:val="auto"/>
              </w:rPr>
            </w:pPr>
          </w:p>
        </w:tc>
        <w:tc>
          <w:tcPr>
            <w:tcW w:w="8100" w:type="dxa"/>
            <w:vAlign w:val="bottom"/>
            <w:gridSpan w:val="4"/>
            <w:shd w:val="clear" w:color="auto" w:fill="B6B6B6"/>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(49,638)</w:t>
            </w:r>
          </w:p>
        </w:tc>
        <w:tc>
          <w:tcPr>
            <w:tcW w:w="80" w:type="dxa"/>
            <w:vAlign w:val="bottom"/>
            <w:shd w:val="clear" w:color="auto" w:fill="B6B6B6"/>
          </w:tcPr>
          <w:p>
            <w:pPr>
              <w:spacing w:after="0"/>
              <w:rPr>
                <w:sz w:val="17"/>
                <w:szCs w:val="17"/>
                <w:color w:val="auto"/>
              </w:rPr>
            </w:pPr>
          </w:p>
        </w:tc>
        <w:tc>
          <w:tcPr>
            <w:tcW w:w="20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(47,469)</w:t>
            </w:r>
          </w:p>
        </w:tc>
      </w:tr>
      <w:tr>
        <w:trPr>
          <w:trHeight w:val="192"/>
        </w:trPr>
        <w:tc>
          <w:tcPr>
            <w:tcW w:w="20" w:type="dxa"/>
            <w:vAlign w:val="bottom"/>
            <w:tcBorders>
              <w:bottom w:val="single" w:sz="8" w:color="B6B6B6"/>
            </w:tcBorders>
          </w:tcPr>
          <w:p>
            <w:pPr>
              <w:spacing w:after="0"/>
              <w:rPr>
                <w:sz w:val="16"/>
                <w:szCs w:val="16"/>
                <w:color w:val="auto"/>
              </w:rPr>
            </w:pPr>
          </w:p>
        </w:tc>
        <w:tc>
          <w:tcPr>
            <w:tcW w:w="8100" w:type="dxa"/>
            <w:vAlign w:val="bottom"/>
            <w:tcBorders>
              <w:bottom w:val="single" w:sz="8" w:color="B6B6B6"/>
            </w:tcBorders>
            <w:gridSpan w:val="4"/>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229,925</w:t>
            </w:r>
          </w:p>
        </w:tc>
        <w:tc>
          <w:tcPr>
            <w:tcW w:w="80" w:type="dxa"/>
            <w:vAlign w:val="bottom"/>
            <w:tcBorders>
              <w:bottom w:val="single" w:sz="8" w:color="B6B6B6"/>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229,809</w:t>
            </w:r>
          </w:p>
        </w:tc>
      </w:tr>
      <w:tr>
        <w:trPr>
          <w:trHeight w:val="223"/>
        </w:trPr>
        <w:tc>
          <w:tcPr>
            <w:tcW w:w="20" w:type="dxa"/>
            <w:vAlign w:val="bottom"/>
            <w:tcBorders>
              <w:bottom w:val="single" w:sz="8" w:color="B6B6B6"/>
            </w:tcBorders>
            <w:shd w:val="clear" w:color="auto" w:fill="B6B6B6"/>
          </w:tcPr>
          <w:p>
            <w:pPr>
              <w:spacing w:after="0"/>
              <w:rPr>
                <w:sz w:val="18"/>
                <w:szCs w:val="18"/>
                <w:color w:val="auto"/>
              </w:rPr>
            </w:pPr>
          </w:p>
        </w:tc>
        <w:tc>
          <w:tcPr>
            <w:tcW w:w="8100" w:type="dxa"/>
            <w:vAlign w:val="bottom"/>
            <w:tcBorders>
              <w:bottom w:val="single" w:sz="8" w:color="B6B6B6"/>
            </w:tcBorders>
            <w:gridSpan w:val="4"/>
            <w:shd w:val="clear" w:color="auto" w:fill="B6B6B6"/>
          </w:tcPr>
          <w:p>
            <w:pPr>
              <w:ind w:left="4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4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2,282,596</w:t>
            </w:r>
          </w:p>
        </w:tc>
        <w:tc>
          <w:tcPr>
            <w:tcW w:w="80" w:type="dxa"/>
            <w:vAlign w:val="bottom"/>
            <w:tcBorders>
              <w:bottom w:val="single" w:sz="8" w:color="B6B6B6"/>
            </w:tcBorders>
            <w:shd w:val="clear" w:color="auto" w:fill="B6B6B6"/>
          </w:tcPr>
          <w:p>
            <w:pPr>
              <w:spacing w:after="0"/>
              <w:rPr>
                <w:sz w:val="18"/>
                <w:szCs w:val="18"/>
                <w:color w:val="auto"/>
              </w:rPr>
            </w:pPr>
          </w:p>
        </w:tc>
        <w:tc>
          <w:tcPr>
            <w:tcW w:w="20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2,478,622</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620" w:type="dxa"/>
            <w:vAlign w:val="bottom"/>
            <w:tcBorders>
              <w:top w:val="single" w:sz="8" w:color="B6B6B6"/>
            </w:tcBorders>
          </w:tcPr>
          <w:p>
            <w:pPr>
              <w:spacing w:after="0" w:line="20" w:lineRule="exact"/>
              <w:rPr>
                <w:sz w:val="1"/>
                <w:szCs w:val="1"/>
                <w:color w:val="auto"/>
              </w:rPr>
            </w:pPr>
          </w:p>
        </w:tc>
        <w:tc>
          <w:tcPr>
            <w:tcW w:w="42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tcBorders>
          </w:tcPr>
          <w:p>
            <w:pPr>
              <w:spacing w:after="0" w:line="20" w:lineRule="exact"/>
              <w:rPr>
                <w:sz w:val="1"/>
                <w:szCs w:val="1"/>
                <w:color w:val="auto"/>
              </w:rPr>
            </w:pPr>
          </w:p>
        </w:tc>
        <w:tc>
          <w:tcPr>
            <w:tcW w:w="686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13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bottom w:val="single" w:sz="8" w:color="auto"/>
            </w:tcBorders>
          </w:tcPr>
          <w:p>
            <w:pPr>
              <w:spacing w:after="0" w:line="20" w:lineRule="exact"/>
              <w:rPr>
                <w:sz w:val="1"/>
                <w:szCs w:val="1"/>
                <w:color w:val="auto"/>
              </w:rPr>
            </w:pPr>
          </w:p>
        </w:tc>
        <w:tc>
          <w:tcPr>
            <w:tcW w:w="1280" w:type="dxa"/>
            <w:vAlign w:val="bottom"/>
            <w:tcBorders>
              <w:top w:val="single" w:sz="8" w:color="B6B6B6"/>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632"/>
        </w:trPr>
        <w:tc>
          <w:tcPr>
            <w:tcW w:w="106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4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1"/>
        </w:trPr>
        <w:tc>
          <w:tcPr>
            <w:tcW w:w="1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INCOME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040" w:type="dxa"/>
            <w:vAlign w:val="bottom"/>
            <w:gridSpan w:val="2"/>
          </w:tcPr>
          <w:p>
            <w:pPr>
              <w:jc w:val="center"/>
              <w:ind w:left="849"/>
              <w:spacing w:after="0"/>
              <w:rPr>
                <w:sz w:val="20"/>
                <w:szCs w:val="20"/>
                <w:color w:val="auto"/>
              </w:rPr>
            </w:pPr>
            <w:r>
              <w:rPr>
                <w:rFonts w:ascii="Times New Roman" w:cs="Times New Roman" w:eastAsia="Times New Roman" w:hAnsi="Times New Roman"/>
                <w:sz w:val="14"/>
                <w:szCs w:val="14"/>
                <w:color w:val="auto"/>
              </w:rPr>
              <w:t>(Unaudited)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4"/>
        </w:trPr>
        <w:tc>
          <w:tcPr>
            <w:tcW w:w="10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0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91"/>
        </w:trPr>
        <w:tc>
          <w:tcPr>
            <w:tcW w:w="10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6"/>
        </w:trPr>
        <w:tc>
          <w:tcPr>
            <w:tcW w:w="1060" w:type="dxa"/>
            <w:vAlign w:val="bottom"/>
            <w:tcBorders>
              <w:bottom w:val="single" w:sz="8" w:color="B6B6B6"/>
            </w:tcBorders>
          </w:tcPr>
          <w:p>
            <w:pPr>
              <w:spacing w:after="0"/>
              <w:rPr>
                <w:sz w:val="16"/>
                <w:szCs w:val="16"/>
                <w:color w:val="auto"/>
              </w:rPr>
            </w:pPr>
          </w:p>
        </w:tc>
        <w:tc>
          <w:tcPr>
            <w:tcW w:w="2600" w:type="dxa"/>
            <w:vAlign w:val="bottom"/>
            <w:tcBorders>
              <w:bottom w:val="single" w:sz="8" w:color="B6B6B6"/>
            </w:tcBorders>
          </w:tcPr>
          <w:p>
            <w:pPr>
              <w:spacing w:after="0"/>
              <w:rPr>
                <w:sz w:val="16"/>
                <w:szCs w:val="16"/>
                <w:color w:val="auto"/>
              </w:rPr>
            </w:pPr>
          </w:p>
        </w:tc>
        <w:tc>
          <w:tcPr>
            <w:tcW w:w="2780" w:type="dxa"/>
            <w:vAlign w:val="bottom"/>
            <w:tcBorders>
              <w:bottom w:val="single" w:sz="8" w:color="B6B6B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87"/>
        </w:trPr>
        <w:tc>
          <w:tcPr>
            <w:tcW w:w="1060" w:type="dxa"/>
            <w:vAlign w:val="bottom"/>
            <w:tcBorders>
              <w:bottom w:val="single" w:sz="8" w:color="auto"/>
            </w:tcBorders>
            <w:shd w:val="clear" w:color="auto" w:fill="B6B6B6"/>
          </w:tcPr>
          <w:p>
            <w:pPr>
              <w:spacing w:after="0"/>
              <w:rPr>
                <w:sz w:val="16"/>
                <w:szCs w:val="16"/>
                <w:color w:val="auto"/>
              </w:rPr>
            </w:pPr>
          </w:p>
        </w:tc>
        <w:tc>
          <w:tcPr>
            <w:tcW w:w="2600" w:type="dxa"/>
            <w:vAlign w:val="bottom"/>
            <w:tcBorders>
              <w:bottom w:val="single" w:sz="8" w:color="auto"/>
            </w:tcBorders>
            <w:shd w:val="clear" w:color="auto" w:fill="B6B6B6"/>
          </w:tcPr>
          <w:p>
            <w:pPr>
              <w:spacing w:after="0"/>
              <w:rPr>
                <w:sz w:val="16"/>
                <w:szCs w:val="16"/>
                <w:color w:val="auto"/>
              </w:rPr>
            </w:pPr>
          </w:p>
        </w:tc>
        <w:tc>
          <w:tcPr>
            <w:tcW w:w="2780" w:type="dxa"/>
            <w:vAlign w:val="bottom"/>
            <w:tcBorders>
              <w:bottom w:val="single" w:sz="8" w:color="auto"/>
            </w:tcBorders>
            <w:shd w:val="clear" w:color="auto" w:fill="B6B6B6"/>
          </w:tcPr>
          <w:p>
            <w:pPr>
              <w:spacing w:after="0"/>
              <w:rPr>
                <w:sz w:val="16"/>
                <w:szCs w:val="16"/>
                <w:color w:val="auto"/>
              </w:rPr>
            </w:pPr>
          </w:p>
        </w:tc>
        <w:tc>
          <w:tcPr>
            <w:tcW w:w="260" w:type="dxa"/>
            <w:vAlign w:val="bottom"/>
            <w:tcBorders>
              <w:bottom w:val="single" w:sz="8" w:color="auto"/>
            </w:tcBorders>
            <w:shd w:val="clear" w:color="auto" w:fill="B6B6B6"/>
          </w:tcPr>
          <w:p>
            <w:pPr>
              <w:spacing w:after="0"/>
              <w:rPr>
                <w:sz w:val="16"/>
                <w:szCs w:val="16"/>
                <w:color w:val="auto"/>
              </w:rPr>
            </w:pPr>
          </w:p>
        </w:tc>
        <w:tc>
          <w:tcPr>
            <w:tcW w:w="900" w:type="dxa"/>
            <w:vAlign w:val="bottom"/>
            <w:tcBorders>
              <w:bottom w:val="single" w:sz="8" w:color="auto"/>
            </w:tcBorders>
            <w:shd w:val="clear" w:color="auto" w:fill="B6B6B6"/>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spacing w:after="0"/>
              <w:rPr>
                <w:sz w:val="16"/>
                <w:szCs w:val="16"/>
                <w:color w:val="auto"/>
              </w:rPr>
            </w:pPr>
          </w:p>
        </w:tc>
        <w:tc>
          <w:tcPr>
            <w:tcW w:w="820" w:type="dxa"/>
            <w:vAlign w:val="bottom"/>
            <w:tcBorders>
              <w:bottom w:val="single" w:sz="8" w:color="auto"/>
            </w:tcBorders>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shd w:val="clear" w:color="auto" w:fill="B6B6B6"/>
          </w:tcPr>
          <w:p>
            <w:pPr>
              <w:spacing w:after="0"/>
              <w:rPr>
                <w:sz w:val="16"/>
                <w:szCs w:val="16"/>
                <w:color w:val="auto"/>
              </w:rPr>
            </w:pPr>
          </w:p>
        </w:tc>
        <w:tc>
          <w:tcPr>
            <w:tcW w:w="260" w:type="dxa"/>
            <w:vAlign w:val="bottom"/>
            <w:tcBorders>
              <w:bottom w:val="single" w:sz="8" w:color="auto"/>
            </w:tcBorders>
            <w:shd w:val="clear" w:color="auto" w:fill="B6B6B6"/>
          </w:tcPr>
          <w:p>
            <w:pPr>
              <w:spacing w:after="0"/>
              <w:rPr>
                <w:sz w:val="16"/>
                <w:szCs w:val="16"/>
                <w:color w:val="auto"/>
              </w:rPr>
            </w:pPr>
          </w:p>
        </w:tc>
        <w:tc>
          <w:tcPr>
            <w:tcW w:w="900" w:type="dxa"/>
            <w:vAlign w:val="bottom"/>
            <w:tcBorders>
              <w:bottom w:val="single" w:sz="8" w:color="auto"/>
            </w:tcBorders>
            <w:shd w:val="clear" w:color="auto" w:fill="B6B6B6"/>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spacing w:after="0"/>
              <w:rPr>
                <w:sz w:val="16"/>
                <w:szCs w:val="16"/>
                <w:color w:val="auto"/>
              </w:rPr>
            </w:pPr>
          </w:p>
        </w:tc>
        <w:tc>
          <w:tcPr>
            <w:tcW w:w="820" w:type="dxa"/>
            <w:vAlign w:val="bottom"/>
            <w:tcBorders>
              <w:bottom w:val="single" w:sz="8" w:color="auto"/>
            </w:tcBorders>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 Revenue and Other Income:</w:t>
            </w: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30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21,103</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19,386</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38,899</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22,921</w:t>
            </w:r>
          </w:p>
        </w:tc>
      </w:tr>
      <w:tr>
        <w:trPr>
          <w:trHeight w:val="202"/>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7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225"/>
        </w:trPr>
        <w:tc>
          <w:tcPr>
            <w:tcW w:w="3660" w:type="dxa"/>
            <w:vAlign w:val="bottom"/>
            <w:tcBorders>
              <w:bottom w:val="single" w:sz="8" w:color="B6B6B6"/>
            </w:tcBorders>
            <w:gridSpan w:val="2"/>
          </w:tcPr>
          <w:p>
            <w:pPr>
              <w:ind w:left="300"/>
              <w:spacing w:after="0"/>
              <w:rPr>
                <w:sz w:val="20"/>
                <w:szCs w:val="20"/>
                <w:color w:val="auto"/>
              </w:rPr>
            </w:pPr>
            <w:r>
              <w:rPr>
                <w:rFonts w:ascii="Times New Roman" w:cs="Times New Roman" w:eastAsia="Times New Roman" w:hAnsi="Times New Roman"/>
                <w:sz w:val="14"/>
                <w:szCs w:val="14"/>
                <w:color w:val="auto"/>
              </w:rPr>
              <w:t>Total fee revenue and other income</w:t>
            </w:r>
          </w:p>
        </w:tc>
        <w:tc>
          <w:tcPr>
            <w:tcW w:w="27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80" w:type="dxa"/>
            <w:vAlign w:val="bottom"/>
            <w:tcBorders>
              <w:bottom w:val="single" w:sz="8" w:color="B6B6B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66,357</w:t>
            </w:r>
          </w:p>
        </w:tc>
        <w:tc>
          <w:tcPr>
            <w:tcW w:w="80" w:type="dxa"/>
            <w:vAlign w:val="bottom"/>
            <w:tcBorders>
              <w:bottom w:val="single" w:sz="8" w:color="B6B6B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64,180</w:t>
            </w:r>
          </w:p>
        </w:tc>
      </w:tr>
      <w:tr>
        <w:trPr>
          <w:trHeight w:val="196"/>
        </w:trPr>
        <w:tc>
          <w:tcPr>
            <w:tcW w:w="36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78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320" w:type="dxa"/>
            <w:vAlign w:val="bottom"/>
            <w:tcBorders>
              <w:top w:val="single" w:sz="8" w:color="B6B6B6"/>
            </w:tcBorders>
          </w:tcPr>
          <w:p>
            <w:pPr>
              <w:spacing w:after="0"/>
              <w:rPr>
                <w:sz w:val="17"/>
                <w:szCs w:val="17"/>
                <w:color w:val="auto"/>
              </w:rPr>
            </w:pPr>
          </w:p>
        </w:tc>
        <w:tc>
          <w:tcPr>
            <w:tcW w:w="82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320" w:type="dxa"/>
            <w:vAlign w:val="bottom"/>
            <w:tcBorders>
              <w:top w:val="single" w:sz="8" w:color="B6B6B6"/>
            </w:tcBorders>
          </w:tcPr>
          <w:p>
            <w:pPr>
              <w:spacing w:after="0"/>
              <w:rPr>
                <w:sz w:val="17"/>
                <w:szCs w:val="17"/>
                <w:color w:val="auto"/>
              </w:rPr>
            </w:pPr>
          </w:p>
        </w:tc>
        <w:tc>
          <w:tcPr>
            <w:tcW w:w="820" w:type="dxa"/>
            <w:vAlign w:val="bottom"/>
            <w:tcBorders>
              <w:top w:val="single" w:sz="8" w:color="B6B6B6"/>
            </w:tcBorders>
          </w:tcPr>
          <w:p>
            <w:pPr>
              <w:spacing w:after="0"/>
              <w:rPr>
                <w:sz w:val="17"/>
                <w:szCs w:val="17"/>
                <w:color w:val="auto"/>
              </w:rPr>
            </w:pP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13,592</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12,931</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26,368</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25,166</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on securities:</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366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Taxable</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3,485</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7,004</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7,274</w:t>
            </w:r>
          </w:p>
        </w:tc>
      </w:tr>
      <w:tr>
        <w:trPr>
          <w:trHeight w:val="196"/>
        </w:trPr>
        <w:tc>
          <w:tcPr>
            <w:tcW w:w="3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Exempt from federal income taxes</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r>
      <w:tr>
        <w:trPr>
          <w:trHeight w:val="202"/>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on federal funds sold and other short-term investments</w:t>
            </w:r>
          </w:p>
        </w:tc>
        <w:tc>
          <w:tcPr>
            <w:tcW w:w="27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7,708</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5,213</w:t>
            </w:r>
          </w:p>
        </w:tc>
      </w:tr>
      <w:tr>
        <w:trPr>
          <w:trHeight w:val="225"/>
        </w:trPr>
        <w:tc>
          <w:tcPr>
            <w:tcW w:w="3660" w:type="dxa"/>
            <w:vAlign w:val="bottom"/>
            <w:tcBorders>
              <w:bottom w:val="single" w:sz="8" w:color="B6B6B6"/>
            </w:tcBorders>
            <w:gridSpan w:val="2"/>
          </w:tcPr>
          <w:p>
            <w:pPr>
              <w:ind w:left="300"/>
              <w:spacing w:after="0"/>
              <w:rPr>
                <w:sz w:val="20"/>
                <w:szCs w:val="20"/>
                <w:color w:val="auto"/>
              </w:rPr>
            </w:pPr>
            <w:r>
              <w:rPr>
                <w:rFonts w:ascii="Times New Roman" w:cs="Times New Roman" w:eastAsia="Times New Roman" w:hAnsi="Times New Roman"/>
                <w:sz w:val="14"/>
                <w:szCs w:val="14"/>
                <w:color w:val="auto"/>
              </w:rPr>
              <w:t>Total interest income</w:t>
            </w:r>
          </w:p>
        </w:tc>
        <w:tc>
          <w:tcPr>
            <w:tcW w:w="27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21,242</w:t>
            </w:r>
          </w:p>
        </w:tc>
        <w:tc>
          <w:tcPr>
            <w:tcW w:w="80" w:type="dxa"/>
            <w:vAlign w:val="bottom"/>
            <w:tcBorders>
              <w:bottom w:val="single" w:sz="8" w:color="B6B6B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42,896</w:t>
            </w:r>
          </w:p>
        </w:tc>
        <w:tc>
          <w:tcPr>
            <w:tcW w:w="80" w:type="dxa"/>
            <w:vAlign w:val="bottom"/>
            <w:tcBorders>
              <w:bottom w:val="single" w:sz="8" w:color="B6B6B6"/>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39,850</w:t>
            </w:r>
          </w:p>
        </w:tc>
      </w:tr>
      <w:tr>
        <w:trPr>
          <w:trHeight w:val="196"/>
        </w:trPr>
        <w:tc>
          <w:tcPr>
            <w:tcW w:w="366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78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320" w:type="dxa"/>
            <w:vAlign w:val="bottom"/>
            <w:tcBorders>
              <w:top w:val="single" w:sz="8" w:color="B6B6B6"/>
            </w:tcBorders>
          </w:tcPr>
          <w:p>
            <w:pPr>
              <w:spacing w:after="0"/>
              <w:rPr>
                <w:sz w:val="17"/>
                <w:szCs w:val="17"/>
                <w:color w:val="auto"/>
              </w:rPr>
            </w:pPr>
          </w:p>
        </w:tc>
        <w:tc>
          <w:tcPr>
            <w:tcW w:w="82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260" w:type="dxa"/>
            <w:vAlign w:val="bottom"/>
            <w:tcBorders>
              <w:top w:val="single" w:sz="8" w:color="B6B6B6"/>
            </w:tcBorders>
          </w:tcPr>
          <w:p>
            <w:pPr>
              <w:spacing w:after="0"/>
              <w:rPr>
                <w:sz w:val="17"/>
                <w:szCs w:val="17"/>
                <w:color w:val="auto"/>
              </w:rPr>
            </w:pPr>
          </w:p>
        </w:tc>
        <w:tc>
          <w:tcPr>
            <w:tcW w:w="9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320" w:type="dxa"/>
            <w:vAlign w:val="bottom"/>
            <w:tcBorders>
              <w:top w:val="single" w:sz="8" w:color="B6B6B6"/>
            </w:tcBorders>
          </w:tcPr>
          <w:p>
            <w:pPr>
              <w:spacing w:after="0"/>
              <w:rPr>
                <w:sz w:val="17"/>
                <w:szCs w:val="17"/>
                <w:color w:val="auto"/>
              </w:rPr>
            </w:pPr>
          </w:p>
        </w:tc>
        <w:tc>
          <w:tcPr>
            <w:tcW w:w="820" w:type="dxa"/>
            <w:vAlign w:val="bottom"/>
            <w:tcBorders>
              <w:top w:val="single" w:sz="8" w:color="B6B6B6"/>
            </w:tcBorders>
          </w:tcPr>
          <w:p>
            <w:pPr>
              <w:spacing w:after="0"/>
              <w:rPr>
                <w:sz w:val="17"/>
                <w:szCs w:val="17"/>
                <w:color w:val="auto"/>
              </w:rPr>
            </w:pP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on deposits</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10,490</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6,822</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on short-term borrowings</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2"/>
        </w:trPr>
        <w:tc>
          <w:tcPr>
            <w:tcW w:w="3660" w:type="dxa"/>
            <w:vAlign w:val="bottom"/>
            <w:tcBorders>
              <w:top w:val="single" w:sz="8" w:color="B6B6B6"/>
            </w:tcBorders>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Total interest expense</w:t>
            </w:r>
          </w:p>
        </w:tc>
        <w:tc>
          <w:tcPr>
            <w:tcW w:w="2780" w:type="dxa"/>
            <w:vAlign w:val="bottom"/>
            <w:tcBorders>
              <w:top w:val="single" w:sz="8" w:color="B6B6B6"/>
            </w:tcBorders>
            <w:shd w:val="clear" w:color="auto" w:fill="B6B6B6"/>
          </w:tcPr>
          <w:p>
            <w:pPr>
              <w:spacing w:after="0"/>
              <w:rPr>
                <w:sz w:val="16"/>
                <w:szCs w:val="16"/>
                <w:color w:val="auto"/>
              </w:rPr>
            </w:pPr>
          </w:p>
        </w:tc>
        <w:tc>
          <w:tcPr>
            <w:tcW w:w="260" w:type="dxa"/>
            <w:vAlign w:val="bottom"/>
            <w:tcBorders>
              <w:top w:val="single" w:sz="8" w:color="auto"/>
              <w:bottom w:val="single" w:sz="8" w:color="auto"/>
            </w:tcBorders>
            <w:shd w:val="clear" w:color="auto" w:fill="B6B6B6"/>
          </w:tcPr>
          <w:p>
            <w:pPr>
              <w:spacing w:after="0"/>
              <w:rPr>
                <w:sz w:val="16"/>
                <w:szCs w:val="16"/>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80" w:type="dxa"/>
            <w:vAlign w:val="bottom"/>
            <w:tcBorders>
              <w:top w:val="single" w:sz="8" w:color="B6B6B6"/>
            </w:tcBorders>
            <w:shd w:val="clear" w:color="auto" w:fill="B6B6B6"/>
          </w:tcPr>
          <w:p>
            <w:pPr>
              <w:spacing w:after="0"/>
              <w:rPr>
                <w:sz w:val="16"/>
                <w:szCs w:val="16"/>
                <w:color w:val="auto"/>
              </w:rPr>
            </w:pPr>
          </w:p>
        </w:tc>
        <w:tc>
          <w:tcPr>
            <w:tcW w:w="320" w:type="dxa"/>
            <w:vAlign w:val="bottom"/>
            <w:tcBorders>
              <w:top w:val="single" w:sz="8" w:color="auto"/>
              <w:bottom w:val="single" w:sz="8" w:color="auto"/>
            </w:tcBorders>
            <w:shd w:val="clear" w:color="auto" w:fill="B6B6B6"/>
          </w:tcPr>
          <w:p>
            <w:pPr>
              <w:spacing w:after="0"/>
              <w:rPr>
                <w:sz w:val="16"/>
                <w:szCs w:val="16"/>
                <w:color w:val="auto"/>
              </w:rPr>
            </w:pPr>
          </w:p>
        </w:tc>
        <w:tc>
          <w:tcPr>
            <w:tcW w:w="82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80" w:type="dxa"/>
            <w:vAlign w:val="bottom"/>
            <w:tcBorders>
              <w:top w:val="single" w:sz="8" w:color="B6B6B6"/>
            </w:tcBorders>
            <w:shd w:val="clear" w:color="auto" w:fill="B6B6B6"/>
          </w:tcPr>
          <w:p>
            <w:pPr>
              <w:spacing w:after="0"/>
              <w:rPr>
                <w:sz w:val="16"/>
                <w:szCs w:val="16"/>
                <w:color w:val="auto"/>
              </w:rPr>
            </w:pPr>
          </w:p>
        </w:tc>
        <w:tc>
          <w:tcPr>
            <w:tcW w:w="260" w:type="dxa"/>
            <w:vAlign w:val="bottom"/>
            <w:tcBorders>
              <w:top w:val="single" w:sz="8" w:color="auto"/>
              <w:bottom w:val="single" w:sz="8" w:color="auto"/>
            </w:tcBorders>
            <w:shd w:val="clear" w:color="auto" w:fill="B6B6B6"/>
          </w:tcPr>
          <w:p>
            <w:pPr>
              <w:spacing w:after="0"/>
              <w:rPr>
                <w:sz w:val="16"/>
                <w:szCs w:val="16"/>
                <w:color w:val="auto"/>
              </w:rPr>
            </w:pPr>
          </w:p>
        </w:tc>
        <w:tc>
          <w:tcPr>
            <w:tcW w:w="9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10,490</w:t>
            </w:r>
          </w:p>
        </w:tc>
        <w:tc>
          <w:tcPr>
            <w:tcW w:w="80" w:type="dxa"/>
            <w:vAlign w:val="bottom"/>
            <w:tcBorders>
              <w:top w:val="single" w:sz="8" w:color="B6B6B6"/>
            </w:tcBorders>
            <w:shd w:val="clear" w:color="auto" w:fill="B6B6B6"/>
          </w:tcPr>
          <w:p>
            <w:pPr>
              <w:spacing w:after="0"/>
              <w:rPr>
                <w:sz w:val="16"/>
                <w:szCs w:val="16"/>
                <w:color w:val="auto"/>
              </w:rPr>
            </w:pPr>
          </w:p>
        </w:tc>
        <w:tc>
          <w:tcPr>
            <w:tcW w:w="320" w:type="dxa"/>
            <w:vAlign w:val="bottom"/>
            <w:tcBorders>
              <w:top w:val="single" w:sz="8" w:color="auto"/>
              <w:bottom w:val="single" w:sz="8" w:color="auto"/>
            </w:tcBorders>
            <w:shd w:val="clear" w:color="auto" w:fill="B6B6B6"/>
          </w:tcPr>
          <w:p>
            <w:pPr>
              <w:spacing w:after="0"/>
              <w:rPr>
                <w:sz w:val="16"/>
                <w:szCs w:val="16"/>
                <w:color w:val="auto"/>
              </w:rPr>
            </w:pPr>
          </w:p>
        </w:tc>
        <w:tc>
          <w:tcPr>
            <w:tcW w:w="82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6,938</w:t>
            </w:r>
          </w:p>
        </w:tc>
      </w:tr>
      <w:tr>
        <w:trPr>
          <w:trHeight w:val="192"/>
        </w:trPr>
        <w:tc>
          <w:tcPr>
            <w:tcW w:w="36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Net interest income</w:t>
            </w: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32,912</w:t>
            </w:r>
          </w:p>
        </w:tc>
      </w:tr>
      <w:tr>
        <w:trPr>
          <w:trHeight w:val="202"/>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27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92"/>
        </w:trPr>
        <w:tc>
          <w:tcPr>
            <w:tcW w:w="36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(release of) credit losses</w:t>
            </w:r>
          </w:p>
        </w:tc>
        <w:tc>
          <w:tcPr>
            <w:tcW w:w="2780" w:type="dxa"/>
            <w:vAlign w:val="bottom"/>
            <w:tcBorders>
              <w:bottom w:val="single" w:sz="8" w:color="B6B6B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15,530</w:t>
            </w:r>
          </w:p>
        </w:tc>
        <w:tc>
          <w:tcPr>
            <w:tcW w:w="80" w:type="dxa"/>
            <w:vAlign w:val="bottom"/>
            <w:tcBorders>
              <w:bottom w:val="single" w:sz="8" w:color="B6B6B6"/>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16,134</w:t>
            </w:r>
          </w:p>
        </w:tc>
        <w:tc>
          <w:tcPr>
            <w:tcW w:w="80" w:type="dxa"/>
            <w:vAlign w:val="bottom"/>
            <w:tcBorders>
              <w:bottom w:val="single" w:sz="8" w:color="B6B6B6"/>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31,911</w:t>
            </w:r>
          </w:p>
        </w:tc>
        <w:tc>
          <w:tcPr>
            <w:tcW w:w="80" w:type="dxa"/>
            <w:vAlign w:val="bottom"/>
            <w:tcBorders>
              <w:bottom w:val="single" w:sz="8" w:color="B6B6B6"/>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33,372</w:t>
            </w:r>
          </w:p>
        </w:tc>
      </w:tr>
      <w:tr>
        <w:trPr>
          <w:trHeight w:val="198"/>
        </w:trPr>
        <w:tc>
          <w:tcPr>
            <w:tcW w:w="3660" w:type="dxa"/>
            <w:vAlign w:val="bottom"/>
            <w:gridSpan w:val="2"/>
            <w:shd w:val="clear" w:color="auto" w:fill="B6B6B6"/>
          </w:tcPr>
          <w:p>
            <w:pPr>
              <w:ind w:left="440"/>
              <w:spacing w:after="0"/>
              <w:rPr>
                <w:sz w:val="20"/>
                <w:szCs w:val="20"/>
                <w:color w:val="auto"/>
              </w:rPr>
            </w:pPr>
            <w:r>
              <w:rPr>
                <w:rFonts w:ascii="Times New Roman" w:cs="Times New Roman" w:eastAsia="Times New Roman" w:hAnsi="Times New Roman"/>
                <w:sz w:val="14"/>
                <w:szCs w:val="14"/>
                <w:color w:val="auto"/>
              </w:rPr>
              <w:t>Total net revenue</w:t>
            </w:r>
          </w:p>
        </w:tc>
        <w:tc>
          <w:tcPr>
            <w:tcW w:w="27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48,590</w:t>
            </w:r>
          </w:p>
        </w:tc>
        <w:tc>
          <w:tcPr>
            <w:tcW w:w="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48,207</w:t>
            </w:r>
          </w:p>
        </w:tc>
        <w:tc>
          <w:tcPr>
            <w:tcW w:w="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98,268</w:t>
            </w:r>
          </w:p>
        </w:tc>
        <w:tc>
          <w:tcPr>
            <w:tcW w:w="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97,552</w:t>
            </w:r>
          </w:p>
        </w:tc>
      </w:tr>
      <w:tr>
        <w:trPr>
          <w:trHeight w:val="42"/>
        </w:trPr>
        <w:tc>
          <w:tcPr>
            <w:tcW w:w="3660" w:type="dxa"/>
            <w:vAlign w:val="bottom"/>
            <w:gridSpan w:val="2"/>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2"/>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w:t>
            </w:r>
          </w:p>
        </w:tc>
        <w:tc>
          <w:tcPr>
            <w:tcW w:w="27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82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820" w:type="dxa"/>
            <w:vAlign w:val="bottom"/>
            <w:shd w:val="clear" w:color="auto" w:fill="B6B6B6"/>
          </w:tcPr>
          <w:p>
            <w:pPr>
              <w:spacing w:after="0"/>
              <w:rPr>
                <w:sz w:val="17"/>
                <w:szCs w:val="17"/>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Personnel</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59,458</w:t>
            </w: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Occupancy</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w:t>
            </w: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96"/>
        </w:trPr>
        <w:tc>
          <w:tcPr>
            <w:tcW w:w="36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operating expense</w:t>
            </w:r>
          </w:p>
        </w:tc>
        <w:tc>
          <w:tcPr>
            <w:tcW w:w="2780" w:type="dxa"/>
            <w:vAlign w:val="bottom"/>
            <w:tcBorders>
              <w:bottom w:val="single" w:sz="8" w:color="B6B6B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9,940</w:t>
            </w:r>
          </w:p>
        </w:tc>
        <w:tc>
          <w:tcPr>
            <w:tcW w:w="80" w:type="dxa"/>
            <w:vAlign w:val="bottom"/>
            <w:tcBorders>
              <w:bottom w:val="single" w:sz="8" w:color="B6B6B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80" w:type="dxa"/>
            <w:vAlign w:val="bottom"/>
            <w:tcBorders>
              <w:bottom w:val="single" w:sz="8" w:color="B6B6B6"/>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17,071</w:t>
            </w:r>
          </w:p>
        </w:tc>
        <w:tc>
          <w:tcPr>
            <w:tcW w:w="80" w:type="dxa"/>
            <w:vAlign w:val="bottom"/>
            <w:tcBorders>
              <w:bottom w:val="single" w:sz="8" w:color="B6B6B6"/>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14,702</w:t>
            </w:r>
          </w:p>
        </w:tc>
      </w:tr>
      <w:tr>
        <w:trPr>
          <w:trHeight w:val="192"/>
        </w:trPr>
        <w:tc>
          <w:tcPr>
            <w:tcW w:w="366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Total operating expense</w:t>
            </w:r>
          </w:p>
        </w:tc>
        <w:tc>
          <w:tcPr>
            <w:tcW w:w="2780" w:type="dxa"/>
            <w:vAlign w:val="bottom"/>
            <w:shd w:val="clear" w:color="auto" w:fill="B6B6B6"/>
          </w:tcPr>
          <w:p>
            <w:pPr>
              <w:spacing w:after="0"/>
              <w:rPr>
                <w:sz w:val="16"/>
                <w:szCs w:val="16"/>
                <w:color w:val="auto"/>
              </w:rPr>
            </w:pPr>
          </w:p>
        </w:tc>
        <w:tc>
          <w:tcPr>
            <w:tcW w:w="260" w:type="dxa"/>
            <w:vAlign w:val="bottom"/>
            <w:tcBorders>
              <w:bottom w:val="single" w:sz="8" w:color="auto"/>
            </w:tcBorders>
            <w:shd w:val="clear" w:color="auto" w:fill="B6B6B6"/>
          </w:tcPr>
          <w:p>
            <w:pPr>
              <w:spacing w:after="0"/>
              <w:rPr>
                <w:sz w:val="16"/>
                <w:szCs w:val="16"/>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42,793</w:t>
            </w:r>
          </w:p>
        </w:tc>
        <w:tc>
          <w:tcPr>
            <w:tcW w:w="80" w:type="dxa"/>
            <w:vAlign w:val="bottom"/>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spacing w:after="0"/>
              <w:rPr>
                <w:sz w:val="16"/>
                <w:szCs w:val="16"/>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39,339</w:t>
            </w:r>
          </w:p>
        </w:tc>
        <w:tc>
          <w:tcPr>
            <w:tcW w:w="80" w:type="dxa"/>
            <w:vAlign w:val="bottom"/>
            <w:shd w:val="clear" w:color="auto" w:fill="B6B6B6"/>
          </w:tcPr>
          <w:p>
            <w:pPr>
              <w:spacing w:after="0"/>
              <w:rPr>
                <w:sz w:val="16"/>
                <w:szCs w:val="16"/>
                <w:color w:val="auto"/>
              </w:rPr>
            </w:pPr>
          </w:p>
        </w:tc>
        <w:tc>
          <w:tcPr>
            <w:tcW w:w="260" w:type="dxa"/>
            <w:vAlign w:val="bottom"/>
            <w:tcBorders>
              <w:bottom w:val="single" w:sz="8" w:color="auto"/>
            </w:tcBorders>
            <w:shd w:val="clear" w:color="auto" w:fill="B6B6B6"/>
          </w:tcPr>
          <w:p>
            <w:pPr>
              <w:spacing w:after="0"/>
              <w:rPr>
                <w:sz w:val="16"/>
                <w:szCs w:val="16"/>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83,464</w:t>
            </w:r>
          </w:p>
        </w:tc>
        <w:tc>
          <w:tcPr>
            <w:tcW w:w="80" w:type="dxa"/>
            <w:vAlign w:val="bottom"/>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spacing w:after="0"/>
              <w:rPr>
                <w:sz w:val="16"/>
                <w:szCs w:val="16"/>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79,711</w:t>
            </w:r>
          </w:p>
        </w:tc>
      </w:tr>
      <w:tr>
        <w:trPr>
          <w:trHeight w:val="192"/>
        </w:trPr>
        <w:tc>
          <w:tcPr>
            <w:tcW w:w="3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17,841</w:t>
            </w:r>
          </w:p>
        </w:tc>
      </w:tr>
      <w:tr>
        <w:trPr>
          <w:trHeight w:val="202"/>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7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80" w:type="dxa"/>
            <w:vAlign w:val="bottom"/>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shd w:val="clear" w:color="auto" w:fill="B6B6B6"/>
          </w:tcPr>
          <w:p>
            <w:pPr>
              <w:spacing w:after="0"/>
              <w:rPr>
                <w:sz w:val="17"/>
                <w:szCs w:val="17"/>
                <w:color w:val="auto"/>
              </w:rPr>
            </w:pPr>
          </w:p>
        </w:tc>
        <w:tc>
          <w:tcPr>
            <w:tcW w:w="320" w:type="dxa"/>
            <w:vAlign w:val="bottom"/>
            <w:tcBorders>
              <w:bottom w:val="single" w:sz="8" w:color="auto"/>
            </w:tcBorders>
            <w:shd w:val="clear" w:color="auto" w:fill="B6B6B6"/>
          </w:tcPr>
          <w:p>
            <w:pPr>
              <w:spacing w:after="0"/>
              <w:rPr>
                <w:sz w:val="17"/>
                <w:szCs w:val="17"/>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3,586</w:t>
            </w:r>
          </w:p>
        </w:tc>
      </w:tr>
      <w:tr>
        <w:trPr>
          <w:trHeight w:val="198"/>
        </w:trPr>
        <w:tc>
          <w:tcPr>
            <w:tcW w:w="36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r>
      <w:tr>
        <w:trPr>
          <w:trHeight w:val="24"/>
        </w:trPr>
        <w:tc>
          <w:tcPr>
            <w:tcW w:w="1060" w:type="dxa"/>
            <w:vAlign w:val="bottom"/>
            <w:tcBorders>
              <w:bottom w:val="single" w:sz="8" w:color="B6B6B6"/>
            </w:tcBorders>
          </w:tcPr>
          <w:p>
            <w:pPr>
              <w:spacing w:after="0"/>
              <w:rPr>
                <w:sz w:val="2"/>
                <w:szCs w:val="2"/>
                <w:color w:val="auto"/>
              </w:rPr>
            </w:pPr>
          </w:p>
        </w:tc>
        <w:tc>
          <w:tcPr>
            <w:tcW w:w="2600" w:type="dxa"/>
            <w:vAlign w:val="bottom"/>
            <w:tcBorders>
              <w:bottom w:val="single" w:sz="8" w:color="B6B6B6"/>
            </w:tcBorders>
          </w:tcPr>
          <w:p>
            <w:pPr>
              <w:spacing w:after="0"/>
              <w:rPr>
                <w:sz w:val="2"/>
                <w:szCs w:val="2"/>
                <w:color w:val="auto"/>
              </w:rPr>
            </w:pPr>
          </w:p>
        </w:tc>
        <w:tc>
          <w:tcPr>
            <w:tcW w:w="2780" w:type="dxa"/>
            <w:vAlign w:val="bottom"/>
            <w:tcBorders>
              <w:bottom w:val="single" w:sz="8" w:color="B6B6B6"/>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r>
      <w:tr>
        <w:trPr>
          <w:trHeight w:val="19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7"/>
        </w:trPr>
        <w:tc>
          <w:tcPr>
            <w:tcW w:w="36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27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p>
      <w:pPr>
        <w:spacing w:after="0" w:line="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(Unaudited)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960" w:type="dxa"/>
            <w:vAlign w:val="bottom"/>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8"/>
        </w:trPr>
        <w:tc>
          <w:tcPr>
            <w:tcW w:w="6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r>
      <w:tr>
        <w:trPr>
          <w:trHeight w:val="189"/>
        </w:trPr>
        <w:tc>
          <w:tcPr>
            <w:tcW w:w="6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7"/>
        </w:trPr>
        <w:tc>
          <w:tcPr>
            <w:tcW w:w="62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shd w:val="clear" w:color="auto" w:fill="B6B6B6"/>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100" w:type="dxa"/>
            <w:vAlign w:val="bottom"/>
            <w:shd w:val="clear" w:color="auto" w:fill="B6B6B6"/>
          </w:tcPr>
          <w:p>
            <w:pPr>
              <w:spacing w:after="0"/>
              <w:rPr>
                <w:sz w:val="18"/>
                <w:szCs w:val="18"/>
                <w:color w:val="auto"/>
              </w:rPr>
            </w:pPr>
          </w:p>
        </w:tc>
        <w:tc>
          <w:tcPr>
            <w:tcW w:w="720" w:type="dxa"/>
            <w:vAlign w:val="bottom"/>
            <w:shd w:val="clear" w:color="auto" w:fill="B6B6B6"/>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100" w:type="dxa"/>
            <w:vAlign w:val="bottom"/>
            <w:shd w:val="clear" w:color="auto" w:fill="B6B6B6"/>
          </w:tcPr>
          <w:p>
            <w:pPr>
              <w:spacing w:after="0"/>
              <w:rPr>
                <w:sz w:val="18"/>
                <w:szCs w:val="18"/>
                <w:color w:val="auto"/>
              </w:rPr>
            </w:pPr>
          </w:p>
        </w:tc>
        <w:tc>
          <w:tcPr>
            <w:tcW w:w="280" w:type="dxa"/>
            <w:vAlign w:val="bottom"/>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80" w:type="dxa"/>
            <w:vAlign w:val="bottom"/>
            <w:shd w:val="clear" w:color="auto" w:fill="B6B6B6"/>
          </w:tcPr>
          <w:p>
            <w:pPr>
              <w:spacing w:after="0"/>
              <w:rPr>
                <w:sz w:val="18"/>
                <w:szCs w:val="18"/>
                <w:color w:val="auto"/>
              </w:rPr>
            </w:pPr>
          </w:p>
        </w:tc>
        <w:tc>
          <w:tcPr>
            <w:tcW w:w="34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14,255</w:t>
            </w:r>
          </w:p>
        </w:tc>
      </w:tr>
      <w:tr>
        <w:trPr>
          <w:trHeight w:val="19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8"/>
        </w:trPr>
        <w:tc>
          <w:tcPr>
            <w:tcW w:w="6200" w:type="dxa"/>
            <w:vAlign w:val="bottom"/>
            <w:shd w:val="clear" w:color="auto" w:fill="B6B6B6"/>
          </w:tcPr>
          <w:p>
            <w:pPr>
              <w:ind w:left="220"/>
              <w:spacing w:after="0"/>
              <w:rPr>
                <w:sz w:val="20"/>
                <w:szCs w:val="20"/>
                <w:color w:val="auto"/>
              </w:rPr>
            </w:pPr>
            <w:r>
              <w:rPr>
                <w:rFonts w:ascii="Times New Roman" w:cs="Times New Roman" w:eastAsia="Times New Roman" w:hAnsi="Times New Roman"/>
                <w:sz w:val="14"/>
                <w:szCs w:val="14"/>
                <w:color w:val="auto"/>
              </w:rPr>
              <w:t>Net unrealized (loss) gain on securities available-for-sale</w:t>
            </w:r>
          </w:p>
        </w:tc>
        <w:tc>
          <w:tcPr>
            <w:tcW w:w="740" w:type="dxa"/>
            <w:vAlign w:val="bottom"/>
            <w:shd w:val="clear" w:color="auto" w:fill="B6B6B6"/>
          </w:tcPr>
          <w:p>
            <w:pPr>
              <w:spacing w:after="0"/>
              <w:rPr>
                <w:sz w:val="18"/>
                <w:szCs w:val="18"/>
                <w:color w:val="auto"/>
              </w:rPr>
            </w:pP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B6B6B6"/>
          </w:tcPr>
          <w:p>
            <w:pPr>
              <w:spacing w:after="0"/>
              <w:rPr>
                <w:sz w:val="18"/>
                <w:szCs w:val="18"/>
                <w:color w:val="auto"/>
              </w:rPr>
            </w:pPr>
          </w:p>
        </w:tc>
        <w:tc>
          <w:tcPr>
            <w:tcW w:w="720" w:type="dxa"/>
            <w:vAlign w:val="bottom"/>
            <w:shd w:val="clear" w:color="auto" w:fill="B6B6B6"/>
          </w:tcPr>
          <w:p>
            <w:pPr>
              <w:spacing w:after="0"/>
              <w:rPr>
                <w:sz w:val="18"/>
                <w:szCs w:val="18"/>
                <w:color w:val="auto"/>
              </w:rPr>
            </w:pPr>
          </w:p>
        </w:tc>
        <w:tc>
          <w:tcPr>
            <w:tcW w:w="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92"/>
              </w:rPr>
              <w:t>(5,627)</w:t>
            </w:r>
          </w:p>
        </w:tc>
        <w:tc>
          <w:tcPr>
            <w:tcW w:w="1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3,554</w:t>
            </w:r>
          </w:p>
        </w:tc>
      </w:tr>
      <w:tr>
        <w:trPr>
          <w:trHeight w:val="196"/>
        </w:trPr>
        <w:tc>
          <w:tcPr>
            <w:tcW w:w="6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Tax effect</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218"/>
        </w:trPr>
        <w:tc>
          <w:tcPr>
            <w:tcW w:w="6200" w:type="dxa"/>
            <w:vAlign w:val="bottom"/>
            <w:shd w:val="clear" w:color="auto" w:fill="B6B6B6"/>
          </w:tcPr>
          <w:p>
            <w:pPr>
              <w:ind w:left="220"/>
              <w:spacing w:after="0"/>
              <w:rPr>
                <w:sz w:val="20"/>
                <w:szCs w:val="20"/>
                <w:color w:val="auto"/>
              </w:rPr>
            </w:pPr>
            <w:r>
              <w:rPr>
                <w:rFonts w:ascii="Times New Roman" w:cs="Times New Roman" w:eastAsia="Times New Roman" w:hAnsi="Times New Roman"/>
                <w:sz w:val="14"/>
                <w:szCs w:val="14"/>
                <w:color w:val="auto"/>
              </w:rPr>
              <w:t>Reclassification adjustments for losses included in net income</w:t>
            </w:r>
          </w:p>
        </w:tc>
        <w:tc>
          <w:tcPr>
            <w:tcW w:w="740" w:type="dxa"/>
            <w:vAlign w:val="bottom"/>
            <w:shd w:val="clear" w:color="auto" w:fill="B6B6B6"/>
          </w:tcPr>
          <w:p>
            <w:pPr>
              <w:spacing w:after="0"/>
              <w:rPr>
                <w:sz w:val="18"/>
                <w:szCs w:val="18"/>
                <w:color w:val="auto"/>
              </w:rPr>
            </w:pP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B6B6B6"/>
          </w:tcPr>
          <w:p>
            <w:pPr>
              <w:spacing w:after="0"/>
              <w:rPr>
                <w:sz w:val="18"/>
                <w:szCs w:val="18"/>
                <w:color w:val="auto"/>
              </w:rPr>
            </w:pPr>
          </w:p>
        </w:tc>
        <w:tc>
          <w:tcPr>
            <w:tcW w:w="720" w:type="dxa"/>
            <w:vAlign w:val="bottom"/>
            <w:shd w:val="clear" w:color="auto" w:fill="B6B6B6"/>
          </w:tcPr>
          <w:p>
            <w:pPr>
              <w:spacing w:after="0"/>
              <w:rPr>
                <w:sz w:val="18"/>
                <w:szCs w:val="18"/>
                <w:color w:val="auto"/>
              </w:rPr>
            </w:pPr>
          </w:p>
        </w:tc>
        <w:tc>
          <w:tcPr>
            <w:tcW w:w="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6"/>
        </w:trPr>
        <w:tc>
          <w:tcPr>
            <w:tcW w:w="62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Tax effect</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2"/>
        </w:trPr>
        <w:tc>
          <w:tcPr>
            <w:tcW w:w="6200" w:type="dxa"/>
            <w:vAlign w:val="bottom"/>
            <w:shd w:val="clear" w:color="auto" w:fill="B6B6B6"/>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740" w:type="dxa"/>
            <w:vAlign w:val="bottom"/>
            <w:tcBorders>
              <w:bottom w:val="single" w:sz="8" w:color="auto"/>
            </w:tcBorders>
            <w:shd w:val="clear" w:color="auto" w:fill="B6B6B6"/>
          </w:tcPr>
          <w:p>
            <w:pPr>
              <w:spacing w:after="0"/>
              <w:rPr>
                <w:sz w:val="18"/>
                <w:szCs w:val="18"/>
                <w:color w:val="auto"/>
              </w:rPr>
            </w:pPr>
          </w:p>
        </w:tc>
        <w:tc>
          <w:tcPr>
            <w:tcW w:w="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B6B6B6"/>
          </w:tcPr>
          <w:p>
            <w:pPr>
              <w:spacing w:after="0"/>
              <w:rPr>
                <w:sz w:val="18"/>
                <w:szCs w:val="18"/>
                <w:color w:val="auto"/>
              </w:rPr>
            </w:pPr>
          </w:p>
        </w:tc>
        <w:tc>
          <w:tcPr>
            <w:tcW w:w="720" w:type="dxa"/>
            <w:vAlign w:val="bottom"/>
            <w:tcBorders>
              <w:bottom w:val="single" w:sz="8" w:color="auto"/>
            </w:tcBorders>
            <w:shd w:val="clear" w:color="auto" w:fill="B6B6B6"/>
          </w:tcPr>
          <w:p>
            <w:pPr>
              <w:spacing w:after="0"/>
              <w:rPr>
                <w:sz w:val="18"/>
                <w:szCs w:val="18"/>
                <w:color w:val="auto"/>
              </w:rPr>
            </w:pPr>
          </w:p>
        </w:tc>
        <w:tc>
          <w:tcPr>
            <w:tcW w:w="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B6B6B6"/>
          </w:tcPr>
          <w:p>
            <w:pPr>
              <w:spacing w:after="0"/>
              <w:rPr>
                <w:sz w:val="18"/>
                <w:szCs w:val="18"/>
                <w:color w:val="auto"/>
              </w:rPr>
            </w:pPr>
          </w:p>
        </w:tc>
        <w:tc>
          <w:tcPr>
            <w:tcW w:w="280" w:type="dxa"/>
            <w:vAlign w:val="bottom"/>
            <w:tcBorders>
              <w:bottom w:val="single" w:sz="8" w:color="auto"/>
            </w:tcBorders>
            <w:shd w:val="clear" w:color="auto" w:fill="B6B6B6"/>
          </w:tcPr>
          <w:p>
            <w:pPr>
              <w:spacing w:after="0"/>
              <w:rPr>
                <w:sz w:val="18"/>
                <w:szCs w:val="18"/>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shd w:val="clear" w:color="auto" w:fill="B6B6B6"/>
          </w:tcPr>
          <w:p>
            <w:pPr>
              <w:spacing w:after="0"/>
              <w:rPr>
                <w:sz w:val="18"/>
                <w:szCs w:val="18"/>
                <w:color w:val="auto"/>
              </w:rPr>
            </w:pPr>
          </w:p>
        </w:tc>
        <w:tc>
          <w:tcPr>
            <w:tcW w:w="340" w:type="dxa"/>
            <w:vAlign w:val="bottom"/>
            <w:tcBorders>
              <w:bottom w:val="single" w:sz="8" w:color="auto"/>
            </w:tcBorders>
            <w:shd w:val="clear" w:color="auto" w:fill="B6B6B6"/>
          </w:tcPr>
          <w:p>
            <w:pPr>
              <w:spacing w:after="0"/>
              <w:rPr>
                <w:sz w:val="18"/>
                <w:szCs w:val="18"/>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98"/>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17,182</w:t>
            </w:r>
          </w:p>
        </w:tc>
      </w:tr>
      <w:tr>
        <w:trPr>
          <w:trHeight w:val="20"/>
        </w:trPr>
        <w:tc>
          <w:tcPr>
            <w:tcW w:w="6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791"/>
        </w:trPr>
        <w:tc>
          <w:tcPr>
            <w:tcW w:w="1060" w:type="dxa"/>
            <w:vAlign w:val="bottom"/>
            <w:tcBorders>
              <w:top w:val="single" w:sz="8" w:color="0000FF"/>
            </w:tcBorders>
          </w:tcPr>
          <w:p>
            <w:pPr>
              <w:spacing w:after="0"/>
              <w:rPr>
                <w:sz w:val="24"/>
                <w:szCs w:val="24"/>
                <w:color w:val="auto"/>
              </w:rPr>
            </w:pPr>
          </w:p>
        </w:tc>
        <w:tc>
          <w:tcPr>
            <w:tcW w:w="7160" w:type="dxa"/>
            <w:vAlign w:val="bottom"/>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2"/>
        </w:trPr>
        <w:tc>
          <w:tcPr>
            <w:tcW w:w="1060" w:type="dxa"/>
            <w:vAlign w:val="bottom"/>
          </w:tcPr>
          <w:p>
            <w:pPr>
              <w:spacing w:after="0"/>
              <w:rPr>
                <w:sz w:val="14"/>
                <w:szCs w:val="14"/>
                <w:color w:val="auto"/>
              </w:rPr>
            </w:pPr>
          </w:p>
        </w:tc>
        <w:tc>
          <w:tcPr>
            <w:tcW w:w="7160" w:type="dxa"/>
            <w:vAlign w:val="bottom"/>
          </w:tcPr>
          <w:p>
            <w:pPr>
              <w:jc w:val="center"/>
              <w:ind w:left="1929"/>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CASH FLOWS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1060" w:type="dxa"/>
            <w:vAlign w:val="bottom"/>
          </w:tcPr>
          <w:p>
            <w:pPr>
              <w:spacing w:after="0"/>
              <w:rPr>
                <w:sz w:val="14"/>
                <w:szCs w:val="14"/>
                <w:color w:val="auto"/>
              </w:rPr>
            </w:pPr>
          </w:p>
        </w:tc>
        <w:tc>
          <w:tcPr>
            <w:tcW w:w="7160" w:type="dxa"/>
            <w:vAlign w:val="bottom"/>
          </w:tcPr>
          <w:p>
            <w:pPr>
              <w:jc w:val="center"/>
              <w:ind w:left="1929"/>
              <w:spacing w:after="0"/>
              <w:rPr>
                <w:sz w:val="20"/>
                <w:szCs w:val="20"/>
                <w:color w:val="auto"/>
              </w:rPr>
            </w:pPr>
            <w:r>
              <w:rPr>
                <w:rFonts w:ascii="Times New Roman" w:cs="Times New Roman" w:eastAsia="Times New Roman" w:hAnsi="Times New Roman"/>
                <w:sz w:val="14"/>
                <w:szCs w:val="14"/>
                <w:color w:val="auto"/>
              </w:rPr>
              <w:t>(Unaudited)</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1060" w:type="dxa"/>
            <w:vAlign w:val="bottom"/>
          </w:tcPr>
          <w:p>
            <w:pPr>
              <w:spacing w:after="0"/>
              <w:rPr>
                <w:sz w:val="16"/>
                <w:szCs w:val="16"/>
                <w:color w:val="auto"/>
              </w:rPr>
            </w:pPr>
          </w:p>
        </w:tc>
        <w:tc>
          <w:tcPr>
            <w:tcW w:w="7160" w:type="dxa"/>
            <w:vAlign w:val="bottom"/>
          </w:tcPr>
          <w:p>
            <w:pPr>
              <w:jc w:val="center"/>
              <w:ind w:left="1949"/>
              <w:spacing w:after="0"/>
              <w:rPr>
                <w:sz w:val="20"/>
                <w:szCs w:val="20"/>
                <w:color w:val="auto"/>
              </w:rPr>
            </w:pPr>
            <w:r>
              <w:rPr>
                <w:rFonts w:ascii="Times New Roman" w:cs="Times New Roman" w:eastAsia="Times New Roman" w:hAnsi="Times New Roman"/>
                <w:sz w:val="14"/>
                <w:szCs w:val="14"/>
                <w:color w:val="auto"/>
              </w:rPr>
              <w:t>(Dollars in Thousands)</w:t>
            </w: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98"/>
        </w:trPr>
        <w:tc>
          <w:tcPr>
            <w:tcW w:w="10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r>
      <w:tr>
        <w:trPr>
          <w:trHeight w:val="188"/>
        </w:trPr>
        <w:tc>
          <w:tcPr>
            <w:tcW w:w="106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9"/>
        </w:trPr>
        <w:tc>
          <w:tcPr>
            <w:tcW w:w="1060" w:type="dxa"/>
            <w:vAlign w:val="bottom"/>
            <w:tcBorders>
              <w:bottom w:val="single" w:sz="8" w:color="auto"/>
            </w:tcBorders>
          </w:tcPr>
          <w:p>
            <w:pPr>
              <w:spacing w:after="0"/>
              <w:rPr>
                <w:sz w:val="16"/>
                <w:szCs w:val="16"/>
                <w:color w:val="auto"/>
              </w:rPr>
            </w:pPr>
          </w:p>
        </w:tc>
        <w:tc>
          <w:tcPr>
            <w:tcW w:w="7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56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8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07"/>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Net amortization of premium/discount on investment securities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1,982</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2,287</w:t>
            </w: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Depreciation</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r>
      <w:tr>
        <w:trPr>
          <w:trHeight w:val="207"/>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Losses on sales of securities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207"/>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(460)</w:t>
            </w: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Increase (decrease) in current income tax liability</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207"/>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Increase in pension liability</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Increase in accounts receivable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w:t>
            </w:r>
          </w:p>
        </w:tc>
      </w:tr>
      <w:tr>
        <w:trPr>
          <w:trHeight w:val="202"/>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Other operating activities, net</w:t>
            </w:r>
          </w:p>
        </w:tc>
        <w:tc>
          <w:tcPr>
            <w:tcW w:w="900" w:type="dxa"/>
            <w:vAlign w:val="bottom"/>
            <w:tcBorders>
              <w:bottom w:val="single" w:sz="8" w:color="auto"/>
            </w:tcBorders>
            <w:shd w:val="clear" w:color="auto" w:fill="B6B6B6"/>
          </w:tcPr>
          <w:p>
            <w:pPr>
              <w:spacing w:after="0"/>
              <w:rPr>
                <w:sz w:val="17"/>
                <w:szCs w:val="17"/>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80" w:type="dxa"/>
            <w:vAlign w:val="bottom"/>
            <w:shd w:val="clear" w:color="auto" w:fill="B6B6B6"/>
          </w:tcPr>
          <w:p>
            <w:pPr>
              <w:spacing w:after="0"/>
              <w:rPr>
                <w:sz w:val="17"/>
                <w:szCs w:val="17"/>
                <w:color w:val="auto"/>
              </w:rPr>
            </w:pPr>
          </w:p>
        </w:tc>
        <w:tc>
          <w:tcPr>
            <w:tcW w:w="560" w:type="dxa"/>
            <w:vAlign w:val="bottom"/>
            <w:tcBorders>
              <w:bottom w:val="single" w:sz="8" w:color="auto"/>
            </w:tcBorders>
            <w:shd w:val="clear" w:color="auto" w:fill="B6B6B6"/>
          </w:tcPr>
          <w:p>
            <w:pPr>
              <w:spacing w:after="0"/>
              <w:rPr>
                <w:sz w:val="17"/>
                <w:szCs w:val="17"/>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1,712</w:t>
            </w:r>
          </w:p>
        </w:tc>
      </w:tr>
      <w:tr>
        <w:trPr>
          <w:trHeight w:val="225"/>
        </w:trPr>
        <w:tc>
          <w:tcPr>
            <w:tcW w:w="8220" w:type="dxa"/>
            <w:vAlign w:val="bottom"/>
            <w:tcBorders>
              <w:bottom w:val="single" w:sz="8" w:color="B6B6B6"/>
            </w:tcBorders>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20,518</w:t>
            </w:r>
          </w:p>
        </w:tc>
        <w:tc>
          <w:tcPr>
            <w:tcW w:w="80" w:type="dxa"/>
            <w:vAlign w:val="bottom"/>
            <w:tcBorders>
              <w:bottom w:val="single" w:sz="8" w:color="B6B6B6"/>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16,973</w:t>
            </w:r>
          </w:p>
        </w:tc>
      </w:tr>
      <w:tr>
        <w:trPr>
          <w:trHeight w:val="196"/>
        </w:trPr>
        <w:tc>
          <w:tcPr>
            <w:tcW w:w="8220" w:type="dxa"/>
            <w:vAlign w:val="bottom"/>
            <w:tcBorders>
              <w:top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Borders>
              <w:top w:val="single" w:sz="8" w:color="B6B6B6"/>
            </w:tcBorders>
          </w:tcPr>
          <w:p>
            <w:pPr>
              <w:spacing w:after="0"/>
              <w:rPr>
                <w:sz w:val="17"/>
                <w:szCs w:val="17"/>
                <w:color w:val="auto"/>
              </w:rPr>
            </w:pPr>
          </w:p>
        </w:tc>
        <w:tc>
          <w:tcPr>
            <w:tcW w:w="6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560" w:type="dxa"/>
            <w:vAlign w:val="bottom"/>
            <w:tcBorders>
              <w:top w:val="single" w:sz="8" w:color="B6B6B6"/>
            </w:tcBorders>
          </w:tcPr>
          <w:p>
            <w:pPr>
              <w:spacing w:after="0"/>
              <w:rPr>
                <w:sz w:val="17"/>
                <w:szCs w:val="17"/>
                <w:color w:val="auto"/>
              </w:rPr>
            </w:pPr>
          </w:p>
        </w:tc>
        <w:tc>
          <w:tcPr>
            <w:tcW w:w="920" w:type="dxa"/>
            <w:vAlign w:val="bottom"/>
            <w:tcBorders>
              <w:top w:val="single" w:sz="8" w:color="B6B6B6"/>
            </w:tcBorders>
          </w:tcPr>
          <w:p>
            <w:pPr>
              <w:spacing w:after="0"/>
              <w:rPr>
                <w:sz w:val="17"/>
                <w:szCs w:val="17"/>
                <w:color w:val="auto"/>
              </w:rPr>
            </w:pP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Proceeds from sales of securities available-for-sale</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111,053</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maturities of securities available-for-sale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103,621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22,501</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Purchase of securities available-for-sale</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(46,959)</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(15,332)</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decrease in loans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27,058</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(Increase) decrease in payments in advance of funding</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(15,720)</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24,595</w:t>
            </w:r>
          </w:p>
        </w:tc>
      </w:tr>
      <w:tr>
        <w:trPr>
          <w:trHeight w:val="196"/>
        </w:trPr>
        <w:tc>
          <w:tcPr>
            <w:tcW w:w="822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Purchases of premises and equipment, net</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80" w:type="dxa"/>
            <w:vAlign w:val="bottom"/>
            <w:tcBorders>
              <w:bottom w:val="single" w:sz="8" w:color="B6B6B6"/>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(6,390)</w:t>
            </w:r>
          </w:p>
        </w:tc>
      </w:tr>
      <w:tr>
        <w:trPr>
          <w:trHeight w:val="225"/>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900" w:type="dxa"/>
            <w:vAlign w:val="bottom"/>
            <w:tcBorders>
              <w:bottom w:val="single" w:sz="8" w:color="auto"/>
            </w:tcBorders>
            <w:shd w:val="clear" w:color="auto" w:fill="B6B6B6"/>
          </w:tcPr>
          <w:p>
            <w:pPr>
              <w:spacing w:after="0"/>
              <w:rPr>
                <w:sz w:val="19"/>
                <w:szCs w:val="19"/>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12,553</w:t>
            </w:r>
          </w:p>
        </w:tc>
        <w:tc>
          <w:tcPr>
            <w:tcW w:w="80" w:type="dxa"/>
            <w:vAlign w:val="bottom"/>
            <w:tcBorders>
              <w:bottom w:val="single" w:sz="8" w:color="B6B6B6"/>
            </w:tcBorders>
            <w:shd w:val="clear" w:color="auto" w:fill="B6B6B6"/>
          </w:tcPr>
          <w:p>
            <w:pPr>
              <w:spacing w:after="0"/>
              <w:rPr>
                <w:sz w:val="19"/>
                <w:szCs w:val="19"/>
                <w:color w:val="auto"/>
              </w:rPr>
            </w:pPr>
          </w:p>
        </w:tc>
        <w:tc>
          <w:tcPr>
            <w:tcW w:w="560" w:type="dxa"/>
            <w:vAlign w:val="bottom"/>
            <w:tcBorders>
              <w:bottom w:val="single" w:sz="8" w:color="auto"/>
            </w:tcBorders>
            <w:shd w:val="clear" w:color="auto" w:fill="B6B6B6"/>
          </w:tcPr>
          <w:p>
            <w:pPr>
              <w:spacing w:after="0"/>
              <w:rPr>
                <w:sz w:val="19"/>
                <w:szCs w:val="19"/>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163,485</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tcBorders>
              <w:top w:val="single" w:sz="8" w:color="B6B6B6"/>
            </w:tcBorders>
          </w:tcPr>
          <w:p>
            <w:pPr>
              <w:spacing w:after="0"/>
              <w:rPr>
                <w:sz w:val="17"/>
                <w:szCs w:val="17"/>
                <w:color w:val="auto"/>
              </w:rPr>
            </w:pPr>
          </w:p>
        </w:tc>
        <w:tc>
          <w:tcPr>
            <w:tcW w:w="600" w:type="dxa"/>
            <w:vAlign w:val="bottom"/>
            <w:tcBorders>
              <w:top w:val="single" w:sz="8" w:color="B6B6B6"/>
            </w:tcBorders>
          </w:tcPr>
          <w:p>
            <w:pPr>
              <w:spacing w:after="0"/>
              <w:rPr>
                <w:sz w:val="17"/>
                <w:szCs w:val="17"/>
                <w:color w:val="auto"/>
              </w:rPr>
            </w:pPr>
          </w:p>
        </w:tc>
        <w:tc>
          <w:tcPr>
            <w:tcW w:w="80" w:type="dxa"/>
            <w:vAlign w:val="bottom"/>
            <w:tcBorders>
              <w:top w:val="single" w:sz="8" w:color="B6B6B6"/>
            </w:tcBorders>
          </w:tcPr>
          <w:p>
            <w:pPr>
              <w:spacing w:after="0"/>
              <w:rPr>
                <w:sz w:val="17"/>
                <w:szCs w:val="17"/>
                <w:color w:val="auto"/>
              </w:rPr>
            </w:pPr>
          </w:p>
        </w:tc>
        <w:tc>
          <w:tcPr>
            <w:tcW w:w="560" w:type="dxa"/>
            <w:vAlign w:val="bottom"/>
            <w:tcBorders>
              <w:top w:val="single" w:sz="8" w:color="B6B6B6"/>
            </w:tcBorders>
          </w:tcPr>
          <w:p>
            <w:pPr>
              <w:spacing w:after="0"/>
              <w:rPr>
                <w:sz w:val="17"/>
                <w:szCs w:val="17"/>
                <w:color w:val="auto"/>
              </w:rPr>
            </w:pPr>
          </w:p>
        </w:tc>
        <w:tc>
          <w:tcPr>
            <w:tcW w:w="920" w:type="dxa"/>
            <w:vAlign w:val="bottom"/>
            <w:tcBorders>
              <w:top w:val="single" w:sz="8" w:color="B6B6B6"/>
            </w:tcBorders>
          </w:tcPr>
          <w:p>
            <w:pPr>
              <w:spacing w:after="0"/>
              <w:rPr>
                <w:sz w:val="17"/>
                <w:szCs w:val="17"/>
                <w:color w:val="auto"/>
              </w:rPr>
            </w:pP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(decrease) increase in noninterest-bearing demand deposits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(152,328)</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36,350</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(decrease) in interest-bearing demand and savings deposits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(122,399)</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increase in time deposits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20,266</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 accounts and drafts receivable from customers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32,244</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12,152</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decrease in accounts and drafts payable</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(74,537)</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(46,076)</w:t>
            </w:r>
          </w:p>
        </w:tc>
      </w:tr>
      <w:tr>
        <w:trPr>
          <w:trHeight w:val="19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paid</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(7,941)</w:t>
            </w:r>
          </w:p>
        </w:tc>
      </w:tr>
      <w:tr>
        <w:trPr>
          <w:trHeight w:val="207"/>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Purchase of common shares for treasury</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(2,377)</w:t>
            </w:r>
          </w:p>
        </w:tc>
      </w:tr>
      <w:tr>
        <w:trPr>
          <w:trHeight w:val="196"/>
        </w:trPr>
        <w:tc>
          <w:tcPr>
            <w:tcW w:w="822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80" w:type="dxa"/>
            <w:vAlign w:val="bottom"/>
            <w:tcBorders>
              <w:bottom w:val="single" w:sz="8" w:color="B6B6B6"/>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w:t>
            </w:r>
          </w:p>
        </w:tc>
      </w:tr>
      <w:tr>
        <w:trPr>
          <w:trHeight w:val="192"/>
        </w:trPr>
        <w:tc>
          <w:tcPr>
            <w:tcW w:w="8220" w:type="dxa"/>
            <w:vAlign w:val="bottom"/>
            <w:gridSpan w:val="2"/>
            <w:shd w:val="clear" w:color="auto" w:fill="B6B6B6"/>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00" w:type="dxa"/>
            <w:vAlign w:val="bottom"/>
            <w:tcBorders>
              <w:bottom w:val="single" w:sz="8" w:color="auto"/>
            </w:tcBorders>
            <w:shd w:val="clear" w:color="auto" w:fill="B6B6B6"/>
          </w:tcPr>
          <w:p>
            <w:pPr>
              <w:spacing w:after="0"/>
              <w:rPr>
                <w:sz w:val="16"/>
                <w:szCs w:val="16"/>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(181,812)</w:t>
            </w:r>
          </w:p>
        </w:tc>
        <w:tc>
          <w:tcPr>
            <w:tcW w:w="80" w:type="dxa"/>
            <w:vAlign w:val="bottom"/>
            <w:shd w:val="clear" w:color="auto" w:fill="B6B6B6"/>
          </w:tcPr>
          <w:p>
            <w:pPr>
              <w:spacing w:after="0"/>
              <w:rPr>
                <w:sz w:val="16"/>
                <w:szCs w:val="16"/>
                <w:color w:val="auto"/>
              </w:rPr>
            </w:pPr>
          </w:p>
        </w:tc>
        <w:tc>
          <w:tcPr>
            <w:tcW w:w="560" w:type="dxa"/>
            <w:vAlign w:val="bottom"/>
            <w:tcBorders>
              <w:bottom w:val="single" w:sz="8" w:color="auto"/>
            </w:tcBorders>
            <w:shd w:val="clear" w:color="auto" w:fill="B6B6B6"/>
          </w:tcPr>
          <w:p>
            <w:pPr>
              <w:spacing w:after="0"/>
              <w:rPr>
                <w:sz w:val="16"/>
                <w:szCs w:val="16"/>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(110,927)</w:t>
            </w:r>
          </w:p>
        </w:tc>
      </w:tr>
      <w:tr>
        <w:trPr>
          <w:trHeight w:val="192"/>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(148,741)</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69,531</w:t>
            </w:r>
          </w:p>
        </w:tc>
      </w:tr>
      <w:tr>
        <w:trPr>
          <w:trHeight w:val="202"/>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shd w:val="clear" w:color="auto" w:fill="B6B6B6"/>
          </w:tcPr>
          <w:p>
            <w:pPr>
              <w:spacing w:after="0"/>
              <w:rPr>
                <w:sz w:val="17"/>
                <w:szCs w:val="17"/>
                <w:color w:val="auto"/>
              </w:rPr>
            </w:pPr>
          </w:p>
        </w:tc>
        <w:tc>
          <w:tcPr>
            <w:tcW w:w="6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372,468</w:t>
            </w:r>
          </w:p>
        </w:tc>
        <w:tc>
          <w:tcPr>
            <w:tcW w:w="80" w:type="dxa"/>
            <w:vAlign w:val="bottom"/>
            <w:shd w:val="clear" w:color="auto" w:fill="B6B6B6"/>
          </w:tcPr>
          <w:p>
            <w:pPr>
              <w:spacing w:after="0"/>
              <w:rPr>
                <w:sz w:val="17"/>
                <w:szCs w:val="17"/>
                <w:color w:val="auto"/>
              </w:rPr>
            </w:pPr>
          </w:p>
        </w:tc>
        <w:tc>
          <w:tcPr>
            <w:tcW w:w="560" w:type="dxa"/>
            <w:vAlign w:val="bottom"/>
            <w:tcBorders>
              <w:bottom w:val="single" w:sz="8" w:color="auto"/>
            </w:tcBorders>
            <w:shd w:val="clear" w:color="auto" w:fill="B6B6B6"/>
          </w:tcPr>
          <w:p>
            <w:pPr>
              <w:spacing w:after="0"/>
              <w:rPr>
                <w:sz w:val="17"/>
                <w:szCs w:val="17"/>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200,942</w:t>
            </w:r>
          </w:p>
        </w:tc>
      </w:tr>
      <w:tr>
        <w:trPr>
          <w:trHeight w:val="198"/>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223,727</w:t>
            </w:r>
          </w:p>
        </w:tc>
        <w:tc>
          <w:tcPr>
            <w:tcW w:w="80" w:type="dxa"/>
            <w:vAlign w:val="bottom"/>
          </w:tcPr>
          <w:p>
            <w:pPr>
              <w:spacing w:after="0"/>
              <w:rPr>
                <w:sz w:val="17"/>
                <w:szCs w:val="17"/>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270,473</w:t>
            </w:r>
          </w:p>
        </w:tc>
      </w:tr>
      <w:tr>
        <w:trPr>
          <w:trHeight w:val="22"/>
        </w:trPr>
        <w:tc>
          <w:tcPr>
            <w:tcW w:w="10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Supplemental information:</w:t>
            </w:r>
          </w:p>
        </w:tc>
        <w:tc>
          <w:tcPr>
            <w:tcW w:w="900" w:type="dxa"/>
            <w:vAlign w:val="bottom"/>
            <w:shd w:val="clear" w:color="auto" w:fill="B6B6B6"/>
          </w:tcPr>
          <w:p>
            <w:pPr>
              <w:spacing w:after="0"/>
              <w:rPr>
                <w:sz w:val="17"/>
                <w:szCs w:val="17"/>
                <w:color w:val="auto"/>
              </w:rPr>
            </w:pPr>
          </w:p>
        </w:tc>
        <w:tc>
          <w:tcPr>
            <w:tcW w:w="60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560" w:type="dxa"/>
            <w:vAlign w:val="bottom"/>
            <w:shd w:val="clear" w:color="auto" w:fill="B6B6B6"/>
          </w:tcPr>
          <w:p>
            <w:pPr>
              <w:spacing w:after="0"/>
              <w:rPr>
                <w:sz w:val="17"/>
                <w:szCs w:val="17"/>
                <w:color w:val="auto"/>
              </w:rPr>
            </w:pPr>
          </w:p>
        </w:tc>
        <w:tc>
          <w:tcPr>
            <w:tcW w:w="920" w:type="dxa"/>
            <w:vAlign w:val="bottom"/>
            <w:shd w:val="clear" w:color="auto" w:fill="B6B6B6"/>
          </w:tcPr>
          <w:p>
            <w:pPr>
              <w:spacing w:after="0"/>
              <w:rPr>
                <w:sz w:val="17"/>
                <w:szCs w:val="17"/>
                <w:color w:val="auto"/>
              </w:rPr>
            </w:pPr>
          </w:p>
        </w:tc>
      </w:tr>
      <w:tr>
        <w:trPr>
          <w:trHeight w:val="196"/>
        </w:trPr>
        <w:tc>
          <w:tcPr>
            <w:tcW w:w="82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Cash paid for interest</w:t>
            </w:r>
          </w:p>
        </w:tc>
        <w:tc>
          <w:tcPr>
            <w:tcW w:w="90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80" w:type="dxa"/>
            <w:vAlign w:val="bottom"/>
          </w:tcPr>
          <w:p>
            <w:pPr>
              <w:spacing w:after="0"/>
              <w:rPr>
                <w:sz w:val="17"/>
                <w:szCs w:val="17"/>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w:t>
            </w:r>
          </w:p>
        </w:tc>
      </w:tr>
      <w:tr>
        <w:trPr>
          <w:trHeight w:val="207"/>
        </w:trPr>
        <w:tc>
          <w:tcPr>
            <w:tcW w:w="8220" w:type="dxa"/>
            <w:vAlign w:val="bottom"/>
            <w:gridSpan w:val="2"/>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shd w:val="clear" w:color="auto" w:fill="B6B6B6"/>
          </w:tcPr>
          <w:p>
            <w:pPr>
              <w:spacing w:after="0"/>
              <w:rPr>
                <w:sz w:val="18"/>
                <w:szCs w:val="18"/>
                <w:color w:val="auto"/>
              </w:rPr>
            </w:pPr>
          </w:p>
        </w:tc>
        <w:tc>
          <w:tcPr>
            <w:tcW w:w="6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80" w:type="dxa"/>
            <w:vAlign w:val="bottom"/>
            <w:shd w:val="clear" w:color="auto" w:fill="B6B6B6"/>
          </w:tcPr>
          <w:p>
            <w:pPr>
              <w:spacing w:after="0"/>
              <w:rPr>
                <w:sz w:val="18"/>
                <w:szCs w:val="18"/>
                <w:color w:val="auto"/>
              </w:rPr>
            </w:pPr>
          </w:p>
        </w:tc>
        <w:tc>
          <w:tcPr>
            <w:tcW w:w="56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4,598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0"/>
        </w:trPr>
        <w:tc>
          <w:tcPr>
            <w:tcW w:w="106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2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80" w:type="dxa"/>
            <w:vAlign w:val="bottom"/>
            <w:gridSpan w:val="9"/>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THREE MONTHS ENDED JUNE 30, 2024 AND 2023</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left="269"/>
              <w:spacing w:after="0"/>
              <w:rPr>
                <w:sz w:val="20"/>
                <w:szCs w:val="20"/>
                <w:color w:val="auto"/>
              </w:rPr>
            </w:pPr>
            <w:r>
              <w:rPr>
                <w:rFonts w:ascii="Times New Roman" w:cs="Times New Roman" w:eastAsia="Times New Roman" w:hAnsi="Times New Roman"/>
                <w:sz w:val="14"/>
                <w:szCs w:val="14"/>
                <w:color w:val="auto"/>
              </w:rPr>
              <w:t>(Unaudited)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8"/>
          </w:tcPr>
          <w:p>
            <w:pPr>
              <w:jc w:val="center"/>
              <w:ind w:left="529"/>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1"/>
                <w:szCs w:val="11"/>
                <w:color w:val="auto"/>
              </w:rPr>
            </w:pPr>
          </w:p>
        </w:tc>
        <w:tc>
          <w:tcPr>
            <w:tcW w:w="150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60" w:type="dxa"/>
            <w:vAlign w:val="bottom"/>
            <w:tcBorders>
              <w:top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1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206,614</w:t>
            </w:r>
          </w:p>
        </w:tc>
        <w:tc>
          <w:tcPr>
            <w:tcW w:w="80" w:type="dxa"/>
            <w:vAlign w:val="bottom"/>
            <w:tcBorders>
              <w:top w:val="single" w:sz="8" w:color="B6B6B6"/>
            </w:tcBorders>
            <w:shd w:val="clear" w:color="auto" w:fill="B6B6B6"/>
          </w:tcPr>
          <w:p>
            <w:pPr>
              <w:spacing w:after="0"/>
              <w:rPr>
                <w:sz w:val="14"/>
                <w:szCs w:val="14"/>
                <w:color w:val="auto"/>
              </w:rPr>
            </w:pPr>
          </w:p>
        </w:tc>
        <w:tc>
          <w:tcPr>
            <w:tcW w:w="180" w:type="dxa"/>
            <w:vAlign w:val="bottom"/>
            <w:tcBorders>
              <w:top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134,822</w:t>
            </w:r>
          </w:p>
        </w:tc>
        <w:tc>
          <w:tcPr>
            <w:tcW w:w="80" w:type="dxa"/>
            <w:vAlign w:val="bottom"/>
            <w:tcBorders>
              <w:top w:val="single" w:sz="8" w:color="B6B6B6"/>
            </w:tcBorders>
            <w:shd w:val="clear" w:color="auto" w:fill="B6B6B6"/>
          </w:tcPr>
          <w:p>
            <w:pPr>
              <w:spacing w:after="0"/>
              <w:rPr>
                <w:sz w:val="14"/>
                <w:szCs w:val="14"/>
                <w:color w:val="auto"/>
              </w:rPr>
            </w:pPr>
          </w:p>
        </w:tc>
        <w:tc>
          <w:tcPr>
            <w:tcW w:w="200" w:type="dxa"/>
            <w:vAlign w:val="bottom"/>
            <w:tcBorders>
              <w:top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(79,419)</w:t>
            </w:r>
          </w:p>
        </w:tc>
        <w:tc>
          <w:tcPr>
            <w:tcW w:w="8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(52,270)</w:t>
            </w:r>
          </w:p>
        </w:tc>
        <w:tc>
          <w:tcPr>
            <w:tcW w:w="80" w:type="dxa"/>
            <w:vAlign w:val="bottom"/>
            <w:tcBorders>
              <w:top w:val="single" w:sz="8" w:color="B6B6B6"/>
            </w:tcBorders>
            <w:shd w:val="clear" w:color="auto" w:fill="B6B6B6"/>
          </w:tcPr>
          <w:p>
            <w:pPr>
              <w:spacing w:after="0"/>
              <w:rPr>
                <w:sz w:val="14"/>
                <w:szCs w:val="14"/>
                <w:color w:val="auto"/>
              </w:rPr>
            </w:pPr>
          </w:p>
        </w:tc>
        <w:tc>
          <w:tcPr>
            <w:tcW w:w="240" w:type="dxa"/>
            <w:vAlign w:val="bottom"/>
            <w:tcBorders>
              <w:top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217,500</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Cash dividends ($0.29 per share)</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0" w:type="dxa"/>
            <w:vAlign w:val="bottom"/>
          </w:tcPr>
          <w:p>
            <w:pPr>
              <w:spacing w:after="0"/>
              <w:rPr>
                <w:sz w:val="1"/>
                <w:szCs w:val="1"/>
                <w:color w:val="auto"/>
              </w:rPr>
            </w:pPr>
          </w:p>
        </w:tc>
      </w:tr>
      <w:tr>
        <w:trPr>
          <w:trHeight w:val="138"/>
        </w:trPr>
        <w:tc>
          <w:tcPr>
            <w:tcW w:w="33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19,687 common shares pursuant to stock-</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based compensation plans, net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 of 63,305 common shares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bottom w:val="single" w:sz="8" w:color="auto"/>
            </w:tcBorders>
            <w:shd w:val="clear" w:color="auto" w:fill="B6B6B6"/>
          </w:tcPr>
          <w:p>
            <w:pPr>
              <w:spacing w:after="0"/>
              <w:rPr>
                <w:sz w:val="15"/>
                <w:szCs w:val="15"/>
                <w:color w:val="auto"/>
              </w:rPr>
            </w:pPr>
          </w:p>
        </w:tc>
        <w:tc>
          <w:tcPr>
            <w:tcW w:w="100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tcBorders>
              <w:bottom w:val="single" w:sz="8" w:color="auto"/>
            </w:tcBorders>
            <w:shd w:val="clear" w:color="auto" w:fill="B6B6B6"/>
          </w:tcPr>
          <w:p>
            <w:pPr>
              <w:spacing w:after="0"/>
              <w:rPr>
                <w:sz w:val="15"/>
                <w:szCs w:val="15"/>
                <w:color w:val="auto"/>
              </w:rPr>
            </w:pPr>
          </w:p>
        </w:tc>
        <w:tc>
          <w:tcPr>
            <w:tcW w:w="108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tcBorders>
              <w:bottom w:val="single" w:sz="8" w:color="auto"/>
            </w:tcBorders>
            <w:shd w:val="clear" w:color="auto" w:fill="B6B6B6"/>
          </w:tcPr>
          <w:p>
            <w:pPr>
              <w:spacing w:after="0"/>
              <w:rPr>
                <w:sz w:val="15"/>
                <w:szCs w:val="15"/>
                <w:color w:val="auto"/>
              </w:rPr>
            </w:pPr>
          </w:p>
        </w:tc>
        <w:tc>
          <w:tcPr>
            <w:tcW w:w="96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tcBorders>
              <w:bottom w:val="single" w:sz="8" w:color="auto"/>
            </w:tcBorders>
            <w:shd w:val="clear" w:color="auto" w:fill="B6B6B6"/>
          </w:tcPr>
          <w:p>
            <w:pPr>
              <w:spacing w:after="0"/>
              <w:rPr>
                <w:sz w:val="15"/>
                <w:szCs w:val="15"/>
                <w:color w:val="auto"/>
              </w:rPr>
            </w:pPr>
          </w:p>
        </w:tc>
        <w:tc>
          <w:tcPr>
            <w:tcW w:w="96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tcBorders>
              <w:bottom w:val="single" w:sz="8" w:color="auto"/>
            </w:tcBorders>
            <w:shd w:val="clear" w:color="auto" w:fill="B6B6B6"/>
          </w:tcPr>
          <w:p>
            <w:pPr>
              <w:spacing w:after="0"/>
              <w:rPr>
                <w:sz w:val="15"/>
                <w:szCs w:val="15"/>
                <w:color w:val="auto"/>
              </w:rPr>
            </w:pP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shd w:val="clear" w:color="auto" w:fill="B6B6B6"/>
          </w:tcPr>
          <w:p>
            <w:pPr>
              <w:spacing w:after="0"/>
              <w:rPr>
                <w:sz w:val="15"/>
                <w:szCs w:val="15"/>
                <w:color w:val="auto"/>
              </w:rPr>
            </w:pPr>
          </w:p>
        </w:tc>
        <w:tc>
          <w:tcPr>
            <w:tcW w:w="240" w:type="dxa"/>
            <w:vAlign w:val="bottom"/>
            <w:tcBorders>
              <w:bottom w:val="single" w:sz="8" w:color="auto"/>
            </w:tcBorders>
            <w:shd w:val="clear" w:color="auto" w:fill="B6B6B6"/>
          </w:tcPr>
          <w:p>
            <w:pPr>
              <w:spacing w:after="0"/>
              <w:rPr>
                <w:sz w:val="15"/>
                <w:szCs w:val="15"/>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206,734</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137,996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(80,943)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(56,394)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215,146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06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204,361</w:t>
            </w:r>
          </w:p>
        </w:tc>
        <w:tc>
          <w:tcPr>
            <w:tcW w:w="80" w:type="dxa"/>
            <w:vAlign w:val="bottom"/>
          </w:tcPr>
          <w:p>
            <w:pPr>
              <w:spacing w:after="0"/>
              <w:rPr>
                <w:sz w:val="21"/>
                <w:szCs w:val="21"/>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148,845</w:t>
            </w:r>
          </w:p>
        </w:tc>
        <w:tc>
          <w:tcPr>
            <w:tcW w:w="8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(82,316)</w:t>
            </w:r>
          </w:p>
        </w:tc>
        <w:tc>
          <w:tcPr>
            <w:tcW w:w="80" w:type="dxa"/>
            <w:vAlign w:val="bottom"/>
          </w:tcPr>
          <w:p>
            <w:pPr>
              <w:spacing w:after="0"/>
              <w:rPr>
                <w:sz w:val="21"/>
                <w:szCs w:val="21"/>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(49,156)</w:t>
            </w:r>
          </w:p>
        </w:tc>
        <w:tc>
          <w:tcPr>
            <w:tcW w:w="80" w:type="dxa"/>
            <w:vAlign w:val="bottom"/>
          </w:tcPr>
          <w:p>
            <w:pPr>
              <w:spacing w:after="0"/>
              <w:rPr>
                <w:sz w:val="21"/>
                <w:szCs w:val="21"/>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229,487</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4,484</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($0.30 per share)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(4,093)</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B6B6B6"/>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17,610 common shares pursuant to stock-</w:t>
            </w:r>
          </w:p>
        </w:tc>
        <w:tc>
          <w:tcPr>
            <w:tcW w:w="140" w:type="dxa"/>
            <w:vAlign w:val="bottom"/>
            <w:shd w:val="clear" w:color="auto" w:fill="B6B6B6"/>
          </w:tcPr>
          <w:p>
            <w:pPr>
              <w:spacing w:after="0"/>
              <w:rPr>
                <w:sz w:val="11"/>
                <w:szCs w:val="11"/>
                <w:color w:val="auto"/>
              </w:rPr>
            </w:pPr>
          </w:p>
        </w:tc>
        <w:tc>
          <w:tcPr>
            <w:tcW w:w="100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20" w:type="dxa"/>
            <w:vAlign w:val="bottom"/>
            <w:shd w:val="clear" w:color="auto" w:fill="B6B6B6"/>
          </w:tcPr>
          <w:p>
            <w:pPr>
              <w:spacing w:after="0"/>
              <w:rPr>
                <w:sz w:val="11"/>
                <w:szCs w:val="11"/>
                <w:color w:val="auto"/>
              </w:rPr>
            </w:pPr>
          </w:p>
        </w:tc>
        <w:tc>
          <w:tcPr>
            <w:tcW w:w="108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80" w:type="dxa"/>
            <w:vAlign w:val="bottom"/>
            <w:shd w:val="clear" w:color="auto" w:fill="B6B6B6"/>
          </w:tcPr>
          <w:p>
            <w:pPr>
              <w:spacing w:after="0"/>
              <w:rPr>
                <w:sz w:val="11"/>
                <w:szCs w:val="11"/>
                <w:color w:val="auto"/>
              </w:rPr>
            </w:pPr>
          </w:p>
        </w:tc>
        <w:tc>
          <w:tcPr>
            <w:tcW w:w="96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00" w:type="dxa"/>
            <w:vAlign w:val="bottom"/>
            <w:shd w:val="clear" w:color="auto" w:fill="B6B6B6"/>
          </w:tcPr>
          <w:p>
            <w:pPr>
              <w:spacing w:after="0"/>
              <w:rPr>
                <w:sz w:val="11"/>
                <w:szCs w:val="11"/>
                <w:color w:val="auto"/>
              </w:rPr>
            </w:pPr>
          </w:p>
        </w:tc>
        <w:tc>
          <w:tcPr>
            <w:tcW w:w="96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20" w:type="dxa"/>
            <w:vAlign w:val="bottom"/>
            <w:shd w:val="clear" w:color="auto" w:fill="B6B6B6"/>
          </w:tcPr>
          <w:p>
            <w:pPr>
              <w:spacing w:after="0"/>
              <w:rPr>
                <w:sz w:val="11"/>
                <w:szCs w:val="11"/>
                <w:color w:val="auto"/>
              </w:rPr>
            </w:pPr>
          </w:p>
        </w:tc>
        <w:tc>
          <w:tcPr>
            <w:tcW w:w="142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40" w:type="dxa"/>
            <w:vAlign w:val="bottom"/>
            <w:shd w:val="clear" w:color="auto" w:fill="B6B6B6"/>
          </w:tcPr>
          <w:p>
            <w:pPr>
              <w:spacing w:after="0"/>
              <w:rPr>
                <w:sz w:val="11"/>
                <w:szCs w:val="11"/>
                <w:color w:val="auto"/>
              </w:rPr>
            </w:pPr>
          </w:p>
        </w:tc>
        <w:tc>
          <w:tcPr>
            <w:tcW w:w="90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gridSpan w:val="2"/>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based compensation plans, net</w:t>
            </w:r>
          </w:p>
        </w:tc>
        <w:tc>
          <w:tcPr>
            <w:tcW w:w="140" w:type="dxa"/>
            <w:vAlign w:val="bottom"/>
            <w:shd w:val="clear" w:color="auto" w:fill="B6B6B6"/>
          </w:tcPr>
          <w:p>
            <w:pPr>
              <w:spacing w:after="0"/>
              <w:rPr>
                <w:sz w:val="16"/>
                <w:szCs w:val="16"/>
                <w:color w:val="auto"/>
              </w:rPr>
            </w:pPr>
          </w:p>
        </w:tc>
        <w:tc>
          <w:tcPr>
            <w:tcW w:w="100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shd w:val="clear" w:color="auto" w:fill="B6B6B6"/>
          </w:tcPr>
          <w:p>
            <w:pPr>
              <w:spacing w:after="0"/>
              <w:rPr>
                <w:sz w:val="16"/>
                <w:szCs w:val="16"/>
                <w:color w:val="auto"/>
              </w:rPr>
            </w:pPr>
          </w:p>
        </w:tc>
        <w:tc>
          <w:tcPr>
            <w:tcW w:w="18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00" w:type="dxa"/>
            <w:vAlign w:val="bottom"/>
            <w:shd w:val="clear" w:color="auto" w:fill="B6B6B6"/>
          </w:tcPr>
          <w:p>
            <w:pPr>
              <w:spacing w:after="0"/>
              <w:rPr>
                <w:sz w:val="16"/>
                <w:szCs w:val="16"/>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8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42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40" w:type="dxa"/>
            <w:vAlign w:val="bottom"/>
            <w:shd w:val="clear" w:color="auto" w:fill="B6B6B6"/>
          </w:tcPr>
          <w:p>
            <w:pPr>
              <w:spacing w:after="0"/>
              <w:rPr>
                <w:sz w:val="16"/>
                <w:szCs w:val="16"/>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bottom w:val="single" w:sz="8" w:color="auto"/>
            </w:tcBorders>
            <w:shd w:val="clear" w:color="auto" w:fill="B6B6B6"/>
          </w:tcPr>
          <w:p>
            <w:pPr>
              <w:spacing w:after="0"/>
              <w:rPr>
                <w:sz w:val="15"/>
                <w:szCs w:val="15"/>
                <w:color w:val="auto"/>
              </w:rPr>
            </w:pPr>
          </w:p>
        </w:tc>
        <w:tc>
          <w:tcPr>
            <w:tcW w:w="100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tcBorders>
              <w:bottom w:val="single" w:sz="8" w:color="auto"/>
            </w:tcBorders>
            <w:shd w:val="clear" w:color="auto" w:fill="B6B6B6"/>
          </w:tcPr>
          <w:p>
            <w:pPr>
              <w:spacing w:after="0"/>
              <w:rPr>
                <w:sz w:val="15"/>
                <w:szCs w:val="15"/>
                <w:color w:val="auto"/>
              </w:rPr>
            </w:pPr>
          </w:p>
        </w:tc>
        <w:tc>
          <w:tcPr>
            <w:tcW w:w="108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tcBorders>
              <w:bottom w:val="single" w:sz="8" w:color="auto"/>
            </w:tcBorders>
            <w:shd w:val="clear" w:color="auto" w:fill="B6B6B6"/>
          </w:tcPr>
          <w:p>
            <w:pPr>
              <w:spacing w:after="0"/>
              <w:rPr>
                <w:sz w:val="15"/>
                <w:szCs w:val="15"/>
                <w:color w:val="auto"/>
              </w:rPr>
            </w:pPr>
          </w:p>
        </w:tc>
        <w:tc>
          <w:tcPr>
            <w:tcW w:w="96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tcBorders>
              <w:bottom w:val="single" w:sz="8" w:color="auto"/>
            </w:tcBorders>
            <w:shd w:val="clear" w:color="auto" w:fill="B6B6B6"/>
          </w:tcPr>
          <w:p>
            <w:pPr>
              <w:spacing w:after="0"/>
              <w:rPr>
                <w:sz w:val="15"/>
                <w:szCs w:val="15"/>
                <w:color w:val="auto"/>
              </w:rPr>
            </w:pPr>
          </w:p>
        </w:tc>
        <w:tc>
          <w:tcPr>
            <w:tcW w:w="960" w:type="dxa"/>
            <w:vAlign w:val="bottom"/>
            <w:tcBorders>
              <w:bottom w:val="single" w:sz="8" w:color="auto"/>
            </w:tcBorders>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tcBorders>
              <w:bottom w:val="single" w:sz="8" w:color="auto"/>
            </w:tcBorders>
            <w:shd w:val="clear" w:color="auto" w:fill="B6B6B6"/>
          </w:tcPr>
          <w:p>
            <w:pPr>
              <w:spacing w:after="0"/>
              <w:rPr>
                <w:sz w:val="15"/>
                <w:szCs w:val="15"/>
                <w:color w:val="auto"/>
              </w:rPr>
            </w:pP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80" w:type="dxa"/>
            <w:vAlign w:val="bottom"/>
            <w:shd w:val="clear" w:color="auto" w:fill="B6B6B6"/>
          </w:tcPr>
          <w:p>
            <w:pPr>
              <w:spacing w:after="0"/>
              <w:rPr>
                <w:sz w:val="15"/>
                <w:szCs w:val="15"/>
                <w:color w:val="auto"/>
              </w:rPr>
            </w:pPr>
          </w:p>
        </w:tc>
        <w:tc>
          <w:tcPr>
            <w:tcW w:w="240" w:type="dxa"/>
            <w:vAlign w:val="bottom"/>
            <w:tcBorders>
              <w:bottom w:val="single" w:sz="8" w:color="auto"/>
            </w:tcBorders>
            <w:shd w:val="clear" w:color="auto" w:fill="B6B6B6"/>
          </w:tcPr>
          <w:p>
            <w:pPr>
              <w:spacing w:after="0"/>
              <w:rPr>
                <w:sz w:val="15"/>
                <w:szCs w:val="15"/>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71"/>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204,128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149,236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(81,554)</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229,925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left="529"/>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60" w:type="dxa"/>
            <w:vAlign w:val="bottom"/>
            <w:tcBorders>
              <w:bottom w:val="single" w:sz="8" w:color="9A9A9A"/>
            </w:tcBorders>
          </w:tcPr>
          <w:p>
            <w:pPr>
              <w:spacing w:after="0"/>
              <w:rPr>
                <w:sz w:val="6"/>
                <w:szCs w:val="6"/>
                <w:color w:val="auto"/>
              </w:rPr>
            </w:pPr>
          </w:p>
        </w:tc>
        <w:tc>
          <w:tcPr>
            <w:tcW w:w="23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0"/>
        </w:trPr>
        <w:tc>
          <w:tcPr>
            <w:tcW w:w="1060" w:type="dxa"/>
            <w:vAlign w:val="bottom"/>
            <w:tcBorders>
              <w:top w:val="single" w:sz="8" w:color="0000FF"/>
            </w:tcBorders>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2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20" w:type="dxa"/>
            <w:vAlign w:val="bottom"/>
            <w:gridSpan w:val="11"/>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EQUITY</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 JUNE 30, 2024 AND 2023</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jc w:val="center"/>
              <w:ind w:left="269"/>
              <w:spacing w:after="0"/>
              <w:rPr>
                <w:sz w:val="20"/>
                <w:szCs w:val="20"/>
                <w:color w:val="auto"/>
              </w:rPr>
            </w:pPr>
            <w:r>
              <w:rPr>
                <w:rFonts w:ascii="Times New Roman" w:cs="Times New Roman" w:eastAsia="Times New Roman" w:hAnsi="Times New Roman"/>
                <w:sz w:val="14"/>
                <w:szCs w:val="14"/>
                <w:color w:val="auto"/>
              </w:rPr>
              <w:t>(Unaudited)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gridSpan w:val="8"/>
          </w:tcPr>
          <w:p>
            <w:pPr>
              <w:jc w:val="center"/>
              <w:ind w:left="529"/>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1"/>
                <w:szCs w:val="11"/>
                <w:color w:val="auto"/>
              </w:rPr>
            </w:pPr>
          </w:p>
        </w:tc>
        <w:tc>
          <w:tcPr>
            <w:tcW w:w="1500" w:type="dxa"/>
            <w:vAlign w:val="bottom"/>
            <w:gridSpan w:val="2"/>
          </w:tcPr>
          <w:p>
            <w:pPr>
              <w:jc w:val="center"/>
              <w:ind w:right="300"/>
              <w:spacing w:after="0" w:line="138"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280"/>
              <w:spacing w:after="0" w:line="13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1"/>
                <w:szCs w:val="11"/>
                <w:color w:val="auto"/>
              </w:rPr>
            </w:pPr>
          </w:p>
        </w:tc>
        <w:tc>
          <w:tcPr>
            <w:tcW w:w="9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60" w:type="dxa"/>
            <w:vAlign w:val="bottom"/>
            <w:tcBorders>
              <w:top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B6B6B6"/>
          </w:tcPr>
          <w:p>
            <w:pPr>
              <w:ind w:left="620"/>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207,422</w:t>
            </w:r>
          </w:p>
        </w:tc>
        <w:tc>
          <w:tcPr>
            <w:tcW w:w="80" w:type="dxa"/>
            <w:vAlign w:val="bottom"/>
            <w:tcBorders>
              <w:top w:val="single" w:sz="8" w:color="B6B6B6"/>
            </w:tcBorders>
            <w:shd w:val="clear" w:color="auto" w:fill="B6B6B6"/>
          </w:tcPr>
          <w:p>
            <w:pPr>
              <w:spacing w:after="0"/>
              <w:rPr>
                <w:sz w:val="14"/>
                <w:szCs w:val="14"/>
                <w:color w:val="auto"/>
              </w:rPr>
            </w:pPr>
          </w:p>
        </w:tc>
        <w:tc>
          <w:tcPr>
            <w:tcW w:w="180" w:type="dxa"/>
            <w:vAlign w:val="bottom"/>
            <w:tcBorders>
              <w:top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131,682</w:t>
            </w:r>
          </w:p>
        </w:tc>
        <w:tc>
          <w:tcPr>
            <w:tcW w:w="80" w:type="dxa"/>
            <w:vAlign w:val="bottom"/>
            <w:tcBorders>
              <w:top w:val="single" w:sz="8" w:color="B6B6B6"/>
            </w:tcBorders>
            <w:shd w:val="clear" w:color="auto" w:fill="B6B6B6"/>
          </w:tcPr>
          <w:p>
            <w:pPr>
              <w:spacing w:after="0"/>
              <w:rPr>
                <w:sz w:val="14"/>
                <w:szCs w:val="14"/>
                <w:color w:val="auto"/>
              </w:rPr>
            </w:pPr>
          </w:p>
        </w:tc>
        <w:tc>
          <w:tcPr>
            <w:tcW w:w="200" w:type="dxa"/>
            <w:vAlign w:val="bottom"/>
            <w:tcBorders>
              <w:top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(81,211)</w:t>
            </w:r>
          </w:p>
        </w:tc>
        <w:tc>
          <w:tcPr>
            <w:tcW w:w="80" w:type="dxa"/>
            <w:vAlign w:val="bottom"/>
            <w:tcBorders>
              <w:top w:val="single" w:sz="8" w:color="B6B6B6"/>
            </w:tcBorders>
            <w:shd w:val="clear" w:color="auto" w:fill="B6B6B6"/>
          </w:tcPr>
          <w:p>
            <w:pPr>
              <w:spacing w:after="0"/>
              <w:rPr>
                <w:sz w:val="14"/>
                <w:szCs w:val="14"/>
                <w:color w:val="auto"/>
              </w:rPr>
            </w:pPr>
          </w:p>
        </w:tc>
        <w:tc>
          <w:tcPr>
            <w:tcW w:w="220" w:type="dxa"/>
            <w:vAlign w:val="bottom"/>
            <w:tcBorders>
              <w:top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(59,321)</w:t>
            </w:r>
          </w:p>
        </w:tc>
        <w:tc>
          <w:tcPr>
            <w:tcW w:w="80" w:type="dxa"/>
            <w:vAlign w:val="bottom"/>
            <w:tcBorders>
              <w:top w:val="single" w:sz="8" w:color="B6B6B6"/>
            </w:tcBorders>
            <w:shd w:val="clear" w:color="auto" w:fill="B6B6B6"/>
          </w:tcPr>
          <w:p>
            <w:pPr>
              <w:spacing w:after="0"/>
              <w:rPr>
                <w:sz w:val="14"/>
                <w:szCs w:val="14"/>
                <w:color w:val="auto"/>
              </w:rPr>
            </w:pPr>
          </w:p>
        </w:tc>
        <w:tc>
          <w:tcPr>
            <w:tcW w:w="240" w:type="dxa"/>
            <w:vAlign w:val="bottom"/>
            <w:tcBorders>
              <w:top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206,325</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Cash dividends ($.58 per share)</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(7,941)</w:t>
            </w:r>
          </w:p>
        </w:tc>
        <w:tc>
          <w:tcPr>
            <w:tcW w:w="0" w:type="dxa"/>
            <w:vAlign w:val="bottom"/>
          </w:tcPr>
          <w:p>
            <w:pPr>
              <w:spacing w:after="0"/>
              <w:rPr>
                <w:sz w:val="1"/>
                <w:szCs w:val="1"/>
                <w:color w:val="auto"/>
              </w:rPr>
            </w:pPr>
          </w:p>
        </w:tc>
      </w:tr>
      <w:tr>
        <w:trPr>
          <w:trHeight w:val="138"/>
        </w:trPr>
        <w:tc>
          <w:tcPr>
            <w:tcW w:w="336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81,221 common shares pursuant to stock-</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based compensation plan, net</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Exercise of SARs</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Purchase of 63,305 common shares</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(2,377)</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80" w:type="dxa"/>
            <w:vAlign w:val="bottom"/>
            <w:tcBorders>
              <w:bottom w:val="single" w:sz="8" w:color="B6B6B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B6B6B6"/>
          </w:tcPr>
          <w:p>
            <w:pPr>
              <w:ind w:left="620"/>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206,734</w:t>
            </w:r>
          </w:p>
        </w:tc>
        <w:tc>
          <w:tcPr>
            <w:tcW w:w="80" w:type="dxa"/>
            <w:vAlign w:val="bottom"/>
            <w:tcBorders>
              <w:bottom w:val="single" w:sz="8" w:color="B6B6B6"/>
            </w:tcBorders>
            <w:shd w:val="clear" w:color="auto" w:fill="B6B6B6"/>
          </w:tcPr>
          <w:p>
            <w:pPr>
              <w:spacing w:after="0"/>
              <w:rPr>
                <w:sz w:val="16"/>
                <w:szCs w:val="16"/>
                <w:color w:val="auto"/>
              </w:rPr>
            </w:pPr>
          </w:p>
        </w:tc>
        <w:tc>
          <w:tcPr>
            <w:tcW w:w="18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137,996</w:t>
            </w:r>
          </w:p>
        </w:tc>
        <w:tc>
          <w:tcPr>
            <w:tcW w:w="80" w:type="dxa"/>
            <w:vAlign w:val="bottom"/>
            <w:tcBorders>
              <w:bottom w:val="single" w:sz="8" w:color="B6B6B6"/>
            </w:tcBorders>
            <w:shd w:val="clear" w:color="auto" w:fill="B6B6B6"/>
          </w:tcPr>
          <w:p>
            <w:pPr>
              <w:spacing w:after="0"/>
              <w:rPr>
                <w:sz w:val="16"/>
                <w:szCs w:val="16"/>
                <w:color w:val="auto"/>
              </w:rPr>
            </w:pPr>
          </w:p>
        </w:tc>
        <w:tc>
          <w:tcPr>
            <w:tcW w:w="2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(80,943)</w:t>
            </w:r>
          </w:p>
        </w:tc>
        <w:tc>
          <w:tcPr>
            <w:tcW w:w="8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(56,394)</w:t>
            </w:r>
          </w:p>
        </w:tc>
        <w:tc>
          <w:tcPr>
            <w:tcW w:w="80" w:type="dxa"/>
            <w:vAlign w:val="bottom"/>
            <w:tcBorders>
              <w:bottom w:val="single" w:sz="8" w:color="B6B6B6"/>
            </w:tcBorders>
            <w:shd w:val="clear" w:color="auto" w:fill="B6B6B6"/>
          </w:tcPr>
          <w:p>
            <w:pPr>
              <w:spacing w:after="0"/>
              <w:rPr>
                <w:sz w:val="16"/>
                <w:szCs w:val="16"/>
                <w:color w:val="auto"/>
              </w:rPr>
            </w:pPr>
          </w:p>
        </w:tc>
        <w:tc>
          <w:tcPr>
            <w:tcW w:w="24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215,146</w:t>
            </w:r>
          </w:p>
        </w:tc>
        <w:tc>
          <w:tcPr>
            <w:tcW w:w="0" w:type="dxa"/>
            <w:vAlign w:val="bottom"/>
          </w:tcPr>
          <w:p>
            <w:pPr>
              <w:spacing w:after="0"/>
              <w:rPr>
                <w:sz w:val="1"/>
                <w:szCs w:val="1"/>
                <w:color w:val="auto"/>
              </w:rPr>
            </w:pPr>
          </w:p>
        </w:tc>
      </w:tr>
      <w:tr>
        <w:trPr>
          <w:trHeight w:val="20"/>
        </w:trPr>
        <w:tc>
          <w:tcPr>
            <w:tcW w:w="3360" w:type="dxa"/>
            <w:vAlign w:val="bottom"/>
            <w:tcBorders>
              <w:top w:val="single" w:sz="8" w:color="B6B6B6"/>
            </w:tcBorders>
            <w:gridSpan w:val="2"/>
          </w:tcPr>
          <w:p>
            <w:pPr>
              <w:spacing w:after="0" w:line="20" w:lineRule="exact"/>
              <w:rPr>
                <w:sz w:val="1"/>
                <w:szCs w:val="1"/>
                <w:color w:val="auto"/>
              </w:rPr>
            </w:pPr>
          </w:p>
        </w:tc>
        <w:tc>
          <w:tcPr>
            <w:tcW w:w="140" w:type="dxa"/>
            <w:vAlign w:val="bottom"/>
            <w:tcBorders>
              <w:top w:val="single" w:sz="8" w:color="B6B6B6"/>
              <w:bottom w:val="single" w:sz="8" w:color="auto"/>
            </w:tcBorders>
          </w:tcPr>
          <w:p>
            <w:pPr>
              <w:spacing w:after="0" w:line="20" w:lineRule="exact"/>
              <w:rPr>
                <w:sz w:val="1"/>
                <w:szCs w:val="1"/>
                <w:color w:val="auto"/>
              </w:rPr>
            </w:pPr>
          </w:p>
        </w:tc>
        <w:tc>
          <w:tcPr>
            <w:tcW w:w="10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0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4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10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208,007</w:t>
            </w:r>
          </w:p>
        </w:tc>
        <w:tc>
          <w:tcPr>
            <w:tcW w:w="80" w:type="dxa"/>
            <w:vAlign w:val="bottom"/>
          </w:tcPr>
          <w:p>
            <w:pPr>
              <w:spacing w:after="0"/>
              <w:rPr>
                <w:sz w:val="21"/>
                <w:szCs w:val="21"/>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145,782</w:t>
            </w:r>
          </w:p>
        </w:tc>
        <w:tc>
          <w:tcPr>
            <w:tcW w:w="8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(84,264)</w:t>
            </w:r>
          </w:p>
        </w:tc>
        <w:tc>
          <w:tcPr>
            <w:tcW w:w="80" w:type="dxa"/>
            <w:vAlign w:val="bottom"/>
          </w:tcPr>
          <w:p>
            <w:pPr>
              <w:spacing w:after="0"/>
              <w:rPr>
                <w:sz w:val="21"/>
                <w:szCs w:val="21"/>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(47,469)</w:t>
            </w:r>
          </w:p>
        </w:tc>
        <w:tc>
          <w:tcPr>
            <w:tcW w:w="80" w:type="dxa"/>
            <w:vAlign w:val="bottom"/>
          </w:tcPr>
          <w:p>
            <w:pPr>
              <w:spacing w:after="0"/>
              <w:rPr>
                <w:sz w:val="21"/>
                <w:szCs w:val="21"/>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229,809</w:t>
            </w:r>
          </w:p>
        </w:tc>
        <w:tc>
          <w:tcPr>
            <w:tcW w:w="0" w:type="dxa"/>
            <w:vAlign w:val="bottom"/>
          </w:tcPr>
          <w:p>
            <w:pPr>
              <w:spacing w:after="0"/>
              <w:rPr>
                <w:sz w:val="1"/>
                <w:szCs w:val="1"/>
                <w:color w:val="auto"/>
              </w:rPr>
            </w:pPr>
          </w:p>
        </w:tc>
      </w:tr>
      <w:tr>
        <w:trPr>
          <w:trHeight w:val="181"/>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11,636</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($.60 per share)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(8,182)</w:t>
            </w:r>
          </w:p>
        </w:tc>
        <w:tc>
          <w:tcPr>
            <w:tcW w:w="0" w:type="dxa"/>
            <w:vAlign w:val="bottom"/>
          </w:tcPr>
          <w:p>
            <w:pPr>
              <w:spacing w:after="0"/>
              <w:rPr>
                <w:sz w:val="1"/>
                <w:szCs w:val="1"/>
                <w:color w:val="auto"/>
              </w:rPr>
            </w:pPr>
          </w:p>
        </w:tc>
      </w:tr>
      <w:tr>
        <w:trPr>
          <w:trHeight w:val="138"/>
        </w:trPr>
        <w:tc>
          <w:tcPr>
            <w:tcW w:w="3360" w:type="dxa"/>
            <w:vAlign w:val="bottom"/>
            <w:gridSpan w:val="2"/>
            <w:shd w:val="clear" w:color="auto" w:fill="B6B6B6"/>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123,296 common shares pursuant to stock-</w:t>
            </w:r>
          </w:p>
        </w:tc>
        <w:tc>
          <w:tcPr>
            <w:tcW w:w="140" w:type="dxa"/>
            <w:vAlign w:val="bottom"/>
            <w:shd w:val="clear" w:color="auto" w:fill="B6B6B6"/>
          </w:tcPr>
          <w:p>
            <w:pPr>
              <w:spacing w:after="0"/>
              <w:rPr>
                <w:sz w:val="11"/>
                <w:szCs w:val="11"/>
                <w:color w:val="auto"/>
              </w:rPr>
            </w:pPr>
          </w:p>
        </w:tc>
        <w:tc>
          <w:tcPr>
            <w:tcW w:w="100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20" w:type="dxa"/>
            <w:vAlign w:val="bottom"/>
            <w:shd w:val="clear" w:color="auto" w:fill="B6B6B6"/>
          </w:tcPr>
          <w:p>
            <w:pPr>
              <w:spacing w:after="0"/>
              <w:rPr>
                <w:sz w:val="11"/>
                <w:szCs w:val="11"/>
                <w:color w:val="auto"/>
              </w:rPr>
            </w:pPr>
          </w:p>
        </w:tc>
        <w:tc>
          <w:tcPr>
            <w:tcW w:w="108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180" w:type="dxa"/>
            <w:vAlign w:val="bottom"/>
            <w:shd w:val="clear" w:color="auto" w:fill="B6B6B6"/>
          </w:tcPr>
          <w:p>
            <w:pPr>
              <w:spacing w:after="0"/>
              <w:rPr>
                <w:sz w:val="11"/>
                <w:szCs w:val="11"/>
                <w:color w:val="auto"/>
              </w:rPr>
            </w:pPr>
          </w:p>
        </w:tc>
        <w:tc>
          <w:tcPr>
            <w:tcW w:w="96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00" w:type="dxa"/>
            <w:vAlign w:val="bottom"/>
            <w:shd w:val="clear" w:color="auto" w:fill="B6B6B6"/>
          </w:tcPr>
          <w:p>
            <w:pPr>
              <w:spacing w:after="0"/>
              <w:rPr>
                <w:sz w:val="11"/>
                <w:szCs w:val="11"/>
                <w:color w:val="auto"/>
              </w:rPr>
            </w:pPr>
          </w:p>
        </w:tc>
        <w:tc>
          <w:tcPr>
            <w:tcW w:w="96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20" w:type="dxa"/>
            <w:vAlign w:val="bottom"/>
            <w:shd w:val="clear" w:color="auto" w:fill="B6B6B6"/>
          </w:tcPr>
          <w:p>
            <w:pPr>
              <w:spacing w:after="0"/>
              <w:rPr>
                <w:sz w:val="11"/>
                <w:szCs w:val="11"/>
                <w:color w:val="auto"/>
              </w:rPr>
            </w:pPr>
          </w:p>
        </w:tc>
        <w:tc>
          <w:tcPr>
            <w:tcW w:w="1420" w:type="dxa"/>
            <w:vAlign w:val="bottom"/>
            <w:shd w:val="clear" w:color="auto" w:fill="B6B6B6"/>
          </w:tcPr>
          <w:p>
            <w:pPr>
              <w:spacing w:after="0"/>
              <w:rPr>
                <w:sz w:val="11"/>
                <w:szCs w:val="11"/>
                <w:color w:val="auto"/>
              </w:rPr>
            </w:pPr>
          </w:p>
        </w:tc>
        <w:tc>
          <w:tcPr>
            <w:tcW w:w="80" w:type="dxa"/>
            <w:vAlign w:val="bottom"/>
            <w:shd w:val="clear" w:color="auto" w:fill="B6B6B6"/>
          </w:tcPr>
          <w:p>
            <w:pPr>
              <w:spacing w:after="0"/>
              <w:rPr>
                <w:sz w:val="11"/>
                <w:szCs w:val="11"/>
                <w:color w:val="auto"/>
              </w:rPr>
            </w:pPr>
          </w:p>
        </w:tc>
        <w:tc>
          <w:tcPr>
            <w:tcW w:w="240" w:type="dxa"/>
            <w:vAlign w:val="bottom"/>
            <w:shd w:val="clear" w:color="auto" w:fill="B6B6B6"/>
          </w:tcPr>
          <w:p>
            <w:pPr>
              <w:spacing w:after="0"/>
              <w:rPr>
                <w:sz w:val="11"/>
                <w:szCs w:val="11"/>
                <w:color w:val="auto"/>
              </w:rPr>
            </w:pPr>
          </w:p>
        </w:tc>
        <w:tc>
          <w:tcPr>
            <w:tcW w:w="900" w:type="dxa"/>
            <w:vAlign w:val="bottom"/>
            <w:shd w:val="clear" w:color="auto" w:fill="B6B6B6"/>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60" w:type="dxa"/>
            <w:vAlign w:val="bottom"/>
            <w:gridSpan w:val="2"/>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based compensation plans, net</w:t>
            </w:r>
          </w:p>
        </w:tc>
        <w:tc>
          <w:tcPr>
            <w:tcW w:w="140" w:type="dxa"/>
            <w:vAlign w:val="bottom"/>
            <w:shd w:val="clear" w:color="auto" w:fill="B6B6B6"/>
          </w:tcPr>
          <w:p>
            <w:pPr>
              <w:spacing w:after="0"/>
              <w:rPr>
                <w:sz w:val="16"/>
                <w:szCs w:val="16"/>
                <w:color w:val="auto"/>
              </w:rPr>
            </w:pPr>
          </w:p>
        </w:tc>
        <w:tc>
          <w:tcPr>
            <w:tcW w:w="100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(5,611)</w:t>
            </w:r>
          </w:p>
        </w:tc>
        <w:tc>
          <w:tcPr>
            <w:tcW w:w="80" w:type="dxa"/>
            <w:vAlign w:val="bottom"/>
            <w:shd w:val="clear" w:color="auto" w:fill="B6B6B6"/>
          </w:tcPr>
          <w:p>
            <w:pPr>
              <w:spacing w:after="0"/>
              <w:rPr>
                <w:sz w:val="16"/>
                <w:szCs w:val="16"/>
                <w:color w:val="auto"/>
              </w:rPr>
            </w:pPr>
          </w:p>
        </w:tc>
        <w:tc>
          <w:tcPr>
            <w:tcW w:w="18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00" w:type="dxa"/>
            <w:vAlign w:val="bottom"/>
            <w:shd w:val="clear" w:color="auto" w:fill="B6B6B6"/>
          </w:tcPr>
          <w:p>
            <w:pPr>
              <w:spacing w:after="0"/>
              <w:rPr>
                <w:sz w:val="16"/>
                <w:szCs w:val="16"/>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8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42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40" w:type="dxa"/>
            <w:vAlign w:val="bottom"/>
            <w:shd w:val="clear" w:color="auto" w:fill="B6B6B6"/>
          </w:tcPr>
          <w:p>
            <w:pPr>
              <w:spacing w:after="0"/>
              <w:rPr>
                <w:sz w:val="16"/>
                <w:szCs w:val="16"/>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180"/>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80"/>
        </w:trPr>
        <w:tc>
          <w:tcPr>
            <w:tcW w:w="336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Purchase of 23,271 common shares</w:t>
            </w:r>
          </w:p>
        </w:tc>
        <w:tc>
          <w:tcPr>
            <w:tcW w:w="1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0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0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8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4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(1,054)</w:t>
            </w:r>
          </w:p>
        </w:tc>
        <w:tc>
          <w:tcPr>
            <w:tcW w:w="0" w:type="dxa"/>
            <w:vAlign w:val="bottom"/>
          </w:tcPr>
          <w:p>
            <w:pPr>
              <w:spacing w:after="0"/>
              <w:rPr>
                <w:sz w:val="1"/>
                <w:szCs w:val="1"/>
                <w:color w:val="auto"/>
              </w:rPr>
            </w:pPr>
          </w:p>
        </w:tc>
      </w:tr>
      <w:tr>
        <w:trPr>
          <w:trHeight w:val="180"/>
        </w:trPr>
        <w:tc>
          <w:tcPr>
            <w:tcW w:w="3360" w:type="dxa"/>
            <w:vAlign w:val="bottom"/>
            <w:tcBorders>
              <w:bottom w:val="single" w:sz="8" w:color="B6B6B6"/>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B6B6B6"/>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Borders>
              <w:bottom w:val="single" w:sz="8" w:color="B6B6B6"/>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B6B6B6"/>
          </w:tcPr>
          <w:p>
            <w:pPr>
              <w:ind w:left="620"/>
              <w:spacing w:after="0"/>
              <w:rPr>
                <w:sz w:val="20"/>
                <w:szCs w:val="20"/>
                <w:color w:val="auto"/>
              </w:rPr>
            </w:pPr>
            <w:r>
              <w:rPr>
                <w:rFonts w:ascii="Times New Roman" w:cs="Times New Roman" w:eastAsia="Times New Roman" w:hAnsi="Times New Roman"/>
                <w:sz w:val="14"/>
                <w:szCs w:val="14"/>
                <w:color w:val="auto"/>
              </w:rPr>
              <w:t>7,753</w:t>
            </w:r>
          </w:p>
        </w:tc>
        <w:tc>
          <w:tcPr>
            <w:tcW w:w="8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204,128</w:t>
            </w:r>
          </w:p>
        </w:tc>
        <w:tc>
          <w:tcPr>
            <w:tcW w:w="80" w:type="dxa"/>
            <w:vAlign w:val="bottom"/>
            <w:tcBorders>
              <w:bottom w:val="single" w:sz="8" w:color="B6B6B6"/>
            </w:tcBorders>
            <w:shd w:val="clear" w:color="auto" w:fill="B6B6B6"/>
          </w:tcPr>
          <w:p>
            <w:pPr>
              <w:spacing w:after="0"/>
              <w:rPr>
                <w:sz w:val="16"/>
                <w:szCs w:val="16"/>
                <w:color w:val="auto"/>
              </w:rPr>
            </w:pPr>
          </w:p>
        </w:tc>
        <w:tc>
          <w:tcPr>
            <w:tcW w:w="18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149,236</w:t>
            </w:r>
          </w:p>
        </w:tc>
        <w:tc>
          <w:tcPr>
            <w:tcW w:w="80" w:type="dxa"/>
            <w:vAlign w:val="bottom"/>
            <w:tcBorders>
              <w:bottom w:val="single" w:sz="8" w:color="B6B6B6"/>
            </w:tcBorders>
            <w:shd w:val="clear" w:color="auto" w:fill="B6B6B6"/>
          </w:tcPr>
          <w:p>
            <w:pPr>
              <w:spacing w:after="0"/>
              <w:rPr>
                <w:sz w:val="16"/>
                <w:szCs w:val="16"/>
                <w:color w:val="auto"/>
              </w:rPr>
            </w:pPr>
          </w:p>
        </w:tc>
        <w:tc>
          <w:tcPr>
            <w:tcW w:w="2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(81,554)</w:t>
            </w:r>
          </w:p>
        </w:tc>
        <w:tc>
          <w:tcPr>
            <w:tcW w:w="8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(49,638)</w:t>
            </w:r>
          </w:p>
        </w:tc>
        <w:tc>
          <w:tcPr>
            <w:tcW w:w="80" w:type="dxa"/>
            <w:vAlign w:val="bottom"/>
            <w:tcBorders>
              <w:bottom w:val="single" w:sz="8" w:color="B6B6B6"/>
            </w:tcBorders>
            <w:shd w:val="clear" w:color="auto" w:fill="B6B6B6"/>
          </w:tcPr>
          <w:p>
            <w:pPr>
              <w:spacing w:after="0"/>
              <w:rPr>
                <w:sz w:val="16"/>
                <w:szCs w:val="16"/>
                <w:color w:val="auto"/>
              </w:rPr>
            </w:pPr>
          </w:p>
        </w:tc>
        <w:tc>
          <w:tcPr>
            <w:tcW w:w="24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229,925</w:t>
            </w:r>
          </w:p>
        </w:tc>
        <w:tc>
          <w:tcPr>
            <w:tcW w:w="0" w:type="dxa"/>
            <w:vAlign w:val="bottom"/>
          </w:tcPr>
          <w:p>
            <w:pPr>
              <w:spacing w:after="0"/>
              <w:rPr>
                <w:sz w:val="1"/>
                <w:szCs w:val="1"/>
                <w:color w:val="auto"/>
              </w:rPr>
            </w:pPr>
          </w:p>
        </w:tc>
      </w:tr>
      <w:tr>
        <w:trPr>
          <w:trHeight w:val="20"/>
        </w:trPr>
        <w:tc>
          <w:tcPr>
            <w:tcW w:w="1060" w:type="dxa"/>
            <w:vAlign w:val="bottom"/>
            <w:tcBorders>
              <w:top w:val="single" w:sz="8" w:color="B6B6B6"/>
            </w:tcBorders>
          </w:tcPr>
          <w:p>
            <w:pPr>
              <w:spacing w:after="0" w:line="20" w:lineRule="exact"/>
              <w:rPr>
                <w:sz w:val="1"/>
                <w:szCs w:val="1"/>
                <w:color w:val="auto"/>
              </w:rPr>
            </w:pPr>
          </w:p>
        </w:tc>
        <w:tc>
          <w:tcPr>
            <w:tcW w:w="2300" w:type="dxa"/>
            <w:vAlign w:val="bottom"/>
            <w:tcBorders>
              <w:top w:val="single" w:sz="8" w:color="B6B6B6"/>
            </w:tcBorders>
          </w:tcPr>
          <w:p>
            <w:pPr>
              <w:spacing w:after="0" w:line="20" w:lineRule="exact"/>
              <w:rPr>
                <w:sz w:val="1"/>
                <w:szCs w:val="1"/>
                <w:color w:val="auto"/>
              </w:rPr>
            </w:pPr>
          </w:p>
        </w:tc>
        <w:tc>
          <w:tcPr>
            <w:tcW w:w="140" w:type="dxa"/>
            <w:vAlign w:val="bottom"/>
            <w:tcBorders>
              <w:top w:val="single" w:sz="8" w:color="B6B6B6"/>
              <w:bottom w:val="single" w:sz="8" w:color="auto"/>
            </w:tcBorders>
          </w:tcPr>
          <w:p>
            <w:pPr>
              <w:spacing w:after="0" w:line="20" w:lineRule="exact"/>
              <w:rPr>
                <w:sz w:val="1"/>
                <w:szCs w:val="1"/>
                <w:color w:val="auto"/>
              </w:rPr>
            </w:pPr>
          </w:p>
        </w:tc>
        <w:tc>
          <w:tcPr>
            <w:tcW w:w="10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0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0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20" w:type="dxa"/>
            <w:vAlign w:val="bottom"/>
            <w:tcBorders>
              <w:top w:val="single" w:sz="8" w:color="B6B6B6"/>
              <w:bottom w:val="single" w:sz="8" w:color="auto"/>
            </w:tcBorders>
          </w:tcPr>
          <w:p>
            <w:pPr>
              <w:spacing w:after="0" w:line="20" w:lineRule="exact"/>
              <w:rPr>
                <w:sz w:val="1"/>
                <w:szCs w:val="1"/>
                <w:color w:val="auto"/>
              </w:rPr>
            </w:pPr>
          </w:p>
        </w:tc>
        <w:tc>
          <w:tcPr>
            <w:tcW w:w="14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CASS INFORMATION SYSTEMS,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1 - Basis of Presentation</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2023 ("2023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2 – Intangible Assets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intangible assets in accordance with Financial Accounting Standards Board (“FASB”) Accounting Standards Codification (“ASC”) 350, </w:t>
      </w:r>
      <w:r>
        <w:rPr>
          <w:rFonts w:ascii="Times New Roman" w:cs="Times New Roman" w:eastAsia="Times New Roman" w:hAnsi="Times New Roman"/>
          <w:sz w:val="14"/>
          <w:szCs w:val="14"/>
          <w:i w:val="1"/>
          <w:iCs w:val="1"/>
          <w:color w:val="auto"/>
        </w:rPr>
        <w:t>Goodwill and Other Intangible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Assets</w:t>
      </w:r>
      <w:r>
        <w:rPr>
          <w:rFonts w:ascii="Times New Roman" w:cs="Times New Roman" w:eastAsia="Times New Roman" w:hAnsi="Times New Roman"/>
          <w:sz w:val="14"/>
          <w:szCs w:val="14"/>
          <w:color w:val="auto"/>
        </w:rPr>
        <w:t>, which requires that intangibles with indefinite useful lives be tested annually for impairment, or when management deems there is a triggering event, and those with finite useful lives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amortized over their useful lives.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Details of the Company’s intangible assets are as follows: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5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2880" w:type="dxa"/>
            <w:vAlign w:val="bottom"/>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29"/>
              <w:spacing w:after="0" w:line="13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ind w:left="120"/>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249"/>
              <w:spacing w:after="0" w:line="13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289"/>
              <w:spacing w:after="0" w:line="13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6"/>
        </w:trPr>
        <w:tc>
          <w:tcPr>
            <w:tcW w:w="50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2"/>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Assets eligible for amortization:</w:t>
            </w:r>
          </w:p>
        </w:tc>
        <w:tc>
          <w:tcPr>
            <w:tcW w:w="180" w:type="dxa"/>
            <w:vAlign w:val="bottom"/>
            <w:shd w:val="clear" w:color="auto" w:fill="B6B6B6"/>
          </w:tcPr>
          <w:p>
            <w:pPr>
              <w:spacing w:after="0"/>
              <w:rPr>
                <w:sz w:val="16"/>
                <w:szCs w:val="16"/>
                <w:color w:val="auto"/>
              </w:rPr>
            </w:pPr>
          </w:p>
        </w:tc>
        <w:tc>
          <w:tcPr>
            <w:tcW w:w="1340" w:type="dxa"/>
            <w:vAlign w:val="bottom"/>
            <w:shd w:val="clear" w:color="auto" w:fill="B6B6B6"/>
          </w:tcPr>
          <w:p>
            <w:pPr>
              <w:spacing w:after="0"/>
              <w:rPr>
                <w:sz w:val="16"/>
                <w:szCs w:val="16"/>
                <w:color w:val="auto"/>
              </w:rPr>
            </w:pPr>
          </w:p>
        </w:tc>
        <w:tc>
          <w:tcPr>
            <w:tcW w:w="260" w:type="dxa"/>
            <w:vAlign w:val="bottom"/>
            <w:shd w:val="clear" w:color="auto" w:fill="B6B6B6"/>
          </w:tcPr>
          <w:p>
            <w:pPr>
              <w:spacing w:after="0"/>
              <w:rPr>
                <w:sz w:val="16"/>
                <w:szCs w:val="16"/>
                <w:color w:val="auto"/>
              </w:rPr>
            </w:pPr>
          </w:p>
        </w:tc>
        <w:tc>
          <w:tcPr>
            <w:tcW w:w="128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180" w:type="dxa"/>
            <w:vAlign w:val="bottom"/>
            <w:shd w:val="clear" w:color="auto" w:fill="B6B6B6"/>
          </w:tcPr>
          <w:p>
            <w:pPr>
              <w:spacing w:after="0"/>
              <w:rPr>
                <w:sz w:val="16"/>
                <w:szCs w:val="16"/>
                <w:color w:val="auto"/>
              </w:rPr>
            </w:pPr>
          </w:p>
        </w:tc>
        <w:tc>
          <w:tcPr>
            <w:tcW w:w="1340" w:type="dxa"/>
            <w:vAlign w:val="bottom"/>
            <w:shd w:val="clear" w:color="auto" w:fill="B6B6B6"/>
          </w:tcPr>
          <w:p>
            <w:pPr>
              <w:spacing w:after="0"/>
              <w:rPr>
                <w:sz w:val="16"/>
                <w:szCs w:val="16"/>
                <w:color w:val="auto"/>
              </w:rPr>
            </w:pPr>
          </w:p>
        </w:tc>
        <w:tc>
          <w:tcPr>
            <w:tcW w:w="260" w:type="dxa"/>
            <w:vAlign w:val="bottom"/>
            <w:shd w:val="clear" w:color="auto" w:fill="B6B6B6"/>
          </w:tcPr>
          <w:p>
            <w:pPr>
              <w:spacing w:after="0"/>
              <w:rPr>
                <w:sz w:val="16"/>
                <w:szCs w:val="16"/>
                <w:color w:val="auto"/>
              </w:rPr>
            </w:pPr>
          </w:p>
        </w:tc>
        <w:tc>
          <w:tcPr>
            <w:tcW w:w="128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 lists</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6,470</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(4,979)</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6,470</w:t>
            </w:r>
          </w:p>
        </w:tc>
        <w:tc>
          <w:tcPr>
            <w:tcW w:w="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Patents</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3,212</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3,212</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Trade name</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Unamortized intangible assets:</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17,309</w:t>
            </w: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17,309</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intangible assets</w:t>
            </w:r>
          </w:p>
        </w:tc>
        <w:tc>
          <w:tcPr>
            <w:tcW w:w="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27,936</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(7,655)</w:t>
            </w:r>
          </w:p>
        </w:tc>
        <w:tc>
          <w:tcPr>
            <w:tcW w:w="80" w:type="dxa"/>
            <w:vAlign w:val="bottom"/>
            <w:tcBorders>
              <w:bottom w:val="single" w:sz="8" w:color="auto"/>
            </w:tcBorders>
            <w:shd w:val="clear" w:color="auto" w:fill="B6B6B6"/>
          </w:tcPr>
          <w:p>
            <w:pPr>
              <w:spacing w:after="0"/>
              <w:rPr>
                <w:sz w:val="16"/>
                <w:szCs w:val="16"/>
                <w:color w:val="auto"/>
              </w:rPr>
            </w:pPr>
          </w:p>
        </w:tc>
        <w:tc>
          <w:tcPr>
            <w:tcW w:w="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27,936</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(7,282)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customer lists are amortized over 7 to 10 years; the patents over 18 years; software over 3 to 7 years; the trade names over 10 to 20 years; and other intangible assets over 15 years. Amortization of intangible assets amounted to $182,000 and $373,000 for the three and six-month periods ended June 30, 2024, respectively. Amortization of intangible assets amounted to $195,000 and $390,000 for the three and six-month periods ended June 30, 2023, respectively. Estimated annual amortization of intangibles is $738,000 in 2024, $730,000 in 2025, $582,000 in 2026, $262,000 in 2027, and $254,000 in 2028.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3 – Earnings Per Share</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calculations of basic and diluted earnings per share are as follows: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36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80" w:type="dxa"/>
            <w:vAlign w:val="bottom"/>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B6B6B6"/>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B6B6B6"/>
            </w:tcBorders>
            <w:shd w:val="clear" w:color="auto" w:fill="B6B6B6"/>
          </w:tcPr>
          <w:p>
            <w:pPr>
              <w:spacing w:after="0"/>
              <w:rPr>
                <w:sz w:val="16"/>
                <w:szCs w:val="16"/>
                <w:color w:val="auto"/>
              </w:rPr>
            </w:pPr>
          </w:p>
        </w:tc>
        <w:tc>
          <w:tcPr>
            <w:tcW w:w="1160" w:type="dxa"/>
            <w:vAlign w:val="bottom"/>
            <w:tcBorders>
              <w:bottom w:val="single" w:sz="8" w:color="B6B6B6"/>
            </w:tcBorders>
            <w:shd w:val="clear" w:color="auto" w:fill="B6B6B6"/>
          </w:tcPr>
          <w:p>
            <w:pPr>
              <w:spacing w:after="0"/>
              <w:rPr>
                <w:sz w:val="16"/>
                <w:szCs w:val="16"/>
                <w:color w:val="auto"/>
              </w:rPr>
            </w:pPr>
          </w:p>
        </w:tc>
        <w:tc>
          <w:tcPr>
            <w:tcW w:w="660" w:type="dxa"/>
            <w:vAlign w:val="bottom"/>
            <w:tcBorders>
              <w:bottom w:val="single" w:sz="8" w:color="B6B6B6"/>
            </w:tcBorders>
            <w:shd w:val="clear" w:color="auto" w:fill="B6B6B6"/>
          </w:tcPr>
          <w:p>
            <w:pPr>
              <w:spacing w:after="0"/>
              <w:rPr>
                <w:sz w:val="16"/>
                <w:szCs w:val="16"/>
                <w:color w:val="auto"/>
              </w:rPr>
            </w:pPr>
          </w:p>
        </w:tc>
        <w:tc>
          <w:tcPr>
            <w:tcW w:w="880" w:type="dxa"/>
            <w:vAlign w:val="bottom"/>
            <w:tcBorders>
              <w:bottom w:val="single" w:sz="8" w:color="B6B6B6"/>
            </w:tcBorders>
            <w:shd w:val="clear" w:color="auto" w:fill="B6B6B6"/>
          </w:tcPr>
          <w:p>
            <w:pPr>
              <w:spacing w:after="0"/>
              <w:rPr>
                <w:sz w:val="16"/>
                <w:szCs w:val="16"/>
                <w:color w:val="auto"/>
              </w:rPr>
            </w:pPr>
          </w:p>
        </w:tc>
        <w:tc>
          <w:tcPr>
            <w:tcW w:w="80" w:type="dxa"/>
            <w:vAlign w:val="bottom"/>
            <w:tcBorders>
              <w:bottom w:val="single" w:sz="8" w:color="B6B6B6"/>
            </w:tcBorders>
            <w:shd w:val="clear" w:color="auto" w:fill="B6B6B6"/>
          </w:tcPr>
          <w:p>
            <w:pPr>
              <w:spacing w:after="0"/>
              <w:rPr>
                <w:sz w:val="16"/>
                <w:szCs w:val="16"/>
                <w:color w:val="auto"/>
              </w:rPr>
            </w:pPr>
          </w:p>
        </w:tc>
        <w:tc>
          <w:tcPr>
            <w:tcW w:w="360" w:type="dxa"/>
            <w:vAlign w:val="bottom"/>
            <w:tcBorders>
              <w:bottom w:val="single" w:sz="8" w:color="B6B6B6"/>
            </w:tcBorders>
            <w:shd w:val="clear" w:color="auto" w:fill="B6B6B6"/>
          </w:tcPr>
          <w:p>
            <w:pPr>
              <w:spacing w:after="0"/>
              <w:rPr>
                <w:sz w:val="16"/>
                <w:szCs w:val="16"/>
                <w:color w:val="auto"/>
              </w:rPr>
            </w:pPr>
          </w:p>
        </w:tc>
        <w:tc>
          <w:tcPr>
            <w:tcW w:w="1160" w:type="dxa"/>
            <w:vAlign w:val="bottom"/>
            <w:tcBorders>
              <w:bottom w:val="single" w:sz="8" w:color="B6B6B6"/>
            </w:tcBorders>
            <w:shd w:val="clear" w:color="auto" w:fill="B6B6B6"/>
          </w:tcPr>
          <w:p>
            <w:pPr>
              <w:spacing w:after="0"/>
              <w:rPr>
                <w:sz w:val="16"/>
                <w:szCs w:val="16"/>
                <w:color w:val="auto"/>
              </w:rPr>
            </w:pPr>
          </w:p>
        </w:tc>
        <w:tc>
          <w:tcPr>
            <w:tcW w:w="620" w:type="dxa"/>
            <w:vAlign w:val="bottom"/>
            <w:tcBorders>
              <w:bottom w:val="single" w:sz="8" w:color="B6B6B6"/>
            </w:tcBorders>
            <w:shd w:val="clear" w:color="auto" w:fill="B6B6B6"/>
          </w:tcPr>
          <w:p>
            <w:pPr>
              <w:spacing w:after="0"/>
              <w:rPr>
                <w:sz w:val="16"/>
                <w:szCs w:val="16"/>
                <w:color w:val="auto"/>
              </w:rPr>
            </w:pPr>
          </w:p>
        </w:tc>
        <w:tc>
          <w:tcPr>
            <w:tcW w:w="92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4,484</w:t>
            </w:r>
          </w:p>
        </w:tc>
        <w:tc>
          <w:tcPr>
            <w:tcW w:w="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11,636</w:t>
            </w:r>
          </w:p>
        </w:tc>
        <w:tc>
          <w:tcPr>
            <w:tcW w:w="6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13,538,283</w:t>
            </w:r>
          </w:p>
        </w:tc>
        <w:tc>
          <w:tcPr>
            <w:tcW w:w="66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13,553,346</w:t>
            </w:r>
          </w:p>
        </w:tc>
        <w:tc>
          <w:tcPr>
            <w:tcW w:w="8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13,534,256</w:t>
            </w:r>
          </w:p>
        </w:tc>
        <w:tc>
          <w:tcPr>
            <w:tcW w:w="62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13,576,281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Basic earnings per share</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0.33</w:t>
            </w:r>
          </w:p>
        </w:tc>
        <w:tc>
          <w:tcPr>
            <w:tcW w:w="6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0.86</w:t>
            </w:r>
          </w:p>
        </w:tc>
        <w:tc>
          <w:tcPr>
            <w:tcW w:w="6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8"/>
        </w:trPr>
        <w:tc>
          <w:tcPr>
            <w:tcW w:w="106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B6B6B6"/>
          </w:tcPr>
          <w:p>
            <w:pPr>
              <w:spacing w:after="0"/>
              <w:rPr>
                <w:sz w:val="16"/>
                <w:szCs w:val="16"/>
                <w:color w:val="auto"/>
              </w:rPr>
            </w:pPr>
          </w:p>
        </w:tc>
        <w:tc>
          <w:tcPr>
            <w:tcW w:w="1160" w:type="dxa"/>
            <w:vAlign w:val="bottom"/>
            <w:shd w:val="clear" w:color="auto" w:fill="B6B6B6"/>
          </w:tcPr>
          <w:p>
            <w:pPr>
              <w:spacing w:after="0"/>
              <w:rPr>
                <w:sz w:val="16"/>
                <w:szCs w:val="16"/>
                <w:color w:val="auto"/>
              </w:rPr>
            </w:pPr>
          </w:p>
        </w:tc>
        <w:tc>
          <w:tcPr>
            <w:tcW w:w="66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360" w:type="dxa"/>
            <w:vAlign w:val="bottom"/>
            <w:shd w:val="clear" w:color="auto" w:fill="B6B6B6"/>
          </w:tcPr>
          <w:p>
            <w:pPr>
              <w:spacing w:after="0"/>
              <w:rPr>
                <w:sz w:val="16"/>
                <w:szCs w:val="16"/>
                <w:color w:val="auto"/>
              </w:rPr>
            </w:pPr>
          </w:p>
        </w:tc>
        <w:tc>
          <w:tcPr>
            <w:tcW w:w="1160" w:type="dxa"/>
            <w:vAlign w:val="bottom"/>
            <w:shd w:val="clear" w:color="auto" w:fill="B6B6B6"/>
          </w:tcPr>
          <w:p>
            <w:pPr>
              <w:spacing w:after="0"/>
              <w:rPr>
                <w:sz w:val="16"/>
                <w:szCs w:val="16"/>
                <w:color w:val="auto"/>
              </w:rPr>
            </w:pPr>
          </w:p>
        </w:tc>
        <w:tc>
          <w:tcPr>
            <w:tcW w:w="620" w:type="dxa"/>
            <w:vAlign w:val="bottom"/>
            <w:shd w:val="clear" w:color="auto" w:fill="B6B6B6"/>
          </w:tcPr>
          <w:p>
            <w:pPr>
              <w:spacing w:after="0"/>
              <w:rPr>
                <w:sz w:val="16"/>
                <w:szCs w:val="16"/>
                <w:color w:val="auto"/>
              </w:rPr>
            </w:pPr>
          </w:p>
        </w:tc>
        <w:tc>
          <w:tcPr>
            <w:tcW w:w="92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4,484</w:t>
            </w:r>
          </w:p>
        </w:tc>
        <w:tc>
          <w:tcPr>
            <w:tcW w:w="66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11,636</w:t>
            </w:r>
          </w:p>
        </w:tc>
        <w:tc>
          <w:tcPr>
            <w:tcW w:w="6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14,255</w:t>
            </w:r>
          </w:p>
        </w:tc>
        <w:tc>
          <w:tcPr>
            <w:tcW w:w="0" w:type="dxa"/>
            <w:vAlign w:val="bottom"/>
          </w:tcPr>
          <w:p>
            <w:pPr>
              <w:spacing w:after="0"/>
              <w:rPr>
                <w:sz w:val="1"/>
                <w:szCs w:val="1"/>
                <w:color w:val="auto"/>
              </w:rPr>
            </w:pPr>
          </w:p>
        </w:tc>
      </w:tr>
      <w:tr>
        <w:trPr>
          <w:trHeight w:val="207"/>
        </w:trPr>
        <w:tc>
          <w:tcPr>
            <w:tcW w:w="5080" w:type="dxa"/>
            <w:vAlign w:val="bottom"/>
            <w:gridSpan w:val="2"/>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13,538,283</w:t>
            </w:r>
          </w:p>
        </w:tc>
        <w:tc>
          <w:tcPr>
            <w:tcW w:w="660" w:type="dxa"/>
            <w:vAlign w:val="bottom"/>
            <w:shd w:val="clear" w:color="auto" w:fill="B6B6B6"/>
          </w:tcPr>
          <w:p>
            <w:pPr>
              <w:spacing w:after="0"/>
              <w:rPr>
                <w:sz w:val="18"/>
                <w:szCs w:val="18"/>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13,553,346</w:t>
            </w:r>
          </w:p>
        </w:tc>
        <w:tc>
          <w:tcPr>
            <w:tcW w:w="8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13,534,256</w:t>
            </w:r>
          </w:p>
        </w:tc>
        <w:tc>
          <w:tcPr>
            <w:tcW w:w="620" w:type="dxa"/>
            <w:vAlign w:val="bottom"/>
            <w:shd w:val="clear" w:color="auto" w:fill="B6B6B6"/>
          </w:tcPr>
          <w:p>
            <w:pPr>
              <w:spacing w:after="0"/>
              <w:rPr>
                <w:sz w:val="18"/>
                <w:szCs w:val="18"/>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13,576,281</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dilutive restricted stock and stock appreciation rights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283,793</w:t>
            </w:r>
          </w:p>
        </w:tc>
        <w:tc>
          <w:tcPr>
            <w:tcW w:w="6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300,696</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269,421</w:t>
            </w: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282,412</w:t>
            </w:r>
          </w:p>
        </w:tc>
        <w:tc>
          <w:tcPr>
            <w:tcW w:w="0" w:type="dxa"/>
            <w:vAlign w:val="bottom"/>
          </w:tcPr>
          <w:p>
            <w:pPr>
              <w:spacing w:after="0"/>
              <w:rPr>
                <w:sz w:val="1"/>
                <w:szCs w:val="1"/>
                <w:color w:val="auto"/>
              </w:rPr>
            </w:pPr>
          </w:p>
        </w:tc>
      </w:tr>
      <w:tr>
        <w:trPr>
          <w:trHeight w:val="198"/>
        </w:trPr>
        <w:tc>
          <w:tcPr>
            <w:tcW w:w="5080" w:type="dxa"/>
            <w:vAlign w:val="bottom"/>
            <w:gridSpan w:val="2"/>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Weighted-average common shares outstanding assuming dilution</w:t>
            </w:r>
          </w:p>
        </w:tc>
        <w:tc>
          <w:tcPr>
            <w:tcW w:w="360" w:type="dxa"/>
            <w:vAlign w:val="bottom"/>
            <w:shd w:val="clear" w:color="auto" w:fill="B6B6B6"/>
          </w:tcPr>
          <w:p>
            <w:pPr>
              <w:spacing w:after="0"/>
              <w:rPr>
                <w:sz w:val="17"/>
                <w:szCs w:val="17"/>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13,822,076</w:t>
            </w:r>
          </w:p>
        </w:tc>
        <w:tc>
          <w:tcPr>
            <w:tcW w:w="660" w:type="dxa"/>
            <w:vAlign w:val="bottom"/>
            <w:shd w:val="clear" w:color="auto" w:fill="B6B6B6"/>
          </w:tcPr>
          <w:p>
            <w:pPr>
              <w:spacing w:after="0"/>
              <w:rPr>
                <w:sz w:val="17"/>
                <w:szCs w:val="17"/>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13,854,042</w:t>
            </w:r>
          </w:p>
        </w:tc>
        <w:tc>
          <w:tcPr>
            <w:tcW w:w="80" w:type="dxa"/>
            <w:vAlign w:val="bottom"/>
            <w:shd w:val="clear" w:color="auto" w:fill="B6B6B6"/>
          </w:tcPr>
          <w:p>
            <w:pPr>
              <w:spacing w:after="0"/>
              <w:rPr>
                <w:sz w:val="17"/>
                <w:szCs w:val="17"/>
                <w:color w:val="auto"/>
              </w:rPr>
            </w:pPr>
          </w:p>
        </w:tc>
        <w:tc>
          <w:tcPr>
            <w:tcW w:w="360" w:type="dxa"/>
            <w:vAlign w:val="bottom"/>
            <w:shd w:val="clear" w:color="auto" w:fill="B6B6B6"/>
          </w:tcPr>
          <w:p>
            <w:pPr>
              <w:spacing w:after="0"/>
              <w:rPr>
                <w:sz w:val="17"/>
                <w:szCs w:val="17"/>
                <w:color w:val="auto"/>
              </w:rPr>
            </w:pPr>
          </w:p>
        </w:tc>
        <w:tc>
          <w:tcPr>
            <w:tcW w:w="11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13,803,677</w:t>
            </w:r>
          </w:p>
        </w:tc>
        <w:tc>
          <w:tcPr>
            <w:tcW w:w="620" w:type="dxa"/>
            <w:vAlign w:val="bottom"/>
            <w:shd w:val="clear" w:color="auto" w:fill="B6B6B6"/>
          </w:tcPr>
          <w:p>
            <w:pPr>
              <w:spacing w:after="0"/>
              <w:rPr>
                <w:sz w:val="17"/>
                <w:szCs w:val="17"/>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13,858,693</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0.32</w:t>
            </w:r>
          </w:p>
        </w:tc>
        <w:tc>
          <w:tcPr>
            <w:tcW w:w="6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0.52</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0.84</w:t>
            </w:r>
          </w:p>
        </w:tc>
        <w:tc>
          <w:tcPr>
            <w:tcW w:w="6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4 – Stock Repurchases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maintains a treasury stock buyback program pursuant to which, in October 2023, the Board of Directors authorized the repurchase of up to 500,000 shares of the Company’s common stock with no expiration date. As of June 30, 2024, the Company had 462,765 shares remaining available for repurchase under the program. The Company repurchased 0 and 23,271 shares during the three and six-month periods ended June 30, 2024, respectively and 63,305 shares for both the three and six-month periods ended June 30, 2023, respectively. Repurchases may be made in the open market or through negotiated transactions from time to time depending on market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5 – Industry Segment Information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accounting policies for segments are the same as those described in the summary of significant accounting policies in the Company’s 2023 Form 10-K. Management evaluates segment performance based on pre-tax income after allocations for corporate expenses. Transactions between segments are accounted for at what management believes to be fair value.</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Substantially all revenue originates from, and all long-lived assets are located within, the United States and no revenue from any customer of any segment exceeds 10% of the Company’s consolidated revenue.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Summarized information about the Company’s operations in each industry segment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Information</w:t>
            </w:r>
          </w:p>
        </w:tc>
        <w:tc>
          <w:tcPr>
            <w:tcW w:w="320" w:type="dxa"/>
            <w:vAlign w:val="bottom"/>
          </w:tcPr>
          <w:p>
            <w:pPr>
              <w:spacing w:after="0"/>
              <w:rPr>
                <w:sz w:val="13"/>
                <w:szCs w:val="13"/>
                <w:color w:val="auto"/>
              </w:rPr>
            </w:pPr>
          </w:p>
        </w:tc>
        <w:tc>
          <w:tcPr>
            <w:tcW w:w="122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Banking</w:t>
            </w:r>
          </w:p>
        </w:tc>
        <w:tc>
          <w:tcPr>
            <w:tcW w:w="300" w:type="dxa"/>
            <w:vAlign w:val="bottom"/>
          </w:tcPr>
          <w:p>
            <w:pPr>
              <w:spacing w:after="0"/>
              <w:rPr>
                <w:sz w:val="13"/>
                <w:szCs w:val="13"/>
                <w:color w:val="auto"/>
              </w:rPr>
            </w:pPr>
          </w:p>
        </w:tc>
        <w:tc>
          <w:tcPr>
            <w:tcW w:w="13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w w:val="99"/>
              </w:rPr>
              <w:t>Eliminations</w:t>
            </w:r>
          </w:p>
        </w:tc>
        <w:tc>
          <w:tcPr>
            <w:tcW w:w="400" w:type="dxa"/>
            <w:vAlign w:val="bottom"/>
          </w:tcPr>
          <w:p>
            <w:pPr>
              <w:spacing w:after="0"/>
              <w:rPr>
                <w:sz w:val="11"/>
                <w:szCs w:val="11"/>
                <w:color w:val="auto"/>
              </w:rPr>
            </w:pPr>
          </w:p>
        </w:tc>
        <w:tc>
          <w:tcPr>
            <w:tcW w:w="114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2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2024:</w:t>
            </w:r>
          </w:p>
        </w:tc>
        <w:tc>
          <w:tcPr>
            <w:tcW w:w="1680" w:type="dxa"/>
            <w:vAlign w:val="bottom"/>
            <w:shd w:val="clear" w:color="auto" w:fill="B6B6B6"/>
          </w:tcPr>
          <w:p>
            <w:pPr>
              <w:spacing w:after="0"/>
              <w:rPr>
                <w:sz w:val="16"/>
                <w:szCs w:val="16"/>
                <w:color w:val="auto"/>
              </w:rPr>
            </w:pPr>
          </w:p>
        </w:tc>
        <w:tc>
          <w:tcPr>
            <w:tcW w:w="1300" w:type="dxa"/>
            <w:vAlign w:val="bottom"/>
            <w:shd w:val="clear" w:color="auto" w:fill="B6B6B6"/>
          </w:tcPr>
          <w:p>
            <w:pPr>
              <w:spacing w:after="0"/>
              <w:rPr>
                <w:sz w:val="16"/>
                <w:szCs w:val="16"/>
                <w:color w:val="auto"/>
              </w:rPr>
            </w:pPr>
          </w:p>
        </w:tc>
        <w:tc>
          <w:tcPr>
            <w:tcW w:w="320" w:type="dxa"/>
            <w:vAlign w:val="bottom"/>
            <w:shd w:val="clear" w:color="auto" w:fill="B6B6B6"/>
          </w:tcPr>
          <w:p>
            <w:pPr>
              <w:spacing w:after="0"/>
              <w:rPr>
                <w:sz w:val="16"/>
                <w:szCs w:val="16"/>
                <w:color w:val="auto"/>
              </w:rPr>
            </w:pPr>
          </w:p>
        </w:tc>
        <w:tc>
          <w:tcPr>
            <w:tcW w:w="1220" w:type="dxa"/>
            <w:vAlign w:val="bottom"/>
            <w:shd w:val="clear" w:color="auto" w:fill="B6B6B6"/>
          </w:tcPr>
          <w:p>
            <w:pPr>
              <w:spacing w:after="0"/>
              <w:rPr>
                <w:sz w:val="16"/>
                <w:szCs w:val="16"/>
                <w:color w:val="auto"/>
              </w:rPr>
            </w:pPr>
          </w:p>
        </w:tc>
        <w:tc>
          <w:tcPr>
            <w:tcW w:w="300" w:type="dxa"/>
            <w:vAlign w:val="bottom"/>
            <w:shd w:val="clear" w:color="auto" w:fill="B6B6B6"/>
          </w:tcPr>
          <w:p>
            <w:pPr>
              <w:spacing w:after="0"/>
              <w:rPr>
                <w:sz w:val="16"/>
                <w:szCs w:val="16"/>
                <w:color w:val="auto"/>
              </w:rPr>
            </w:pPr>
          </w:p>
        </w:tc>
        <w:tc>
          <w:tcPr>
            <w:tcW w:w="1300" w:type="dxa"/>
            <w:vAlign w:val="bottom"/>
            <w:shd w:val="clear" w:color="auto" w:fill="B6B6B6"/>
          </w:tcPr>
          <w:p>
            <w:pPr>
              <w:spacing w:after="0"/>
              <w:rPr>
                <w:sz w:val="16"/>
                <w:szCs w:val="16"/>
                <w:color w:val="auto"/>
              </w:rPr>
            </w:pPr>
          </w:p>
        </w:tc>
        <w:tc>
          <w:tcPr>
            <w:tcW w:w="400" w:type="dxa"/>
            <w:vAlign w:val="bottom"/>
            <w:shd w:val="clear" w:color="auto" w:fill="B6B6B6"/>
          </w:tcPr>
          <w:p>
            <w:pPr>
              <w:spacing w:after="0"/>
              <w:rPr>
                <w:sz w:val="16"/>
                <w:szCs w:val="16"/>
                <w:color w:val="auto"/>
              </w:rPr>
            </w:pPr>
          </w:p>
        </w:tc>
        <w:tc>
          <w:tcPr>
            <w:tcW w:w="114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32,063</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665</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332</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9,752</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14,680</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(3,190)</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21,242</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314</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8,573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1,016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Pre-tax income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3,121</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1,960</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716</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17,173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2,972</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1,420,254</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1,130,548</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(268,206)</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2,282,596</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funding sources</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1,256,457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785,893</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2,042,350</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June 30, 2023:</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31,360</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626</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9,463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13,829</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69</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7,340</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3,694</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1,062</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Pre-tax income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5,873</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2,776</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219</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17,173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3,735</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1,602,932</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1,150,293</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(282,429)</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2,470,796</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Average funding sources</w:t>
            </w:r>
          </w:p>
        </w:tc>
        <w:tc>
          <w:tcPr>
            <w:tcW w:w="1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1,327,251</w:t>
            </w:r>
          </w:p>
        </w:tc>
        <w:tc>
          <w:tcPr>
            <w:tcW w:w="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784,068</w:t>
            </w:r>
          </w:p>
        </w:tc>
        <w:tc>
          <w:tcPr>
            <w:tcW w:w="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2,111,319</w:t>
            </w:r>
          </w:p>
        </w:tc>
        <w:tc>
          <w:tcPr>
            <w:tcW w:w="0" w:type="dxa"/>
            <w:vAlign w:val="bottom"/>
          </w:tcPr>
          <w:p>
            <w:pPr>
              <w:spacing w:after="0"/>
              <w:rPr>
                <w:sz w:val="1"/>
                <w:szCs w:val="1"/>
                <w:color w:val="auto"/>
              </w:rPr>
            </w:pPr>
          </w:p>
        </w:tc>
      </w:tr>
      <w:tr>
        <w:trPr>
          <w:trHeight w:val="198"/>
        </w:trPr>
        <w:tc>
          <w:tcPr>
            <w:tcW w:w="3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2024:</w:t>
            </w:r>
          </w:p>
        </w:tc>
        <w:tc>
          <w:tcPr>
            <w:tcW w:w="1680" w:type="dxa"/>
            <w:vAlign w:val="bottom"/>
            <w:shd w:val="clear" w:color="auto" w:fill="B6B6B6"/>
          </w:tcPr>
          <w:p>
            <w:pPr>
              <w:spacing w:after="0"/>
              <w:rPr>
                <w:sz w:val="17"/>
                <w:szCs w:val="17"/>
                <w:color w:val="auto"/>
              </w:rPr>
            </w:pPr>
          </w:p>
        </w:tc>
        <w:tc>
          <w:tcPr>
            <w:tcW w:w="130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22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300" w:type="dxa"/>
            <w:vAlign w:val="bottom"/>
            <w:shd w:val="clear" w:color="auto" w:fill="B6B6B6"/>
          </w:tcPr>
          <w:p>
            <w:pPr>
              <w:spacing w:after="0"/>
              <w:rPr>
                <w:sz w:val="17"/>
                <w:szCs w:val="17"/>
                <w:color w:val="auto"/>
              </w:rPr>
            </w:pPr>
          </w:p>
        </w:tc>
        <w:tc>
          <w:tcPr>
            <w:tcW w:w="40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64,384</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1,305</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668</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66,357</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19,943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28,564</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(5,611)</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42,896</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912</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16,463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(6,885)</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10,490</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2,054</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Pre-tax income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9,085</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3,778</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1,941</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14,804</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17,173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2,972</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1,420,254</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1,130,548</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(268,206)</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2,282,596</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funding sources</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1,286,036</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792,816</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2,078,852</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Six Months Ended June 30, 2023:</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spacing w:after="0"/>
              <w:rPr>
                <w:sz w:val="18"/>
                <w:szCs w:val="18"/>
                <w:color w:val="auto"/>
              </w:rPr>
            </w:pP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Fee income</w:t>
            </w:r>
          </w:p>
        </w:tc>
        <w:tc>
          <w:tcPr>
            <w:tcW w:w="16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62,437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1,337</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406</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64,180</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18,910</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27,006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(6,066)</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39,850</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12,773</w:t>
            </w:r>
          </w:p>
        </w:tc>
        <w:tc>
          <w:tcPr>
            <w:tcW w:w="3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Intersegment income (expense)</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(1,976)</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1,976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Pre-tax income</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10,864</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6,635</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342</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17,841</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17,173</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136</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0" w:type="dxa"/>
            <w:vAlign w:val="bottom"/>
          </w:tcPr>
          <w:p>
            <w:pPr>
              <w:spacing w:after="0"/>
              <w:rPr>
                <w:sz w:val="1"/>
                <w:szCs w:val="1"/>
                <w:color w:val="auto"/>
              </w:rPr>
            </w:pPr>
          </w:p>
        </w:tc>
      </w:tr>
      <w:tr>
        <w:trPr>
          <w:trHeight w:val="196"/>
        </w:trPr>
        <w:tc>
          <w:tcPr>
            <w:tcW w:w="36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168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3,735</w:t>
            </w:r>
          </w:p>
        </w:tc>
        <w:tc>
          <w:tcPr>
            <w:tcW w:w="320" w:type="dxa"/>
            <w:vAlign w:val="bottom"/>
          </w:tcPr>
          <w:p>
            <w:pPr>
              <w:spacing w:after="0"/>
              <w:rPr>
                <w:sz w:val="17"/>
                <w:szCs w:val="17"/>
                <w:color w:val="auto"/>
              </w:rPr>
            </w:pPr>
          </w:p>
        </w:tc>
        <w:tc>
          <w:tcPr>
            <w:tcW w:w="1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3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207"/>
        </w:trPr>
        <w:tc>
          <w:tcPr>
            <w:tcW w:w="362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Total assets</w:t>
            </w:r>
          </w:p>
        </w:tc>
        <w:tc>
          <w:tcPr>
            <w:tcW w:w="168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1,602,932</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1,150,293</w:t>
            </w:r>
          </w:p>
        </w:tc>
        <w:tc>
          <w:tcPr>
            <w:tcW w:w="300" w:type="dxa"/>
            <w:vAlign w:val="bottom"/>
            <w:shd w:val="clear" w:color="auto" w:fill="B6B6B6"/>
          </w:tcPr>
          <w:p>
            <w:pPr>
              <w:spacing w:after="0"/>
              <w:rPr>
                <w:sz w:val="18"/>
                <w:szCs w:val="18"/>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(282,429)</w:t>
            </w:r>
          </w:p>
        </w:tc>
        <w:tc>
          <w:tcPr>
            <w:tcW w:w="40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2,470,796</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Average funding sources</w:t>
            </w:r>
          </w:p>
        </w:tc>
        <w:tc>
          <w:tcPr>
            <w:tcW w:w="16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1,342,061</w:t>
            </w:r>
          </w:p>
        </w:tc>
        <w:tc>
          <w:tcPr>
            <w:tcW w:w="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833,207</w:t>
            </w:r>
          </w:p>
        </w:tc>
        <w:tc>
          <w:tcPr>
            <w:tcW w:w="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2,175,268</w:t>
            </w:r>
          </w:p>
        </w:tc>
        <w:tc>
          <w:tcPr>
            <w:tcW w:w="0" w:type="dxa"/>
            <w:vAlign w:val="bottom"/>
          </w:tcPr>
          <w:p>
            <w:pPr>
              <w:spacing w:after="0"/>
              <w:rPr>
                <w:sz w:val="1"/>
                <w:szCs w:val="1"/>
                <w:color w:val="auto"/>
              </w:rPr>
            </w:pPr>
          </w:p>
        </w:tc>
      </w:tr>
      <w:tr>
        <w:trPr>
          <w:trHeight w:val="707"/>
        </w:trPr>
        <w:tc>
          <w:tcPr>
            <w:tcW w:w="36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-11-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2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Note 6 – Loans by Type</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 summary of loans is as follows: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20" w:type="dxa"/>
            <w:vAlign w:val="bottom"/>
          </w:tcPr>
          <w:p>
            <w:pPr>
              <w:spacing w:after="0"/>
              <w:rPr>
                <w:sz w:val="24"/>
                <w:szCs w:val="24"/>
                <w:color w:val="auto"/>
              </w:rPr>
            </w:pPr>
          </w:p>
        </w:tc>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24"/>
                <w:szCs w:val="24"/>
                <w:color w:val="auto"/>
              </w:rPr>
            </w:pPr>
          </w:p>
        </w:tc>
        <w:tc>
          <w:tcPr>
            <w:tcW w:w="14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5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5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000" w:type="dxa"/>
            <w:vAlign w:val="bottom"/>
            <w:shd w:val="clear" w:color="auto" w:fill="B6B6B6"/>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548,625</w:t>
            </w:r>
          </w:p>
        </w:tc>
        <w:tc>
          <w:tcPr>
            <w:tcW w:w="340" w:type="dxa"/>
            <w:vAlign w:val="bottom"/>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spacing w:after="0"/>
              <w:rPr>
                <w:sz w:val="17"/>
                <w:szCs w:val="17"/>
                <w:color w:val="auto"/>
              </w:rPr>
            </w:pPr>
          </w:p>
        </w:tc>
        <w:tc>
          <w:tcPr>
            <w:tcW w:w="9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2580" w:type="dxa"/>
            <w:vAlign w:val="bottom"/>
            <w:gridSpan w:val="2"/>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121,701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118,371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2580" w:type="dxa"/>
            <w:vAlign w:val="bottom"/>
            <w:gridSpan w:val="2"/>
            <w:shd w:val="clear" w:color="auto" w:fill="B6B6B6"/>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9,488</w:t>
            </w: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2580" w:type="dxa"/>
            <w:vAlign w:val="bottom"/>
            <w:gridSpan w:val="2"/>
            <w:shd w:val="clear" w:color="auto" w:fill="B6B6B6"/>
          </w:tcPr>
          <w:p>
            <w:pPr>
              <w:ind w:left="44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371,313</w:t>
            </w: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381,368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10,861</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5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B6B6B6"/>
          </w:tcPr>
          <w:p>
            <w:pPr>
              <w:spacing w:after="0"/>
              <w:rPr>
                <w:sz w:val="17"/>
                <w:szCs w:val="17"/>
                <w:color w:val="auto"/>
              </w:rPr>
            </w:pPr>
          </w:p>
        </w:tc>
        <w:tc>
          <w:tcPr>
            <w:tcW w:w="1100" w:type="dxa"/>
            <w:vAlign w:val="bottom"/>
            <w:tcBorders>
              <w:bottom w:val="single" w:sz="8" w:color="auto"/>
            </w:tcBorders>
            <w:shd w:val="clear" w:color="auto" w:fill="B6B6B6"/>
          </w:tcPr>
          <w:p>
            <w:pPr>
              <w:spacing w:after="0"/>
              <w:rPr>
                <w:sz w:val="17"/>
                <w:szCs w:val="17"/>
                <w:color w:val="auto"/>
              </w:rPr>
            </w:pPr>
          </w:p>
        </w:tc>
        <w:tc>
          <w:tcPr>
            <w:tcW w:w="260" w:type="dxa"/>
            <w:vAlign w:val="bottom"/>
            <w:tcBorders>
              <w:bottom w:val="single" w:sz="8" w:color="auto"/>
            </w:tcBorders>
            <w:shd w:val="clear" w:color="auto" w:fill="B6B6B6"/>
          </w:tcPr>
          <w:p>
            <w:pPr>
              <w:spacing w:after="0"/>
              <w:rPr>
                <w:sz w:val="17"/>
                <w:szCs w:val="17"/>
                <w:color w:val="auto"/>
              </w:rPr>
            </w:pPr>
          </w:p>
        </w:tc>
        <w:tc>
          <w:tcPr>
            <w:tcW w:w="1100" w:type="dxa"/>
            <w:vAlign w:val="bottom"/>
            <w:tcBorders>
              <w:bottom w:val="single" w:sz="8" w:color="auto"/>
            </w:tcBorders>
            <w:shd w:val="clear" w:color="auto" w:fill="B6B6B6"/>
          </w:tcPr>
          <w:p>
            <w:pPr>
              <w:spacing w:after="0"/>
              <w:rPr>
                <w:sz w:val="17"/>
                <w:szCs w:val="17"/>
                <w:color w:val="auto"/>
              </w:rPr>
            </w:pPr>
          </w:p>
        </w:tc>
        <w:tc>
          <w:tcPr>
            <w:tcW w:w="440" w:type="dxa"/>
            <w:vAlign w:val="bottom"/>
            <w:tcBorders>
              <w:bottom w:val="single" w:sz="8" w:color="auto"/>
            </w:tcBorders>
            <w:shd w:val="clear" w:color="auto" w:fill="B6B6B6"/>
          </w:tcPr>
          <w:p>
            <w:pPr>
              <w:spacing w:after="0"/>
              <w:rPr>
                <w:sz w:val="17"/>
                <w:szCs w:val="17"/>
                <w:color w:val="auto"/>
              </w:rPr>
            </w:pPr>
          </w:p>
        </w:tc>
        <w:tc>
          <w:tcPr>
            <w:tcW w:w="1040" w:type="dxa"/>
            <w:vAlign w:val="bottom"/>
            <w:tcBorders>
              <w:bottom w:val="single" w:sz="8" w:color="auto"/>
            </w:tcBorders>
            <w:shd w:val="clear" w:color="auto" w:fill="B6B6B6"/>
          </w:tcPr>
          <w:p>
            <w:pPr>
              <w:spacing w:after="0"/>
              <w:rPr>
                <w:sz w:val="17"/>
                <w:szCs w:val="17"/>
                <w:color w:val="auto"/>
              </w:rPr>
            </w:pPr>
          </w:p>
        </w:tc>
        <w:tc>
          <w:tcPr>
            <w:tcW w:w="80" w:type="dxa"/>
            <w:vAlign w:val="bottom"/>
            <w:tcBorders>
              <w:bottom w:val="single" w:sz="8" w:color="auto"/>
            </w:tcBorders>
            <w:shd w:val="clear" w:color="auto" w:fill="B6B6B6"/>
          </w:tcPr>
          <w:p>
            <w:pPr>
              <w:spacing w:after="0"/>
              <w:rPr>
                <w:sz w:val="17"/>
                <w:szCs w:val="17"/>
                <w:color w:val="auto"/>
              </w:rPr>
            </w:pPr>
          </w:p>
        </w:tc>
        <w:tc>
          <w:tcPr>
            <w:tcW w:w="300" w:type="dxa"/>
            <w:vAlign w:val="bottom"/>
            <w:tcBorders>
              <w:bottom w:val="single" w:sz="8" w:color="auto"/>
            </w:tcBorders>
            <w:shd w:val="clear" w:color="auto" w:fill="B6B6B6"/>
          </w:tcPr>
          <w:p>
            <w:pPr>
              <w:spacing w:after="0"/>
              <w:rPr>
                <w:sz w:val="17"/>
                <w:szCs w:val="17"/>
                <w:color w:val="auto"/>
              </w:rPr>
            </w:pPr>
          </w:p>
        </w:tc>
        <w:tc>
          <w:tcPr>
            <w:tcW w:w="1000" w:type="dxa"/>
            <w:vAlign w:val="bottom"/>
            <w:tcBorders>
              <w:bottom w:val="single" w:sz="8" w:color="auto"/>
            </w:tcBorders>
            <w:shd w:val="clear" w:color="auto" w:fill="B6B6B6"/>
          </w:tcPr>
          <w:p>
            <w:pPr>
              <w:spacing w:after="0"/>
              <w:rPr>
                <w:sz w:val="17"/>
                <w:szCs w:val="17"/>
                <w:color w:val="auto"/>
              </w:rPr>
            </w:pPr>
          </w:p>
        </w:tc>
        <w:tc>
          <w:tcPr>
            <w:tcW w:w="114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Borders>
              <w:bottom w:val="single" w:sz="8" w:color="auto"/>
            </w:tcBorders>
            <w:shd w:val="clear" w:color="auto" w:fill="B6B6B6"/>
          </w:tcPr>
          <w:p>
            <w:pPr>
              <w:spacing w:after="0"/>
              <w:rPr>
                <w:sz w:val="17"/>
                <w:szCs w:val="17"/>
                <w:color w:val="auto"/>
              </w:rPr>
            </w:pPr>
          </w:p>
        </w:tc>
        <w:tc>
          <w:tcPr>
            <w:tcW w:w="240" w:type="dxa"/>
            <w:vAlign w:val="bottom"/>
            <w:tcBorders>
              <w:bottom w:val="single" w:sz="8" w:color="auto"/>
            </w:tcBorders>
            <w:shd w:val="clear" w:color="auto" w:fill="B6B6B6"/>
          </w:tcPr>
          <w:p>
            <w:pPr>
              <w:spacing w:after="0"/>
              <w:rPr>
                <w:sz w:val="17"/>
                <w:szCs w:val="17"/>
                <w:color w:val="auto"/>
              </w:rPr>
            </w:pPr>
          </w:p>
        </w:tc>
        <w:tc>
          <w:tcPr>
            <w:tcW w:w="9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25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1,061,991</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1,014,318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70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following table presents the aging of loans past due by category at June 30, 2024 and December 31, 2023:</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right="189"/>
              <w:spacing w:after="0" w:line="143"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30-59</w:t>
            </w:r>
          </w:p>
        </w:tc>
        <w:tc>
          <w:tcPr>
            <w:tcW w:w="440" w:type="dxa"/>
            <w:vAlign w:val="bottom"/>
          </w:tcPr>
          <w:p>
            <w:pPr>
              <w:spacing w:after="0"/>
              <w:rPr>
                <w:sz w:val="12"/>
                <w:szCs w:val="12"/>
                <w:color w:val="auto"/>
              </w:rPr>
            </w:pPr>
          </w:p>
        </w:tc>
        <w:tc>
          <w:tcPr>
            <w:tcW w:w="10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60-89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ind w:right="189"/>
              <w:spacing w:after="0" w:line="144" w:lineRule="exact"/>
              <w:rPr>
                <w:sz w:val="20"/>
                <w:szCs w:val="20"/>
                <w:color w:val="auto"/>
              </w:rPr>
            </w:pPr>
            <w:r>
              <w:rPr>
                <w:rFonts w:ascii="Times New Roman" w:cs="Times New Roman" w:eastAsia="Times New Roman" w:hAnsi="Times New Roman"/>
                <w:sz w:val="14"/>
                <w:szCs w:val="14"/>
                <w:b w:val="1"/>
                <w:bCs w:val="1"/>
                <w:color w:val="auto"/>
              </w:rPr>
              <w:t>Days</w:t>
            </w:r>
          </w:p>
        </w:tc>
        <w:tc>
          <w:tcPr>
            <w:tcW w:w="11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Non-</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8"/>
        </w:trPr>
        <w:tc>
          <w:tcPr>
            <w:tcW w:w="2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10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0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Days</w:t>
            </w: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8"/>
              </w:rPr>
              <w:t>Over</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02"/>
        </w:trPr>
        <w:tc>
          <w:tcPr>
            <w:tcW w:w="28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June 30, 2024</w:t>
            </w:r>
          </w:p>
        </w:tc>
        <w:tc>
          <w:tcPr>
            <w:tcW w:w="26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00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980" w:type="dxa"/>
            <w:vAlign w:val="bottom"/>
            <w:shd w:val="clear" w:color="auto" w:fill="B6B6B6"/>
          </w:tcPr>
          <w:p>
            <w:pPr>
              <w:spacing w:after="0"/>
              <w:rPr>
                <w:sz w:val="17"/>
                <w:szCs w:val="17"/>
                <w:color w:val="auto"/>
              </w:rPr>
            </w:pPr>
          </w:p>
        </w:tc>
        <w:tc>
          <w:tcPr>
            <w:tcW w:w="2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548,625</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548,625</w:t>
            </w:r>
          </w:p>
        </w:tc>
        <w:tc>
          <w:tcPr>
            <w:tcW w:w="0" w:type="dxa"/>
            <w:vAlign w:val="bottom"/>
          </w:tcPr>
          <w:p>
            <w:pPr>
              <w:spacing w:after="0"/>
              <w:rPr>
                <w:sz w:val="1"/>
                <w:szCs w:val="1"/>
                <w:color w:val="auto"/>
              </w:rPr>
            </w:pPr>
          </w:p>
        </w:tc>
      </w:tr>
      <w:tr>
        <w:trPr>
          <w:trHeight w:val="207"/>
        </w:trPr>
        <w:tc>
          <w:tcPr>
            <w:tcW w:w="28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shd w:val="clear" w:color="auto" w:fill="B6B6B6"/>
          </w:tcPr>
          <w:p>
            <w:pPr>
              <w:spacing w:after="0"/>
              <w:rPr>
                <w:sz w:val="18"/>
                <w:szCs w:val="18"/>
                <w:color w:val="auto"/>
              </w:rPr>
            </w:pPr>
          </w:p>
        </w:tc>
        <w:tc>
          <w:tcPr>
            <w:tcW w:w="258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121,701</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shd w:val="clear" w:color="auto" w:fill="B6B6B6"/>
          </w:tcPr>
          <w:p>
            <w:pPr>
              <w:spacing w:after="0"/>
              <w:rPr>
                <w:sz w:val="18"/>
                <w:szCs w:val="18"/>
                <w:color w:val="auto"/>
              </w:rPr>
            </w:pPr>
          </w:p>
        </w:tc>
        <w:tc>
          <w:tcPr>
            <w:tcW w:w="1120" w:type="dxa"/>
            <w:vAlign w:val="bottom"/>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121,701</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9,488</w:t>
            </w:r>
          </w:p>
        </w:tc>
        <w:tc>
          <w:tcPr>
            <w:tcW w:w="260" w:type="dxa"/>
            <w:vAlign w:val="bottom"/>
          </w:tcPr>
          <w:p>
            <w:pPr>
              <w:spacing w:after="0"/>
              <w:rPr>
                <w:sz w:val="17"/>
                <w:szCs w:val="17"/>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9,488</w:t>
            </w:r>
          </w:p>
        </w:tc>
        <w:tc>
          <w:tcPr>
            <w:tcW w:w="0" w:type="dxa"/>
            <w:vAlign w:val="bottom"/>
          </w:tcPr>
          <w:p>
            <w:pPr>
              <w:spacing w:after="0"/>
              <w:rPr>
                <w:sz w:val="1"/>
                <w:szCs w:val="1"/>
                <w:color w:val="auto"/>
              </w:rPr>
            </w:pPr>
          </w:p>
        </w:tc>
      </w:tr>
      <w:tr>
        <w:trPr>
          <w:trHeight w:val="207"/>
        </w:trPr>
        <w:tc>
          <w:tcPr>
            <w:tcW w:w="280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371,313</w:t>
            </w:r>
          </w:p>
        </w:tc>
        <w:tc>
          <w:tcPr>
            <w:tcW w:w="260" w:type="dxa"/>
            <w:vAlign w:val="bottom"/>
          </w:tcPr>
          <w:p>
            <w:pPr>
              <w:spacing w:after="0"/>
              <w:rPr>
                <w:sz w:val="17"/>
                <w:szCs w:val="17"/>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371,313</w:t>
            </w:r>
          </w:p>
        </w:tc>
        <w:tc>
          <w:tcPr>
            <w:tcW w:w="0" w:type="dxa"/>
            <w:vAlign w:val="bottom"/>
          </w:tcPr>
          <w:p>
            <w:pPr>
              <w:spacing w:after="0"/>
              <w:rPr>
                <w:sz w:val="1"/>
                <w:szCs w:val="1"/>
                <w:color w:val="auto"/>
              </w:rPr>
            </w:pPr>
          </w:p>
        </w:tc>
      </w:tr>
      <w:tr>
        <w:trPr>
          <w:trHeight w:val="207"/>
        </w:trPr>
        <w:tc>
          <w:tcPr>
            <w:tcW w:w="220" w:type="dxa"/>
            <w:vAlign w:val="bottom"/>
            <w:shd w:val="clear" w:color="auto" w:fill="B6B6B6"/>
          </w:tcPr>
          <w:p>
            <w:pPr>
              <w:spacing w:after="0"/>
              <w:rPr>
                <w:sz w:val="18"/>
                <w:szCs w:val="18"/>
                <w:color w:val="auto"/>
              </w:rPr>
            </w:pPr>
          </w:p>
        </w:tc>
        <w:tc>
          <w:tcPr>
            <w:tcW w:w="258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10,861</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shd w:val="clear" w:color="auto" w:fill="B6B6B6"/>
          </w:tcPr>
          <w:p>
            <w:pPr>
              <w:spacing w:after="0"/>
              <w:rPr>
                <w:sz w:val="18"/>
                <w:szCs w:val="18"/>
                <w:color w:val="auto"/>
              </w:rPr>
            </w:pPr>
          </w:p>
        </w:tc>
        <w:tc>
          <w:tcPr>
            <w:tcW w:w="1120" w:type="dxa"/>
            <w:vAlign w:val="bottom"/>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10,861</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1,061,991</w:t>
            </w:r>
          </w:p>
        </w:tc>
        <w:tc>
          <w:tcPr>
            <w:tcW w:w="26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1,061,991</w:t>
            </w:r>
          </w:p>
        </w:tc>
        <w:tc>
          <w:tcPr>
            <w:tcW w:w="0" w:type="dxa"/>
            <w:vAlign w:val="bottom"/>
          </w:tcPr>
          <w:p>
            <w:pPr>
              <w:spacing w:after="0"/>
              <w:rPr>
                <w:sz w:val="1"/>
                <w:szCs w:val="1"/>
                <w:color w:val="auto"/>
              </w:rPr>
            </w:pPr>
          </w:p>
        </w:tc>
      </w:tr>
      <w:tr>
        <w:trPr>
          <w:trHeight w:val="192"/>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December 31, 2023</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60" w:type="dxa"/>
            <w:vAlign w:val="bottom"/>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26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498,502</w:t>
            </w:r>
          </w:p>
        </w:tc>
        <w:tc>
          <w:tcPr>
            <w:tcW w:w="0" w:type="dxa"/>
            <w:vAlign w:val="bottom"/>
          </w:tcPr>
          <w:p>
            <w:pPr>
              <w:spacing w:after="0"/>
              <w:rPr>
                <w:sz w:val="1"/>
                <w:szCs w:val="1"/>
                <w:color w:val="auto"/>
              </w:rPr>
            </w:pPr>
          </w:p>
        </w:tc>
      </w:tr>
      <w:tr>
        <w:trPr>
          <w:trHeight w:val="196"/>
        </w:trPr>
        <w:tc>
          <w:tcPr>
            <w:tcW w:w="28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0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44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980" w:type="dxa"/>
            <w:vAlign w:val="bottom"/>
            <w:shd w:val="clear" w:color="auto" w:fill="B6B6B6"/>
          </w:tcPr>
          <w:p>
            <w:pPr>
              <w:spacing w:after="0"/>
              <w:rPr>
                <w:sz w:val="18"/>
                <w:szCs w:val="18"/>
                <w:color w:val="auto"/>
              </w:rPr>
            </w:pPr>
          </w:p>
        </w:tc>
        <w:tc>
          <w:tcPr>
            <w:tcW w:w="2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118,371</w:t>
            </w:r>
          </w:p>
        </w:tc>
        <w:tc>
          <w:tcPr>
            <w:tcW w:w="260" w:type="dxa"/>
            <w:vAlign w:val="bottom"/>
          </w:tcPr>
          <w:p>
            <w:pPr>
              <w:spacing w:after="0"/>
              <w:rPr>
                <w:sz w:val="17"/>
                <w:szCs w:val="17"/>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118,371</w:t>
            </w:r>
          </w:p>
        </w:tc>
        <w:tc>
          <w:tcPr>
            <w:tcW w:w="0" w:type="dxa"/>
            <w:vAlign w:val="bottom"/>
          </w:tcPr>
          <w:p>
            <w:pPr>
              <w:spacing w:after="0"/>
              <w:rPr>
                <w:sz w:val="1"/>
                <w:szCs w:val="1"/>
                <w:color w:val="auto"/>
              </w:rPr>
            </w:pPr>
          </w:p>
        </w:tc>
      </w:tr>
      <w:tr>
        <w:trPr>
          <w:trHeight w:val="207"/>
        </w:trPr>
        <w:tc>
          <w:tcPr>
            <w:tcW w:w="220" w:type="dxa"/>
            <w:vAlign w:val="bottom"/>
            <w:shd w:val="clear" w:color="auto" w:fill="B6B6B6"/>
          </w:tcPr>
          <w:p>
            <w:pPr>
              <w:spacing w:after="0"/>
              <w:rPr>
                <w:sz w:val="18"/>
                <w:szCs w:val="18"/>
                <w:color w:val="auto"/>
              </w:rPr>
            </w:pPr>
          </w:p>
        </w:tc>
        <w:tc>
          <w:tcPr>
            <w:tcW w:w="258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8,233</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shd w:val="clear" w:color="auto" w:fill="B6B6B6"/>
          </w:tcPr>
          <w:p>
            <w:pPr>
              <w:spacing w:after="0"/>
              <w:rPr>
                <w:sz w:val="18"/>
                <w:szCs w:val="18"/>
                <w:color w:val="auto"/>
              </w:rPr>
            </w:pPr>
          </w:p>
        </w:tc>
        <w:tc>
          <w:tcPr>
            <w:tcW w:w="1120" w:type="dxa"/>
            <w:vAlign w:val="bottom"/>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8,233</w:t>
            </w:r>
          </w:p>
        </w:tc>
        <w:tc>
          <w:tcPr>
            <w:tcW w:w="0" w:type="dxa"/>
            <w:vAlign w:val="bottom"/>
          </w:tcPr>
          <w:p>
            <w:pPr>
              <w:spacing w:after="0"/>
              <w:rPr>
                <w:sz w:val="1"/>
                <w:szCs w:val="1"/>
                <w:color w:val="auto"/>
              </w:rPr>
            </w:pPr>
          </w:p>
        </w:tc>
      </w:tr>
      <w:tr>
        <w:trPr>
          <w:trHeight w:val="196"/>
        </w:trPr>
        <w:tc>
          <w:tcPr>
            <w:tcW w:w="280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Faith-based: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0" w:type="dxa"/>
            <w:vAlign w:val="bottom"/>
            <w:shd w:val="clear" w:color="auto" w:fill="B6B6B6"/>
          </w:tcPr>
          <w:p>
            <w:pPr>
              <w:spacing w:after="0"/>
              <w:rPr>
                <w:sz w:val="18"/>
                <w:szCs w:val="18"/>
                <w:color w:val="auto"/>
              </w:rPr>
            </w:pPr>
          </w:p>
        </w:tc>
        <w:tc>
          <w:tcPr>
            <w:tcW w:w="2580" w:type="dxa"/>
            <w:vAlign w:val="bottom"/>
            <w:gridSpan w:val="2"/>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Mortgage</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381,368</w:t>
            </w: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shd w:val="clear" w:color="auto" w:fill="B6B6B6"/>
          </w:tcPr>
          <w:p>
            <w:pPr>
              <w:spacing w:after="0"/>
              <w:rPr>
                <w:sz w:val="18"/>
                <w:szCs w:val="18"/>
                <w:color w:val="auto"/>
              </w:rPr>
            </w:pPr>
          </w:p>
        </w:tc>
        <w:tc>
          <w:tcPr>
            <w:tcW w:w="1120" w:type="dxa"/>
            <w:vAlign w:val="bottom"/>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000" w:type="dxa"/>
            <w:vAlign w:val="bottom"/>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shd w:val="clear" w:color="auto" w:fill="B6B6B6"/>
          </w:tcPr>
          <w:p>
            <w:pPr>
              <w:spacing w:after="0"/>
              <w:rPr>
                <w:sz w:val="18"/>
                <w:szCs w:val="18"/>
                <w:color w:val="auto"/>
              </w:rPr>
            </w:pPr>
          </w:p>
        </w:tc>
        <w:tc>
          <w:tcPr>
            <w:tcW w:w="34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381,368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Construction</w:t>
            </w:r>
          </w:p>
        </w:tc>
        <w:tc>
          <w:tcPr>
            <w:tcW w:w="26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260" w:type="dxa"/>
            <w:vAlign w:val="bottom"/>
          </w:tcPr>
          <w:p>
            <w:pPr>
              <w:spacing w:after="0"/>
              <w:rPr>
                <w:sz w:val="17"/>
                <w:szCs w:val="17"/>
                <w:color w:val="auto"/>
              </w:rPr>
            </w:pPr>
          </w:p>
        </w:tc>
        <w:tc>
          <w:tcPr>
            <w:tcW w:w="110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7,790</w:t>
            </w:r>
          </w:p>
        </w:tc>
        <w:tc>
          <w:tcPr>
            <w:tcW w:w="0" w:type="dxa"/>
            <w:vAlign w:val="bottom"/>
          </w:tcPr>
          <w:p>
            <w:pPr>
              <w:spacing w:after="0"/>
              <w:rPr>
                <w:sz w:val="1"/>
                <w:szCs w:val="1"/>
                <w:color w:val="auto"/>
              </w:rPr>
            </w:pPr>
          </w:p>
        </w:tc>
      </w:tr>
      <w:tr>
        <w:trPr>
          <w:trHeight w:val="202"/>
        </w:trPr>
        <w:tc>
          <w:tcPr>
            <w:tcW w:w="2800" w:type="dxa"/>
            <w:vAlign w:val="bottom"/>
            <w:tcBorders>
              <w:bottom w:val="single" w:sz="8" w:color="auto"/>
            </w:tcBorders>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B6B6B6"/>
          </w:tcPr>
          <w:p>
            <w:pPr>
              <w:spacing w:after="0"/>
              <w:rPr>
                <w:sz w:val="17"/>
                <w:szCs w:val="17"/>
                <w:color w:val="auto"/>
              </w:rPr>
            </w:pPr>
          </w:p>
        </w:tc>
        <w:tc>
          <w:tcPr>
            <w:tcW w:w="110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bottom w:val="single" w:sz="8" w:color="auto"/>
            </w:tcBorders>
            <w:shd w:val="clear" w:color="auto" w:fill="B6B6B6"/>
          </w:tcPr>
          <w:p>
            <w:pPr>
              <w:spacing w:after="0"/>
              <w:rPr>
                <w:sz w:val="17"/>
                <w:szCs w:val="17"/>
                <w:color w:val="auto"/>
              </w:rPr>
            </w:pPr>
          </w:p>
        </w:tc>
        <w:tc>
          <w:tcPr>
            <w:tcW w:w="1100" w:type="dxa"/>
            <w:vAlign w:val="bottom"/>
            <w:tcBorders>
              <w:bottom w:val="single" w:sz="8" w:color="auto"/>
            </w:tcBorders>
            <w:shd w:val="clear" w:color="auto" w:fill="B6B6B6"/>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auto"/>
            </w:tcBorders>
            <w:shd w:val="clear" w:color="auto" w:fill="B6B6B6"/>
          </w:tcPr>
          <w:p>
            <w:pPr>
              <w:spacing w:after="0"/>
              <w:rPr>
                <w:sz w:val="17"/>
                <w:szCs w:val="17"/>
                <w:color w:val="auto"/>
              </w:rPr>
            </w:pPr>
          </w:p>
        </w:tc>
        <w:tc>
          <w:tcPr>
            <w:tcW w:w="1120" w:type="dxa"/>
            <w:vAlign w:val="bottom"/>
            <w:tcBorders>
              <w:bottom w:val="single" w:sz="8" w:color="auto"/>
            </w:tcBorders>
            <w:gridSpan w:val="2"/>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spacing w:after="0"/>
              <w:rPr>
                <w:sz w:val="17"/>
                <w:szCs w:val="17"/>
                <w:color w:val="auto"/>
              </w:rPr>
            </w:pPr>
          </w:p>
        </w:tc>
        <w:tc>
          <w:tcPr>
            <w:tcW w:w="1000" w:type="dxa"/>
            <w:vAlign w:val="bottom"/>
            <w:tcBorders>
              <w:bottom w:val="single" w:sz="8" w:color="auto"/>
            </w:tcBorders>
            <w:shd w:val="clear" w:color="auto" w:fill="B6B6B6"/>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Borders>
              <w:bottom w:val="single" w:sz="8" w:color="auto"/>
            </w:tcBorders>
            <w:shd w:val="clear" w:color="auto" w:fill="B6B6B6"/>
          </w:tcPr>
          <w:p>
            <w:pPr>
              <w:spacing w:after="0"/>
              <w:rPr>
                <w:sz w:val="17"/>
                <w:szCs w:val="17"/>
                <w:color w:val="auto"/>
              </w:rPr>
            </w:pPr>
          </w:p>
        </w:tc>
        <w:tc>
          <w:tcPr>
            <w:tcW w:w="34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B6B6B6"/>
          </w:tcPr>
          <w:p>
            <w:pPr>
              <w:spacing w:after="0"/>
              <w:rPr>
                <w:sz w:val="17"/>
                <w:szCs w:val="17"/>
                <w:color w:val="auto"/>
              </w:rPr>
            </w:pPr>
          </w:p>
        </w:tc>
        <w:tc>
          <w:tcPr>
            <w:tcW w:w="1180" w:type="dxa"/>
            <w:vAlign w:val="bottom"/>
            <w:tcBorders>
              <w:bottom w:val="single" w:sz="8" w:color="auto"/>
            </w:tcBorders>
            <w:gridSpan w:val="2"/>
            <w:shd w:val="clear" w:color="auto" w:fill="B6B6B6"/>
          </w:tcPr>
          <w:p>
            <w:pPr>
              <w:jc w:val="right"/>
              <w:ind w:right="6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2"/>
        </w:trPr>
        <w:tc>
          <w:tcPr>
            <w:tcW w:w="28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1,014,318</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w w:val="99"/>
              </w:rPr>
              <w:t>—</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1,014,318</w:t>
            </w:r>
          </w:p>
        </w:tc>
        <w:tc>
          <w:tcPr>
            <w:tcW w:w="0" w:type="dxa"/>
            <w:vAlign w:val="bottom"/>
          </w:tcPr>
          <w:p>
            <w:pPr>
              <w:spacing w:after="0"/>
              <w:rPr>
                <w:sz w:val="1"/>
                <w:szCs w:val="1"/>
                <w:color w:val="auto"/>
              </w:rPr>
            </w:pPr>
          </w:p>
        </w:tc>
      </w:tr>
      <w:tr>
        <w:trPr>
          <w:trHeight w:val="717"/>
        </w:trPr>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94"/>
              </w:rPr>
              <w:t>-12-</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7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credit exposure of the loan portfolio by internally assigned credit grade as of June 30, 2024 and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60" w:type="dxa"/>
            <w:vAlign w:val="bottom"/>
          </w:tcPr>
          <w:p>
            <w:pPr>
              <w:spacing w:after="0"/>
              <w:rPr>
                <w:sz w:val="13"/>
                <w:szCs w:val="13"/>
                <w:color w:val="auto"/>
              </w:rPr>
            </w:pPr>
          </w:p>
        </w:tc>
        <w:tc>
          <w:tcPr>
            <w:tcW w:w="13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300" w:type="dxa"/>
            <w:vAlign w:val="bottom"/>
          </w:tcPr>
          <w:p>
            <w:pPr>
              <w:spacing w:after="0"/>
              <w:rPr>
                <w:sz w:val="13"/>
                <w:szCs w:val="13"/>
                <w:color w:val="auto"/>
              </w:rPr>
            </w:pPr>
          </w:p>
        </w:tc>
        <w:tc>
          <w:tcPr>
            <w:tcW w:w="15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Nonperforming</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9"/>
        </w:trPr>
        <w:tc>
          <w:tcPr>
            <w:tcW w:w="3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80" w:type="dxa"/>
            <w:vAlign w:val="bottom"/>
          </w:tcPr>
          <w:p>
            <w:pPr>
              <w:jc w:val="center"/>
              <w:ind w:right="189"/>
              <w:spacing w:after="0" w:line="15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3"/>
                <w:szCs w:val="13"/>
                <w:color w:val="auto"/>
              </w:rPr>
            </w:pPr>
          </w:p>
        </w:tc>
        <w:tc>
          <w:tcPr>
            <w:tcW w:w="1320" w:type="dxa"/>
            <w:vAlign w:val="bottom"/>
          </w:tcPr>
          <w:p>
            <w:pPr>
              <w:jc w:val="center"/>
              <w:ind w:right="149"/>
              <w:spacing w:after="0" w:line="159" w:lineRule="exact"/>
              <w:rPr>
                <w:sz w:val="20"/>
                <w:szCs w:val="20"/>
                <w:color w:val="auto"/>
              </w:rPr>
            </w:pPr>
            <w:r>
              <w:rPr>
                <w:rFonts w:ascii="Times New Roman" w:cs="Times New Roman" w:eastAsia="Times New Roman" w:hAnsi="Times New Roman"/>
                <w:sz w:val="14"/>
                <w:szCs w:val="14"/>
                <w:b w:val="1"/>
                <w:bCs w:val="1"/>
                <w:color w:val="auto"/>
              </w:rPr>
              <w:t>Loans Subject</w:t>
            </w:r>
          </w:p>
        </w:tc>
        <w:tc>
          <w:tcPr>
            <w:tcW w:w="300" w:type="dxa"/>
            <w:vAlign w:val="bottom"/>
          </w:tcPr>
          <w:p>
            <w:pPr>
              <w:spacing w:after="0"/>
              <w:rPr>
                <w:sz w:val="13"/>
                <w:szCs w:val="13"/>
                <w:color w:val="auto"/>
              </w:rPr>
            </w:pPr>
          </w:p>
        </w:tc>
        <w:tc>
          <w:tcPr>
            <w:tcW w:w="1500" w:type="dxa"/>
            <w:vAlign w:val="bottom"/>
          </w:tcPr>
          <w:p>
            <w:pPr>
              <w:jc w:val="center"/>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Loans Subject</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7"/>
        </w:trPr>
        <w:tc>
          <w:tcPr>
            <w:tcW w:w="3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260" w:type="dxa"/>
            <w:vAlign w:val="bottom"/>
          </w:tcPr>
          <w:p>
            <w:pPr>
              <w:spacing w:after="0"/>
              <w:rPr>
                <w:sz w:val="14"/>
                <w:szCs w:val="14"/>
                <w:color w:val="auto"/>
              </w:rPr>
            </w:pPr>
          </w:p>
        </w:tc>
        <w:tc>
          <w:tcPr>
            <w:tcW w:w="132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to Special</w:t>
            </w:r>
          </w:p>
        </w:tc>
        <w:tc>
          <w:tcPr>
            <w:tcW w:w="300" w:type="dxa"/>
            <w:vAlign w:val="bottom"/>
          </w:tcPr>
          <w:p>
            <w:pPr>
              <w:spacing w:after="0"/>
              <w:rPr>
                <w:sz w:val="14"/>
                <w:szCs w:val="14"/>
                <w:color w:val="auto"/>
              </w:rPr>
            </w:pPr>
          </w:p>
        </w:tc>
        <w:tc>
          <w:tcPr>
            <w:tcW w:w="15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to Special</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1"/>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89"/>
              <w:spacing w:after="0" w:line="200" w:lineRule="exact"/>
              <w:rPr>
                <w:sz w:val="20"/>
                <w:szCs w:val="20"/>
                <w:color w:val="auto"/>
              </w:rPr>
            </w:pPr>
            <w:r>
              <w:rPr>
                <w:rFonts w:ascii="Times New Roman" w:cs="Times New Roman" w:eastAsia="Times New Roman" w:hAnsi="Times New Roman"/>
                <w:sz w:val="14"/>
                <w:szCs w:val="14"/>
                <w:b w:val="1"/>
                <w:bCs w:val="1"/>
                <w:color w:val="auto"/>
                <w:w w:val="99"/>
              </w:rPr>
              <w:t>Monitoring</w:t>
            </w:r>
            <w:r>
              <w:rPr>
                <w:rFonts w:ascii="Times New Roman" w:cs="Times New Roman" w:eastAsia="Times New Roman" w:hAnsi="Times New Roman"/>
                <w:sz w:val="18"/>
                <w:szCs w:val="18"/>
                <w:b w:val="1"/>
                <w:bCs w:val="1"/>
                <w:color w:val="auto"/>
                <w:w w:val="99"/>
                <w:vertAlign w:val="superscript"/>
              </w:rPr>
              <w:t>1</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49"/>
              <w:spacing w:after="0" w:line="200" w:lineRule="exact"/>
              <w:rPr>
                <w:sz w:val="20"/>
                <w:szCs w:val="20"/>
                <w:color w:val="auto"/>
              </w:rPr>
            </w:pPr>
            <w:r>
              <w:rPr>
                <w:rFonts w:ascii="Times New Roman" w:cs="Times New Roman" w:eastAsia="Times New Roman" w:hAnsi="Times New Roman"/>
                <w:sz w:val="14"/>
                <w:szCs w:val="14"/>
                <w:b w:val="1"/>
                <w:bCs w:val="1"/>
                <w:color w:val="auto"/>
                <w:w w:val="99"/>
              </w:rPr>
              <w:t>Monitoring</w:t>
            </w:r>
            <w:r>
              <w:rPr>
                <w:rFonts w:ascii="Times New Roman" w:cs="Times New Roman" w:eastAsia="Times New Roman" w:hAnsi="Times New Roman"/>
                <w:sz w:val="18"/>
                <w:szCs w:val="18"/>
                <w:b w:val="1"/>
                <w:bCs w:val="1"/>
                <w:color w:val="auto"/>
                <w:w w:val="99"/>
                <w:vertAlign w:val="superscript"/>
              </w:rPr>
              <w:t>2</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ind w:right="169"/>
              <w:spacing w:after="0" w:line="200" w:lineRule="exact"/>
              <w:rPr>
                <w:sz w:val="20"/>
                <w:szCs w:val="20"/>
                <w:color w:val="auto"/>
              </w:rPr>
            </w:pPr>
            <w:r>
              <w:rPr>
                <w:rFonts w:ascii="Times New Roman" w:cs="Times New Roman" w:eastAsia="Times New Roman" w:hAnsi="Times New Roman"/>
                <w:sz w:val="14"/>
                <w:szCs w:val="14"/>
                <w:b w:val="1"/>
                <w:bCs w:val="1"/>
                <w:color w:val="auto"/>
                <w:w w:val="99"/>
              </w:rPr>
              <w:t>Monitoring</w:t>
            </w:r>
            <w:r>
              <w:rPr>
                <w:rFonts w:ascii="Times New Roman" w:cs="Times New Roman" w:eastAsia="Times New Roman" w:hAnsi="Times New Roman"/>
                <w:sz w:val="18"/>
                <w:szCs w:val="18"/>
                <w:b w:val="1"/>
                <w:bCs w:val="1"/>
                <w:color w:val="auto"/>
                <w:w w:val="99"/>
                <w:vertAlign w:val="superscript"/>
              </w:rPr>
              <w:t>2</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Total Loans</w:t>
            </w:r>
          </w:p>
        </w:tc>
      </w:tr>
      <w:tr>
        <w:trPr>
          <w:trHeight w:val="202"/>
        </w:trPr>
        <w:tc>
          <w:tcPr>
            <w:tcW w:w="3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i w:val="1"/>
                <w:iCs w:val="1"/>
                <w:color w:val="auto"/>
              </w:rPr>
              <w:t>June 30, 2024</w:t>
            </w:r>
          </w:p>
        </w:tc>
        <w:tc>
          <w:tcPr>
            <w:tcW w:w="1840" w:type="dxa"/>
            <w:vAlign w:val="bottom"/>
            <w:shd w:val="clear" w:color="auto" w:fill="B6B6B6"/>
          </w:tcPr>
          <w:p>
            <w:pPr>
              <w:spacing w:after="0"/>
              <w:rPr>
                <w:sz w:val="17"/>
                <w:szCs w:val="17"/>
                <w:color w:val="auto"/>
              </w:rPr>
            </w:pPr>
          </w:p>
        </w:tc>
        <w:tc>
          <w:tcPr>
            <w:tcW w:w="128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50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240" w:type="dxa"/>
            <w:vAlign w:val="bottom"/>
            <w:shd w:val="clear" w:color="auto" w:fill="B6B6B6"/>
          </w:tcPr>
          <w:p>
            <w:pPr>
              <w:spacing w:after="0"/>
              <w:rPr>
                <w:sz w:val="17"/>
                <w:szCs w:val="17"/>
                <w:color w:val="auto"/>
              </w:rPr>
            </w:pP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548,625</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548,625</w:t>
            </w:r>
          </w:p>
        </w:tc>
      </w:tr>
      <w:tr>
        <w:trPr>
          <w:trHeight w:val="207"/>
        </w:trPr>
        <w:tc>
          <w:tcPr>
            <w:tcW w:w="3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r>
      <w:tr>
        <w:trPr>
          <w:trHeight w:val="196"/>
        </w:trPr>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31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Mortgage</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119,223</w:t>
            </w: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2,478</w:t>
            </w: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121,701</w:t>
            </w:r>
          </w:p>
        </w:tc>
      </w:tr>
      <w:tr>
        <w:trPr>
          <w:trHeight w:val="19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Construction</w:t>
            </w:r>
          </w:p>
        </w:tc>
        <w:tc>
          <w:tcPr>
            <w:tcW w:w="184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9,488</w:t>
            </w:r>
          </w:p>
        </w:tc>
        <w:tc>
          <w:tcPr>
            <w:tcW w:w="26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9,488</w:t>
            </w:r>
          </w:p>
        </w:tc>
      </w:tr>
      <w:tr>
        <w:trPr>
          <w:trHeight w:val="207"/>
        </w:trPr>
        <w:tc>
          <w:tcPr>
            <w:tcW w:w="316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Faith-based:</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r>
      <w:tr>
        <w:trPr>
          <w:trHeight w:val="19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Mortgage</w:t>
            </w:r>
          </w:p>
        </w:tc>
        <w:tc>
          <w:tcPr>
            <w:tcW w:w="184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356,353</w:t>
            </w:r>
          </w:p>
        </w:tc>
        <w:tc>
          <w:tcPr>
            <w:tcW w:w="26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14,960</w:t>
            </w:r>
          </w:p>
        </w:tc>
        <w:tc>
          <w:tcPr>
            <w:tcW w:w="300" w:type="dxa"/>
            <w:vAlign w:val="bottom"/>
          </w:tcPr>
          <w:p>
            <w:pPr>
              <w:spacing w:after="0"/>
              <w:rPr>
                <w:sz w:val="17"/>
                <w:szCs w:val="17"/>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371,313</w:t>
            </w:r>
          </w:p>
        </w:tc>
      </w:tr>
      <w:tr>
        <w:trPr>
          <w:trHeight w:val="207"/>
        </w:trPr>
        <w:tc>
          <w:tcPr>
            <w:tcW w:w="31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Construction</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10,861</w:t>
            </w: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10,861</w:t>
            </w:r>
          </w:p>
        </w:tc>
      </w:tr>
      <w:tr>
        <w:trPr>
          <w:trHeight w:val="19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2"/>
        </w:trPr>
        <w:tc>
          <w:tcPr>
            <w:tcW w:w="31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40" w:type="dxa"/>
            <w:vAlign w:val="bottom"/>
            <w:tcBorders>
              <w:bottom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1,044,553</w:t>
            </w:r>
          </w:p>
        </w:tc>
        <w:tc>
          <w:tcPr>
            <w:tcW w:w="26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17,438</w:t>
            </w:r>
          </w:p>
        </w:tc>
        <w:tc>
          <w:tcPr>
            <w:tcW w:w="300" w:type="dxa"/>
            <w:vAlign w:val="bottom"/>
            <w:tcBorders>
              <w:bottom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1,061,991</w:t>
            </w:r>
          </w:p>
        </w:tc>
      </w:t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December 31, 2023</w:t>
            </w:r>
          </w:p>
        </w:tc>
        <w:tc>
          <w:tcPr>
            <w:tcW w:w="1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31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4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498,502</w:t>
            </w:r>
          </w:p>
        </w:tc>
        <w:tc>
          <w:tcPr>
            <w:tcW w:w="26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498,502</w:t>
            </w:r>
          </w:p>
        </w:tc>
      </w:tr>
      <w:tr>
        <w:trPr>
          <w:trHeight w:val="196"/>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316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Commercial:</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r>
      <w:tr>
        <w:trPr>
          <w:trHeight w:val="19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Mortgage</w:t>
            </w:r>
          </w:p>
        </w:tc>
        <w:tc>
          <w:tcPr>
            <w:tcW w:w="184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118,371</w:t>
            </w:r>
          </w:p>
        </w:tc>
        <w:tc>
          <w:tcPr>
            <w:tcW w:w="26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118,371</w:t>
            </w:r>
          </w:p>
        </w:tc>
      </w:tr>
      <w:tr>
        <w:trPr>
          <w:trHeight w:val="207"/>
        </w:trPr>
        <w:tc>
          <w:tcPr>
            <w:tcW w:w="31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Construction</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8,233</w:t>
            </w: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8,233</w:t>
            </w:r>
          </w:p>
        </w:tc>
      </w:tr>
      <w:tr>
        <w:trPr>
          <w:trHeight w:val="196"/>
        </w:trPr>
        <w:tc>
          <w:tcPr>
            <w:tcW w:w="3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Faith-based:</w:t>
            </w:r>
          </w:p>
        </w:tc>
        <w:tc>
          <w:tcPr>
            <w:tcW w:w="1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31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Mortgage</w:t>
            </w:r>
          </w:p>
        </w:tc>
        <w:tc>
          <w:tcPr>
            <w:tcW w:w="1840" w:type="dxa"/>
            <w:vAlign w:val="bottom"/>
            <w:shd w:val="clear" w:color="auto" w:fill="B6B6B6"/>
          </w:tcPr>
          <w:p>
            <w:pPr>
              <w:spacing w:after="0"/>
              <w:rPr>
                <w:sz w:val="18"/>
                <w:szCs w:val="18"/>
                <w:color w:val="auto"/>
              </w:rPr>
            </w:pPr>
          </w:p>
        </w:tc>
        <w:tc>
          <w:tcPr>
            <w:tcW w:w="1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375,865</w:t>
            </w:r>
          </w:p>
        </w:tc>
        <w:tc>
          <w:tcPr>
            <w:tcW w:w="260" w:type="dxa"/>
            <w:vAlign w:val="bottom"/>
            <w:shd w:val="clear" w:color="auto" w:fill="B6B6B6"/>
          </w:tcPr>
          <w:p>
            <w:pPr>
              <w:spacing w:after="0"/>
              <w:rPr>
                <w:sz w:val="18"/>
                <w:szCs w:val="18"/>
                <w:color w:val="auto"/>
              </w:rPr>
            </w:pPr>
          </w:p>
        </w:tc>
        <w:tc>
          <w:tcPr>
            <w:tcW w:w="1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5,503</w:t>
            </w:r>
          </w:p>
        </w:tc>
        <w:tc>
          <w:tcPr>
            <w:tcW w:w="300" w:type="dxa"/>
            <w:vAlign w:val="bottom"/>
            <w:shd w:val="clear" w:color="auto" w:fill="B6B6B6"/>
          </w:tcPr>
          <w:p>
            <w:pPr>
              <w:spacing w:after="0"/>
              <w:rPr>
                <w:sz w:val="18"/>
                <w:szCs w:val="18"/>
                <w:color w:val="auto"/>
              </w:rPr>
            </w:pPr>
          </w:p>
        </w:tc>
        <w:tc>
          <w:tcPr>
            <w:tcW w:w="1500" w:type="dxa"/>
            <w:vAlign w:val="bottom"/>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B6B6B6"/>
          </w:tcPr>
          <w:p>
            <w:pPr>
              <w:spacing w:after="0"/>
              <w:rPr>
                <w:sz w:val="18"/>
                <w:szCs w:val="18"/>
                <w:color w:val="auto"/>
              </w:rPr>
            </w:pP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381,368</w:t>
            </w:r>
          </w:p>
        </w:tc>
      </w:tr>
      <w:tr>
        <w:trPr>
          <w:trHeight w:val="196"/>
        </w:trPr>
        <w:tc>
          <w:tcPr>
            <w:tcW w:w="31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Construction</w:t>
            </w:r>
          </w:p>
        </w:tc>
        <w:tc>
          <w:tcPr>
            <w:tcW w:w="184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7,790</w:t>
            </w:r>
          </w:p>
        </w:tc>
        <w:tc>
          <w:tcPr>
            <w:tcW w:w="26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7,790</w:t>
            </w:r>
          </w:p>
        </w:tc>
      </w:tr>
      <w:tr>
        <w:trPr>
          <w:trHeight w:val="202"/>
        </w:trPr>
        <w:tc>
          <w:tcPr>
            <w:tcW w:w="31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84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bottom w:val="single" w:sz="8" w:color="auto"/>
            </w:tcBorders>
            <w:shd w:val="clear" w:color="auto" w:fill="B6B6B6"/>
          </w:tcPr>
          <w:p>
            <w:pPr>
              <w:spacing w:after="0"/>
              <w:rPr>
                <w:sz w:val="17"/>
                <w:szCs w:val="17"/>
                <w:color w:val="auto"/>
              </w:rPr>
            </w:pPr>
          </w:p>
        </w:tc>
        <w:tc>
          <w:tcPr>
            <w:tcW w:w="13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spacing w:after="0"/>
              <w:rPr>
                <w:sz w:val="17"/>
                <w:szCs w:val="17"/>
                <w:color w:val="auto"/>
              </w:rPr>
            </w:pPr>
          </w:p>
        </w:tc>
        <w:tc>
          <w:tcPr>
            <w:tcW w:w="1500" w:type="dxa"/>
            <w:vAlign w:val="bottom"/>
            <w:tcBorders>
              <w:bottom w:val="single" w:sz="8" w:color="auto"/>
            </w:tcBorders>
            <w:shd w:val="clear" w:color="auto" w:fill="B6B6B6"/>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1,008,815</w:t>
            </w:r>
          </w:p>
        </w:tc>
        <w:tc>
          <w:tcPr>
            <w:tcW w:w="2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5,503</w:t>
            </w:r>
          </w:p>
        </w:tc>
        <w:tc>
          <w:tcPr>
            <w:tcW w:w="3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1,014,318</w:t>
            </w:r>
          </w:p>
        </w:tc>
      </w:tr>
    </w:tbl>
    <w:p>
      <w:pPr>
        <w:spacing w:after="0" w:line="217" w:lineRule="exact"/>
        <w:rPr>
          <w:sz w:val="20"/>
          <w:szCs w:val="20"/>
          <w:color w:val="auto"/>
        </w:rPr>
      </w:pPr>
    </w:p>
    <w:p>
      <w:pPr>
        <w:ind w:left="100" w:hanging="81"/>
        <w:spacing w:after="0"/>
        <w:tabs>
          <w:tab w:leader="none" w:pos="10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Loans subject to normal monitoring involve borrowers of acceptable-to-strong credit quality and risk, who have the apparent ability to satisfy their loan obligations.</w:t>
      </w:r>
    </w:p>
    <w:p>
      <w:pPr>
        <w:spacing w:after="0" w:line="33" w:lineRule="exact"/>
        <w:rPr>
          <w:rFonts w:ascii="Times New Roman" w:cs="Times New Roman" w:eastAsia="Times New Roman" w:hAnsi="Times New Roman"/>
          <w:sz w:val="18"/>
          <w:szCs w:val="18"/>
          <w:color w:val="auto"/>
          <w:vertAlign w:val="superscript"/>
        </w:rPr>
      </w:pPr>
    </w:p>
    <w:p>
      <w:pPr>
        <w:ind w:left="2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Loans subject to special monitoring possess some credit deficiency or potential weakness which requires a high level of management attention.</w:t>
      </w:r>
    </w:p>
    <w:p>
      <w:pPr>
        <w:spacing w:after="0" w:line="17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Loan modifications to borrowers experiencing financial difficulty may be in the form of principal forgiveness, an interest rate reduction, an other-than-insignificant payment delay, a term extension, or a combination thereof, among other things. There were no loans modified during the six-month period ended June 30, 2024. The following table shows the amortized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loans that were both experiencing financial difficulty and modified during the six-month period ended June 30, 2023, segregated by category and type of modification.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Combination Term</w:t>
            </w:r>
          </w:p>
        </w:tc>
        <w:tc>
          <w:tcPr>
            <w:tcW w:w="1680" w:type="dxa"/>
            <w:vAlign w:val="bottom"/>
          </w:tcPr>
          <w:p>
            <w:pPr>
              <w:spacing w:after="0"/>
              <w:rPr>
                <w:sz w:val="13"/>
                <w:szCs w:val="13"/>
                <w:color w:val="auto"/>
              </w:rPr>
            </w:pPr>
          </w:p>
        </w:tc>
      </w:tr>
      <w:tr>
        <w:trPr>
          <w:trHeight w:val="159"/>
        </w:trPr>
        <w:tc>
          <w:tcPr>
            <w:tcW w:w="24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Extension and Interest</w:t>
            </w:r>
          </w:p>
        </w:tc>
        <w:tc>
          <w:tcPr>
            <w:tcW w:w="1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Percentage of Total Loans</w:t>
            </w:r>
          </w:p>
        </w:tc>
      </w:tr>
      <w:tr>
        <w:trPr>
          <w:trHeight w:val="198"/>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Delay</w:t>
            </w: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Reduction</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16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Held for Investment</w:t>
            </w:r>
          </w:p>
        </w:tc>
      </w:tr>
      <w:tr>
        <w:trPr>
          <w:trHeight w:val="196"/>
        </w:trPr>
        <w:tc>
          <w:tcPr>
            <w:tcW w:w="24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140" w:type="dxa"/>
            <w:vAlign w:val="bottom"/>
            <w:tcBorders>
              <w:bottom w:val="single" w:sz="8" w:color="auto"/>
            </w:tcBorders>
            <w:shd w:val="clear" w:color="auto" w:fill="B6B6B6"/>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B6B6B6"/>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10,952</w:t>
            </w:r>
          </w:p>
        </w:tc>
        <w:tc>
          <w:tcPr>
            <w:tcW w:w="760" w:type="dxa"/>
            <w:vAlign w:val="bottom"/>
            <w:tcBorders>
              <w:bottom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B6B6B6"/>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B6B6B6"/>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2.05 %</w:t>
            </w:r>
          </w:p>
        </w:tc>
      </w:tr>
      <w:tr>
        <w:trPr>
          <w:trHeight w:val="192"/>
        </w:trPr>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140" w:type="dxa"/>
            <w:vAlign w:val="bottom"/>
            <w:tcBorders>
              <w:bottom w:val="single" w:sz="8" w:color="auto"/>
            </w:tcBorders>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10,952</w:t>
            </w:r>
          </w:p>
        </w:tc>
        <w:tc>
          <w:tcPr>
            <w:tcW w:w="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1.04 %</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two loans modified during the six-month period ended June 30, 2023. The terms were extended by periods of two and three years and there was not an interest rate reduction associated with the modifications.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payment status of loans that have been modified to borrowers experiencing financial difficulty in the last twelve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90 Days or More Past</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8"/>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30-59 Days Past Due</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60-89 Days Past Due</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Due</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 Past Due</w:t>
            </w:r>
          </w:p>
        </w:tc>
      </w:tr>
      <w:tr>
        <w:trPr>
          <w:trHeight w:val="196"/>
        </w:trPr>
        <w:tc>
          <w:tcPr>
            <w:tcW w:w="25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80" w:type="dxa"/>
            <w:vAlign w:val="bottom"/>
            <w:tcBorders>
              <w:bottom w:val="single" w:sz="8" w:color="auto"/>
            </w:tcBorders>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11,333</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B6B6B6"/>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11,333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2024,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modified loans that had a payment default during the six-month periods ended June 30, 2024 or 2023 and that had been modified due to the borrower experiencing financial difficulty within the 12 previous months preceding the default.</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the Company's determination that a modified loan has subsequently been deemed uncollectible, the loan is written off. There were no loans written off during the six-month periods ended June 30, 2024 or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no loans evaluated for expected credit losses on an individual basis as of June 30, 2024, and December 31,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foreclosed loans recorded as other real estate owned as of June 30, 2024 or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activity in the allowance for credit losses (“ACL”) by category for the six-month periods ended June 30, 2024 and year-ended December 31, 2023 is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80" w:type="dxa"/>
            <w:vAlign w:val="bottom"/>
          </w:tcPr>
          <w:p>
            <w:pPr>
              <w:spacing w:after="0"/>
              <w:rPr>
                <w:sz w:val="13"/>
                <w:szCs w:val="13"/>
                <w:color w:val="auto"/>
              </w:rPr>
            </w:pPr>
          </w:p>
        </w:tc>
        <w:tc>
          <w:tcPr>
            <w:tcW w:w="100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C&amp;I</w:t>
            </w:r>
          </w:p>
        </w:tc>
        <w:tc>
          <w:tcPr>
            <w:tcW w:w="340" w:type="dxa"/>
            <w:vAlign w:val="bottom"/>
          </w:tcPr>
          <w:p>
            <w:pPr>
              <w:spacing w:after="0"/>
              <w:rPr>
                <w:sz w:val="13"/>
                <w:szCs w:val="13"/>
                <w:color w:val="auto"/>
              </w:rPr>
            </w:pPr>
          </w:p>
        </w:tc>
        <w:tc>
          <w:tcPr>
            <w:tcW w:w="1080" w:type="dxa"/>
            <w:vAlign w:val="bottom"/>
            <w:vMerge w:val="restart"/>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CRE</w:t>
            </w:r>
          </w:p>
        </w:tc>
        <w:tc>
          <w:tcPr>
            <w:tcW w:w="260" w:type="dxa"/>
            <w:vAlign w:val="bottom"/>
          </w:tcPr>
          <w:p>
            <w:pPr>
              <w:spacing w:after="0"/>
              <w:rPr>
                <w:sz w:val="13"/>
                <w:szCs w:val="13"/>
                <w:color w:val="auto"/>
              </w:rPr>
            </w:pPr>
          </w:p>
        </w:tc>
        <w:tc>
          <w:tcPr>
            <w:tcW w:w="120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Faith-based</w:t>
            </w:r>
          </w:p>
        </w:tc>
        <w:tc>
          <w:tcPr>
            <w:tcW w:w="260" w:type="dxa"/>
            <w:vAlign w:val="bottom"/>
          </w:tcPr>
          <w:p>
            <w:pPr>
              <w:spacing w:after="0"/>
              <w:rPr>
                <w:sz w:val="13"/>
                <w:szCs w:val="13"/>
                <w:color w:val="auto"/>
              </w:rPr>
            </w:pPr>
          </w:p>
        </w:tc>
        <w:tc>
          <w:tcPr>
            <w:tcW w:w="13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340" w:type="dxa"/>
            <w:vAlign w:val="bottom"/>
          </w:tcPr>
          <w:p>
            <w:pPr>
              <w:spacing w:after="0"/>
              <w:rPr>
                <w:sz w:val="13"/>
                <w:szCs w:val="13"/>
                <w:color w:val="auto"/>
              </w:rPr>
            </w:pPr>
          </w:p>
        </w:tc>
        <w:tc>
          <w:tcPr>
            <w:tcW w:w="106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CRE</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6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080" w:type="dxa"/>
            <w:vAlign w:val="bottom"/>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5,978</w:t>
            </w:r>
          </w:p>
        </w:tc>
        <w:tc>
          <w:tcPr>
            <w:tcW w:w="34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940</w:t>
            </w:r>
          </w:p>
        </w:tc>
        <w:tc>
          <w:tcPr>
            <w:tcW w:w="260" w:type="dxa"/>
            <w:vAlign w:val="bottom"/>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6,437</w:t>
            </w:r>
          </w:p>
        </w:tc>
        <w:tc>
          <w:tcPr>
            <w:tcW w:w="260" w:type="dxa"/>
            <w:vAlign w:val="bottom"/>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184</w:t>
            </w:r>
          </w:p>
        </w:tc>
        <w:tc>
          <w:tcPr>
            <w:tcW w:w="34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13,539</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(Release of) provision for credit losses</w:t>
            </w:r>
          </w:p>
        </w:tc>
        <w:tc>
          <w:tcPr>
            <w:tcW w:w="10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153</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92"/>
        </w:trPr>
        <w:tc>
          <w:tcPr>
            <w:tcW w:w="3260" w:type="dxa"/>
            <w:vAlign w:val="bottom"/>
            <w:tcBorders>
              <w:bottom w:val="single" w:sz="8" w:color="auto"/>
            </w:tcBorders>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8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5,412</w:t>
            </w:r>
          </w:p>
        </w:tc>
        <w:tc>
          <w:tcPr>
            <w:tcW w:w="34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1,093</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6,476</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108</w:t>
            </w:r>
          </w:p>
        </w:tc>
        <w:tc>
          <w:tcPr>
            <w:tcW w:w="34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13,089</w:t>
            </w:r>
          </w:p>
        </w:tc>
        <w:tc>
          <w:tcPr>
            <w:tcW w:w="0" w:type="dxa"/>
            <w:vAlign w:val="bottom"/>
          </w:tcPr>
          <w:p>
            <w:pPr>
              <w:spacing w:after="0"/>
              <w:rPr>
                <w:sz w:val="1"/>
                <w:szCs w:val="1"/>
                <w:color w:val="auto"/>
              </w:rPr>
            </w:pPr>
          </w:p>
        </w:tc>
      </w:tr>
      <w:tr>
        <w:trPr>
          <w:trHeight w:val="198"/>
        </w:trPr>
        <w:tc>
          <w:tcPr>
            <w:tcW w:w="3260" w:type="dxa"/>
            <w:vAlign w:val="bottom"/>
            <w:tcBorders>
              <w:bottom w:val="single" w:sz="8" w:color="auto"/>
            </w:tcBorders>
          </w:tcPr>
          <w:p>
            <w:pPr>
              <w:ind w:left="160"/>
              <w:spacing w:after="0" w:line="198" w:lineRule="exact"/>
              <w:rPr>
                <w:sz w:val="20"/>
                <w:szCs w:val="20"/>
                <w:color w:val="auto"/>
              </w:rPr>
            </w:pPr>
            <w:r>
              <w:rPr>
                <w:rFonts w:ascii="Times New Roman" w:cs="Times New Roman" w:eastAsia="Times New Roman" w:hAnsi="Times New Roman"/>
                <w:sz w:val="14"/>
                <w:szCs w:val="14"/>
                <w:color w:val="auto"/>
              </w:rPr>
              <w:t xml:space="preserve">Provision for (release of) credit losses </w:t>
            </w:r>
            <w:r>
              <w:rPr>
                <w:rFonts w:ascii="Times New Roman" w:cs="Times New Roman" w:eastAsia="Times New Roman" w:hAnsi="Times New Roman"/>
                <w:sz w:val="18"/>
                <w:szCs w:val="18"/>
                <w:color w:val="auto"/>
                <w:vertAlign w:val="superscript"/>
              </w:rPr>
              <w:t>(1)</w:t>
            </w:r>
          </w:p>
        </w:tc>
        <w:tc>
          <w:tcPr>
            <w:tcW w:w="10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502</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auto"/>
            </w:tcBorders>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Balance at June 30, 2024</w:t>
            </w:r>
          </w:p>
        </w:tc>
        <w:tc>
          <w:tcPr>
            <w:tcW w:w="108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5,914</w:t>
            </w:r>
          </w:p>
        </w:tc>
        <w:tc>
          <w:tcPr>
            <w:tcW w:w="34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6,465</w:t>
            </w:r>
          </w:p>
        </w:tc>
        <w:tc>
          <w:tcPr>
            <w:tcW w:w="260" w:type="dxa"/>
            <w:vAlign w:val="bottom"/>
            <w:tcBorders>
              <w:bottom w:val="single" w:sz="8" w:color="auto"/>
            </w:tcBorders>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139</w:t>
            </w:r>
          </w:p>
        </w:tc>
        <w:tc>
          <w:tcPr>
            <w:tcW w:w="34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13,634</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980" w:right="20" w:hanging="961"/>
        <w:spacing w:after="0" w:line="271" w:lineRule="auto"/>
        <w:tabs>
          <w:tab w:leader="none" w:pos="9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six-month period ended June 30, 2024 and year-ended December 31, 2023, there was a release of credit losses of $50,000 and $100,000, respectively, for unfunded commitments.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7 – Commitments and Contingencies</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the normal course of business, the Company is party to activities that contain credit, market and operational risks that are not reflected in whole or in part in the Company’s consolidated financial statements. As more fully described in the Form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$82,000 and $132,000 had been recorded at June 30, 2024 and December 31, 2023, respectively.</w:t>
      </w:r>
    </w:p>
    <w:p>
      <w:pPr>
        <w:spacing w:after="0" w:line="1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June 30, 2024, the balances of unfunded commitments, standby and commercial letters of credit were $251.4 million, $13.7 million, and $729,000, respectively. Since some of the financial instruments may expire without being drawn upon, the total amounts do not necessarily represent future cash requirements.</w:t>
      </w:r>
    </w:p>
    <w:p>
      <w:pPr>
        <w:spacing w:after="0" w:line="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March 19, 2024, the Company filed a claim against Rubicon Technologies, Inc. ("Rubicon") for failed reimbursement of invoices that were processed and paid by the Company on Rubicon's behalf and unpaid fees for Company services that are due for invoice management services and bill pay services, together with interest and penalties related to the foregoing amounts. The Company has a receivable at June 30, 2024 for $8.1 million related to these amounts on the Company's consolidated balance sheet. The Company evaluated the receivable from a credit loss perspective, and, based on this evaluation, recorded a reserve of $1.3 million through other operating expense on the consolidated statements of income for the three and six-months ended June 30, 2024. While the Company strongly believes in the merits of its claim against Rubicon, it is reasonably possible that a change in the reserve related to this receivable could occur in the near term depending on the creditworthiness of Rubicon.</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22, 2024, Rubicon filed a counterclaim against the Company for failure to perform its obligations under the Master Services Agreement between the Company and Rubicon. The Company believes these claims to be without merit and intends to vigorously defend itself against such claims.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8 – Stock-Based Compensation</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six-month period ended June 30, 2024, 54,462 time-based restricted shares and 51,261 performance-based restricted shares were granted under</w:t>
      </w:r>
    </w:p>
    <w:p>
      <w:pPr>
        <w:jc w:val="both"/>
        <w:spacing w:after="0" w:line="278" w:lineRule="auto"/>
        <w:rPr>
          <w:sz w:val="20"/>
          <w:szCs w:val="20"/>
          <w:color w:val="auto"/>
        </w:rPr>
      </w:pPr>
      <w:r>
        <w:rPr>
          <w:rFonts w:ascii="Times New Roman" w:cs="Times New Roman" w:eastAsia="Times New Roman" w:hAnsi="Times New Roman"/>
          <w:sz w:val="14"/>
          <w:szCs w:val="14"/>
          <w:color w:val="auto"/>
        </w:rPr>
        <w:t>the 2023 Omnibus Plan. Stock-based compensation expense was $474,000 and $1.7 million for the three and six</w:t>
      </w:r>
      <w:r>
        <w:rPr>
          <w:rFonts w:ascii="Arial" w:cs="Arial" w:eastAsia="Arial" w:hAnsi="Arial"/>
          <w:sz w:val="16"/>
          <w:szCs w:val="16"/>
          <w:color w:val="auto"/>
        </w:rPr>
        <w:t>-</w:t>
      </w:r>
      <w:r>
        <w:rPr>
          <w:rFonts w:ascii="Times New Roman" w:cs="Times New Roman" w:eastAsia="Times New Roman" w:hAnsi="Times New Roman"/>
          <w:sz w:val="14"/>
          <w:szCs w:val="14"/>
          <w:color w:val="auto"/>
        </w:rPr>
        <w:t>month periods ended June 30, 2024, respectively, and $909,000 and $2.9 million for the three and six-month periods ended June 30,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w:t>
      </w:r>
    </w:p>
    <w:p>
      <w:pPr>
        <w:spacing w:after="0" w:line="15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June 30, 2024, the total unrecognized compensation expense related to non-vested restricted shares was $2.6 million, and the related weighted-average period over which it is expected to be recognized is approximately 0.72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the activity of the Company's restricted stock for the six-month period ended June 30, 2024, with total shares and weighted-average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3"/>
                <w:szCs w:val="13"/>
                <w:color w:val="auto"/>
              </w:rPr>
            </w:pPr>
          </w:p>
        </w:tc>
      </w:tr>
      <w:tr>
        <w:trPr>
          <w:trHeight w:val="186"/>
        </w:trPr>
        <w:tc>
          <w:tcPr>
            <w:tcW w:w="8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7"/>
        </w:trPr>
        <w:tc>
          <w:tcPr>
            <w:tcW w:w="8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r>
      <w:tr>
        <w:trPr>
          <w:trHeight w:val="198"/>
        </w:trPr>
        <w:tc>
          <w:tcPr>
            <w:tcW w:w="91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8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237,780</w:t>
            </w:r>
          </w:p>
        </w:tc>
        <w:tc>
          <w:tcPr>
            <w:tcW w:w="1120" w:type="dxa"/>
            <w:vAlign w:val="bottom"/>
            <w:shd w:val="clear" w:color="auto" w:fill="B6B6B6"/>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42.17</w:t>
            </w:r>
          </w:p>
        </w:tc>
      </w:tr>
      <w:tr>
        <w:trPr>
          <w:trHeight w:val="196"/>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54,462</w:t>
            </w:r>
          </w:p>
        </w:tc>
        <w:tc>
          <w:tcPr>
            <w:tcW w:w="1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w:t>
            </w:r>
          </w:p>
        </w:tc>
      </w:tr>
      <w:tr>
        <w:trPr>
          <w:trHeight w:val="207"/>
        </w:trPr>
        <w:tc>
          <w:tcPr>
            <w:tcW w:w="91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(39,764)</w:t>
            </w:r>
          </w:p>
        </w:tc>
        <w:tc>
          <w:tcPr>
            <w:tcW w:w="1120" w:type="dxa"/>
            <w:vAlign w:val="bottom"/>
            <w:shd w:val="clear" w:color="auto" w:fill="B6B6B6"/>
          </w:tcPr>
          <w:p>
            <w:pPr>
              <w:spacing w:after="0"/>
              <w:rPr>
                <w:sz w:val="18"/>
                <w:szCs w:val="18"/>
                <w:color w:val="auto"/>
              </w:rPr>
            </w:pP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32.78</w:t>
            </w:r>
          </w:p>
        </w:tc>
      </w:tr>
      <w:tr>
        <w:trPr>
          <w:trHeight w:val="196"/>
        </w:trPr>
        <w:tc>
          <w:tcPr>
            <w:tcW w:w="9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r>
      <w:tr>
        <w:trPr>
          <w:trHeight w:val="192"/>
        </w:trPr>
        <w:tc>
          <w:tcPr>
            <w:tcW w:w="91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58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251,768</w:t>
            </w:r>
          </w:p>
        </w:tc>
        <w:tc>
          <w:tcPr>
            <w:tcW w:w="1120" w:type="dxa"/>
            <w:vAlign w:val="bottom"/>
            <w:tcBorders>
              <w:bottom w:val="single" w:sz="8" w:color="auto"/>
            </w:tcBorders>
            <w:shd w:val="clear" w:color="auto" w:fill="B6B6B6"/>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42.87</w:t>
            </w:r>
          </w:p>
        </w:tc>
      </w:tr>
      <w:tr>
        <w:trPr>
          <w:trHeight w:val="707"/>
        </w:trPr>
        <w:tc>
          <w:tcPr>
            <w:tcW w:w="8220" w:type="dxa"/>
            <w:vAlign w:val="bottom"/>
          </w:tcPr>
          <w:p>
            <w:pPr>
              <w:ind w:left="5520"/>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76"/>
        </w:trPr>
        <w:tc>
          <w:tcPr>
            <w:tcW w:w="82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Performance-Based Restricted Stock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the activity of the PBRS for the six-month period ended June 30, 2024, based on 100% of target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4"/>
                <w:szCs w:val="14"/>
                <w:color w:val="auto"/>
              </w:rPr>
            </w:pPr>
          </w:p>
        </w:tc>
      </w:tr>
      <w:tr>
        <w:trPr>
          <w:trHeight w:val="192"/>
        </w:trPr>
        <w:tc>
          <w:tcPr>
            <w:tcW w:w="82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0" w:type="dxa"/>
            <w:vAlign w:val="bottom"/>
            <w:tcBorders>
              <w:bottom w:val="single" w:sz="8" w:color="auto"/>
            </w:tcBorders>
          </w:tcPr>
          <w:p>
            <w:pPr>
              <w:spacing w:after="0"/>
              <w:rPr>
                <w:sz w:val="16"/>
                <w:szCs w:val="16"/>
                <w:color w:val="auto"/>
              </w:rPr>
            </w:pPr>
          </w:p>
        </w:tc>
      </w:tr>
      <w:tr>
        <w:trPr>
          <w:trHeight w:val="192"/>
        </w:trPr>
        <w:tc>
          <w:tcPr>
            <w:tcW w:w="8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Borders>
              <w:bottom w:val="single" w:sz="8" w:color="auto"/>
            </w:tcBorders>
          </w:tcPr>
          <w:p>
            <w:pPr>
              <w:spacing w:after="0"/>
              <w:rPr>
                <w:sz w:val="16"/>
                <w:szCs w:val="16"/>
                <w:color w:val="auto"/>
              </w:rPr>
            </w:pPr>
          </w:p>
        </w:tc>
      </w:tr>
      <w:tr>
        <w:trPr>
          <w:trHeight w:val="198"/>
        </w:trPr>
        <w:tc>
          <w:tcPr>
            <w:tcW w:w="91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8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159,073</w:t>
            </w:r>
          </w:p>
        </w:tc>
        <w:tc>
          <w:tcPr>
            <w:tcW w:w="1120" w:type="dxa"/>
            <w:vAlign w:val="bottom"/>
            <w:shd w:val="clear" w:color="auto" w:fill="B6B6B6"/>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42.74</w:t>
            </w:r>
          </w:p>
        </w:tc>
      </w:tr>
      <w:tr>
        <w:trPr>
          <w:trHeight w:val="196"/>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5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51,261</w:t>
            </w:r>
          </w:p>
        </w:tc>
        <w:tc>
          <w:tcPr>
            <w:tcW w:w="1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w:t>
            </w:r>
          </w:p>
        </w:tc>
      </w:tr>
      <w:tr>
        <w:trPr>
          <w:trHeight w:val="207"/>
        </w:trPr>
        <w:tc>
          <w:tcPr>
            <w:tcW w:w="91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(50,840)</w:t>
            </w:r>
          </w:p>
        </w:tc>
        <w:tc>
          <w:tcPr>
            <w:tcW w:w="1120" w:type="dxa"/>
            <w:vAlign w:val="bottom"/>
            <w:shd w:val="clear" w:color="auto" w:fill="B6B6B6"/>
          </w:tcPr>
          <w:p>
            <w:pPr>
              <w:spacing w:after="0"/>
              <w:rPr>
                <w:sz w:val="18"/>
                <w:szCs w:val="18"/>
                <w:color w:val="auto"/>
              </w:rPr>
            </w:pPr>
          </w:p>
        </w:tc>
        <w:tc>
          <w:tcPr>
            <w:tcW w:w="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40.74</w:t>
            </w:r>
          </w:p>
        </w:tc>
      </w:tr>
      <w:tr>
        <w:trPr>
          <w:trHeight w:val="196"/>
        </w:trPr>
        <w:tc>
          <w:tcPr>
            <w:tcW w:w="9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Forfeitures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43.70</w:t>
            </w:r>
          </w:p>
        </w:tc>
      </w:tr>
      <w:tr>
        <w:trPr>
          <w:trHeight w:val="192"/>
        </w:trPr>
        <w:tc>
          <w:tcPr>
            <w:tcW w:w="91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58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158,428</w:t>
            </w:r>
          </w:p>
        </w:tc>
        <w:tc>
          <w:tcPr>
            <w:tcW w:w="1120" w:type="dxa"/>
            <w:vAlign w:val="bottom"/>
            <w:tcBorders>
              <w:bottom w:val="single" w:sz="8" w:color="auto"/>
            </w:tcBorders>
            <w:shd w:val="clear" w:color="auto" w:fill="B6B6B6"/>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43.87</w:t>
            </w:r>
          </w:p>
        </w:tc>
      </w:tr>
    </w:tbl>
    <w:p>
      <w:pPr>
        <w:spacing w:after="0" w:line="1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PBRS that vested during the six-month period ended June 30, 2024 were based on the Company's achievement of 135.4% of target financial goals for the 2021-2023 performance period, resulting in the issuance of 68,834 shares of common stock. The outstanding PBRS at June 30, 2024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SARs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SARs granted and no expense recognized during the six-month period ended June 30, 2024. Following is a summary of the activity of the Company’s SARs program for the six-month period ended June 30,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vMerge w:val="restart"/>
          </w:tcPr>
          <w:p>
            <w:pPr>
              <w:jc w:val="center"/>
              <w:ind w:right="389"/>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4"/>
                <w:szCs w:val="14"/>
                <w:color w:val="auto"/>
              </w:rPr>
            </w:pPr>
          </w:p>
        </w:tc>
        <w:tc>
          <w:tcPr>
            <w:tcW w:w="1360" w:type="dxa"/>
            <w:vAlign w:val="bottom"/>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restart"/>
          </w:tcPr>
          <w:p>
            <w:pPr>
              <w:jc w:val="center"/>
              <w:ind w:right="169"/>
              <w:spacing w:after="0" w:line="15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06"/>
        </w:trPr>
        <w:tc>
          <w:tcPr>
            <w:tcW w:w="59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vMerge w:val="restart"/>
          </w:tcPr>
          <w:p>
            <w:pPr>
              <w:jc w:val="center"/>
              <w:ind w:right="389"/>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5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line="20" w:lineRule="exact"/>
              <w:rPr>
                <w:sz w:val="1"/>
                <w:szCs w:val="1"/>
                <w:color w:val="auto"/>
              </w:rPr>
            </w:pPr>
          </w:p>
        </w:tc>
      </w:tr>
      <w:tr>
        <w:trPr>
          <w:trHeight w:val="138"/>
        </w:trPr>
        <w:tc>
          <w:tcPr>
            <w:tcW w:w="594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tcPr>
          <w:p>
            <w:pPr>
              <w:jc w:val="center"/>
              <w:ind w:right="389"/>
              <w:spacing w:after="0" w:line="138"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00" w:type="dxa"/>
            <w:vAlign w:val="bottom"/>
          </w:tcPr>
          <w:p>
            <w:pPr>
              <w:jc w:val="center"/>
              <w:ind w:right="89"/>
              <w:spacing w:after="0" w:line="138"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9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192"/>
        </w:trPr>
        <w:tc>
          <w:tcPr>
            <w:tcW w:w="5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56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30,409</w:t>
            </w:r>
          </w:p>
        </w:tc>
        <w:tc>
          <w:tcPr>
            <w:tcW w:w="3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46.70</w:t>
            </w:r>
          </w:p>
        </w:tc>
        <w:tc>
          <w:tcPr>
            <w:tcW w:w="14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8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B6B6B6"/>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(30,409)</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46.70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Exercisable at June 30, 2024</w:t>
            </w:r>
          </w:p>
        </w:tc>
        <w:tc>
          <w:tcPr>
            <w:tcW w:w="56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80" w:type="dxa"/>
            <w:vAlign w:val="bottom"/>
            <w:tcBorders>
              <w:bottom w:val="single" w:sz="8" w:color="auto"/>
            </w:tcBorders>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9 – Defined Pension Plans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noncontributory defined-benefit pension plan (the “Plan”), which covers eligible employees. Effective December 31, 2016, the Plan was closed to all new participants.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the Plan’s benefits were frozen for all remaining participants as of February 28, 2021.</w:t>
      </w:r>
    </w:p>
    <w:p>
      <w:pPr>
        <w:spacing w:after="0" w:line="13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July 16, 2024, the Company approved an Amendment providing for the termination of the Plan. The Company expects to record one-time termination expenses of approximately $5.0 million through operating expense related to the termination of the Plan. The expense related to the termination is expected to be incurred during the fourth quarter of 2024 and first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 of 2025 as the Plan's liabilities are settled via lump sum payments or annuity purchases. The following table represents the components of net periodic pension cost: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100" w:type="dxa"/>
            <w:vAlign w:val="bottom"/>
          </w:tcPr>
          <w:p>
            <w:pPr>
              <w:spacing w:after="0"/>
              <w:rPr>
                <w:sz w:val="13"/>
                <w:szCs w:val="13"/>
                <w:color w:val="auto"/>
              </w:rPr>
            </w:pPr>
          </w:p>
        </w:tc>
        <w:tc>
          <w:tcPr>
            <w:tcW w:w="128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3"/>
                <w:szCs w:val="13"/>
                <w:color w:val="auto"/>
              </w:rPr>
            </w:pPr>
          </w:p>
        </w:tc>
        <w:tc>
          <w:tcPr>
            <w:tcW w:w="12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Actual 2023</w:t>
            </w:r>
          </w:p>
        </w:tc>
        <w:tc>
          <w:tcPr>
            <w:tcW w:w="0" w:type="dxa"/>
            <w:vAlign w:val="bottom"/>
          </w:tcPr>
          <w:p>
            <w:pPr>
              <w:spacing w:after="0"/>
              <w:rPr>
                <w:sz w:val="1"/>
                <w:szCs w:val="1"/>
                <w:color w:val="auto"/>
              </w:rPr>
            </w:pPr>
          </w:p>
        </w:tc>
      </w:tr>
      <w:tr>
        <w:trPr>
          <w:trHeight w:val="191"/>
        </w:trPr>
        <w:tc>
          <w:tcPr>
            <w:tcW w:w="5380" w:type="dxa"/>
            <w:vAlign w:val="bottom"/>
            <w:tcBorders>
              <w:bottom w:val="single" w:sz="8" w:color="auto"/>
            </w:tcBorders>
            <w:vMerge w:val="continue"/>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obligations</w:t>
            </w:r>
          </w:p>
        </w:tc>
        <w:tc>
          <w:tcPr>
            <w:tcW w:w="31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4,291</w:t>
            </w:r>
          </w:p>
        </w:tc>
        <w:tc>
          <w:tcPr>
            <w:tcW w:w="28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0" w:type="dxa"/>
            <w:vAlign w:val="bottom"/>
          </w:tcPr>
          <w:p>
            <w:pPr>
              <w:spacing w:after="0"/>
              <w:rPr>
                <w:sz w:val="1"/>
                <w:szCs w:val="1"/>
                <w:color w:val="auto"/>
              </w:rPr>
            </w:pPr>
          </w:p>
        </w:tc>
      </w:tr>
      <w:tr>
        <w:trPr>
          <w:trHeight w:val="196"/>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3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(3,512)</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0" w:type="dxa"/>
            <w:vAlign w:val="bottom"/>
          </w:tcPr>
          <w:p>
            <w:pPr>
              <w:spacing w:after="0"/>
              <w:rPr>
                <w:sz w:val="1"/>
                <w:szCs w:val="1"/>
                <w:color w:val="auto"/>
              </w:rPr>
            </w:pPr>
          </w:p>
        </w:tc>
      </w:tr>
      <w:tr>
        <w:trPr>
          <w:trHeight w:val="202"/>
        </w:trPr>
        <w:tc>
          <w:tcPr>
            <w:tcW w:w="53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amortization</w:t>
            </w:r>
          </w:p>
        </w:tc>
        <w:tc>
          <w:tcPr>
            <w:tcW w:w="3100" w:type="dxa"/>
            <w:vAlign w:val="bottom"/>
            <w:tcBorders>
              <w:bottom w:val="single" w:sz="8" w:color="auto"/>
            </w:tcBorders>
            <w:shd w:val="clear" w:color="auto" w:fill="B6B6B6"/>
          </w:tcPr>
          <w:p>
            <w:pPr>
              <w:spacing w:after="0"/>
              <w:rPr>
                <w:sz w:val="17"/>
                <w:szCs w:val="17"/>
                <w:color w:val="auto"/>
              </w:rPr>
            </w:pPr>
          </w:p>
        </w:tc>
        <w:tc>
          <w:tcPr>
            <w:tcW w:w="128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3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779</w:t>
            </w:r>
          </w:p>
        </w:tc>
        <w:tc>
          <w:tcPr>
            <w:tcW w:w="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net periodic pension cost of $194,000 and $389,000 for the three and six-month periods ended June 30, 2024, and $99,000 and $199,000 for the three and six-month periods June 30, 2023. The Company made no contributions to the Plan during the six-month period ended June 30, 2024 and does not expect to make any contributions for the remainder of 2024.</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to the above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91"/>
        </w:trPr>
        <w:tc>
          <w:tcPr>
            <w:tcW w:w="5360" w:type="dxa"/>
            <w:vAlign w:val="bottom"/>
            <w:tcBorders>
              <w:bottom w:val="single" w:sz="8" w:color="auto"/>
            </w:tcBorders>
            <w:vMerge w:val="continue"/>
          </w:tcPr>
          <w:p>
            <w:pPr>
              <w:spacing w:after="0"/>
              <w:rPr>
                <w:sz w:val="16"/>
                <w:szCs w:val="16"/>
                <w:color w:val="auto"/>
              </w:rPr>
            </w:pPr>
          </w:p>
        </w:tc>
        <w:tc>
          <w:tcPr>
            <w:tcW w:w="40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53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cost on projected benefit obligation</w:t>
            </w:r>
          </w:p>
        </w:tc>
        <w:tc>
          <w:tcPr>
            <w:tcW w:w="4000" w:type="dxa"/>
            <w:vAlign w:val="bottom"/>
            <w:tcBorders>
              <w:bottom w:val="single" w:sz="8" w:color="auto"/>
            </w:tcBorders>
            <w:shd w:val="clear" w:color="auto" w:fill="B6B6B6"/>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451</w:t>
            </w:r>
          </w:p>
        </w:tc>
        <w:tc>
          <w:tcPr>
            <w:tcW w:w="38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r>
        <w:trPr>
          <w:trHeight w:val="192"/>
        </w:trPr>
        <w:tc>
          <w:tcPr>
            <w:tcW w:w="53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400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451</w:t>
            </w:r>
          </w:p>
        </w:tc>
        <w:tc>
          <w:tcPr>
            <w:tcW w:w="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SERP cost recorded to expense was $112,000 and $225,000 for the three and six-month periods ended June 30, 2024, and was $118,000 and $236,000 for the three and six-month periods ended June 30, 2023.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10 – Income Taxes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tax rate was 22.6% and 21.4% for the three and six-month periods ended June 30, 2024, and was 19.5% and 20.1% for the three and six-month periods ended June 30, 2023, respectively. The effective tax rate for all periods differs from the statutory rate of 21% primarily due to state related taxes partially offset by the tax-exempt interest received from municipal bonds and bank-owned life insurance, among other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11 – Investment in Securities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tcPr>
          <w:p>
            <w:pPr>
              <w:jc w:val="center"/>
              <w:ind w:left="369"/>
              <w:spacing w:after="0" w:line="134" w:lineRule="exact"/>
              <w:rPr>
                <w:sz w:val="20"/>
                <w:szCs w:val="20"/>
                <w:color w:val="auto"/>
              </w:rPr>
            </w:pPr>
            <w:r>
              <w:rPr>
                <w:rFonts w:ascii="Times New Roman" w:cs="Times New Roman" w:eastAsia="Times New Roman" w:hAnsi="Times New Roman"/>
                <w:sz w:val="14"/>
                <w:szCs w:val="14"/>
                <w:b w:val="1"/>
                <w:bCs w:val="1"/>
                <w:color w:val="auto"/>
              </w:rPr>
              <w:t>Gross</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jc w:val="center"/>
              <w:ind w:right="369"/>
              <w:spacing w:after="0" w:line="13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360" w:type="dxa"/>
            <w:vAlign w:val="bottom"/>
          </w:tcPr>
          <w:p>
            <w:pPr>
              <w:spacing w:after="0"/>
              <w:rPr>
                <w:sz w:val="11"/>
                <w:szCs w:val="11"/>
                <w:color w:val="auto"/>
              </w:rPr>
            </w:pPr>
          </w:p>
        </w:tc>
        <w:tc>
          <w:tcPr>
            <w:tcW w:w="1160" w:type="dxa"/>
            <w:vAlign w:val="bottom"/>
            <w:vMerge w:val="restart"/>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160" w:type="dxa"/>
            <w:vAlign w:val="bottom"/>
          </w:tcPr>
          <w:p>
            <w:pPr>
              <w:jc w:val="center"/>
              <w:ind w:left="369"/>
              <w:spacing w:after="0" w:line="138"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jc w:val="center"/>
              <w:ind w:right="369"/>
              <w:spacing w:after="0" w:line="13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0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Borders>
              <w:bottom w:val="single" w:sz="8" w:color="auto"/>
            </w:tcBorders>
          </w:tcPr>
          <w:p>
            <w:pPr>
              <w:jc w:val="center"/>
              <w:ind w:left="36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6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2"/>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6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220,717</w:t>
            </w:r>
          </w:p>
        </w:tc>
        <w:tc>
          <w:tcPr>
            <w:tcW w:w="1160" w:type="dxa"/>
            <w:vAlign w:val="bottom"/>
            <w:shd w:val="clear" w:color="auto" w:fill="B6B6B6"/>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w:t>
            </w:r>
          </w:p>
        </w:tc>
        <w:tc>
          <w:tcPr>
            <w:tcW w:w="46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36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202,298</w:t>
            </w: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 U.S. government agencies or</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sponsored enterprises</w:t>
            </w:r>
          </w:p>
        </w:tc>
        <w:tc>
          <w:tcPr>
            <w:tcW w:w="26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212,270</w:t>
            </w:r>
          </w:p>
        </w:tc>
        <w:tc>
          <w:tcPr>
            <w:tcW w:w="1160" w:type="dxa"/>
            <w:vAlign w:val="bottom"/>
          </w:tcPr>
          <w:p>
            <w:pPr>
              <w:spacing w:after="0"/>
              <w:rPr>
                <w:sz w:val="16"/>
                <w:szCs w:val="16"/>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(32,447)</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179,823</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60" w:type="dxa"/>
            <w:vAlign w:val="bottom"/>
            <w:shd w:val="clear" w:color="auto" w:fill="B6B6B6"/>
          </w:tcPr>
          <w:p>
            <w:pPr>
              <w:spacing w:after="0"/>
              <w:rPr>
                <w:sz w:val="18"/>
                <w:szCs w:val="18"/>
                <w:color w:val="auto"/>
              </w:rPr>
            </w:pPr>
          </w:p>
        </w:tc>
        <w:tc>
          <w:tcPr>
            <w:tcW w:w="126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118,986</w:t>
            </w:r>
          </w:p>
        </w:tc>
        <w:tc>
          <w:tcPr>
            <w:tcW w:w="1160" w:type="dxa"/>
            <w:vAlign w:val="bottom"/>
            <w:shd w:val="clear" w:color="auto" w:fill="B6B6B6"/>
          </w:tcPr>
          <w:p>
            <w:pPr>
              <w:spacing w:after="0"/>
              <w:rPr>
                <w:sz w:val="18"/>
                <w:szCs w:val="18"/>
                <w:color w:val="auto"/>
              </w:rPr>
            </w:pPr>
          </w:p>
        </w:tc>
        <w:tc>
          <w:tcPr>
            <w:tcW w:w="4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46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109,938</w:t>
            </w:r>
          </w:p>
        </w:tc>
        <w:tc>
          <w:tcPr>
            <w:tcW w:w="0" w:type="dxa"/>
            <w:vAlign w:val="bottom"/>
          </w:tcPr>
          <w:p>
            <w:pPr>
              <w:spacing w:after="0"/>
              <w:rPr>
                <w:sz w:val="1"/>
                <w:szCs w:val="1"/>
                <w:color w:val="auto"/>
              </w:rPr>
            </w:pPr>
          </w:p>
        </w:tc>
      </w:tr>
      <w:tr>
        <w:trPr>
          <w:trHeight w:val="19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60" w:type="dxa"/>
            <w:vAlign w:val="bottom"/>
          </w:tcPr>
          <w:p>
            <w:pPr>
              <w:spacing w:after="0"/>
              <w:rPr>
                <w:sz w:val="17"/>
                <w:szCs w:val="17"/>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9,992</w:t>
            </w:r>
          </w:p>
        </w:tc>
        <w:tc>
          <w:tcPr>
            <w:tcW w:w="1160" w:type="dxa"/>
            <w:vAlign w:val="bottom"/>
          </w:tcPr>
          <w:p>
            <w:pPr>
              <w:spacing w:after="0"/>
              <w:rPr>
                <w:sz w:val="17"/>
                <w:szCs w:val="17"/>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9,973</w:t>
            </w:r>
          </w:p>
        </w:tc>
        <w:tc>
          <w:tcPr>
            <w:tcW w:w="0" w:type="dxa"/>
            <w:vAlign w:val="bottom"/>
          </w:tcPr>
          <w:p>
            <w:pPr>
              <w:spacing w:after="0"/>
              <w:rPr>
                <w:sz w:val="1"/>
                <w:szCs w:val="1"/>
                <w:color w:val="auto"/>
              </w:rPr>
            </w:pPr>
          </w:p>
        </w:tc>
      </w:tr>
      <w:tr>
        <w:trPr>
          <w:trHeight w:val="171"/>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 government agencies or sponsored</w:t>
            </w:r>
          </w:p>
        </w:tc>
        <w:tc>
          <w:tcPr>
            <w:tcW w:w="260" w:type="dxa"/>
            <w:vAlign w:val="bottom"/>
            <w:shd w:val="clear" w:color="auto" w:fill="B6B6B6"/>
          </w:tcPr>
          <w:p>
            <w:pPr>
              <w:spacing w:after="0"/>
              <w:rPr>
                <w:sz w:val="14"/>
                <w:szCs w:val="14"/>
                <w:color w:val="auto"/>
              </w:rPr>
            </w:pPr>
          </w:p>
        </w:tc>
        <w:tc>
          <w:tcPr>
            <w:tcW w:w="1260" w:type="dxa"/>
            <w:vAlign w:val="bottom"/>
            <w:shd w:val="clear" w:color="auto" w:fill="B6B6B6"/>
          </w:tcPr>
          <w:p>
            <w:pPr>
              <w:spacing w:after="0"/>
              <w:rPr>
                <w:sz w:val="14"/>
                <w:szCs w:val="14"/>
                <w:color w:val="auto"/>
              </w:rPr>
            </w:pPr>
          </w:p>
        </w:tc>
        <w:tc>
          <w:tcPr>
            <w:tcW w:w="1160" w:type="dxa"/>
            <w:vAlign w:val="bottom"/>
            <w:shd w:val="clear" w:color="auto" w:fill="B6B6B6"/>
          </w:tcPr>
          <w:p>
            <w:pPr>
              <w:spacing w:after="0"/>
              <w:rPr>
                <w:sz w:val="14"/>
                <w:szCs w:val="14"/>
                <w:color w:val="auto"/>
              </w:rPr>
            </w:pPr>
          </w:p>
        </w:tc>
        <w:tc>
          <w:tcPr>
            <w:tcW w:w="400" w:type="dxa"/>
            <w:vAlign w:val="bottom"/>
            <w:shd w:val="clear" w:color="auto" w:fill="B6B6B6"/>
          </w:tcPr>
          <w:p>
            <w:pPr>
              <w:spacing w:after="0"/>
              <w:rPr>
                <w:sz w:val="14"/>
                <w:szCs w:val="14"/>
                <w:color w:val="auto"/>
              </w:rPr>
            </w:pPr>
          </w:p>
        </w:tc>
        <w:tc>
          <w:tcPr>
            <w:tcW w:w="460" w:type="dxa"/>
            <w:vAlign w:val="bottom"/>
            <w:shd w:val="clear" w:color="auto" w:fill="B6B6B6"/>
          </w:tcPr>
          <w:p>
            <w:pPr>
              <w:spacing w:after="0"/>
              <w:rPr>
                <w:sz w:val="14"/>
                <w:szCs w:val="14"/>
                <w:color w:val="auto"/>
              </w:rPr>
            </w:pPr>
          </w:p>
        </w:tc>
        <w:tc>
          <w:tcPr>
            <w:tcW w:w="1140" w:type="dxa"/>
            <w:vAlign w:val="bottom"/>
            <w:shd w:val="clear" w:color="auto" w:fill="B6B6B6"/>
          </w:tcPr>
          <w:p>
            <w:pPr>
              <w:spacing w:after="0"/>
              <w:rPr>
                <w:sz w:val="14"/>
                <w:szCs w:val="14"/>
                <w:color w:val="auto"/>
              </w:rPr>
            </w:pPr>
          </w:p>
        </w:tc>
        <w:tc>
          <w:tcPr>
            <w:tcW w:w="360" w:type="dxa"/>
            <w:vAlign w:val="bottom"/>
            <w:shd w:val="clear" w:color="auto" w:fill="B6B6B6"/>
          </w:tcPr>
          <w:p>
            <w:pPr>
              <w:spacing w:after="0"/>
              <w:rPr>
                <w:sz w:val="14"/>
                <w:szCs w:val="14"/>
                <w:color w:val="auto"/>
              </w:rPr>
            </w:pPr>
          </w:p>
        </w:tc>
        <w:tc>
          <w:tcPr>
            <w:tcW w:w="11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enterprises</w:t>
            </w:r>
          </w:p>
        </w:tc>
        <w:tc>
          <w:tcPr>
            <w:tcW w:w="260" w:type="dxa"/>
            <w:vAlign w:val="bottom"/>
            <w:tcBorders>
              <w:bottom w:val="single" w:sz="8" w:color="auto"/>
            </w:tcBorders>
            <w:shd w:val="clear" w:color="auto" w:fill="B6B6B6"/>
          </w:tcPr>
          <w:p>
            <w:pPr>
              <w:spacing w:after="0"/>
              <w:rPr>
                <w:sz w:val="16"/>
                <w:szCs w:val="16"/>
                <w:color w:val="auto"/>
              </w:rPr>
            </w:pPr>
          </w:p>
        </w:tc>
        <w:tc>
          <w:tcPr>
            <w:tcW w:w="126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39,310</w:t>
            </w:r>
          </w:p>
        </w:tc>
        <w:tc>
          <w:tcPr>
            <w:tcW w:w="1160" w:type="dxa"/>
            <w:vAlign w:val="bottom"/>
            <w:tcBorders>
              <w:bottom w:val="single" w:sz="8" w:color="auto"/>
            </w:tcBorders>
            <w:shd w:val="clear" w:color="auto" w:fill="B6B6B6"/>
          </w:tcPr>
          <w:p>
            <w:pPr>
              <w:spacing w:after="0"/>
              <w:rPr>
                <w:sz w:val="16"/>
                <w:szCs w:val="16"/>
                <w:color w:val="auto"/>
              </w:rPr>
            </w:pPr>
          </w:p>
        </w:tc>
        <w:tc>
          <w:tcPr>
            <w:tcW w:w="40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B6B6B6"/>
          </w:tcPr>
          <w:p>
            <w:pPr>
              <w:spacing w:after="0"/>
              <w:rPr>
                <w:sz w:val="16"/>
                <w:szCs w:val="16"/>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360" w:type="dxa"/>
            <w:vAlign w:val="bottom"/>
            <w:tcBorders>
              <w:bottom w:val="single" w:sz="8" w:color="auto"/>
            </w:tcBorders>
            <w:shd w:val="clear" w:color="auto" w:fill="B6B6B6"/>
          </w:tcPr>
          <w:p>
            <w:pPr>
              <w:spacing w:after="0"/>
              <w:rPr>
                <w:sz w:val="16"/>
                <w:szCs w:val="16"/>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38,770</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601,275</w:t>
            </w:r>
          </w:p>
        </w:tc>
        <w:tc>
          <w:tcPr>
            <w:tcW w:w="116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4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(60,498)</w:t>
            </w:r>
          </w:p>
        </w:tc>
        <w:tc>
          <w:tcPr>
            <w:tcW w:w="36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540,802</w:t>
            </w:r>
          </w:p>
        </w:tc>
        <w:tc>
          <w:tcPr>
            <w:tcW w:w="0" w:type="dxa"/>
            <w:vAlign w:val="bottom"/>
          </w:tcPr>
          <w:p>
            <w:pPr>
              <w:spacing w:after="0"/>
              <w:rPr>
                <w:sz w:val="1"/>
                <w:szCs w:val="1"/>
                <w:color w:val="auto"/>
              </w:rPr>
            </w:pPr>
          </w:p>
        </w:tc>
      </w:tr>
      <w:tr>
        <w:trPr>
          <w:trHeight w:val="707"/>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-17-</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4"/>
        </w:trPr>
        <w:tc>
          <w:tcPr>
            <w:tcW w:w="1060" w:type="dxa"/>
            <w:vAlign w:val="bottom"/>
            <w:tcBorders>
              <w:top w:val="single" w:sz="8" w:color="0000FF"/>
            </w:tcBorders>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restart"/>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600" w:type="dxa"/>
            <w:vAlign w:val="bottom"/>
          </w:tcPr>
          <w:p>
            <w:pPr>
              <w:spacing w:after="0"/>
              <w:rPr>
                <w:sz w:val="12"/>
                <w:szCs w:val="12"/>
                <w:color w:val="auto"/>
              </w:rPr>
            </w:pPr>
          </w:p>
        </w:tc>
        <w:tc>
          <w:tcPr>
            <w:tcW w:w="680" w:type="dxa"/>
            <w:vAlign w:val="bottom"/>
          </w:tcPr>
          <w:p>
            <w:pPr>
              <w:jc w:val="right"/>
              <w:ind w:right="189"/>
              <w:spacing w:after="0" w:line="139"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center"/>
              <w:ind w:right="489"/>
              <w:spacing w:after="0" w:line="13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2"/>
          </w:tcPr>
          <w:p>
            <w:pPr>
              <w:jc w:val="right"/>
              <w:ind w:right="4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269"/>
              <w:spacing w:after="0" w:line="14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30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B6B6B6"/>
          </w:tcPr>
          <w:p>
            <w:pPr>
              <w:spacing w:after="0"/>
              <w:rPr>
                <w:sz w:val="16"/>
                <w:szCs w:val="16"/>
                <w:color w:val="auto"/>
              </w:rPr>
            </w:pPr>
          </w:p>
        </w:tc>
        <w:tc>
          <w:tcPr>
            <w:tcW w:w="1120" w:type="dxa"/>
            <w:vAlign w:val="bottom"/>
            <w:shd w:val="clear" w:color="auto" w:fill="B6B6B6"/>
          </w:tcPr>
          <w:p>
            <w:pPr>
              <w:spacing w:after="0"/>
              <w:rPr>
                <w:sz w:val="16"/>
                <w:szCs w:val="16"/>
                <w:color w:val="auto"/>
              </w:rPr>
            </w:pPr>
          </w:p>
        </w:tc>
        <w:tc>
          <w:tcPr>
            <w:tcW w:w="1060" w:type="dxa"/>
            <w:vAlign w:val="bottom"/>
            <w:gridSpan w:val="2"/>
            <w:shd w:val="clear" w:color="auto" w:fill="B6B6B6"/>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B6B6B6"/>
          </w:tcPr>
          <w:p>
            <w:pPr>
              <w:spacing w:after="0"/>
              <w:rPr>
                <w:sz w:val="16"/>
                <w:szCs w:val="16"/>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235,297</w:t>
            </w:r>
          </w:p>
        </w:tc>
        <w:tc>
          <w:tcPr>
            <w:tcW w:w="600" w:type="dxa"/>
            <w:vAlign w:val="bottom"/>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B6B6B6"/>
          </w:tcPr>
          <w:p>
            <w:pPr>
              <w:spacing w:after="0"/>
              <w:rPr>
                <w:sz w:val="16"/>
                <w:szCs w:val="16"/>
                <w:color w:val="auto"/>
              </w:rPr>
            </w:pP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6"/>
                <w:szCs w:val="16"/>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B6B6B6"/>
          </w:tcPr>
          <w:p>
            <w:pPr>
              <w:spacing w:after="0"/>
              <w:rPr>
                <w:sz w:val="16"/>
                <w:szCs w:val="16"/>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219,035</w:t>
            </w:r>
          </w:p>
        </w:tc>
        <w:tc>
          <w:tcPr>
            <w:tcW w:w="0" w:type="dxa"/>
            <w:vAlign w:val="bottom"/>
          </w:tcPr>
          <w:p>
            <w:pPr>
              <w:spacing w:after="0"/>
              <w:rPr>
                <w:sz w:val="1"/>
                <w:szCs w:val="1"/>
                <w:color w:val="auto"/>
              </w:rPr>
            </w:pPr>
          </w:p>
        </w:tc>
      </w:tr>
      <w:tr>
        <w:trPr>
          <w:trHeight w:val="176"/>
        </w:trPr>
        <w:tc>
          <w:tcPr>
            <w:tcW w:w="546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 U.S. government agencies or</w:t>
            </w:r>
          </w:p>
        </w:tc>
        <w:tc>
          <w:tcPr>
            <w:tcW w:w="3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188,307</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157,799</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sponsored enterprises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680" w:type="dxa"/>
            <w:vAlign w:val="bottom"/>
            <w:shd w:val="clear" w:color="auto" w:fill="B6B6B6"/>
          </w:tcPr>
          <w:p>
            <w:pPr>
              <w:spacing w:after="0"/>
              <w:rPr>
                <w:sz w:val="17"/>
                <w:szCs w:val="17"/>
                <w:color w:val="auto"/>
              </w:rPr>
            </w:pPr>
          </w:p>
        </w:tc>
        <w:tc>
          <w:tcPr>
            <w:tcW w:w="38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111,109</w:t>
            </w:r>
          </w:p>
        </w:tc>
        <w:tc>
          <w:tcPr>
            <w:tcW w:w="600" w:type="dxa"/>
            <w:vAlign w:val="bottom"/>
            <w:shd w:val="clear" w:color="auto" w:fill="B6B6B6"/>
          </w:tcPr>
          <w:p>
            <w:pPr>
              <w:spacing w:after="0"/>
              <w:rPr>
                <w:sz w:val="17"/>
                <w:szCs w:val="17"/>
                <w:color w:val="auto"/>
              </w:rPr>
            </w:pPr>
          </w:p>
        </w:tc>
        <w:tc>
          <w:tcPr>
            <w:tcW w:w="680" w:type="dxa"/>
            <w:vAlign w:val="bottom"/>
            <w:shd w:val="clear" w:color="auto" w:fill="B6B6B6"/>
          </w:tcPr>
          <w:p>
            <w:pPr>
              <w:spacing w:after="0"/>
              <w:rPr>
                <w:sz w:val="17"/>
                <w:szCs w:val="17"/>
                <w:color w:val="auto"/>
              </w:rPr>
            </w:pP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20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102,340</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109,836</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108,721</w:t>
            </w:r>
          </w:p>
        </w:tc>
        <w:tc>
          <w:tcPr>
            <w:tcW w:w="0" w:type="dxa"/>
            <w:vAlign w:val="bottom"/>
          </w:tcPr>
          <w:p>
            <w:pPr>
              <w:spacing w:after="0"/>
              <w:rPr>
                <w:sz w:val="1"/>
                <w:szCs w:val="1"/>
                <w:color w:val="auto"/>
              </w:rPr>
            </w:pPr>
          </w:p>
        </w:tc>
      </w:tr>
      <w:tr>
        <w:trPr>
          <w:trHeight w:val="182"/>
        </w:trPr>
        <w:tc>
          <w:tcPr>
            <w:tcW w:w="5460" w:type="dxa"/>
            <w:vAlign w:val="bottom"/>
            <w:gridSpan w:val="6"/>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 government agencies or sponsored</w:t>
            </w:r>
          </w:p>
        </w:tc>
        <w:tc>
          <w:tcPr>
            <w:tcW w:w="320" w:type="dxa"/>
            <w:vAlign w:val="bottom"/>
            <w:shd w:val="clear" w:color="auto" w:fill="B6B6B6"/>
          </w:tcPr>
          <w:p>
            <w:pPr>
              <w:spacing w:after="0"/>
              <w:rPr>
                <w:sz w:val="15"/>
                <w:szCs w:val="15"/>
                <w:color w:val="auto"/>
              </w:rPr>
            </w:pPr>
          </w:p>
        </w:tc>
        <w:tc>
          <w:tcPr>
            <w:tcW w:w="7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40,368</w:t>
            </w:r>
          </w:p>
        </w:tc>
        <w:tc>
          <w:tcPr>
            <w:tcW w:w="600" w:type="dxa"/>
            <w:vAlign w:val="bottom"/>
            <w:shd w:val="clear" w:color="auto" w:fill="B6B6B6"/>
          </w:tcPr>
          <w:p>
            <w:pPr>
              <w:spacing w:after="0"/>
              <w:rPr>
                <w:sz w:val="15"/>
                <w:szCs w:val="15"/>
                <w:color w:val="auto"/>
              </w:rPr>
            </w:pPr>
          </w:p>
        </w:tc>
        <w:tc>
          <w:tcPr>
            <w:tcW w:w="680" w:type="dxa"/>
            <w:vAlign w:val="bottom"/>
            <w:shd w:val="clear" w:color="auto" w:fill="B6B6B6"/>
          </w:tcPr>
          <w:p>
            <w:pPr>
              <w:spacing w:after="0"/>
              <w:rPr>
                <w:sz w:val="15"/>
                <w:szCs w:val="15"/>
                <w:color w:val="auto"/>
              </w:rPr>
            </w:pPr>
          </w:p>
        </w:tc>
        <w:tc>
          <w:tcPr>
            <w:tcW w:w="2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9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200" w:type="dxa"/>
            <w:vAlign w:val="bottom"/>
            <w:shd w:val="clear" w:color="auto" w:fill="B6B6B6"/>
          </w:tcPr>
          <w:p>
            <w:pPr>
              <w:spacing w:after="0"/>
              <w:rPr>
                <w:sz w:val="15"/>
                <w:szCs w:val="15"/>
                <w:color w:val="auto"/>
              </w:rPr>
            </w:pPr>
          </w:p>
        </w:tc>
        <w:tc>
          <w:tcPr>
            <w:tcW w:w="220" w:type="dxa"/>
            <w:vAlign w:val="bottom"/>
            <w:shd w:val="clear" w:color="auto" w:fill="B6B6B6"/>
          </w:tcPr>
          <w:p>
            <w:pPr>
              <w:spacing w:after="0"/>
              <w:rPr>
                <w:sz w:val="15"/>
                <w:szCs w:val="15"/>
                <w:color w:val="auto"/>
              </w:rPr>
            </w:pPr>
          </w:p>
        </w:tc>
        <w:tc>
          <w:tcPr>
            <w:tcW w:w="11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39,222</w:t>
            </w:r>
          </w:p>
        </w:tc>
        <w:tc>
          <w:tcPr>
            <w:tcW w:w="0" w:type="dxa"/>
            <w:vAlign w:val="bottom"/>
          </w:tcPr>
          <w:p>
            <w:pPr>
              <w:spacing w:after="0"/>
              <w:rPr>
                <w:sz w:val="1"/>
                <w:szCs w:val="1"/>
                <w:color w:val="auto"/>
              </w:rPr>
            </w:pPr>
          </w:p>
        </w:tc>
      </w:tr>
      <w:tr>
        <w:trPr>
          <w:trHeight w:val="184"/>
        </w:trPr>
        <w:tc>
          <w:tcPr>
            <w:tcW w:w="30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enterprises</w:t>
            </w:r>
          </w:p>
        </w:tc>
        <w:tc>
          <w:tcPr>
            <w:tcW w:w="20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shd w:val="clear" w:color="auto" w:fill="B6B6B6"/>
          </w:tcPr>
          <w:p>
            <w:pPr>
              <w:spacing w:after="0"/>
              <w:rPr>
                <w:sz w:val="16"/>
                <w:szCs w:val="16"/>
                <w:color w:val="auto"/>
              </w:rPr>
            </w:pPr>
          </w:p>
        </w:tc>
        <w:tc>
          <w:tcPr>
            <w:tcW w:w="680" w:type="dxa"/>
            <w:vAlign w:val="bottom"/>
            <w:tcBorders>
              <w:bottom w:val="single" w:sz="8" w:color="auto"/>
            </w:tcBorders>
            <w:shd w:val="clear" w:color="auto" w:fill="B6B6B6"/>
          </w:tcPr>
          <w:p>
            <w:pPr>
              <w:spacing w:after="0"/>
              <w:rPr>
                <w:sz w:val="16"/>
                <w:szCs w:val="16"/>
                <w:color w:val="auto"/>
              </w:rPr>
            </w:pPr>
          </w:p>
        </w:tc>
        <w:tc>
          <w:tcPr>
            <w:tcW w:w="38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spacing w:after="0"/>
              <w:rPr>
                <w:sz w:val="16"/>
                <w:szCs w:val="16"/>
                <w:color w:val="auto"/>
              </w:rPr>
            </w:pPr>
          </w:p>
        </w:tc>
        <w:tc>
          <w:tcPr>
            <w:tcW w:w="780" w:type="dxa"/>
            <w:vAlign w:val="bottom"/>
            <w:tcBorders>
              <w:bottom w:val="single" w:sz="8" w:color="auto"/>
            </w:tcBorders>
            <w:vMerge w:val="continue"/>
            <w:shd w:val="clear" w:color="auto" w:fill="B6B6B6"/>
          </w:tcPr>
          <w:p>
            <w:pPr>
              <w:spacing w:after="0"/>
              <w:rPr>
                <w:sz w:val="16"/>
                <w:szCs w:val="16"/>
                <w:color w:val="auto"/>
              </w:rPr>
            </w:pPr>
          </w:p>
        </w:tc>
        <w:tc>
          <w:tcPr>
            <w:tcW w:w="600" w:type="dxa"/>
            <w:vAlign w:val="bottom"/>
            <w:tcBorders>
              <w:bottom w:val="single" w:sz="8" w:color="auto"/>
            </w:tcBorders>
            <w:shd w:val="clear" w:color="auto" w:fill="B6B6B6"/>
          </w:tcPr>
          <w:p>
            <w:pPr>
              <w:spacing w:after="0"/>
              <w:rPr>
                <w:sz w:val="16"/>
                <w:szCs w:val="16"/>
                <w:color w:val="auto"/>
              </w:rPr>
            </w:pPr>
          </w:p>
        </w:tc>
        <w:tc>
          <w:tcPr>
            <w:tcW w:w="680" w:type="dxa"/>
            <w:vAlign w:val="bottom"/>
            <w:tcBorders>
              <w:bottom w:val="single" w:sz="8" w:color="auto"/>
            </w:tcBorders>
            <w:shd w:val="clear" w:color="auto" w:fill="B6B6B6"/>
          </w:tcPr>
          <w:p>
            <w:pPr>
              <w:spacing w:after="0"/>
              <w:rPr>
                <w:sz w:val="16"/>
                <w:szCs w:val="16"/>
                <w:color w:val="auto"/>
              </w:rPr>
            </w:pPr>
          </w:p>
        </w:tc>
        <w:tc>
          <w:tcPr>
            <w:tcW w:w="280" w:type="dxa"/>
            <w:vAlign w:val="bottom"/>
            <w:tcBorders>
              <w:bottom w:val="single" w:sz="8" w:color="auto"/>
            </w:tcBorders>
            <w:vMerge w:val="continue"/>
            <w:shd w:val="clear" w:color="auto" w:fill="B6B6B6"/>
          </w:tcPr>
          <w:p>
            <w:pPr>
              <w:spacing w:after="0"/>
              <w:rPr>
                <w:sz w:val="16"/>
                <w:szCs w:val="16"/>
                <w:color w:val="auto"/>
              </w:rPr>
            </w:pPr>
          </w:p>
        </w:tc>
        <w:tc>
          <w:tcPr>
            <w:tcW w:w="420" w:type="dxa"/>
            <w:vAlign w:val="bottom"/>
            <w:tcBorders>
              <w:bottom w:val="single" w:sz="8" w:color="auto"/>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spacing w:after="0"/>
              <w:rPr>
                <w:sz w:val="16"/>
                <w:szCs w:val="16"/>
                <w:color w:val="auto"/>
              </w:rPr>
            </w:pPr>
          </w:p>
        </w:tc>
        <w:tc>
          <w:tcPr>
            <w:tcW w:w="980" w:type="dxa"/>
            <w:vAlign w:val="bottom"/>
            <w:tcBorders>
              <w:bottom w:val="single" w:sz="8" w:color="auto"/>
            </w:tcBorders>
            <w:vMerge w:val="continue"/>
            <w:shd w:val="clear" w:color="auto" w:fill="B6B6B6"/>
          </w:tcPr>
          <w:p>
            <w:pPr>
              <w:spacing w:after="0"/>
              <w:rPr>
                <w:sz w:val="16"/>
                <w:szCs w:val="16"/>
                <w:color w:val="auto"/>
              </w:rPr>
            </w:pPr>
          </w:p>
        </w:tc>
        <w:tc>
          <w:tcPr>
            <w:tcW w:w="200" w:type="dxa"/>
            <w:vAlign w:val="bottom"/>
            <w:tcBorders>
              <w:bottom w:val="single" w:sz="8" w:color="auto"/>
            </w:tcBorders>
            <w:shd w:val="clear" w:color="auto" w:fill="B6B6B6"/>
          </w:tcPr>
          <w:p>
            <w:pPr>
              <w:spacing w:after="0"/>
              <w:rPr>
                <w:sz w:val="16"/>
                <w:szCs w:val="16"/>
                <w:color w:val="auto"/>
              </w:rPr>
            </w:pPr>
          </w:p>
        </w:tc>
        <w:tc>
          <w:tcPr>
            <w:tcW w:w="22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vMerge w:val="continue"/>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684,917</w:t>
            </w:r>
          </w:p>
        </w:tc>
        <w:tc>
          <w:tcPr>
            <w:tcW w:w="6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0" w:type="dxa"/>
            <w:vAlign w:val="bottom"/>
          </w:tcPr>
          <w:p>
            <w:pPr>
              <w:spacing w:after="0"/>
              <w:rPr>
                <w:sz w:val="1"/>
                <w:szCs w:val="1"/>
                <w:color w:val="auto"/>
              </w:rPr>
            </w:pPr>
          </w:p>
        </w:tc>
      </w:tr>
      <w:tr>
        <w:trPr>
          <w:trHeight w:val="378"/>
        </w:trPr>
        <w:tc>
          <w:tcPr>
            <w:tcW w:w="44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fair values of securities with unrealized losses are as follows: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1"/>
                <w:szCs w:val="11"/>
                <w:color w:val="auto"/>
              </w:rPr>
            </w:pPr>
          </w:p>
        </w:tc>
        <w:tc>
          <w:tcPr>
            <w:tcW w:w="112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60" w:type="dxa"/>
            <w:vAlign w:val="bottom"/>
            <w:gridSpan w:val="2"/>
          </w:tcPr>
          <w:p>
            <w:pPr>
              <w:jc w:val="center"/>
              <w:ind w:left="28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1"/>
                <w:szCs w:val="11"/>
                <w:color w:val="auto"/>
              </w:rPr>
            </w:pPr>
          </w:p>
        </w:tc>
        <w:tc>
          <w:tcPr>
            <w:tcW w:w="1380" w:type="dxa"/>
            <w:vAlign w:val="bottom"/>
            <w:gridSpan w:val="2"/>
          </w:tcPr>
          <w:p>
            <w:pPr>
              <w:ind w:left="40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8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980" w:type="dxa"/>
            <w:vAlign w:val="bottom"/>
          </w:tcPr>
          <w:p>
            <w:pPr>
              <w:ind w:left="20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0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Borders>
              <w:bottom w:val="single" w:sz="8" w:color="auto"/>
            </w:tcBorders>
            <w:gridSpan w:val="2"/>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5"/>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4,040</w:t>
            </w:r>
          </w:p>
        </w:tc>
        <w:tc>
          <w:tcPr>
            <w:tcW w:w="680" w:type="dxa"/>
            <w:vAlign w:val="bottom"/>
            <w:shd w:val="clear" w:color="auto" w:fill="B6B6B6"/>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B6B6B6"/>
          </w:tcPr>
          <w:p>
            <w:pPr>
              <w:spacing w:after="0"/>
              <w:rPr>
                <w:sz w:val="16"/>
                <w:szCs w:val="16"/>
                <w:color w:val="auto"/>
              </w:rPr>
            </w:pPr>
          </w:p>
        </w:tc>
        <w:tc>
          <w:tcPr>
            <w:tcW w:w="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780" w:type="dxa"/>
            <w:vAlign w:val="bottom"/>
            <w:shd w:val="clear" w:color="auto" w:fill="B6B6B6"/>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189,863</w:t>
            </w:r>
          </w:p>
        </w:tc>
        <w:tc>
          <w:tcPr>
            <w:tcW w:w="680" w:type="dxa"/>
            <w:vAlign w:val="bottom"/>
            <w:shd w:val="clear" w:color="auto" w:fill="B6B6B6"/>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18,414</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193,903</w:t>
            </w:r>
          </w:p>
        </w:tc>
        <w:tc>
          <w:tcPr>
            <w:tcW w:w="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0" w:type="dxa"/>
            <w:vAlign w:val="bottom"/>
          </w:tcPr>
          <w:p>
            <w:pPr>
              <w:spacing w:after="0"/>
              <w:rPr>
                <w:sz w:val="1"/>
                <w:szCs w:val="1"/>
                <w:color w:val="auto"/>
              </w:rPr>
            </w:pPr>
          </w:p>
        </w:tc>
      </w:tr>
      <w:tr>
        <w:trPr>
          <w:trHeight w:val="16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agencies or sponsored enterprises</w:t>
            </w:r>
          </w:p>
        </w:tc>
        <w:tc>
          <w:tcPr>
            <w:tcW w:w="2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36,831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186</w:t>
            </w:r>
          </w:p>
        </w:tc>
        <w:tc>
          <w:tcPr>
            <w:tcW w:w="78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142,992</w:t>
            </w:r>
          </w:p>
        </w:tc>
        <w:tc>
          <w:tcPr>
            <w:tcW w:w="680" w:type="dxa"/>
            <w:vAlign w:val="bottom"/>
          </w:tcPr>
          <w:p>
            <w:pPr>
              <w:spacing w:after="0"/>
              <w:rPr>
                <w:sz w:val="16"/>
                <w:szCs w:val="16"/>
                <w:color w:val="auto"/>
              </w:rPr>
            </w:pPr>
          </w:p>
        </w:tc>
        <w:tc>
          <w:tcPr>
            <w:tcW w:w="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32,261</w:t>
            </w:r>
          </w:p>
        </w:tc>
        <w:tc>
          <w:tcPr>
            <w:tcW w:w="220" w:type="dxa"/>
            <w:vAlign w:val="bottom"/>
          </w:tcPr>
          <w:p>
            <w:pPr>
              <w:spacing w:after="0"/>
              <w:rPr>
                <w:sz w:val="16"/>
                <w:szCs w:val="16"/>
                <w:color w:val="auto"/>
              </w:rPr>
            </w:pP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179,823</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32,447</w:t>
            </w:r>
          </w:p>
        </w:tc>
        <w:tc>
          <w:tcPr>
            <w:tcW w:w="0" w:type="dxa"/>
            <w:vAlign w:val="bottom"/>
          </w:tcPr>
          <w:p>
            <w:pPr>
              <w:spacing w:after="0"/>
              <w:rPr>
                <w:sz w:val="1"/>
                <w:szCs w:val="1"/>
                <w:color w:val="auto"/>
              </w:rPr>
            </w:pPr>
          </w:p>
        </w:tc>
      </w:tr>
      <w:tr>
        <w:trPr>
          <w:trHeight w:val="207"/>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B6B6B6"/>
          </w:tcPr>
          <w:p>
            <w:pPr>
              <w:spacing w:after="0"/>
              <w:rPr>
                <w:sz w:val="18"/>
                <w:szCs w:val="18"/>
                <w:color w:val="auto"/>
              </w:rPr>
            </w:pPr>
          </w:p>
        </w:tc>
        <w:tc>
          <w:tcPr>
            <w:tcW w:w="11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17,653</w:t>
            </w:r>
          </w:p>
        </w:tc>
        <w:tc>
          <w:tcPr>
            <w:tcW w:w="68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350</w:t>
            </w:r>
          </w:p>
        </w:tc>
        <w:tc>
          <w:tcPr>
            <w:tcW w:w="780" w:type="dxa"/>
            <w:vAlign w:val="bottom"/>
            <w:shd w:val="clear" w:color="auto" w:fill="B6B6B6"/>
          </w:tcPr>
          <w:p>
            <w:pPr>
              <w:spacing w:after="0"/>
              <w:rPr>
                <w:sz w:val="18"/>
                <w:szCs w:val="18"/>
                <w:color w:val="auto"/>
              </w:rPr>
            </w:pPr>
          </w:p>
        </w:tc>
        <w:tc>
          <w:tcPr>
            <w:tcW w:w="6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82,255</w:t>
            </w:r>
          </w:p>
        </w:tc>
        <w:tc>
          <w:tcPr>
            <w:tcW w:w="68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4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8,715</w:t>
            </w:r>
          </w:p>
        </w:tc>
        <w:tc>
          <w:tcPr>
            <w:tcW w:w="22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99,908</w:t>
            </w:r>
          </w:p>
        </w:tc>
        <w:tc>
          <w:tcPr>
            <w:tcW w:w="220" w:type="dxa"/>
            <w:vAlign w:val="bottom"/>
            <w:shd w:val="clear" w:color="auto" w:fill="B6B6B6"/>
          </w:tcPr>
          <w:p>
            <w:pPr>
              <w:spacing w:after="0"/>
              <w:rPr>
                <w:sz w:val="18"/>
                <w:szCs w:val="18"/>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9,973</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tcPr>
          <w:p>
            <w:pPr>
              <w:spacing w:after="0"/>
              <w:rPr>
                <w:sz w:val="17"/>
                <w:szCs w:val="17"/>
                <w:color w:val="auto"/>
              </w:rPr>
            </w:pP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9,973</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1"/>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w:t>
            </w:r>
          </w:p>
        </w:tc>
        <w:tc>
          <w:tcPr>
            <w:tcW w:w="200" w:type="dxa"/>
            <w:vAlign w:val="bottom"/>
            <w:shd w:val="clear" w:color="auto" w:fill="B6B6B6"/>
          </w:tcPr>
          <w:p>
            <w:pPr>
              <w:spacing w:after="0"/>
              <w:rPr>
                <w:sz w:val="14"/>
                <w:szCs w:val="14"/>
                <w:color w:val="auto"/>
              </w:rPr>
            </w:pPr>
          </w:p>
        </w:tc>
        <w:tc>
          <w:tcPr>
            <w:tcW w:w="112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38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780" w:type="dxa"/>
            <w:vAlign w:val="bottom"/>
            <w:shd w:val="clear" w:color="auto" w:fill="B6B6B6"/>
          </w:tcPr>
          <w:p>
            <w:pPr>
              <w:spacing w:after="0"/>
              <w:rPr>
                <w:sz w:val="14"/>
                <w:szCs w:val="14"/>
                <w:color w:val="auto"/>
              </w:rPr>
            </w:pPr>
          </w:p>
        </w:tc>
        <w:tc>
          <w:tcPr>
            <w:tcW w:w="60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280" w:type="dxa"/>
            <w:vAlign w:val="bottom"/>
            <w:shd w:val="clear" w:color="auto" w:fill="B6B6B6"/>
          </w:tcPr>
          <w:p>
            <w:pPr>
              <w:spacing w:after="0"/>
              <w:rPr>
                <w:sz w:val="14"/>
                <w:szCs w:val="14"/>
                <w:color w:val="auto"/>
              </w:rPr>
            </w:pPr>
          </w:p>
        </w:tc>
        <w:tc>
          <w:tcPr>
            <w:tcW w:w="420" w:type="dxa"/>
            <w:vAlign w:val="bottom"/>
            <w:shd w:val="clear" w:color="auto" w:fill="B6B6B6"/>
          </w:tcPr>
          <w:p>
            <w:pPr>
              <w:spacing w:after="0"/>
              <w:rPr>
                <w:sz w:val="14"/>
                <w:szCs w:val="14"/>
                <w:color w:val="auto"/>
              </w:rPr>
            </w:pPr>
          </w:p>
        </w:tc>
        <w:tc>
          <w:tcPr>
            <w:tcW w:w="220" w:type="dxa"/>
            <w:vAlign w:val="bottom"/>
            <w:shd w:val="clear" w:color="auto" w:fill="B6B6B6"/>
          </w:tcPr>
          <w:p>
            <w:pPr>
              <w:spacing w:after="0"/>
              <w:rPr>
                <w:sz w:val="14"/>
                <w:szCs w:val="14"/>
                <w:color w:val="auto"/>
              </w:rPr>
            </w:pPr>
          </w:p>
        </w:tc>
        <w:tc>
          <w:tcPr>
            <w:tcW w:w="9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220" w:type="dxa"/>
            <w:vAlign w:val="bottom"/>
            <w:shd w:val="clear" w:color="auto" w:fill="B6B6B6"/>
          </w:tcPr>
          <w:p>
            <w:pPr>
              <w:spacing w:after="0"/>
              <w:rPr>
                <w:sz w:val="14"/>
                <w:szCs w:val="14"/>
                <w:color w:val="auto"/>
              </w:rPr>
            </w:pPr>
          </w:p>
        </w:tc>
        <w:tc>
          <w:tcPr>
            <w:tcW w:w="11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20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B6B6B6"/>
          </w:tcPr>
          <w:p>
            <w:pPr>
              <w:spacing w:after="0"/>
              <w:rPr>
                <w:sz w:val="16"/>
                <w:szCs w:val="16"/>
                <w:color w:val="auto"/>
              </w:rPr>
            </w:pPr>
          </w:p>
        </w:tc>
        <w:tc>
          <w:tcPr>
            <w:tcW w:w="38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B6B6B6"/>
          </w:tcPr>
          <w:p>
            <w:pPr>
              <w:spacing w:after="0"/>
              <w:rPr>
                <w:sz w:val="16"/>
                <w:szCs w:val="16"/>
                <w:color w:val="auto"/>
              </w:rPr>
            </w:pPr>
          </w:p>
        </w:tc>
        <w:tc>
          <w:tcPr>
            <w:tcW w:w="60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38,770</w:t>
            </w:r>
          </w:p>
        </w:tc>
        <w:tc>
          <w:tcPr>
            <w:tcW w:w="680" w:type="dxa"/>
            <w:vAlign w:val="bottom"/>
            <w:tcBorders>
              <w:bottom w:val="single" w:sz="8" w:color="auto"/>
            </w:tcBorders>
            <w:shd w:val="clear" w:color="auto" w:fill="B6B6B6"/>
          </w:tcPr>
          <w:p>
            <w:pPr>
              <w:spacing w:after="0"/>
              <w:rPr>
                <w:sz w:val="16"/>
                <w:szCs w:val="16"/>
                <w:color w:val="auto"/>
              </w:rPr>
            </w:pPr>
          </w:p>
        </w:tc>
        <w:tc>
          <w:tcPr>
            <w:tcW w:w="280" w:type="dxa"/>
            <w:vAlign w:val="bottom"/>
            <w:tcBorders>
              <w:bottom w:val="single" w:sz="8" w:color="auto"/>
            </w:tcBorders>
            <w:shd w:val="clear" w:color="auto" w:fill="B6B6B6"/>
          </w:tcPr>
          <w:p>
            <w:pPr>
              <w:spacing w:after="0"/>
              <w:rPr>
                <w:sz w:val="16"/>
                <w:szCs w:val="16"/>
                <w:color w:val="auto"/>
              </w:rPr>
            </w:pPr>
          </w:p>
        </w:tc>
        <w:tc>
          <w:tcPr>
            <w:tcW w:w="4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540</w:t>
            </w:r>
          </w:p>
        </w:tc>
        <w:tc>
          <w:tcPr>
            <w:tcW w:w="220" w:type="dxa"/>
            <w:vAlign w:val="bottom"/>
            <w:tcBorders>
              <w:bottom w:val="single" w:sz="8" w:color="auto"/>
            </w:tcBorders>
            <w:shd w:val="clear" w:color="auto" w:fill="B6B6B6"/>
          </w:tcPr>
          <w:p>
            <w:pPr>
              <w:spacing w:after="0"/>
              <w:rPr>
                <w:sz w:val="16"/>
                <w:szCs w:val="16"/>
                <w:color w:val="auto"/>
              </w:rPr>
            </w:pPr>
          </w:p>
        </w:tc>
        <w:tc>
          <w:tcPr>
            <w:tcW w:w="1180" w:type="dxa"/>
            <w:vAlign w:val="bottom"/>
            <w:tcBorders>
              <w:bottom w:val="single" w:sz="8" w:color="auto"/>
            </w:tcBorders>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38,770</w:t>
            </w:r>
          </w:p>
        </w:tc>
        <w:tc>
          <w:tcPr>
            <w:tcW w:w="22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58,524</w:t>
            </w:r>
          </w:p>
        </w:tc>
        <w:tc>
          <w:tcPr>
            <w:tcW w:w="6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c>
          <w:tcPr>
            <w:tcW w:w="7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463,853</w:t>
            </w:r>
          </w:p>
        </w:tc>
        <w:tc>
          <w:tcPr>
            <w:tcW w:w="6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59,949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522,377</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60,498</w:t>
            </w:r>
          </w:p>
        </w:tc>
        <w:tc>
          <w:tcPr>
            <w:tcW w:w="0" w:type="dxa"/>
            <w:vAlign w:val="bottom"/>
          </w:tcPr>
          <w:p>
            <w:pPr>
              <w:spacing w:after="0"/>
              <w:rPr>
                <w:sz w:val="1"/>
                <w:szCs w:val="1"/>
                <w:color w:val="auto"/>
              </w:rPr>
            </w:pPr>
          </w:p>
        </w:tc>
      </w:tr>
      <w:tr>
        <w:trPr>
          <w:trHeight w:val="755"/>
        </w:trPr>
        <w:tc>
          <w:tcPr>
            <w:tcW w:w="10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1"/>
                <w:szCs w:val="11"/>
                <w:color w:val="auto"/>
              </w:rPr>
            </w:pPr>
          </w:p>
        </w:tc>
        <w:tc>
          <w:tcPr>
            <w:tcW w:w="112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60" w:type="dxa"/>
            <w:vAlign w:val="bottom"/>
            <w:gridSpan w:val="2"/>
          </w:tcPr>
          <w:p>
            <w:pPr>
              <w:jc w:val="center"/>
              <w:ind w:left="28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1"/>
                <w:szCs w:val="11"/>
                <w:color w:val="auto"/>
              </w:rPr>
            </w:pPr>
          </w:p>
        </w:tc>
        <w:tc>
          <w:tcPr>
            <w:tcW w:w="1380" w:type="dxa"/>
            <w:vAlign w:val="bottom"/>
            <w:gridSpan w:val="2"/>
          </w:tcPr>
          <w:p>
            <w:pPr>
              <w:ind w:left="40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8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980" w:type="dxa"/>
            <w:vAlign w:val="bottom"/>
          </w:tcPr>
          <w:p>
            <w:pPr>
              <w:ind w:left="200"/>
              <w:spacing w:after="0" w:line="13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09"/>
              <w:spacing w:after="0" w:line="13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8"/>
        </w:trPr>
        <w:tc>
          <w:tcPr>
            <w:tcW w:w="3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60" w:type="dxa"/>
            <w:vAlign w:val="bottom"/>
            <w:tcBorders>
              <w:bottom w:val="single" w:sz="8" w:color="auto"/>
            </w:tcBorders>
            <w:gridSpan w:val="2"/>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tcBorders>
              <w:bottom w:val="single" w:sz="8" w:color="auto"/>
            </w:tcBorders>
            <w:gridSpan w:val="2"/>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5"/>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200" w:type="dxa"/>
            <w:vAlign w:val="bottom"/>
            <w:shd w:val="clear" w:color="auto" w:fill="B6B6B6"/>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63,198</w:t>
            </w:r>
          </w:p>
        </w:tc>
        <w:tc>
          <w:tcPr>
            <w:tcW w:w="680" w:type="dxa"/>
            <w:vAlign w:val="bottom"/>
            <w:shd w:val="clear" w:color="auto" w:fill="B6B6B6"/>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B6B6B6"/>
          </w:tcPr>
          <w:p>
            <w:pPr>
              <w:spacing w:after="0"/>
              <w:rPr>
                <w:sz w:val="16"/>
                <w:szCs w:val="16"/>
                <w:color w:val="auto"/>
              </w:rPr>
            </w:pPr>
          </w:p>
        </w:tc>
        <w:tc>
          <w:tcPr>
            <w:tcW w:w="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220</w:t>
            </w:r>
          </w:p>
        </w:tc>
        <w:tc>
          <w:tcPr>
            <w:tcW w:w="780" w:type="dxa"/>
            <w:vAlign w:val="bottom"/>
            <w:shd w:val="clear" w:color="auto" w:fill="B6B6B6"/>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152,854</w:t>
            </w:r>
          </w:p>
        </w:tc>
        <w:tc>
          <w:tcPr>
            <w:tcW w:w="680" w:type="dxa"/>
            <w:vAlign w:val="bottom"/>
            <w:shd w:val="clear" w:color="auto" w:fill="B6B6B6"/>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16,046</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216,052</w:t>
            </w:r>
          </w:p>
        </w:tc>
        <w:tc>
          <w:tcPr>
            <w:tcW w:w="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16,266</w:t>
            </w:r>
          </w:p>
        </w:tc>
        <w:tc>
          <w:tcPr>
            <w:tcW w:w="0" w:type="dxa"/>
            <w:vAlign w:val="bottom"/>
          </w:tcPr>
          <w:p>
            <w:pPr>
              <w:spacing w:after="0"/>
              <w:rPr>
                <w:sz w:val="1"/>
                <w:szCs w:val="1"/>
                <w:color w:val="auto"/>
              </w:rPr>
            </w:pPr>
          </w:p>
        </w:tc>
      </w:tr>
      <w:tr>
        <w:trPr>
          <w:trHeight w:val="16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Mortgage-backed securities issued or guaranteed by</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government agencies or sponsored enterprises</w:t>
            </w:r>
          </w:p>
        </w:tc>
        <w:tc>
          <w:tcPr>
            <w:tcW w:w="20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157,799</w:t>
            </w:r>
          </w:p>
        </w:tc>
        <w:tc>
          <w:tcPr>
            <w:tcW w:w="680" w:type="dxa"/>
            <w:vAlign w:val="bottom"/>
          </w:tcPr>
          <w:p>
            <w:pPr>
              <w:spacing w:after="0"/>
              <w:rPr>
                <w:sz w:val="16"/>
                <w:szCs w:val="16"/>
                <w:color w:val="auto"/>
              </w:rPr>
            </w:pPr>
          </w:p>
        </w:tc>
        <w:tc>
          <w:tcPr>
            <w:tcW w:w="7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30,508</w:t>
            </w:r>
          </w:p>
        </w:tc>
        <w:tc>
          <w:tcPr>
            <w:tcW w:w="220" w:type="dxa"/>
            <w:vAlign w:val="bottom"/>
          </w:tcPr>
          <w:p>
            <w:pPr>
              <w:spacing w:after="0"/>
              <w:rPr>
                <w:sz w:val="16"/>
                <w:szCs w:val="16"/>
                <w:color w:val="auto"/>
              </w:rPr>
            </w:pP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157,799</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30,508</w:t>
            </w:r>
          </w:p>
        </w:tc>
        <w:tc>
          <w:tcPr>
            <w:tcW w:w="0" w:type="dxa"/>
            <w:vAlign w:val="bottom"/>
          </w:tcPr>
          <w:p>
            <w:pPr>
              <w:spacing w:after="0"/>
              <w:rPr>
                <w:sz w:val="1"/>
                <w:szCs w:val="1"/>
                <w:color w:val="auto"/>
              </w:rPr>
            </w:pPr>
          </w:p>
        </w:tc>
      </w:tr>
      <w:tr>
        <w:trPr>
          <w:trHeight w:val="207"/>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200" w:type="dxa"/>
            <w:vAlign w:val="bottom"/>
            <w:shd w:val="clear" w:color="auto" w:fill="B6B6B6"/>
          </w:tcPr>
          <w:p>
            <w:pPr>
              <w:spacing w:after="0"/>
              <w:rPr>
                <w:sz w:val="18"/>
                <w:szCs w:val="18"/>
                <w:color w:val="auto"/>
              </w:rPr>
            </w:pPr>
          </w:p>
        </w:tc>
        <w:tc>
          <w:tcPr>
            <w:tcW w:w="11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19,545</w:t>
            </w:r>
          </w:p>
        </w:tc>
        <w:tc>
          <w:tcPr>
            <w:tcW w:w="680" w:type="dxa"/>
            <w:vAlign w:val="bottom"/>
            <w:shd w:val="clear" w:color="auto" w:fill="B6B6B6"/>
          </w:tcPr>
          <w:p>
            <w:pPr>
              <w:spacing w:after="0"/>
              <w:rPr>
                <w:sz w:val="18"/>
                <w:szCs w:val="18"/>
                <w:color w:val="auto"/>
              </w:rPr>
            </w:pPr>
          </w:p>
        </w:tc>
        <w:tc>
          <w:tcPr>
            <w:tcW w:w="380" w:type="dxa"/>
            <w:vAlign w:val="bottom"/>
            <w:shd w:val="clear" w:color="auto" w:fill="B6B6B6"/>
          </w:tcPr>
          <w:p>
            <w:pPr>
              <w:spacing w:after="0"/>
              <w:rPr>
                <w:sz w:val="18"/>
                <w:szCs w:val="18"/>
                <w:color w:val="auto"/>
              </w:rPr>
            </w:pPr>
          </w:p>
        </w:tc>
        <w:tc>
          <w:tcPr>
            <w:tcW w:w="3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455</w:t>
            </w:r>
          </w:p>
        </w:tc>
        <w:tc>
          <w:tcPr>
            <w:tcW w:w="780" w:type="dxa"/>
            <w:vAlign w:val="bottom"/>
            <w:shd w:val="clear" w:color="auto" w:fill="B6B6B6"/>
          </w:tcPr>
          <w:p>
            <w:pPr>
              <w:spacing w:after="0"/>
              <w:rPr>
                <w:sz w:val="18"/>
                <w:szCs w:val="18"/>
                <w:color w:val="auto"/>
              </w:rPr>
            </w:pPr>
          </w:p>
        </w:tc>
        <w:tc>
          <w:tcPr>
            <w:tcW w:w="6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82,795</w:t>
            </w:r>
          </w:p>
        </w:tc>
        <w:tc>
          <w:tcPr>
            <w:tcW w:w="68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4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8,314</w:t>
            </w:r>
          </w:p>
        </w:tc>
        <w:tc>
          <w:tcPr>
            <w:tcW w:w="220" w:type="dxa"/>
            <w:vAlign w:val="bottom"/>
            <w:shd w:val="clear" w:color="auto" w:fill="B6B6B6"/>
          </w:tcPr>
          <w:p>
            <w:pPr>
              <w:spacing w:after="0"/>
              <w:rPr>
                <w:sz w:val="18"/>
                <w:szCs w:val="18"/>
                <w:color w:val="auto"/>
              </w:rPr>
            </w:pPr>
          </w:p>
        </w:tc>
        <w:tc>
          <w:tcPr>
            <w:tcW w:w="1180" w:type="dxa"/>
            <w:vAlign w:val="bottom"/>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102,340</w:t>
            </w:r>
          </w:p>
        </w:tc>
        <w:tc>
          <w:tcPr>
            <w:tcW w:w="220" w:type="dxa"/>
            <w:vAlign w:val="bottom"/>
            <w:shd w:val="clear" w:color="auto" w:fill="B6B6B6"/>
          </w:tcPr>
          <w:p>
            <w:pPr>
              <w:spacing w:after="0"/>
              <w:rPr>
                <w:sz w:val="18"/>
                <w:szCs w:val="18"/>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0" w:type="dxa"/>
            <w:vAlign w:val="bottom"/>
          </w:tcPr>
          <w:p>
            <w:pPr>
              <w:spacing w:after="0"/>
              <w:rPr>
                <w:sz w:val="1"/>
                <w:szCs w:val="1"/>
                <w:color w:val="auto"/>
              </w:rPr>
            </w:pPr>
          </w:p>
        </w:tc>
      </w:tr>
      <w:tr>
        <w:trPr>
          <w:trHeight w:val="19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securities</w:t>
            </w: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7"/>
                <w:szCs w:val="17"/>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108,721</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1,115</w:t>
            </w:r>
          </w:p>
        </w:tc>
        <w:tc>
          <w:tcPr>
            <w:tcW w:w="220" w:type="dxa"/>
            <w:vAlign w:val="bottom"/>
          </w:tcPr>
          <w:p>
            <w:pPr>
              <w:spacing w:after="0"/>
              <w:rPr>
                <w:sz w:val="17"/>
                <w:szCs w:val="17"/>
                <w:color w:val="auto"/>
              </w:rPr>
            </w:pPr>
          </w:p>
        </w:tc>
        <w:tc>
          <w:tcPr>
            <w:tcW w:w="11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108,721</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71"/>
        </w:trPr>
        <w:tc>
          <w:tcPr>
            <w:tcW w:w="30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Asset backed securities issued or guaranteed by U.S.</w:t>
            </w:r>
          </w:p>
        </w:tc>
        <w:tc>
          <w:tcPr>
            <w:tcW w:w="200" w:type="dxa"/>
            <w:vAlign w:val="bottom"/>
            <w:shd w:val="clear" w:color="auto" w:fill="B6B6B6"/>
          </w:tcPr>
          <w:p>
            <w:pPr>
              <w:spacing w:after="0"/>
              <w:rPr>
                <w:sz w:val="14"/>
                <w:szCs w:val="14"/>
                <w:color w:val="auto"/>
              </w:rPr>
            </w:pPr>
          </w:p>
        </w:tc>
        <w:tc>
          <w:tcPr>
            <w:tcW w:w="112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38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780" w:type="dxa"/>
            <w:vAlign w:val="bottom"/>
            <w:shd w:val="clear" w:color="auto" w:fill="B6B6B6"/>
          </w:tcPr>
          <w:p>
            <w:pPr>
              <w:spacing w:after="0"/>
              <w:rPr>
                <w:sz w:val="14"/>
                <w:szCs w:val="14"/>
                <w:color w:val="auto"/>
              </w:rPr>
            </w:pPr>
          </w:p>
        </w:tc>
        <w:tc>
          <w:tcPr>
            <w:tcW w:w="600" w:type="dxa"/>
            <w:vAlign w:val="bottom"/>
            <w:shd w:val="clear" w:color="auto" w:fill="B6B6B6"/>
          </w:tcPr>
          <w:p>
            <w:pPr>
              <w:spacing w:after="0"/>
              <w:rPr>
                <w:sz w:val="14"/>
                <w:szCs w:val="14"/>
                <w:color w:val="auto"/>
              </w:rPr>
            </w:pPr>
          </w:p>
        </w:tc>
        <w:tc>
          <w:tcPr>
            <w:tcW w:w="680" w:type="dxa"/>
            <w:vAlign w:val="bottom"/>
            <w:shd w:val="clear" w:color="auto" w:fill="B6B6B6"/>
          </w:tcPr>
          <w:p>
            <w:pPr>
              <w:spacing w:after="0"/>
              <w:rPr>
                <w:sz w:val="14"/>
                <w:szCs w:val="14"/>
                <w:color w:val="auto"/>
              </w:rPr>
            </w:pPr>
          </w:p>
        </w:tc>
        <w:tc>
          <w:tcPr>
            <w:tcW w:w="280" w:type="dxa"/>
            <w:vAlign w:val="bottom"/>
            <w:shd w:val="clear" w:color="auto" w:fill="B6B6B6"/>
          </w:tcPr>
          <w:p>
            <w:pPr>
              <w:spacing w:after="0"/>
              <w:rPr>
                <w:sz w:val="14"/>
                <w:szCs w:val="14"/>
                <w:color w:val="auto"/>
              </w:rPr>
            </w:pPr>
          </w:p>
        </w:tc>
        <w:tc>
          <w:tcPr>
            <w:tcW w:w="420" w:type="dxa"/>
            <w:vAlign w:val="bottom"/>
            <w:shd w:val="clear" w:color="auto" w:fill="B6B6B6"/>
          </w:tcPr>
          <w:p>
            <w:pPr>
              <w:spacing w:after="0"/>
              <w:rPr>
                <w:sz w:val="14"/>
                <w:szCs w:val="14"/>
                <w:color w:val="auto"/>
              </w:rPr>
            </w:pPr>
          </w:p>
        </w:tc>
        <w:tc>
          <w:tcPr>
            <w:tcW w:w="220" w:type="dxa"/>
            <w:vAlign w:val="bottom"/>
            <w:shd w:val="clear" w:color="auto" w:fill="B6B6B6"/>
          </w:tcPr>
          <w:p>
            <w:pPr>
              <w:spacing w:after="0"/>
              <w:rPr>
                <w:sz w:val="14"/>
                <w:szCs w:val="14"/>
                <w:color w:val="auto"/>
              </w:rPr>
            </w:pPr>
          </w:p>
        </w:tc>
        <w:tc>
          <w:tcPr>
            <w:tcW w:w="980" w:type="dxa"/>
            <w:vAlign w:val="bottom"/>
            <w:shd w:val="clear" w:color="auto" w:fill="B6B6B6"/>
          </w:tcPr>
          <w:p>
            <w:pPr>
              <w:spacing w:after="0"/>
              <w:rPr>
                <w:sz w:val="14"/>
                <w:szCs w:val="14"/>
                <w:color w:val="auto"/>
              </w:rPr>
            </w:pPr>
          </w:p>
        </w:tc>
        <w:tc>
          <w:tcPr>
            <w:tcW w:w="200" w:type="dxa"/>
            <w:vAlign w:val="bottom"/>
            <w:shd w:val="clear" w:color="auto" w:fill="B6B6B6"/>
          </w:tcPr>
          <w:p>
            <w:pPr>
              <w:spacing w:after="0"/>
              <w:rPr>
                <w:sz w:val="14"/>
                <w:szCs w:val="14"/>
                <w:color w:val="auto"/>
              </w:rPr>
            </w:pPr>
          </w:p>
        </w:tc>
        <w:tc>
          <w:tcPr>
            <w:tcW w:w="220" w:type="dxa"/>
            <w:vAlign w:val="bottom"/>
            <w:shd w:val="clear" w:color="auto" w:fill="B6B6B6"/>
          </w:tcPr>
          <w:p>
            <w:pPr>
              <w:spacing w:after="0"/>
              <w:rPr>
                <w:sz w:val="14"/>
                <w:szCs w:val="14"/>
                <w:color w:val="auto"/>
              </w:rPr>
            </w:pPr>
          </w:p>
        </w:tc>
        <w:tc>
          <w:tcPr>
            <w:tcW w:w="112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080" w:type="dxa"/>
            <w:vAlign w:val="bottom"/>
            <w:tcBorders>
              <w:bottom w:val="single" w:sz="8" w:color="auto"/>
            </w:tcBorders>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government agencies or sponsored enterprises</w:t>
            </w:r>
          </w:p>
        </w:tc>
        <w:tc>
          <w:tcPr>
            <w:tcW w:w="20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B6B6B6"/>
          </w:tcPr>
          <w:p>
            <w:pPr>
              <w:spacing w:after="0"/>
              <w:rPr>
                <w:sz w:val="16"/>
                <w:szCs w:val="16"/>
                <w:color w:val="auto"/>
              </w:rPr>
            </w:pPr>
          </w:p>
        </w:tc>
        <w:tc>
          <w:tcPr>
            <w:tcW w:w="38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B6B6B6"/>
          </w:tcPr>
          <w:p>
            <w:pPr>
              <w:spacing w:after="0"/>
              <w:rPr>
                <w:sz w:val="16"/>
                <w:szCs w:val="16"/>
                <w:color w:val="auto"/>
              </w:rPr>
            </w:pPr>
          </w:p>
        </w:tc>
        <w:tc>
          <w:tcPr>
            <w:tcW w:w="60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39,222</w:t>
            </w:r>
          </w:p>
        </w:tc>
        <w:tc>
          <w:tcPr>
            <w:tcW w:w="680" w:type="dxa"/>
            <w:vAlign w:val="bottom"/>
            <w:tcBorders>
              <w:bottom w:val="single" w:sz="8" w:color="auto"/>
            </w:tcBorders>
            <w:shd w:val="clear" w:color="auto" w:fill="B6B6B6"/>
          </w:tcPr>
          <w:p>
            <w:pPr>
              <w:spacing w:after="0"/>
              <w:rPr>
                <w:sz w:val="16"/>
                <w:szCs w:val="16"/>
                <w:color w:val="auto"/>
              </w:rPr>
            </w:pPr>
          </w:p>
        </w:tc>
        <w:tc>
          <w:tcPr>
            <w:tcW w:w="280" w:type="dxa"/>
            <w:vAlign w:val="bottom"/>
            <w:tcBorders>
              <w:bottom w:val="single" w:sz="8" w:color="auto"/>
            </w:tcBorders>
            <w:shd w:val="clear" w:color="auto" w:fill="B6B6B6"/>
          </w:tcPr>
          <w:p>
            <w:pPr>
              <w:spacing w:after="0"/>
              <w:rPr>
                <w:sz w:val="16"/>
                <w:szCs w:val="16"/>
                <w:color w:val="auto"/>
              </w:rPr>
            </w:pPr>
          </w:p>
        </w:tc>
        <w:tc>
          <w:tcPr>
            <w:tcW w:w="42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1,146</w:t>
            </w:r>
          </w:p>
        </w:tc>
        <w:tc>
          <w:tcPr>
            <w:tcW w:w="220" w:type="dxa"/>
            <w:vAlign w:val="bottom"/>
            <w:tcBorders>
              <w:bottom w:val="single" w:sz="8" w:color="auto"/>
            </w:tcBorders>
            <w:shd w:val="clear" w:color="auto" w:fill="B6B6B6"/>
          </w:tcPr>
          <w:p>
            <w:pPr>
              <w:spacing w:after="0"/>
              <w:rPr>
                <w:sz w:val="16"/>
                <w:szCs w:val="16"/>
                <w:color w:val="auto"/>
              </w:rPr>
            </w:pPr>
          </w:p>
        </w:tc>
        <w:tc>
          <w:tcPr>
            <w:tcW w:w="1180" w:type="dxa"/>
            <w:vAlign w:val="bottom"/>
            <w:tcBorders>
              <w:bottom w:val="single" w:sz="8" w:color="auto"/>
            </w:tcBorders>
            <w:gridSpan w:val="2"/>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39,222</w:t>
            </w:r>
          </w:p>
        </w:tc>
        <w:tc>
          <w:tcPr>
            <w:tcW w:w="220" w:type="dxa"/>
            <w:vAlign w:val="bottom"/>
            <w:tcBorders>
              <w:bottom w:val="single" w:sz="8" w:color="auto"/>
            </w:tcBorders>
            <w:shd w:val="clear" w:color="auto" w:fill="B6B6B6"/>
          </w:tcPr>
          <w:p>
            <w:pPr>
              <w:spacing w:after="0"/>
              <w:rPr>
                <w:sz w:val="16"/>
                <w:szCs w:val="16"/>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82,743</w:t>
            </w:r>
          </w:p>
        </w:tc>
        <w:tc>
          <w:tcPr>
            <w:tcW w:w="6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675</w:t>
            </w:r>
          </w:p>
        </w:tc>
        <w:tc>
          <w:tcPr>
            <w:tcW w:w="7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541,391</w:t>
            </w:r>
          </w:p>
        </w:tc>
        <w:tc>
          <w:tcPr>
            <w:tcW w:w="6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57,129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624,134</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57,804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260 securities, or 95.6% (244 of which for greater than 12 months), in an unrealized loss position as of June 30, 2024. The unrealized losses at June 30, 2024 were primarily attributable to changes in market interest rates after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275 securities, or 98.9% (210 of which for greater than 12 months), in an unrealized loss position as of December 31, 2023. At June 30, 2024 and December 31, 2023, the Company had not recorded an allowance for credit losses on securities.</w:t>
      </w:r>
    </w:p>
    <w:p>
      <w:pPr>
        <w:spacing w:after="0" w:line="1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8"/>
        </w:trPr>
        <w:tc>
          <w:tcPr>
            <w:tcW w:w="8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Due in 1 year or less</w:t>
            </w:r>
          </w:p>
        </w:tc>
        <w:tc>
          <w:tcPr>
            <w:tcW w:w="1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44,510</w:t>
            </w:r>
          </w:p>
        </w:tc>
        <w:tc>
          <w:tcPr>
            <w:tcW w:w="460" w:type="dxa"/>
            <w:vAlign w:val="bottom"/>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44,388</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1 year through 5 years</w:t>
            </w:r>
          </w:p>
        </w:tc>
        <w:tc>
          <w:tcPr>
            <w:tcW w:w="180" w:type="dxa"/>
            <w:vAlign w:val="bottom"/>
          </w:tcPr>
          <w:p>
            <w:pPr>
              <w:spacing w:after="0"/>
              <w:rPr>
                <w:sz w:val="17"/>
                <w:szCs w:val="17"/>
                <w:color w:val="auto"/>
              </w:rPr>
            </w:pPr>
          </w:p>
        </w:tc>
        <w:tc>
          <w:tcPr>
            <w:tcW w:w="13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132,633</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130,220</w:t>
            </w:r>
          </w:p>
        </w:tc>
      </w:tr>
      <w:tr>
        <w:trPr>
          <w:trHeight w:val="207"/>
        </w:trPr>
        <w:tc>
          <w:tcPr>
            <w:tcW w:w="82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Due after 5 years through 10 years</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205,504</w:t>
            </w:r>
          </w:p>
        </w:tc>
        <w:tc>
          <w:tcPr>
            <w:tcW w:w="46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179,664</w:t>
            </w:r>
          </w:p>
        </w:tc>
      </w:tr>
      <w:tr>
        <w:trPr>
          <w:trHeight w:val="196"/>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Due after 10 years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218,628</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186,530</w:t>
            </w:r>
          </w:p>
        </w:tc>
      </w:tr>
      <w:tr>
        <w:trPr>
          <w:trHeight w:val="192"/>
        </w:trPr>
        <w:tc>
          <w:tcPr>
            <w:tcW w:w="8220" w:type="dxa"/>
            <w:vAlign w:val="bottom"/>
            <w:tcBorders>
              <w:bottom w:val="single" w:sz="8" w:color="auto"/>
            </w:tcBorders>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601,275</w:t>
            </w:r>
          </w:p>
        </w:tc>
        <w:tc>
          <w:tcPr>
            <w:tcW w:w="460" w:type="dxa"/>
            <w:vAlign w:val="bottom"/>
            <w:tcBorders>
              <w:bottom w:val="single" w:sz="8" w:color="auto"/>
            </w:tcBorders>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540,802</w:t>
            </w:r>
          </w:p>
        </w:tc>
      </w:tr>
    </w:tbl>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Proceeds from sales of investment securities classified as available-for-sale were $25.0 million for both the three and six-month periods ended June 30, 2024, and were $49.6 million and $111.1 million for the three and six-month periods ended June 30, 2023, respectively. Gross realized losses were $13,000 for both the three and six-month periods ended June 30, 2024 and $199,000 and $347,000 for the three and six-month periods ended June 30, 2023, respectively. There were no gross realized gains for the three and six-month periods ended June 30, 2024, and were $0 and $187,000 for the three and six-month periods ended June 30, 2023, respectively. There were no securities pledged to secure public deposits or for other purposes at June 30,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12 – Fair Value of Financial Instruments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is a summary of the carrying amounts and fair values of the Company’s financial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3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1"/>
                <w:szCs w:val="11"/>
                <w:color w:val="auto"/>
              </w:rPr>
            </w:pPr>
          </w:p>
        </w:tc>
        <w:tc>
          <w:tcPr>
            <w:tcW w:w="1240" w:type="dxa"/>
            <w:vAlign w:val="bottom"/>
          </w:tcPr>
          <w:p>
            <w:pPr>
              <w:jc w:val="right"/>
              <w:ind w:right="429"/>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6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1240" w:type="dxa"/>
            <w:vAlign w:val="bottom"/>
          </w:tcPr>
          <w:p>
            <w:pPr>
              <w:jc w:val="right"/>
              <w:ind w:right="429"/>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sheet assets:</w:t>
            </w:r>
          </w:p>
        </w:tc>
        <w:tc>
          <w:tcPr>
            <w:tcW w:w="280" w:type="dxa"/>
            <w:vAlign w:val="bottom"/>
            <w:shd w:val="clear" w:color="auto" w:fill="B6B6B6"/>
          </w:tcPr>
          <w:p>
            <w:pPr>
              <w:spacing w:after="0"/>
              <w:rPr>
                <w:sz w:val="16"/>
                <w:szCs w:val="16"/>
                <w:color w:val="auto"/>
              </w:rPr>
            </w:pPr>
          </w:p>
        </w:tc>
        <w:tc>
          <w:tcPr>
            <w:tcW w:w="1240" w:type="dxa"/>
            <w:vAlign w:val="bottom"/>
            <w:shd w:val="clear" w:color="auto" w:fill="B6B6B6"/>
          </w:tcPr>
          <w:p>
            <w:pPr>
              <w:spacing w:after="0"/>
              <w:rPr>
                <w:sz w:val="16"/>
                <w:szCs w:val="16"/>
                <w:color w:val="auto"/>
              </w:rPr>
            </w:pPr>
          </w:p>
        </w:tc>
        <w:tc>
          <w:tcPr>
            <w:tcW w:w="460" w:type="dxa"/>
            <w:vAlign w:val="bottom"/>
            <w:shd w:val="clear" w:color="auto" w:fill="B6B6B6"/>
          </w:tcPr>
          <w:p>
            <w:pPr>
              <w:spacing w:after="0"/>
              <w:rPr>
                <w:sz w:val="16"/>
                <w:szCs w:val="16"/>
                <w:color w:val="auto"/>
              </w:rPr>
            </w:pPr>
          </w:p>
        </w:tc>
        <w:tc>
          <w:tcPr>
            <w:tcW w:w="1080" w:type="dxa"/>
            <w:vAlign w:val="bottom"/>
            <w:shd w:val="clear" w:color="auto" w:fill="B6B6B6"/>
          </w:tcPr>
          <w:p>
            <w:pPr>
              <w:spacing w:after="0"/>
              <w:rPr>
                <w:sz w:val="16"/>
                <w:szCs w:val="16"/>
                <w:color w:val="auto"/>
              </w:rPr>
            </w:pPr>
          </w:p>
        </w:tc>
        <w:tc>
          <w:tcPr>
            <w:tcW w:w="80" w:type="dxa"/>
            <w:vAlign w:val="bottom"/>
            <w:shd w:val="clear" w:color="auto" w:fill="B6B6B6"/>
          </w:tcPr>
          <w:p>
            <w:pPr>
              <w:spacing w:after="0"/>
              <w:rPr>
                <w:sz w:val="16"/>
                <w:szCs w:val="16"/>
                <w:color w:val="auto"/>
              </w:rPr>
            </w:pPr>
          </w:p>
        </w:tc>
        <w:tc>
          <w:tcPr>
            <w:tcW w:w="280" w:type="dxa"/>
            <w:vAlign w:val="bottom"/>
            <w:shd w:val="clear" w:color="auto" w:fill="B6B6B6"/>
          </w:tcPr>
          <w:p>
            <w:pPr>
              <w:spacing w:after="0"/>
              <w:rPr>
                <w:sz w:val="16"/>
                <w:szCs w:val="16"/>
                <w:color w:val="auto"/>
              </w:rPr>
            </w:pPr>
          </w:p>
        </w:tc>
        <w:tc>
          <w:tcPr>
            <w:tcW w:w="1240" w:type="dxa"/>
            <w:vAlign w:val="bottom"/>
            <w:shd w:val="clear" w:color="auto" w:fill="B6B6B6"/>
          </w:tcPr>
          <w:p>
            <w:pPr>
              <w:spacing w:after="0"/>
              <w:rPr>
                <w:sz w:val="16"/>
                <w:szCs w:val="16"/>
                <w:color w:val="auto"/>
              </w:rPr>
            </w:pPr>
          </w:p>
        </w:tc>
        <w:tc>
          <w:tcPr>
            <w:tcW w:w="320" w:type="dxa"/>
            <w:vAlign w:val="bottom"/>
            <w:shd w:val="clear" w:color="auto" w:fill="B6B6B6"/>
          </w:tcPr>
          <w:p>
            <w:pPr>
              <w:spacing w:after="0"/>
              <w:rPr>
                <w:sz w:val="16"/>
                <w:szCs w:val="16"/>
                <w:color w:val="auto"/>
              </w:rPr>
            </w:pPr>
          </w:p>
        </w:tc>
        <w:tc>
          <w:tcPr>
            <w:tcW w:w="122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223,727</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223,727</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372,468</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372,468</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Investment securities</w:t>
            </w: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540,802</w:t>
            </w:r>
          </w:p>
        </w:tc>
        <w:tc>
          <w:tcPr>
            <w:tcW w:w="46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540,802</w:t>
            </w:r>
          </w:p>
        </w:tc>
        <w:tc>
          <w:tcPr>
            <w:tcW w:w="8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627,117</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627,117</w:t>
            </w:r>
          </w:p>
        </w:tc>
        <w:tc>
          <w:tcPr>
            <w:tcW w:w="0" w:type="dxa"/>
            <w:vAlign w:val="bottom"/>
          </w:tcPr>
          <w:p>
            <w:pPr>
              <w:spacing w:after="0"/>
              <w:rPr>
                <w:sz w:val="1"/>
                <w:szCs w:val="1"/>
                <w:color w:val="auto"/>
              </w:rPr>
            </w:pPr>
          </w:p>
        </w:tc>
      </w:tr>
      <w:tr>
        <w:trPr>
          <w:trHeight w:val="196"/>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Loans, net</w:t>
            </w:r>
          </w:p>
        </w:tc>
        <w:tc>
          <w:tcPr>
            <w:tcW w:w="28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1,048,357</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1,017,800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1,001,229</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962,223</w:t>
            </w:r>
          </w:p>
        </w:tc>
        <w:tc>
          <w:tcPr>
            <w:tcW w:w="0" w:type="dxa"/>
            <w:vAlign w:val="bottom"/>
          </w:tcPr>
          <w:p>
            <w:pPr>
              <w:spacing w:after="0"/>
              <w:rPr>
                <w:sz w:val="1"/>
                <w:szCs w:val="1"/>
                <w:color w:val="auto"/>
              </w:rPr>
            </w:pPr>
          </w:p>
        </w:tc>
      </w:tr>
      <w:tr>
        <w:trPr>
          <w:trHeight w:val="202"/>
        </w:trPr>
        <w:tc>
          <w:tcPr>
            <w:tcW w:w="5080" w:type="dxa"/>
            <w:vAlign w:val="bottom"/>
            <w:tcBorders>
              <w:bottom w:val="single" w:sz="8" w:color="auto"/>
            </w:tcBorders>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8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8,825</w:t>
            </w:r>
          </w:p>
        </w:tc>
        <w:tc>
          <w:tcPr>
            <w:tcW w:w="46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80" w:type="dxa"/>
            <w:vAlign w:val="bottom"/>
            <w:tcBorders>
              <w:bottom w:val="single" w:sz="8" w:color="auto"/>
            </w:tcBorders>
            <w:shd w:val="clear" w:color="auto" w:fill="B6B6B6"/>
          </w:tcPr>
          <w:p>
            <w:pPr>
              <w:spacing w:after="0"/>
              <w:rPr>
                <w:sz w:val="17"/>
                <w:szCs w:val="17"/>
                <w:color w:val="auto"/>
              </w:rPr>
            </w:pPr>
          </w:p>
        </w:tc>
        <w:tc>
          <w:tcPr>
            <w:tcW w:w="280" w:type="dxa"/>
            <w:vAlign w:val="bottom"/>
            <w:tcBorders>
              <w:bottom w:val="single" w:sz="8" w:color="auto"/>
            </w:tcBorders>
            <w:shd w:val="clear" w:color="auto" w:fill="B6B6B6"/>
          </w:tcPr>
          <w:p>
            <w:pPr>
              <w:spacing w:after="0"/>
              <w:rPr>
                <w:sz w:val="17"/>
                <w:szCs w:val="17"/>
                <w:color w:val="auto"/>
              </w:rPr>
            </w:pPr>
          </w:p>
        </w:tc>
        <w:tc>
          <w:tcPr>
            <w:tcW w:w="1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8,450</w:t>
            </w:r>
          </w:p>
        </w:tc>
        <w:tc>
          <w:tcPr>
            <w:tcW w:w="320" w:type="dxa"/>
            <w:vAlign w:val="bottom"/>
            <w:tcBorders>
              <w:bottom w:val="single" w:sz="8" w:color="auto"/>
            </w:tcBorders>
            <w:shd w:val="clear" w:color="auto" w:fill="B6B6B6"/>
          </w:tcPr>
          <w:p>
            <w:pPr>
              <w:spacing w:after="0"/>
              <w:rPr>
                <w:sz w:val="17"/>
                <w:szCs w:val="17"/>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1,821,711</w:t>
            </w:r>
          </w:p>
        </w:tc>
        <w:tc>
          <w:tcPr>
            <w:tcW w:w="46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1,791,154</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2,009,264</w:t>
            </w:r>
          </w:p>
        </w:tc>
        <w:tc>
          <w:tcPr>
            <w:tcW w:w="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1,970,258</w:t>
            </w:r>
          </w:p>
        </w:tc>
        <w:tc>
          <w:tcPr>
            <w:tcW w:w="0" w:type="dxa"/>
            <w:vAlign w:val="bottom"/>
          </w:tcPr>
          <w:p>
            <w:pPr>
              <w:spacing w:after="0"/>
              <w:rPr>
                <w:sz w:val="1"/>
                <w:szCs w:val="1"/>
                <w:color w:val="auto"/>
              </w:rPr>
            </w:pPr>
          </w:p>
        </w:tc>
      </w:tr>
      <w:tr>
        <w:trPr>
          <w:trHeight w:val="198"/>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Balance sheet liabilities:</w:t>
            </w:r>
          </w:p>
        </w:tc>
        <w:tc>
          <w:tcPr>
            <w:tcW w:w="280" w:type="dxa"/>
            <w:vAlign w:val="bottom"/>
            <w:shd w:val="clear" w:color="auto" w:fill="B6B6B6"/>
          </w:tcPr>
          <w:p>
            <w:pPr>
              <w:spacing w:after="0"/>
              <w:rPr>
                <w:sz w:val="17"/>
                <w:szCs w:val="17"/>
                <w:color w:val="auto"/>
              </w:rPr>
            </w:pPr>
          </w:p>
        </w:tc>
        <w:tc>
          <w:tcPr>
            <w:tcW w:w="1240" w:type="dxa"/>
            <w:vAlign w:val="bottom"/>
            <w:shd w:val="clear" w:color="auto" w:fill="B6B6B6"/>
          </w:tcPr>
          <w:p>
            <w:pPr>
              <w:spacing w:after="0"/>
              <w:rPr>
                <w:sz w:val="17"/>
                <w:szCs w:val="17"/>
                <w:color w:val="auto"/>
              </w:rPr>
            </w:pPr>
          </w:p>
        </w:tc>
        <w:tc>
          <w:tcPr>
            <w:tcW w:w="46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24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2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1,012,346</w:t>
            </w:r>
          </w:p>
        </w:tc>
        <w:tc>
          <w:tcPr>
            <w:tcW w:w="4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1,012,346</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1,140,814</w:t>
            </w: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1,140,814</w:t>
            </w:r>
          </w:p>
        </w:tc>
        <w:tc>
          <w:tcPr>
            <w:tcW w:w="0" w:type="dxa"/>
            <w:vAlign w:val="bottom"/>
          </w:tcPr>
          <w:p>
            <w:pPr>
              <w:spacing w:after="0"/>
              <w:rPr>
                <w:sz w:val="1"/>
                <w:szCs w:val="1"/>
                <w:color w:val="auto"/>
              </w:rPr>
            </w:pPr>
          </w:p>
        </w:tc>
      </w:tr>
      <w:tr>
        <w:trPr>
          <w:trHeight w:val="207"/>
        </w:trPr>
        <w:tc>
          <w:tcPr>
            <w:tcW w:w="508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996,832</w:t>
            </w:r>
          </w:p>
        </w:tc>
        <w:tc>
          <w:tcPr>
            <w:tcW w:w="46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996,832</w:t>
            </w:r>
          </w:p>
        </w:tc>
        <w:tc>
          <w:tcPr>
            <w:tcW w:w="8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1,071,369</w:t>
            </w:r>
          </w:p>
        </w:tc>
        <w:tc>
          <w:tcPr>
            <w:tcW w:w="320" w:type="dxa"/>
            <w:vAlign w:val="bottom"/>
            <w:shd w:val="clear" w:color="auto" w:fill="B6B6B6"/>
          </w:tcPr>
          <w:p>
            <w:pPr>
              <w:spacing w:after="0"/>
              <w:rPr>
                <w:sz w:val="18"/>
                <w:szCs w:val="18"/>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1,071,369</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554</w:t>
            </w: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2,009,732</w:t>
            </w:r>
          </w:p>
        </w:tc>
        <w:tc>
          <w:tcPr>
            <w:tcW w:w="460" w:type="dxa"/>
            <w:vAlign w:val="bottom"/>
            <w:tcBorders>
              <w:bottom w:val="single" w:sz="8" w:color="auto"/>
            </w:tcBorders>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2,009,732</w:t>
            </w:r>
          </w:p>
        </w:tc>
        <w:tc>
          <w:tcPr>
            <w:tcW w:w="80" w:type="dxa"/>
            <w:vAlign w:val="bottom"/>
            <w:tcBorders>
              <w:bottom w:val="single" w:sz="8" w:color="auto"/>
            </w:tcBorders>
            <w:shd w:val="clear" w:color="auto" w:fill="B6B6B6"/>
          </w:tcPr>
          <w:p>
            <w:pPr>
              <w:spacing w:after="0"/>
              <w:rPr>
                <w:sz w:val="16"/>
                <w:szCs w:val="16"/>
                <w:color w:val="auto"/>
              </w:rPr>
            </w:pPr>
          </w:p>
        </w:tc>
        <w:tc>
          <w:tcPr>
            <w:tcW w:w="28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2,212,818</w:t>
            </w:r>
          </w:p>
        </w:tc>
        <w:tc>
          <w:tcPr>
            <w:tcW w:w="32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2,212,818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methods and assumptions were used to estimate the fair value of each class of financial instruments for which it is practicable to estimate that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 The carrying amount approximates fair value.</w:t>
      </w:r>
    </w:p>
    <w:p>
      <w:pPr>
        <w:spacing w:after="0" w:line="15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Investment in Securities </w:t>
      </w:r>
      <w:r>
        <w:rPr>
          <w:rFonts w:ascii="Times New Roman" w:cs="Times New Roman" w:eastAsia="Times New Roman" w:hAnsi="Times New Roman"/>
          <w:sz w:val="14"/>
          <w:szCs w:val="14"/>
          <w:color w:val="auto"/>
        </w:rPr>
        <w:t>- The fair value is measured on a recurring basis using Level 2 valuations. Refer to Note 11, “Investment in Securities,” for fair value and unrealized gains and losses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type.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Loans </w:t>
      </w:r>
      <w:r>
        <w:rPr>
          <w:rFonts w:ascii="Times New Roman" w:cs="Times New Roman" w:eastAsia="Times New Roman" w:hAnsi="Times New Roman"/>
          <w:sz w:val="14"/>
          <w:szCs w:val="14"/>
          <w:color w:val="auto"/>
        </w:rPr>
        <w:t>- The fair value is estimated using present values of future cash flows discounted at risk-adjusted interest rates for each loan category designated by management and is therefore a Level 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valuation. Management believes that the risk factor embedded in the interest rates along with the allowance for credit losses result in a fair valuation.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Accrued Interest Receivable </w:t>
      </w:r>
      <w:r>
        <w:rPr>
          <w:rFonts w:ascii="Times New Roman" w:cs="Times New Roman" w:eastAsia="Times New Roman" w:hAnsi="Times New Roman"/>
          <w:sz w:val="14"/>
          <w:szCs w:val="14"/>
          <w:color w:val="auto"/>
        </w:rPr>
        <w:t>- The carrying amount approximates fair value.</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Deposits </w:t>
      </w:r>
      <w:r>
        <w:rPr>
          <w:rFonts w:ascii="Times New Roman" w:cs="Times New Roman" w:eastAsia="Times New Roman" w:hAnsi="Times New Roman"/>
          <w:sz w:val="14"/>
          <w:szCs w:val="14"/>
          <w:color w:val="auto"/>
        </w:rPr>
        <w:t>- The fair value of demand deposits, savings deposits and certain money market deposits is the amount payable on demand at the reporting date. The fair value of fixed-maturity certificates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Accounts and Drafts Payable </w:t>
      </w:r>
      <w:r>
        <w:rPr>
          <w:rFonts w:ascii="Times New Roman" w:cs="Times New Roman" w:eastAsia="Times New Roman" w:hAnsi="Times New Roman"/>
          <w:sz w:val="14"/>
          <w:szCs w:val="14"/>
          <w:color w:val="auto"/>
        </w:rPr>
        <w:t>- The carrying amount approximates fair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Accrued Interest Payable </w:t>
      </w:r>
      <w:r>
        <w:rPr>
          <w:rFonts w:ascii="Times New Roman" w:cs="Times New Roman" w:eastAsia="Times New Roman" w:hAnsi="Times New Roman"/>
          <w:sz w:val="14"/>
          <w:szCs w:val="14"/>
          <w:color w:val="auto"/>
        </w:rPr>
        <w:t>- The carrying amount approximates fair value.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13 – Revenue from Contracts with Customers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is recognized as the obligation to the customer is satisfied. The following is detail of the Company’s revenue from contracts with clients.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Processing fees </w:t>
      </w:r>
      <w:r>
        <w:rPr>
          <w:rFonts w:ascii="Times New Roman" w:cs="Times New Roman" w:eastAsia="Times New Roman" w:hAnsi="Times New Roman"/>
          <w:sz w:val="14"/>
          <w:szCs w:val="14"/>
          <w:color w:val="auto"/>
        </w:rPr>
        <w:t>– The Company earns fees on a per-item or monthly basis for the invoice processing services rendered on behalf of customers. Per-item fees are recognized at the point in time when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Financial fees </w:t>
      </w:r>
      <w:r>
        <w:rPr>
          <w:rFonts w:ascii="Times New Roman" w:cs="Times New Roman" w:eastAsia="Times New Roman" w:hAnsi="Times New Roman"/>
          <w:sz w:val="14"/>
          <w:szCs w:val="14"/>
          <w:color w:val="auto"/>
        </w:rPr>
        <w:t>– The Company earns fees on a transaction level basis for invoice payment services when making customer payments. Fees are recognized at the point in time when the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are made, which is when the performance obligation is satisfied. The contracts have no significant impact of variable consideration and no significant financing components.</w:t>
      </w:r>
    </w:p>
    <w:p>
      <w:pPr>
        <w:spacing w:after="0" w:line="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Bank service fees </w:t>
      </w:r>
      <w:r>
        <w:rPr>
          <w:rFonts w:ascii="Times New Roman" w:cs="Times New Roman" w:eastAsia="Times New Roman" w:hAnsi="Times New Roman"/>
          <w:sz w:val="14"/>
          <w:szCs w:val="14"/>
          <w:color w:val="auto"/>
        </w:rPr>
        <w:t>– Revenue from service fees consists of service charges and fees on deposit accounts under depository agreements with customers to provide access to deposited funds. Service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non-interest income, segregated by revenue streams in-scope and out-of-scope for the periods ended June 30,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40" w:type="dxa"/>
            <w:vAlign w:val="bottom"/>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0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Fee revenue and other income</w:t>
            </w: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6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r>
      <w:tr>
        <w:trPr>
          <w:trHeight w:val="196"/>
        </w:trPr>
        <w:tc>
          <w:tcPr>
            <w:tcW w:w="5000" w:type="dxa"/>
            <w:vAlign w:val="bottom"/>
          </w:tcPr>
          <w:p>
            <w:pPr>
              <w:ind w:left="160"/>
              <w:spacing w:after="0"/>
              <w:rPr>
                <w:sz w:val="20"/>
                <w:szCs w:val="20"/>
                <w:color w:val="auto"/>
              </w:rPr>
            </w:pPr>
            <w:r>
              <w:rPr>
                <w:rFonts w:ascii="Times New Roman" w:cs="Times New Roman" w:eastAsia="Times New Roman" w:hAnsi="Times New Roman"/>
                <w:sz w:val="14"/>
                <w:szCs w:val="14"/>
                <w:i w:val="1"/>
                <w:iCs w:val="1"/>
                <w:color w:val="auto"/>
              </w:rPr>
              <w:t>In-scope of FASB ASC 606</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00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4"/>
                <w:szCs w:val="14"/>
                <w:color w:val="auto"/>
              </w:rPr>
              <w:t>Processing fees</w:t>
            </w:r>
          </w:p>
        </w:tc>
        <w:tc>
          <w:tcPr>
            <w:tcW w:w="34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21,103</w:t>
            </w:r>
          </w:p>
        </w:tc>
        <w:tc>
          <w:tcPr>
            <w:tcW w:w="80" w:type="dxa"/>
            <w:vAlign w:val="bottom"/>
            <w:shd w:val="clear" w:color="auto" w:fill="B6B6B6"/>
          </w:tcPr>
          <w:p>
            <w:pPr>
              <w:spacing w:after="0"/>
              <w:rPr>
                <w:sz w:val="18"/>
                <w:szCs w:val="18"/>
                <w:color w:val="auto"/>
              </w:rPr>
            </w:pPr>
          </w:p>
        </w:tc>
        <w:tc>
          <w:tcPr>
            <w:tcW w:w="34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19,386</w:t>
            </w:r>
          </w:p>
        </w:tc>
        <w:tc>
          <w:tcPr>
            <w:tcW w:w="8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80" w:type="dxa"/>
            <w:vAlign w:val="bottom"/>
            <w:shd w:val="clear" w:color="auto" w:fill="B6B6B6"/>
          </w:tcPr>
          <w:p>
            <w:pPr>
              <w:spacing w:after="0"/>
              <w:rPr>
                <w:sz w:val="18"/>
                <w:szCs w:val="18"/>
                <w:color w:val="auto"/>
              </w:rPr>
            </w:pPr>
          </w:p>
        </w:tc>
        <w:tc>
          <w:tcPr>
            <w:tcW w:w="34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38,899</w:t>
            </w:r>
          </w:p>
        </w:tc>
      </w:tr>
      <w:tr>
        <w:trPr>
          <w:trHeight w:val="196"/>
        </w:trPr>
        <w:tc>
          <w:tcPr>
            <w:tcW w:w="5000" w:type="dxa"/>
            <w:vAlign w:val="bottom"/>
            <w:tcBorders>
              <w:bottom w:val="single" w:sz="8" w:color="B6B6B6"/>
            </w:tcBorders>
          </w:tcPr>
          <w:p>
            <w:pPr>
              <w:ind w:left="300"/>
              <w:spacing w:after="0"/>
              <w:rPr>
                <w:sz w:val="20"/>
                <w:szCs w:val="20"/>
                <w:color w:val="auto"/>
              </w:rPr>
            </w:pPr>
            <w:r>
              <w:rPr>
                <w:rFonts w:ascii="Times New Roman" w:cs="Times New Roman" w:eastAsia="Times New Roman" w:hAnsi="Times New Roman"/>
                <w:sz w:val="14"/>
                <w:szCs w:val="14"/>
                <w:color w:val="auto"/>
              </w:rPr>
              <w:t>Financial fees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10,628</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11,662</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21,405</w:t>
            </w: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22,921</w:t>
            </w:r>
          </w:p>
        </w:tc>
      </w:tr>
      <w:tr>
        <w:trPr>
          <w:trHeight w:val="198"/>
        </w:trPr>
        <w:tc>
          <w:tcPr>
            <w:tcW w:w="5000" w:type="dxa"/>
            <w:vAlign w:val="bottom"/>
            <w:shd w:val="clear" w:color="auto" w:fill="B6B6B6"/>
          </w:tcPr>
          <w:p>
            <w:pPr>
              <w:ind w:left="460"/>
              <w:spacing w:after="0"/>
              <w:rPr>
                <w:sz w:val="20"/>
                <w:szCs w:val="20"/>
                <w:color w:val="auto"/>
              </w:rPr>
            </w:pPr>
            <w:r>
              <w:rPr>
                <w:rFonts w:ascii="Times New Roman" w:cs="Times New Roman" w:eastAsia="Times New Roman" w:hAnsi="Times New Roman"/>
                <w:sz w:val="14"/>
                <w:szCs w:val="14"/>
                <w:color w:val="auto"/>
              </w:rPr>
              <w:t>Information services payment and processing revenue</w:t>
            </w: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31,731</w:t>
            </w: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31,048</w:t>
            </w:r>
          </w:p>
        </w:tc>
        <w:tc>
          <w:tcPr>
            <w:tcW w:w="80" w:type="dxa"/>
            <w:vAlign w:val="bottom"/>
            <w:shd w:val="clear" w:color="auto" w:fill="B6B6B6"/>
          </w:tcPr>
          <w:p>
            <w:pPr>
              <w:spacing w:after="0"/>
              <w:rPr>
                <w:sz w:val="17"/>
                <w:szCs w:val="17"/>
                <w:color w:val="auto"/>
              </w:rPr>
            </w:pPr>
          </w:p>
        </w:tc>
        <w:tc>
          <w:tcPr>
            <w:tcW w:w="36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63,761</w:t>
            </w: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61,820</w:t>
            </w:r>
          </w:p>
        </w:tc>
      </w:tr>
      <w:tr>
        <w:trPr>
          <w:trHeight w:val="196"/>
        </w:trPr>
        <w:tc>
          <w:tcPr>
            <w:tcW w:w="5000" w:type="dxa"/>
            <w:vAlign w:val="bottom"/>
            <w:tcBorders>
              <w:bottom w:val="single" w:sz="8" w:color="B6B6B6"/>
            </w:tcBorders>
          </w:tcPr>
          <w:p>
            <w:pPr>
              <w:ind w:left="300"/>
              <w:spacing w:after="0"/>
              <w:rPr>
                <w:sz w:val="20"/>
                <w:szCs w:val="20"/>
                <w:color w:val="auto"/>
              </w:rPr>
            </w:pPr>
            <w:r>
              <w:rPr>
                <w:rFonts w:ascii="Times New Roman" w:cs="Times New Roman" w:eastAsia="Times New Roman" w:hAnsi="Times New Roman"/>
                <w:sz w:val="14"/>
                <w:szCs w:val="14"/>
                <w:color w:val="auto"/>
              </w:rPr>
              <w:t>Bank service fees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Borders>
              <w:bottom w:val="single" w:sz="8" w:color="B6B6B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Borders>
              <w:bottom w:val="single" w:sz="8" w:color="B6B6B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r>
      <w:tr>
        <w:trPr>
          <w:trHeight w:val="198"/>
        </w:trPr>
        <w:tc>
          <w:tcPr>
            <w:tcW w:w="5000" w:type="dxa"/>
            <w:vAlign w:val="bottom"/>
            <w:shd w:val="clear" w:color="auto" w:fill="B6B6B6"/>
          </w:tcPr>
          <w:p>
            <w:pPr>
              <w:ind w:left="160"/>
              <w:spacing w:after="0"/>
              <w:rPr>
                <w:sz w:val="20"/>
                <w:szCs w:val="20"/>
                <w:color w:val="auto"/>
              </w:rPr>
            </w:pPr>
            <w:r>
              <w:rPr>
                <w:rFonts w:ascii="Times New Roman" w:cs="Times New Roman" w:eastAsia="Times New Roman" w:hAnsi="Times New Roman"/>
                <w:sz w:val="14"/>
                <w:szCs w:val="14"/>
                <w:color w:val="auto"/>
              </w:rPr>
              <w:t>Fee revenue (in-scope of FASB ASC 606)</w:t>
            </w: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32,050</w:t>
            </w: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31,301</w:t>
            </w:r>
          </w:p>
        </w:tc>
        <w:tc>
          <w:tcPr>
            <w:tcW w:w="80" w:type="dxa"/>
            <w:vAlign w:val="bottom"/>
            <w:shd w:val="clear" w:color="auto" w:fill="B6B6B6"/>
          </w:tcPr>
          <w:p>
            <w:pPr>
              <w:spacing w:after="0"/>
              <w:rPr>
                <w:sz w:val="17"/>
                <w:szCs w:val="17"/>
                <w:color w:val="auto"/>
              </w:rPr>
            </w:pPr>
          </w:p>
        </w:tc>
        <w:tc>
          <w:tcPr>
            <w:tcW w:w="36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64,361</w:t>
            </w: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62,337</w:t>
            </w:r>
          </w:p>
        </w:tc>
      </w:tr>
      <w:tr>
        <w:trPr>
          <w:trHeight w:val="196"/>
        </w:trPr>
        <w:tc>
          <w:tcPr>
            <w:tcW w:w="5000" w:type="dxa"/>
            <w:vAlign w:val="bottom"/>
            <w:tcBorders>
              <w:bottom w:val="single" w:sz="8" w:color="B6B6B6"/>
            </w:tcBorders>
          </w:tcPr>
          <w:p>
            <w:pPr>
              <w:ind w:left="160"/>
              <w:spacing w:after="0"/>
              <w:rPr>
                <w:sz w:val="20"/>
                <w:szCs w:val="20"/>
                <w:color w:val="auto"/>
              </w:rPr>
            </w:pPr>
            <w:r>
              <w:rPr>
                <w:rFonts w:ascii="Times New Roman" w:cs="Times New Roman" w:eastAsia="Times New Roman" w:hAnsi="Times New Roman"/>
                <w:sz w:val="14"/>
                <w:szCs w:val="14"/>
                <w:color w:val="auto"/>
              </w:rPr>
              <w:t>Other income (out-of-scope of FASB ASC 606)</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80" w:type="dxa"/>
            <w:vAlign w:val="bottom"/>
            <w:tcBorders>
              <w:bottom w:val="single" w:sz="8" w:color="B6B6B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Borders>
              <w:bottom w:val="single" w:sz="8" w:color="B6B6B6"/>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1,996</w:t>
            </w:r>
          </w:p>
        </w:tc>
        <w:tc>
          <w:tcPr>
            <w:tcW w:w="80" w:type="dxa"/>
            <w:vAlign w:val="bottom"/>
            <w:tcBorders>
              <w:bottom w:val="single" w:sz="8" w:color="B6B6B6"/>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192"/>
        </w:trPr>
        <w:tc>
          <w:tcPr>
            <w:tcW w:w="5000" w:type="dxa"/>
            <w:vAlign w:val="bottom"/>
            <w:tcBorders>
              <w:bottom w:val="single" w:sz="8" w:color="auto"/>
            </w:tcBorders>
            <w:shd w:val="clear" w:color="auto" w:fill="B6B6B6"/>
          </w:tcPr>
          <w:p>
            <w:pPr>
              <w:ind w:left="440"/>
              <w:spacing w:after="0"/>
              <w:rPr>
                <w:sz w:val="20"/>
                <w:szCs w:val="20"/>
                <w:color w:val="auto"/>
              </w:rPr>
            </w:pPr>
            <w:r>
              <w:rPr>
                <w:rFonts w:ascii="Times New Roman" w:cs="Times New Roman" w:eastAsia="Times New Roman" w:hAnsi="Times New Roman"/>
                <w:sz w:val="14"/>
                <w:szCs w:val="14"/>
                <w:color w:val="auto"/>
              </w:rPr>
              <w:t>Total fee revenue and other income</w:t>
            </w:r>
          </w:p>
        </w:tc>
        <w:tc>
          <w:tcPr>
            <w:tcW w:w="34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33,060</w:t>
            </w:r>
          </w:p>
        </w:tc>
        <w:tc>
          <w:tcPr>
            <w:tcW w:w="80" w:type="dxa"/>
            <w:vAlign w:val="bottom"/>
            <w:tcBorders>
              <w:bottom w:val="single" w:sz="8" w:color="auto"/>
            </w:tcBorders>
            <w:shd w:val="clear" w:color="auto" w:fill="B6B6B6"/>
          </w:tcPr>
          <w:p>
            <w:pPr>
              <w:spacing w:after="0"/>
              <w:rPr>
                <w:sz w:val="16"/>
                <w:szCs w:val="16"/>
                <w:color w:val="auto"/>
              </w:rPr>
            </w:pPr>
          </w:p>
        </w:tc>
        <w:tc>
          <w:tcPr>
            <w:tcW w:w="34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32,073</w:t>
            </w:r>
          </w:p>
        </w:tc>
        <w:tc>
          <w:tcPr>
            <w:tcW w:w="80" w:type="dxa"/>
            <w:vAlign w:val="bottom"/>
            <w:tcBorders>
              <w:bottom w:val="single" w:sz="8" w:color="auto"/>
            </w:tcBorders>
            <w:shd w:val="clear" w:color="auto" w:fill="B6B6B6"/>
          </w:tcPr>
          <w:p>
            <w:pPr>
              <w:spacing w:after="0"/>
              <w:rPr>
                <w:sz w:val="16"/>
                <w:szCs w:val="16"/>
                <w:color w:val="auto"/>
              </w:rPr>
            </w:pPr>
          </w:p>
        </w:tc>
        <w:tc>
          <w:tcPr>
            <w:tcW w:w="360" w:type="dxa"/>
            <w:vAlign w:val="bottom"/>
            <w:tcBorders>
              <w:bottom w:val="single" w:sz="8" w:color="auto"/>
            </w:tcBorders>
            <w:shd w:val="clear" w:color="auto" w:fill="B6B6B6"/>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66,357</w:t>
            </w:r>
          </w:p>
        </w:tc>
        <w:tc>
          <w:tcPr>
            <w:tcW w:w="80" w:type="dxa"/>
            <w:vAlign w:val="bottom"/>
            <w:tcBorders>
              <w:bottom w:val="single" w:sz="8" w:color="auto"/>
            </w:tcBorders>
            <w:shd w:val="clear" w:color="auto" w:fill="B6B6B6"/>
          </w:tcPr>
          <w:p>
            <w:pPr>
              <w:spacing w:after="0"/>
              <w:rPr>
                <w:sz w:val="16"/>
                <w:szCs w:val="16"/>
                <w:color w:val="auto"/>
              </w:rPr>
            </w:pPr>
          </w:p>
        </w:tc>
        <w:tc>
          <w:tcPr>
            <w:tcW w:w="34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64,180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14 – Leases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certain premises under operating leases. As of June 30, 2024, the Company had lease liabilities of $8.0 million and right-of-use assets of $7.6 million. Lease liabilities and right-of-use assets are reflected in other liabilities and other assets, respectively. Presented within occupancy expense on the Consolidated Statements of Income for the three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and six-month periods ended June 30, 2024, operating lease cost was $333,000 and $674,000, short-term lease cost was $93,000 and $174,000, and there was no variable lease cost. At June 30, 2024, the weighted-average remaining lease term for the operating leases was 6.9 years and the weighted-average discount rate used in the measurement of operating lease liabilities was 3.56%. Certain of the Company’s leases contain options to renew the lease; however, these renewal options are not included in the calculation of the lease liabilities as they are not reasonably certain to be exercised. See the Company’s 2023 Form 10-K for information regarding these commitments.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20"/>
                <w:szCs w:val="20"/>
                <w:color w:val="auto"/>
              </w:rPr>
            </w:pPr>
            <w:r>
              <w:rPr>
                <w:rFonts w:ascii="Times New Roman" w:cs="Times New Roman" w:eastAsia="Times New Roman" w:hAnsi="Times New Roman"/>
                <w:sz w:val="14"/>
                <w:szCs w:val="14"/>
                <w:color w:val="auto"/>
              </w:rPr>
              <w:t>A maturity analysis of operating lease liabilities and undiscounted cash flows as of June 30, 2024 is as follows:</w:t>
            </w:r>
          </w:p>
        </w:tc>
        <w:tc>
          <w:tcPr>
            <w:tcW w:w="1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60" w:type="dxa"/>
            <w:vAlign w:val="bottom"/>
          </w:tcPr>
          <w:p>
            <w:pPr>
              <w:spacing w:after="0"/>
              <w:rPr>
                <w:sz w:val="24"/>
                <w:szCs w:val="24"/>
                <w:color w:val="auto"/>
              </w:rPr>
            </w:pPr>
          </w:p>
        </w:tc>
        <w:tc>
          <w:tcPr>
            <w:tcW w:w="15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5"/>
        </w:trPr>
        <w:tc>
          <w:tcPr>
            <w:tcW w:w="7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Lease payments due</w:t>
            </w:r>
          </w:p>
        </w:tc>
        <w:tc>
          <w:tcPr>
            <w:tcW w:w="1860" w:type="dxa"/>
            <w:vAlign w:val="bottom"/>
            <w:shd w:val="clear" w:color="auto" w:fill="B6B6B6"/>
          </w:tcPr>
          <w:p>
            <w:pPr>
              <w:spacing w:after="0"/>
              <w:rPr>
                <w:sz w:val="16"/>
                <w:szCs w:val="16"/>
                <w:color w:val="auto"/>
              </w:rPr>
            </w:pPr>
          </w:p>
        </w:tc>
        <w:tc>
          <w:tcPr>
            <w:tcW w:w="150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than 1 year</w:t>
            </w:r>
          </w:p>
        </w:tc>
        <w:tc>
          <w:tcPr>
            <w:tcW w:w="18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0" w:type="dxa"/>
            <w:vAlign w:val="bottom"/>
          </w:tcPr>
          <w:p>
            <w:pPr>
              <w:spacing w:after="0"/>
              <w:rPr>
                <w:sz w:val="1"/>
                <w:szCs w:val="1"/>
                <w:color w:val="auto"/>
              </w:rPr>
            </w:pPr>
          </w:p>
        </w:tc>
      </w:tr>
      <w:tr>
        <w:trPr>
          <w:trHeight w:val="207"/>
        </w:trPr>
        <w:tc>
          <w:tcPr>
            <w:tcW w:w="7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1-2 years</w:t>
            </w:r>
          </w:p>
        </w:tc>
        <w:tc>
          <w:tcPr>
            <w:tcW w:w="1860" w:type="dxa"/>
            <w:vAlign w:val="bottom"/>
            <w:shd w:val="clear" w:color="auto" w:fill="B6B6B6"/>
          </w:tcPr>
          <w:p>
            <w:pPr>
              <w:spacing w:after="0"/>
              <w:rPr>
                <w:sz w:val="18"/>
                <w:szCs w:val="18"/>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96"/>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2-3 years</w:t>
            </w:r>
          </w:p>
        </w:tc>
        <w:tc>
          <w:tcPr>
            <w:tcW w:w="18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0" w:type="dxa"/>
            <w:vAlign w:val="bottom"/>
          </w:tcPr>
          <w:p>
            <w:pPr>
              <w:spacing w:after="0"/>
              <w:rPr>
                <w:sz w:val="1"/>
                <w:szCs w:val="1"/>
                <w:color w:val="auto"/>
              </w:rPr>
            </w:pPr>
          </w:p>
        </w:tc>
      </w:tr>
      <w:tr>
        <w:trPr>
          <w:trHeight w:val="207"/>
        </w:trPr>
        <w:tc>
          <w:tcPr>
            <w:tcW w:w="7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3-4 years</w:t>
            </w:r>
          </w:p>
        </w:tc>
        <w:tc>
          <w:tcPr>
            <w:tcW w:w="1860" w:type="dxa"/>
            <w:vAlign w:val="bottom"/>
            <w:shd w:val="clear" w:color="auto" w:fill="B6B6B6"/>
          </w:tcPr>
          <w:p>
            <w:pPr>
              <w:spacing w:after="0"/>
              <w:rPr>
                <w:sz w:val="18"/>
                <w:szCs w:val="18"/>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0" w:type="dxa"/>
            <w:vAlign w:val="bottom"/>
          </w:tcPr>
          <w:p>
            <w:pPr>
              <w:spacing w:after="0"/>
              <w:rPr>
                <w:sz w:val="1"/>
                <w:szCs w:val="1"/>
                <w:color w:val="auto"/>
              </w:rPr>
            </w:pPr>
          </w:p>
        </w:tc>
      </w:tr>
      <w:tr>
        <w:trPr>
          <w:trHeight w:val="196"/>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4-5 years</w:t>
            </w:r>
          </w:p>
        </w:tc>
        <w:tc>
          <w:tcPr>
            <w:tcW w:w="18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Over 5 years</w:t>
            </w:r>
          </w:p>
        </w:tc>
        <w:tc>
          <w:tcPr>
            <w:tcW w:w="1860" w:type="dxa"/>
            <w:vAlign w:val="bottom"/>
            <w:tcBorders>
              <w:bottom w:val="single" w:sz="8" w:color="auto"/>
            </w:tcBorders>
            <w:shd w:val="clear" w:color="auto" w:fill="B6B6B6"/>
          </w:tcPr>
          <w:p>
            <w:pPr>
              <w:spacing w:after="0"/>
              <w:rPr>
                <w:sz w:val="17"/>
                <w:szCs w:val="17"/>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0" w:type="dxa"/>
            <w:vAlign w:val="bottom"/>
          </w:tcPr>
          <w:p>
            <w:pPr>
              <w:spacing w:after="0"/>
              <w:rPr>
                <w:sz w:val="1"/>
                <w:szCs w:val="1"/>
                <w:color w:val="auto"/>
              </w:rPr>
            </w:pPr>
          </w:p>
        </w:tc>
      </w:tr>
      <w:tr>
        <w:trPr>
          <w:trHeight w:val="192"/>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undiscounted cash flows</w:t>
            </w:r>
          </w:p>
        </w:tc>
        <w:tc>
          <w:tcPr>
            <w:tcW w:w="18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8,935</w:t>
            </w:r>
          </w:p>
        </w:tc>
        <w:tc>
          <w:tcPr>
            <w:tcW w:w="0" w:type="dxa"/>
            <w:vAlign w:val="bottom"/>
          </w:tcPr>
          <w:p>
            <w:pPr>
              <w:spacing w:after="0"/>
              <w:rPr>
                <w:sz w:val="1"/>
                <w:szCs w:val="1"/>
                <w:color w:val="auto"/>
              </w:rPr>
            </w:pPr>
          </w:p>
        </w:tc>
      </w:tr>
      <w:tr>
        <w:trPr>
          <w:trHeight w:val="202"/>
        </w:trPr>
        <w:tc>
          <w:tcPr>
            <w:tcW w:w="7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Discount on cash flows</w:t>
            </w:r>
          </w:p>
        </w:tc>
        <w:tc>
          <w:tcPr>
            <w:tcW w:w="1860" w:type="dxa"/>
            <w:vAlign w:val="bottom"/>
            <w:tcBorders>
              <w:bottom w:val="single" w:sz="8" w:color="auto"/>
            </w:tcBorders>
            <w:shd w:val="clear" w:color="auto" w:fill="B6B6B6"/>
          </w:tcPr>
          <w:p>
            <w:pPr>
              <w:spacing w:after="0"/>
              <w:rPr>
                <w:sz w:val="17"/>
                <w:szCs w:val="17"/>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Total lease liability</w:t>
            </w:r>
          </w:p>
        </w:tc>
        <w:tc>
          <w:tcPr>
            <w:tcW w:w="18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sale and leaseback transactions, leveraged leases, or lease transactions with related parties during the six-month period ended 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15 – Subsequent Events</w:t>
      </w:r>
    </w:p>
    <w:p>
      <w:pPr>
        <w:spacing w:after="0" w:line="15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FASB ASC 855,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the Company has evaluated subsequent events after the consolidated balance sheet date of June 30, 2024. There were no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and the growth and quality of the Bank’s loan portfolio. For a more detailed discussion of the Company’s revenue drivers and factors that impact the Company’s results of operation and financial condition generally, see Item 7, “Management’s Discussion and Analysis of Financial Condition and Results of Operations” in the Company’s 2023 Form 10-K.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Industry Developments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transportation industry continues to experience a decline in overall freight rates caused by an ongoing freight recession. The freight recession adversely affects the number of freight transactions and dollar amount of invoices processed. Partially as a result, the Company's transportation invoice and dollar volumes declined 3.5% and 9.8%, respectively during the first six months of 2024 as compared to the same period in 2023.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rising inflation, the Federal Reserve has increased the Federal Funds rate. The increase in the Federal Funds rate has contributed to a slight increase in the Company's net interest margin. Inflation has also had the impact of increasing operating expenses, such as compensation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Items of Note</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interest income for the second quarter of 2024 decreased $84,000, or 0.5%, as compared to the same period in 2023. The decrease in net interest income was attributable to a decline in average interest-earning assets of $52.3 million, or 2.6%. The Company had fewer funds to invest due to the loss of approximately $100.0 million of balances in February 2024 as a result of a cyber attack experienced by large client in the Company's CassPay division. CassPay offers solutions such as integrated payments, a B2B payment platform for clients. The Company does not expect these payment volumes and related balances from this client to return.</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Despite the decline in average accounts and drafts payable during the quarter, the Company’s liquidity position and balance sheet remains strong. The Company maintained average short-term investments of $265.3 million during the second quarter of 2024. In addition, all of the Company's investment securities are classified as available-for-sale and there were no outstanding borrowings at June 30, 2024.</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in other operating expenses for the second quarter of 2024 are $2.1 million of reserves and other losses on outstanding receivables in addition to $1.3 million related to estimated late fees to be incurred on facility transactions. See Note 7, "Commitments and Contingencies" for further information on the reserves and other losses. The late fees were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mostly driven by a check processing delay with our third-party vendor, the same client that incurred a cyber attack, as described above.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Also, on July 16, 2024, the Company approved an Amendment providing for the termination of its noncontributory defined-benefit pension plan. The Company expects to record one-time termination expenses of approximately $5.0 million through operating expense related to the plan termination. The expense related to the termination is expected to be incurred during the fourth quarter of 2024 and first quarter of 2025 as the plan liabilities are settled. The successful termination of the plan is expected to reduce run rate operating expense by approximately $1.0 million on an annual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following paragraphs more fully discuss the results of operations and changes in financial condition for the three-month period ended June 30, 2024 (“second quarter of 2024”) compared to the three-month period ended June 30, 2023 (“second quarter of 2023”) and the six-month period ended June 30, 2024 ("first half of 2024") compared to the six-month period ended June 30, 2023 ("first half of 2023"). The following discussion and analysis should be read in conjunction with the unaudited consolidated financial statements and related notes and with the statistical information and financial data appearing in this report, as well as in the Company’s 2023 Form 10-K. Results of operations for the three months ended June 30, 2024 are not necessarily indicative of the results to be attained for any other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operating results: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Second Quarter of</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First Half of</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00" w:type="dxa"/>
            <w:vAlign w:val="bottom"/>
          </w:tcPr>
          <w:p>
            <w:pPr>
              <w:spacing w:after="0"/>
              <w:rPr>
                <w:sz w:val="12"/>
                <w:szCs w:val="12"/>
                <w:color w:val="auto"/>
              </w:rPr>
            </w:pPr>
          </w:p>
        </w:tc>
        <w:tc>
          <w:tcPr>
            <w:tcW w:w="108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1220" w:type="dxa"/>
            <w:vAlign w:val="bottom"/>
            <w:vMerge w:val="restart"/>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right"/>
              <w:ind w:right="50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360" w:type="dxa"/>
            <w:vAlign w:val="bottom"/>
            <w:vMerge w:val="restart"/>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jc w:val="right"/>
              <w:ind w:right="489"/>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1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21,103</w:t>
            </w:r>
          </w:p>
        </w:tc>
        <w:tc>
          <w:tcPr>
            <w:tcW w:w="34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19,386</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80" w:type="dxa"/>
            <w:vAlign w:val="bottom"/>
            <w:shd w:val="clear" w:color="auto" w:fill="B6B6B6"/>
          </w:tcPr>
          <w:p>
            <w:pPr>
              <w:spacing w:after="0"/>
              <w:rPr>
                <w:sz w:val="16"/>
                <w:szCs w:val="16"/>
                <w:color w:val="auto"/>
              </w:rPr>
            </w:pP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42,356</w:t>
            </w:r>
          </w:p>
        </w:tc>
        <w:tc>
          <w:tcPr>
            <w:tcW w:w="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38,899</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300" w:type="dxa"/>
            <w:vAlign w:val="bottom"/>
          </w:tcPr>
          <w:p>
            <w:pPr>
              <w:spacing w:after="0"/>
              <w:rPr>
                <w:sz w:val="17"/>
                <w:szCs w:val="17"/>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10,628</w:t>
            </w:r>
          </w:p>
        </w:tc>
        <w:tc>
          <w:tcPr>
            <w:tcW w:w="340" w:type="dxa"/>
            <w:vAlign w:val="bottom"/>
          </w:tcPr>
          <w:p>
            <w:pPr>
              <w:spacing w:after="0"/>
              <w:rPr>
                <w:sz w:val="17"/>
                <w:szCs w:val="17"/>
                <w:color w:val="auto"/>
              </w:rPr>
            </w:pPr>
          </w:p>
        </w:tc>
        <w:tc>
          <w:tcPr>
            <w:tcW w:w="12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11,662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21,405</w:t>
            </w:r>
          </w:p>
        </w:tc>
        <w:tc>
          <w:tcPr>
            <w:tcW w:w="220" w:type="dxa"/>
            <w:vAlign w:val="bottom"/>
          </w:tcPr>
          <w:p>
            <w:pPr>
              <w:spacing w:after="0"/>
              <w:rPr>
                <w:sz w:val="17"/>
                <w:szCs w:val="17"/>
                <w:color w:val="auto"/>
              </w:rPr>
            </w:pPr>
          </w:p>
        </w:tc>
        <w:tc>
          <w:tcPr>
            <w:tcW w:w="13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22,921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7"/>
        </w:trPr>
        <w:tc>
          <w:tcPr>
            <w:tcW w:w="31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00" w:type="dxa"/>
            <w:vAlign w:val="bottom"/>
            <w:shd w:val="clear" w:color="auto" w:fill="B6B6B6"/>
          </w:tcPr>
          <w:p>
            <w:pPr>
              <w:spacing w:after="0"/>
              <w:rPr>
                <w:sz w:val="18"/>
                <w:szCs w:val="18"/>
                <w:color w:val="auto"/>
              </w:rPr>
            </w:pPr>
          </w:p>
        </w:tc>
        <w:tc>
          <w:tcPr>
            <w:tcW w:w="108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15,930</w:t>
            </w: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16,014</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020" w:type="dxa"/>
            <w:vAlign w:val="bottom"/>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32,406</w:t>
            </w:r>
          </w:p>
        </w:tc>
        <w:tc>
          <w:tcPr>
            <w:tcW w:w="220" w:type="dxa"/>
            <w:vAlign w:val="bottom"/>
            <w:shd w:val="clear" w:color="auto" w:fill="B6B6B6"/>
          </w:tcPr>
          <w:p>
            <w:pPr>
              <w:spacing w:after="0"/>
              <w:rPr>
                <w:sz w:val="18"/>
                <w:szCs w:val="18"/>
                <w:color w:val="auto"/>
              </w:rPr>
            </w:pPr>
          </w:p>
        </w:tc>
        <w:tc>
          <w:tcPr>
            <w:tcW w:w="1360" w:type="dxa"/>
            <w:vAlign w:val="bottom"/>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32,912</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w:t>
            </w:r>
          </w:p>
        </w:tc>
        <w:tc>
          <w:tcPr>
            <w:tcW w:w="300" w:type="dxa"/>
            <w:vAlign w:val="bottom"/>
          </w:tcPr>
          <w:p>
            <w:pPr>
              <w:spacing w:after="0"/>
              <w:rPr>
                <w:sz w:val="17"/>
                <w:szCs w:val="17"/>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400</w:t>
            </w:r>
          </w:p>
        </w:tc>
        <w:tc>
          <w:tcPr>
            <w:tcW w:w="340" w:type="dxa"/>
            <w:vAlign w:val="bottom"/>
          </w:tcPr>
          <w:p>
            <w:pPr>
              <w:spacing w:after="0"/>
              <w:rPr>
                <w:sz w:val="17"/>
                <w:szCs w:val="17"/>
                <w:color w:val="auto"/>
              </w:rPr>
            </w:pPr>
          </w:p>
        </w:tc>
        <w:tc>
          <w:tcPr>
            <w:tcW w:w="122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(120)</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495</w:t>
            </w:r>
          </w:p>
        </w:tc>
        <w:tc>
          <w:tcPr>
            <w:tcW w:w="220" w:type="dxa"/>
            <w:vAlign w:val="bottom"/>
          </w:tcPr>
          <w:p>
            <w:pPr>
              <w:spacing w:after="0"/>
              <w:rPr>
                <w:sz w:val="17"/>
                <w:szCs w:val="17"/>
                <w:color w:val="auto"/>
              </w:rPr>
            </w:pPr>
          </w:p>
        </w:tc>
        <w:tc>
          <w:tcPr>
            <w:tcW w:w="13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(460)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1,329</w:t>
            </w:r>
          </w:p>
        </w:tc>
        <w:tc>
          <w:tcPr>
            <w:tcW w:w="340" w:type="dxa"/>
            <w:vAlign w:val="bottom"/>
            <w:tcBorders>
              <w:bottom w:val="single" w:sz="8" w:color="auto"/>
            </w:tcBorders>
            <w:shd w:val="clear" w:color="auto" w:fill="B6B6B6"/>
          </w:tcPr>
          <w:p>
            <w:pPr>
              <w:spacing w:after="0"/>
              <w:rPr>
                <w:sz w:val="17"/>
                <w:szCs w:val="17"/>
                <w:color w:val="auto"/>
              </w:rPr>
            </w:pPr>
          </w:p>
        </w:tc>
        <w:tc>
          <w:tcPr>
            <w:tcW w:w="1220" w:type="dxa"/>
            <w:vAlign w:val="bottom"/>
            <w:tcBorders>
              <w:bottom w:val="single" w:sz="8" w:color="auto"/>
            </w:tcBorders>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1,025</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80" w:type="dxa"/>
            <w:vAlign w:val="bottom"/>
            <w:shd w:val="clear" w:color="auto" w:fill="B6B6B6"/>
          </w:tcPr>
          <w:p>
            <w:pPr>
              <w:spacing w:after="0"/>
              <w:rPr>
                <w:sz w:val="17"/>
                <w:szCs w:val="17"/>
                <w:color w:val="auto"/>
              </w:rPr>
            </w:pPr>
          </w:p>
        </w:tc>
        <w:tc>
          <w:tcPr>
            <w:tcW w:w="300" w:type="dxa"/>
            <w:vAlign w:val="bottom"/>
            <w:tcBorders>
              <w:bottom w:val="single" w:sz="8" w:color="auto"/>
            </w:tcBorders>
            <w:shd w:val="clear" w:color="auto" w:fill="B6B6B6"/>
          </w:tcPr>
          <w:p>
            <w:pPr>
              <w:spacing w:after="0"/>
              <w:rPr>
                <w:sz w:val="17"/>
                <w:szCs w:val="17"/>
                <w:color w:val="auto"/>
              </w:rPr>
            </w:pPr>
          </w:p>
        </w:tc>
        <w:tc>
          <w:tcPr>
            <w:tcW w:w="1020" w:type="dxa"/>
            <w:vAlign w:val="bottom"/>
            <w:tcBorders>
              <w:bottom w:val="single" w:sz="8" w:color="auto"/>
            </w:tcBorders>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2,596</w:t>
            </w:r>
          </w:p>
        </w:tc>
        <w:tc>
          <w:tcPr>
            <w:tcW w:w="22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2,360</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300" w:type="dxa"/>
            <w:vAlign w:val="bottom"/>
          </w:tcPr>
          <w:p>
            <w:pPr>
              <w:spacing w:after="0"/>
              <w:rPr>
                <w:sz w:val="16"/>
                <w:szCs w:val="16"/>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48,590</w:t>
            </w:r>
          </w:p>
        </w:tc>
        <w:tc>
          <w:tcPr>
            <w:tcW w:w="340" w:type="dxa"/>
            <w:vAlign w:val="bottom"/>
          </w:tcPr>
          <w:p>
            <w:pPr>
              <w:spacing w:after="0"/>
              <w:rPr>
                <w:sz w:val="16"/>
                <w:szCs w:val="16"/>
                <w:color w:val="auto"/>
              </w:rPr>
            </w:pPr>
          </w:p>
        </w:tc>
        <w:tc>
          <w:tcPr>
            <w:tcW w:w="12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48,207</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98,268</w:t>
            </w:r>
          </w:p>
        </w:tc>
        <w:tc>
          <w:tcPr>
            <w:tcW w:w="220" w:type="dxa"/>
            <w:vAlign w:val="bottom"/>
          </w:tcPr>
          <w:p>
            <w:pPr>
              <w:spacing w:after="0"/>
              <w:rPr>
                <w:sz w:val="16"/>
                <w:szCs w:val="16"/>
                <w:color w:val="auto"/>
              </w:rPr>
            </w:pPr>
          </w:p>
        </w:tc>
        <w:tc>
          <w:tcPr>
            <w:tcW w:w="13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97,552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30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42,793</w:t>
            </w:r>
          </w:p>
        </w:tc>
        <w:tc>
          <w:tcPr>
            <w:tcW w:w="340" w:type="dxa"/>
            <w:vAlign w:val="bottom"/>
            <w:tcBorders>
              <w:bottom w:val="single" w:sz="8" w:color="auto"/>
            </w:tcBorders>
            <w:shd w:val="clear" w:color="auto" w:fill="B6B6B6"/>
          </w:tcPr>
          <w:p>
            <w:pPr>
              <w:spacing w:after="0"/>
              <w:rPr>
                <w:sz w:val="17"/>
                <w:szCs w:val="17"/>
                <w:color w:val="auto"/>
              </w:rPr>
            </w:pPr>
          </w:p>
        </w:tc>
        <w:tc>
          <w:tcPr>
            <w:tcW w:w="1220" w:type="dxa"/>
            <w:vAlign w:val="bottom"/>
            <w:tcBorders>
              <w:bottom w:val="single" w:sz="8" w:color="auto"/>
            </w:tcBorders>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39,339</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80" w:type="dxa"/>
            <w:vAlign w:val="bottom"/>
            <w:shd w:val="clear" w:color="auto" w:fill="B6B6B6"/>
          </w:tcPr>
          <w:p>
            <w:pPr>
              <w:spacing w:after="0"/>
              <w:rPr>
                <w:sz w:val="17"/>
                <w:szCs w:val="17"/>
                <w:color w:val="auto"/>
              </w:rPr>
            </w:pPr>
          </w:p>
        </w:tc>
        <w:tc>
          <w:tcPr>
            <w:tcW w:w="300" w:type="dxa"/>
            <w:vAlign w:val="bottom"/>
            <w:tcBorders>
              <w:bottom w:val="single" w:sz="8" w:color="auto"/>
            </w:tcBorders>
            <w:shd w:val="clear" w:color="auto" w:fill="B6B6B6"/>
          </w:tcPr>
          <w:p>
            <w:pPr>
              <w:spacing w:after="0"/>
              <w:rPr>
                <w:sz w:val="17"/>
                <w:szCs w:val="17"/>
                <w:color w:val="auto"/>
              </w:rPr>
            </w:pPr>
          </w:p>
        </w:tc>
        <w:tc>
          <w:tcPr>
            <w:tcW w:w="1020" w:type="dxa"/>
            <w:vAlign w:val="bottom"/>
            <w:tcBorders>
              <w:bottom w:val="single" w:sz="8" w:color="auto"/>
            </w:tcBorders>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83,464</w:t>
            </w:r>
          </w:p>
        </w:tc>
        <w:tc>
          <w:tcPr>
            <w:tcW w:w="22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79,711</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0" w:type="dxa"/>
            <w:vAlign w:val="bottom"/>
          </w:tcPr>
          <w:p>
            <w:pPr>
              <w:spacing w:after="0"/>
              <w:rPr>
                <w:sz w:val="1"/>
                <w:szCs w:val="1"/>
                <w:color w:val="auto"/>
              </w:rPr>
            </w:pPr>
          </w:p>
        </w:tc>
      </w:tr>
      <w:tr>
        <w:trPr>
          <w:trHeight w:val="192"/>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300" w:type="dxa"/>
            <w:vAlign w:val="bottom"/>
          </w:tcPr>
          <w:p>
            <w:pPr>
              <w:spacing w:after="0"/>
              <w:rPr>
                <w:sz w:val="16"/>
                <w:szCs w:val="16"/>
                <w:color w:val="auto"/>
              </w:rPr>
            </w:pPr>
          </w:p>
        </w:tc>
        <w:tc>
          <w:tcPr>
            <w:tcW w:w="108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5,797</w:t>
            </w:r>
          </w:p>
        </w:tc>
        <w:tc>
          <w:tcPr>
            <w:tcW w:w="340" w:type="dxa"/>
            <w:vAlign w:val="bottom"/>
          </w:tcPr>
          <w:p>
            <w:pPr>
              <w:spacing w:after="0"/>
              <w:rPr>
                <w:sz w:val="16"/>
                <w:szCs w:val="16"/>
                <w:color w:val="auto"/>
              </w:rPr>
            </w:pPr>
          </w:p>
        </w:tc>
        <w:tc>
          <w:tcPr>
            <w:tcW w:w="122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8,868</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14,804</w:t>
            </w:r>
          </w:p>
        </w:tc>
        <w:tc>
          <w:tcPr>
            <w:tcW w:w="220" w:type="dxa"/>
            <w:vAlign w:val="bottom"/>
          </w:tcPr>
          <w:p>
            <w:pPr>
              <w:spacing w:after="0"/>
              <w:rPr>
                <w:sz w:val="16"/>
                <w:szCs w:val="16"/>
                <w:color w:val="auto"/>
              </w:rPr>
            </w:pPr>
          </w:p>
        </w:tc>
        <w:tc>
          <w:tcPr>
            <w:tcW w:w="13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17,841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1,313</w:t>
            </w:r>
          </w:p>
        </w:tc>
        <w:tc>
          <w:tcPr>
            <w:tcW w:w="340" w:type="dxa"/>
            <w:vAlign w:val="bottom"/>
            <w:tcBorders>
              <w:bottom w:val="single" w:sz="8" w:color="auto"/>
            </w:tcBorders>
            <w:shd w:val="clear" w:color="auto" w:fill="B6B6B6"/>
          </w:tcPr>
          <w:p>
            <w:pPr>
              <w:spacing w:after="0"/>
              <w:rPr>
                <w:sz w:val="17"/>
                <w:szCs w:val="17"/>
                <w:color w:val="auto"/>
              </w:rPr>
            </w:pPr>
          </w:p>
        </w:tc>
        <w:tc>
          <w:tcPr>
            <w:tcW w:w="1220" w:type="dxa"/>
            <w:vAlign w:val="bottom"/>
            <w:tcBorders>
              <w:bottom w:val="single" w:sz="8" w:color="auto"/>
            </w:tcBorders>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1,730</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B6B6B6"/>
          </w:tcPr>
          <w:p>
            <w:pPr>
              <w:spacing w:after="0"/>
              <w:rPr>
                <w:sz w:val="17"/>
                <w:szCs w:val="17"/>
                <w:color w:val="auto"/>
              </w:rPr>
            </w:pPr>
          </w:p>
        </w:tc>
        <w:tc>
          <w:tcPr>
            <w:tcW w:w="300" w:type="dxa"/>
            <w:vAlign w:val="bottom"/>
            <w:tcBorders>
              <w:bottom w:val="single" w:sz="8" w:color="auto"/>
            </w:tcBorders>
            <w:shd w:val="clear" w:color="auto" w:fill="B6B6B6"/>
          </w:tcPr>
          <w:p>
            <w:pPr>
              <w:spacing w:after="0"/>
              <w:rPr>
                <w:sz w:val="17"/>
                <w:szCs w:val="17"/>
                <w:color w:val="auto"/>
              </w:rPr>
            </w:pPr>
          </w:p>
        </w:tc>
        <w:tc>
          <w:tcPr>
            <w:tcW w:w="1020" w:type="dxa"/>
            <w:vAlign w:val="bottom"/>
            <w:tcBorders>
              <w:bottom w:val="single" w:sz="8" w:color="auto"/>
            </w:tcBorders>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3,168</w:t>
            </w:r>
          </w:p>
        </w:tc>
        <w:tc>
          <w:tcPr>
            <w:tcW w:w="22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3,586</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4,484</w:t>
            </w:r>
          </w:p>
        </w:tc>
        <w:tc>
          <w:tcPr>
            <w:tcW w:w="3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7,138</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tcBorders>
              <w:bottom w:val="single" w:sz="8" w:color="B6B6B6"/>
            </w:tcBorders>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11,636</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14,255</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8"/>
        </w:trPr>
        <w:tc>
          <w:tcPr>
            <w:tcW w:w="31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0.32</w:t>
            </w:r>
          </w:p>
        </w:tc>
        <w:tc>
          <w:tcPr>
            <w:tcW w:w="34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B6B6B6"/>
          </w:tcPr>
          <w:p>
            <w:pPr>
              <w:jc w:val="right"/>
              <w:ind w:right="329"/>
              <w:spacing w:after="0"/>
              <w:rPr>
                <w:sz w:val="20"/>
                <w:szCs w:val="20"/>
                <w:color w:val="auto"/>
              </w:rPr>
            </w:pPr>
            <w:r>
              <w:rPr>
                <w:rFonts w:ascii="Times New Roman" w:cs="Times New Roman" w:eastAsia="Times New Roman" w:hAnsi="Times New Roman"/>
                <w:sz w:val="14"/>
                <w:szCs w:val="14"/>
                <w:color w:val="auto"/>
              </w:rPr>
              <w:t>0.52</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B6B6B6"/>
          </w:tcPr>
          <w:p>
            <w:pPr>
              <w:spacing w:after="0"/>
              <w:rPr>
                <w:sz w:val="17"/>
                <w:szCs w:val="17"/>
                <w:color w:val="auto"/>
              </w:rPr>
            </w:pP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rPr>
              <w:t>0.84</w:t>
            </w:r>
          </w:p>
        </w:tc>
        <w:tc>
          <w:tcPr>
            <w:tcW w:w="2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B6B6B6"/>
          </w:tcPr>
          <w:p>
            <w:pPr>
              <w:jc w:val="right"/>
              <w:ind w:right="349"/>
              <w:spacing w:after="0"/>
              <w:rPr>
                <w:sz w:val="20"/>
                <w:szCs w:val="20"/>
                <w:color w:val="auto"/>
              </w:rPr>
            </w:pPr>
            <w:r>
              <w:rPr>
                <w:rFonts w:ascii="Times New Roman" w:cs="Times New Roman" w:eastAsia="Times New Roman" w:hAnsi="Times New Roman"/>
                <w:sz w:val="14"/>
                <w:szCs w:val="14"/>
                <w:color w:val="auto"/>
              </w:rPr>
              <w:t>1.03</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96"/>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assets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340" w:type="dxa"/>
            <w:vAlign w:val="bottom"/>
          </w:tcPr>
          <w:p>
            <w:pPr>
              <w:spacing w:after="0"/>
              <w:rPr>
                <w:sz w:val="17"/>
                <w:szCs w:val="17"/>
                <w:color w:val="auto"/>
              </w:rPr>
            </w:pPr>
          </w:p>
        </w:tc>
        <w:tc>
          <w:tcPr>
            <w:tcW w:w="12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1.21 %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20" w:type="dxa"/>
            <w:vAlign w:val="bottom"/>
          </w:tcPr>
          <w:p>
            <w:pPr>
              <w:spacing w:after="0"/>
              <w:rPr>
                <w:sz w:val="17"/>
                <w:szCs w:val="17"/>
                <w:color w:val="auto"/>
              </w:rPr>
            </w:pPr>
          </w:p>
        </w:tc>
        <w:tc>
          <w:tcPr>
            <w:tcW w:w="1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1.18 %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31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Return on average equity</w:t>
            </w:r>
          </w:p>
        </w:tc>
        <w:tc>
          <w:tcPr>
            <w:tcW w:w="30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8.01 %</w:t>
            </w:r>
          </w:p>
        </w:tc>
        <w:tc>
          <w:tcPr>
            <w:tcW w:w="340" w:type="dxa"/>
            <w:vAlign w:val="bottom"/>
            <w:tcBorders>
              <w:bottom w:val="single" w:sz="8" w:color="auto"/>
            </w:tcBorders>
            <w:shd w:val="clear" w:color="auto" w:fill="B6B6B6"/>
          </w:tcPr>
          <w:p>
            <w:pPr>
              <w:spacing w:after="0"/>
              <w:rPr>
                <w:sz w:val="17"/>
                <w:szCs w:val="17"/>
                <w:color w:val="auto"/>
              </w:rPr>
            </w:pPr>
          </w:p>
        </w:tc>
        <w:tc>
          <w:tcPr>
            <w:tcW w:w="122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13.37 %</w:t>
            </w:r>
          </w:p>
        </w:tc>
        <w:tc>
          <w:tcPr>
            <w:tcW w:w="1220" w:type="dxa"/>
            <w:vAlign w:val="bottom"/>
            <w:tcBorders>
              <w:bottom w:val="single" w:sz="8" w:color="auto"/>
            </w:tcBorders>
            <w:gridSpan w:val="2"/>
            <w:shd w:val="clear" w:color="auto" w:fill="B6B6B6"/>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B6B6B6"/>
          </w:tcPr>
          <w:p>
            <w:pPr>
              <w:spacing w:after="0"/>
              <w:rPr>
                <w:sz w:val="17"/>
                <w:szCs w:val="17"/>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10.36 %</w:t>
            </w:r>
          </w:p>
        </w:tc>
        <w:tc>
          <w:tcPr>
            <w:tcW w:w="220" w:type="dxa"/>
            <w:vAlign w:val="bottom"/>
            <w:tcBorders>
              <w:bottom w:val="single" w:sz="8" w:color="auto"/>
            </w:tcBorders>
            <w:shd w:val="clear" w:color="auto" w:fill="B6B6B6"/>
          </w:tcPr>
          <w:p>
            <w:pPr>
              <w:spacing w:after="0"/>
              <w:rPr>
                <w:sz w:val="17"/>
                <w:szCs w:val="17"/>
                <w:color w:val="auto"/>
              </w:rPr>
            </w:pPr>
          </w:p>
        </w:tc>
        <w:tc>
          <w:tcPr>
            <w:tcW w:w="136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13.56 %</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quarter of 2024 compared to second quarter of 2023:</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net revenue of $48.6 million during the three-month period ended June 30, 2024, up 0.8% from the three-month period ended June 30, 2023, primarily driven by higher processing fees. Operating expense increased 8.8% primarily driven by $2.1 million of reserves and other losses on outstanding receivables in addition to $1.3 million related to estimated late fees to be incurred on facility transactions. Net income was $4.5 million and diluted EPS was $0.32 per share, decreases of 37.2% and 38.5% from the three-month period ended June 30,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posted a 0.78% return on average assets and 8.01% return on average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First half of 2024 compared to first half of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net revenue of $98.3 million during the first half of 2024, up 0.7% from the first half of June 30, 2023, primarily driven by higher processing fees. Operating expense increased 4.7% primarily driven by the same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described above comparing the second quarter of 2024 to the same period in 2023. Net income was $11.6 million and diluted EPS was $0.84 per share, decreases of 18.4% and 18.4% from the first half of June 30, 2023,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posted a 1.00% return on average assets and 10.36% return on average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 Revenue and Other Income</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99"/>
              </w:rPr>
              <w:t>Second Quarter of</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First Half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1"/>
                <w:szCs w:val="11"/>
                <w:color w:val="auto"/>
              </w:rPr>
            </w:pPr>
          </w:p>
        </w:tc>
        <w:tc>
          <w:tcPr>
            <w:tcW w:w="102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1400" w:type="dxa"/>
            <w:vAlign w:val="bottom"/>
            <w:vMerge w:val="restart"/>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jc w:val="right"/>
              <w:ind w:right="52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1380" w:type="dxa"/>
            <w:vAlign w:val="bottom"/>
            <w:vMerge w:val="restart"/>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jc w:val="right"/>
              <w:ind w:right="54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9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Transportation invoice volume</w:t>
            </w:r>
          </w:p>
        </w:tc>
        <w:tc>
          <w:tcPr>
            <w:tcW w:w="300" w:type="dxa"/>
            <w:vAlign w:val="bottom"/>
            <w:shd w:val="clear" w:color="auto" w:fill="B6B6B6"/>
          </w:tcPr>
          <w:p>
            <w:pPr>
              <w:spacing w:after="0"/>
              <w:rPr>
                <w:sz w:val="16"/>
                <w:szCs w:val="16"/>
                <w:color w:val="auto"/>
              </w:rPr>
            </w:pPr>
          </w:p>
        </w:tc>
        <w:tc>
          <w:tcPr>
            <w:tcW w:w="10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8,879</w:t>
            </w:r>
          </w:p>
        </w:tc>
        <w:tc>
          <w:tcPr>
            <w:tcW w:w="160" w:type="dxa"/>
            <w:vAlign w:val="bottom"/>
            <w:shd w:val="clear" w:color="auto" w:fill="B6B6B6"/>
          </w:tcPr>
          <w:p>
            <w:pPr>
              <w:spacing w:after="0"/>
              <w:rPr>
                <w:sz w:val="16"/>
                <w:szCs w:val="16"/>
                <w:color w:val="auto"/>
              </w:rPr>
            </w:pPr>
          </w:p>
        </w:tc>
        <w:tc>
          <w:tcPr>
            <w:tcW w:w="140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9,193</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B6B6B6"/>
          </w:tcPr>
          <w:p>
            <w:pPr>
              <w:spacing w:after="0"/>
              <w:rPr>
                <w:sz w:val="16"/>
                <w:szCs w:val="16"/>
                <w:color w:val="auto"/>
              </w:rPr>
            </w:pPr>
          </w:p>
        </w:tc>
        <w:tc>
          <w:tcPr>
            <w:tcW w:w="300" w:type="dxa"/>
            <w:vAlign w:val="bottom"/>
            <w:shd w:val="clear" w:color="auto" w:fill="B6B6B6"/>
          </w:tcPr>
          <w:p>
            <w:pPr>
              <w:spacing w:after="0"/>
              <w:rPr>
                <w:sz w:val="16"/>
                <w:szCs w:val="16"/>
                <w:color w:val="auto"/>
              </w:rPr>
            </w:pPr>
          </w:p>
        </w:tc>
        <w:tc>
          <w:tcPr>
            <w:tcW w:w="10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17,649</w:t>
            </w:r>
          </w:p>
        </w:tc>
        <w:tc>
          <w:tcPr>
            <w:tcW w:w="280" w:type="dxa"/>
            <w:vAlign w:val="bottom"/>
            <w:shd w:val="clear" w:color="auto" w:fill="B6B6B6"/>
          </w:tcPr>
          <w:p>
            <w:pPr>
              <w:spacing w:after="0"/>
              <w:rPr>
                <w:sz w:val="16"/>
                <w:szCs w:val="16"/>
                <w:color w:val="auto"/>
              </w:rPr>
            </w:pPr>
          </w:p>
        </w:tc>
        <w:tc>
          <w:tcPr>
            <w:tcW w:w="138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18,291</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 invoice dollar volume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9,081,343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9,711,801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18,020,989</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19,980,252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2"/>
        </w:trPr>
        <w:tc>
          <w:tcPr>
            <w:tcW w:w="2900" w:type="dxa"/>
            <w:vAlign w:val="bottom"/>
            <w:shd w:val="clear" w:color="auto" w:fill="B6B6B6"/>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Facility-related transaction volume </w:t>
            </w:r>
            <w:r>
              <w:rPr>
                <w:rFonts w:ascii="Times New Roman" w:cs="Times New Roman" w:eastAsia="Times New Roman" w:hAnsi="Times New Roman"/>
                <w:sz w:val="18"/>
                <w:szCs w:val="18"/>
                <w:color w:val="auto"/>
                <w:vertAlign w:val="superscript"/>
              </w:rPr>
              <w:t>1</w:t>
            </w:r>
          </w:p>
        </w:tc>
        <w:tc>
          <w:tcPr>
            <w:tcW w:w="300" w:type="dxa"/>
            <w:vAlign w:val="bottom"/>
            <w:shd w:val="clear" w:color="auto" w:fill="B6B6B6"/>
          </w:tcPr>
          <w:p>
            <w:pPr>
              <w:spacing w:after="0"/>
              <w:rPr>
                <w:sz w:val="17"/>
                <w:szCs w:val="17"/>
                <w:color w:val="auto"/>
              </w:rPr>
            </w:pPr>
          </w:p>
        </w:tc>
        <w:tc>
          <w:tcPr>
            <w:tcW w:w="10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4,337</w:t>
            </w:r>
          </w:p>
        </w:tc>
        <w:tc>
          <w:tcPr>
            <w:tcW w:w="160" w:type="dxa"/>
            <w:vAlign w:val="bottom"/>
            <w:shd w:val="clear" w:color="auto" w:fill="B6B6B6"/>
          </w:tcPr>
          <w:p>
            <w:pPr>
              <w:spacing w:after="0"/>
              <w:rPr>
                <w:sz w:val="17"/>
                <w:szCs w:val="17"/>
                <w:color w:val="auto"/>
              </w:rPr>
            </w:pPr>
          </w:p>
        </w:tc>
        <w:tc>
          <w:tcPr>
            <w:tcW w:w="140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3,467</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100" w:type="dxa"/>
            <w:vAlign w:val="bottom"/>
            <w:shd w:val="clear" w:color="auto" w:fill="B6B6B6"/>
          </w:tcPr>
          <w:p>
            <w:pPr>
              <w:spacing w:after="0"/>
              <w:rPr>
                <w:sz w:val="17"/>
                <w:szCs w:val="17"/>
                <w:color w:val="auto"/>
              </w:rPr>
            </w:pPr>
          </w:p>
        </w:tc>
        <w:tc>
          <w:tcPr>
            <w:tcW w:w="300" w:type="dxa"/>
            <w:vAlign w:val="bottom"/>
            <w:shd w:val="clear" w:color="auto" w:fill="B6B6B6"/>
          </w:tcPr>
          <w:p>
            <w:pPr>
              <w:spacing w:after="0"/>
              <w:rPr>
                <w:sz w:val="17"/>
                <w:szCs w:val="17"/>
                <w:color w:val="auto"/>
              </w:rPr>
            </w:pPr>
          </w:p>
        </w:tc>
        <w:tc>
          <w:tcPr>
            <w:tcW w:w="10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8,601</w:t>
            </w:r>
          </w:p>
        </w:tc>
        <w:tc>
          <w:tcPr>
            <w:tcW w:w="280" w:type="dxa"/>
            <w:vAlign w:val="bottom"/>
            <w:shd w:val="clear" w:color="auto" w:fill="B6B6B6"/>
          </w:tcPr>
          <w:p>
            <w:pPr>
              <w:spacing w:after="0"/>
              <w:rPr>
                <w:sz w:val="17"/>
                <w:szCs w:val="17"/>
                <w:color w:val="auto"/>
              </w:rPr>
            </w:pPr>
          </w:p>
        </w:tc>
        <w:tc>
          <w:tcPr>
            <w:tcW w:w="138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6,935</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0" w:type="dxa"/>
            <w:vAlign w:val="bottom"/>
          </w:tcPr>
          <w:p>
            <w:pPr>
              <w:spacing w:after="0"/>
              <w:rPr>
                <w:sz w:val="1"/>
                <w:szCs w:val="1"/>
                <w:color w:val="auto"/>
              </w:rPr>
            </w:pPr>
          </w:p>
        </w:tc>
      </w:tr>
      <w:tr>
        <w:trPr>
          <w:trHeight w:val="202"/>
        </w:trPr>
        <w:tc>
          <w:tcPr>
            <w:tcW w:w="290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 xml:space="preserve">Facility-related dollar volume </w:t>
            </w:r>
            <w:r>
              <w:rPr>
                <w:rFonts w:ascii="Times New Roman" w:cs="Times New Roman" w:eastAsia="Times New Roman" w:hAnsi="Times New Roman"/>
                <w:sz w:val="18"/>
                <w:szCs w:val="18"/>
                <w:color w:val="auto"/>
                <w:vertAlign w:val="superscript"/>
              </w:rPr>
              <w:t>1</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5,039,283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4,578,490</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10,368,848</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9,891,875</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0" w:type="dxa"/>
            <w:vAlign w:val="bottom"/>
          </w:tcPr>
          <w:p>
            <w:pPr>
              <w:spacing w:after="0"/>
              <w:rPr>
                <w:sz w:val="1"/>
                <w:szCs w:val="1"/>
                <w:color w:val="auto"/>
              </w:rPr>
            </w:pPr>
          </w:p>
        </w:tc>
      </w:tr>
      <w:tr>
        <w:trPr>
          <w:trHeight w:val="202"/>
        </w:trPr>
        <w:tc>
          <w:tcPr>
            <w:tcW w:w="2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Average payments in advance of funding</w:t>
            </w: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213,185</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254,869</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shd w:val="clear" w:color="auto" w:fill="B6B6B6"/>
          </w:tcPr>
          <w:p>
            <w:pPr>
              <w:spacing w:after="0"/>
              <w:rPr>
                <w:sz w:val="17"/>
                <w:szCs w:val="17"/>
                <w:color w:val="auto"/>
              </w:rPr>
            </w:pP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203,761</w:t>
            </w:r>
          </w:p>
        </w:tc>
        <w:tc>
          <w:tcPr>
            <w:tcW w:w="28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247,918</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19,386</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42,356</w:t>
            </w:r>
          </w:p>
        </w:tc>
        <w:tc>
          <w:tcPr>
            <w:tcW w:w="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38,899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0" w:type="dxa"/>
            <w:vAlign w:val="bottom"/>
          </w:tcPr>
          <w:p>
            <w:pPr>
              <w:spacing w:after="0"/>
              <w:rPr>
                <w:sz w:val="1"/>
                <w:szCs w:val="1"/>
                <w:color w:val="auto"/>
              </w:rPr>
            </w:pPr>
          </w:p>
        </w:tc>
      </w:tr>
      <w:tr>
        <w:trPr>
          <w:trHeight w:val="202"/>
        </w:trPr>
        <w:tc>
          <w:tcPr>
            <w:tcW w:w="29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Financial fees</w:t>
            </w: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10,628</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11,662</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B6B6B6"/>
          </w:tcPr>
          <w:p>
            <w:pPr>
              <w:spacing w:after="0"/>
              <w:rPr>
                <w:sz w:val="17"/>
                <w:szCs w:val="17"/>
                <w:color w:val="auto"/>
              </w:rPr>
            </w:pPr>
          </w:p>
        </w:tc>
        <w:tc>
          <w:tcPr>
            <w:tcW w:w="30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21,405</w:t>
            </w:r>
          </w:p>
        </w:tc>
        <w:tc>
          <w:tcPr>
            <w:tcW w:w="28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B6B6B6"/>
          </w:tcPr>
          <w:p>
            <w:pPr>
              <w:jc w:val="right"/>
              <w:ind w:right="229"/>
              <w:spacing w:after="0"/>
              <w:rPr>
                <w:sz w:val="20"/>
                <w:szCs w:val="20"/>
                <w:color w:val="auto"/>
              </w:rPr>
            </w:pPr>
            <w:r>
              <w:rPr>
                <w:rFonts w:ascii="Times New Roman" w:cs="Times New Roman" w:eastAsia="Times New Roman" w:hAnsi="Times New Roman"/>
                <w:sz w:val="14"/>
                <w:szCs w:val="14"/>
                <w:color w:val="auto"/>
              </w:rPr>
              <w:t>22,921</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1"/>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fees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1,329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1,025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29.7 %</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2,596</w:t>
            </w:r>
          </w:p>
        </w:tc>
        <w:tc>
          <w:tcPr>
            <w:tcW w:w="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2,360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5"/>
        <w:spacing w:after="0"/>
        <w:tabs>
          <w:tab w:leader="none" w:pos="2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energy, telecom and environmental.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quarter of 2024 compared to second quarter of 2023:</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Processing fee revenue increased $1.7 million, or 8.9%, primarily attributable to an increase in facility-related invoice volumes of 25.1%. The Company has experienced recent success in adding facility clients with high transaction volumes. Transportation invoice volumes decreased 3.4% over the same period. The decline in transportation volumes is largely due to the ongoing freight recession.</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fee revenue decreased $1.0 million, or 8.9%, primarily attributable to a decline in transportation dollar volumes of 6.5% in addition to changes in the manner certain vendors receive payments.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First half of 2024 compared to first half of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Processing fee revenue increased $3.5 million, or 8.9%, primarily attributable to an increase in facility-related invoice volumes of 24.0%. Transportation invoice volumes decreased 3.5% over the same period.</w:t>
      </w:r>
    </w:p>
    <w:p>
      <w:pPr>
        <w:spacing w:after="0" w:line="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fee revenue decreased $1.5 million, or 6.6%, primarily attributable to a decline in transportation dollar volumes of 9.8% in addition to changes in the manner certain vendors receive payments.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Second Quarter of</w:t>
            </w: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First Half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Pr>
          <w:p>
            <w:pPr>
              <w:spacing w:after="0"/>
              <w:rPr>
                <w:sz w:val="11"/>
                <w:szCs w:val="11"/>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1"/>
                <w:szCs w:val="11"/>
                <w:color w:val="auto"/>
              </w:rPr>
            </w:pPr>
          </w:p>
        </w:tc>
        <w:tc>
          <w:tcPr>
            <w:tcW w:w="1300" w:type="dxa"/>
            <w:vAlign w:val="bottom"/>
            <w:vMerge w:val="restart"/>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right"/>
              <w:ind w:right="44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1500" w:type="dxa"/>
            <w:vAlign w:val="bottom"/>
            <w:vMerge w:val="restart"/>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right"/>
              <w:ind w:right="449"/>
              <w:spacing w:after="0" w:line="134"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24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Average earning assets</w:t>
            </w:r>
          </w:p>
        </w:tc>
        <w:tc>
          <w:tcPr>
            <w:tcW w:w="360" w:type="dxa"/>
            <w:vAlign w:val="bottom"/>
            <w:shd w:val="clear" w:color="auto" w:fill="B6B6B6"/>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1,958,427</w:t>
            </w:r>
          </w:p>
        </w:tc>
        <w:tc>
          <w:tcPr>
            <w:tcW w:w="46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2,010,771</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B6B6B6"/>
          </w:tcPr>
          <w:p>
            <w:pPr>
              <w:spacing w:after="0"/>
              <w:rPr>
                <w:sz w:val="16"/>
                <w:szCs w:val="16"/>
                <w:color w:val="auto"/>
              </w:rPr>
            </w:pPr>
          </w:p>
        </w:tc>
        <w:tc>
          <w:tcPr>
            <w:tcW w:w="360" w:type="dxa"/>
            <w:vAlign w:val="bottom"/>
            <w:shd w:val="clear" w:color="auto" w:fill="B6B6B6"/>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2,010,833</w:t>
            </w:r>
          </w:p>
        </w:tc>
        <w:tc>
          <w:tcPr>
            <w:tcW w:w="2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2,086,333</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interest-bearing liabilities</w:t>
            </w:r>
          </w:p>
        </w:tc>
        <w:tc>
          <w:tcPr>
            <w:tcW w:w="36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638,339</w:t>
            </w:r>
          </w:p>
        </w:tc>
        <w:tc>
          <w:tcPr>
            <w:tcW w:w="460" w:type="dxa"/>
            <w:vAlign w:val="bottom"/>
          </w:tcPr>
          <w:p>
            <w:pPr>
              <w:spacing w:after="0"/>
              <w:rPr>
                <w:sz w:val="17"/>
                <w:szCs w:val="17"/>
                <w:color w:val="auto"/>
              </w:rPr>
            </w:pPr>
          </w:p>
        </w:tc>
        <w:tc>
          <w:tcPr>
            <w:tcW w:w="13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512,519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634,986</w:t>
            </w:r>
          </w:p>
        </w:tc>
        <w:tc>
          <w:tcPr>
            <w:tcW w:w="280" w:type="dxa"/>
            <w:vAlign w:val="bottom"/>
          </w:tcPr>
          <w:p>
            <w:pPr>
              <w:spacing w:after="0"/>
              <w:rPr>
                <w:sz w:val="17"/>
                <w:szCs w:val="17"/>
                <w:color w:val="auto"/>
              </w:rPr>
            </w:pPr>
          </w:p>
        </w:tc>
        <w:tc>
          <w:tcPr>
            <w:tcW w:w="15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554,494</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0" w:type="dxa"/>
            <w:vAlign w:val="bottom"/>
          </w:tcPr>
          <w:p>
            <w:pPr>
              <w:spacing w:after="0"/>
              <w:rPr>
                <w:sz w:val="1"/>
                <w:szCs w:val="1"/>
                <w:color w:val="auto"/>
              </w:rPr>
            </w:pPr>
          </w:p>
        </w:tc>
      </w:tr>
      <w:tr>
        <w:trPr>
          <w:trHeight w:val="207"/>
        </w:trPr>
        <w:tc>
          <w:tcPr>
            <w:tcW w:w="24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360" w:type="dxa"/>
            <w:vAlign w:val="bottom"/>
            <w:shd w:val="clear" w:color="auto" w:fill="B6B6B6"/>
          </w:tcPr>
          <w:p>
            <w:pPr>
              <w:spacing w:after="0"/>
              <w:rPr>
                <w:sz w:val="18"/>
                <w:szCs w:val="18"/>
                <w:color w:val="auto"/>
              </w:rPr>
            </w:pPr>
          </w:p>
        </w:tc>
        <w:tc>
          <w:tcPr>
            <w:tcW w:w="112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16,168</w:t>
            </w:r>
          </w:p>
        </w:tc>
        <w:tc>
          <w:tcPr>
            <w:tcW w:w="460" w:type="dxa"/>
            <w:vAlign w:val="bottom"/>
            <w:shd w:val="clear" w:color="auto" w:fill="B6B6B6"/>
          </w:tcPr>
          <w:p>
            <w:pPr>
              <w:spacing w:after="0"/>
              <w:rPr>
                <w:sz w:val="18"/>
                <w:szCs w:val="18"/>
                <w:color w:val="auto"/>
              </w:rPr>
            </w:pPr>
          </w:p>
        </w:tc>
        <w:tc>
          <w:tcPr>
            <w:tcW w:w="1300" w:type="dxa"/>
            <w:vAlign w:val="bottom"/>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16,277</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20" w:type="dxa"/>
            <w:vAlign w:val="bottom"/>
            <w:shd w:val="clear" w:color="auto" w:fill="B6B6B6"/>
          </w:tcPr>
          <w:p>
            <w:pPr>
              <w:jc w:val="right"/>
              <w:ind w:right="69"/>
              <w:spacing w:after="0"/>
              <w:rPr>
                <w:sz w:val="20"/>
                <w:szCs w:val="20"/>
                <w:color w:val="auto"/>
              </w:rPr>
            </w:pPr>
            <w:r>
              <w:rPr>
                <w:rFonts w:ascii="Times New Roman" w:cs="Times New Roman" w:eastAsia="Times New Roman" w:hAnsi="Times New Roman"/>
                <w:sz w:val="14"/>
                <w:szCs w:val="14"/>
                <w:color w:val="auto"/>
              </w:rPr>
              <w:t>32,888</w:t>
            </w:r>
          </w:p>
        </w:tc>
        <w:tc>
          <w:tcPr>
            <w:tcW w:w="280" w:type="dxa"/>
            <w:vAlign w:val="bottom"/>
            <w:shd w:val="clear" w:color="auto" w:fill="B6B6B6"/>
          </w:tcPr>
          <w:p>
            <w:pPr>
              <w:spacing w:after="0"/>
              <w:rPr>
                <w:sz w:val="18"/>
                <w:szCs w:val="18"/>
                <w:color w:val="auto"/>
              </w:rPr>
            </w:pPr>
          </w:p>
        </w:tc>
        <w:tc>
          <w:tcPr>
            <w:tcW w:w="1500" w:type="dxa"/>
            <w:vAlign w:val="bottom"/>
            <w:shd w:val="clear" w:color="auto" w:fill="B6B6B6"/>
          </w:tcPr>
          <w:p>
            <w:pPr>
              <w:jc w:val="right"/>
              <w:ind w:right="249"/>
              <w:spacing w:after="0"/>
              <w:rPr>
                <w:sz w:val="20"/>
                <w:szCs w:val="20"/>
                <w:color w:val="auto"/>
              </w:rPr>
            </w:pPr>
            <w:r>
              <w:rPr>
                <w:rFonts w:ascii="Times New Roman" w:cs="Times New Roman" w:eastAsia="Times New Roman" w:hAnsi="Times New Roman"/>
                <w:sz w:val="14"/>
                <w:szCs w:val="14"/>
                <w:color w:val="auto"/>
              </w:rPr>
              <w:t>33,496</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17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3.32 %</w:t>
            </w:r>
          </w:p>
        </w:tc>
        <w:tc>
          <w:tcPr>
            <w:tcW w:w="224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rPr>
              <w:t>3.25 %</w:t>
            </w:r>
          </w:p>
        </w:tc>
        <w:tc>
          <w:tcPr>
            <w:tcW w:w="22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3.29 %</w:t>
            </w:r>
          </w:p>
        </w:tc>
        <w:tc>
          <w:tcPr>
            <w:tcW w:w="230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3.24 %</w:t>
            </w:r>
          </w:p>
        </w:tc>
      </w:tr>
      <w:tr>
        <w:trPr>
          <w:trHeight w:val="207"/>
        </w:trPr>
        <w:tc>
          <w:tcPr>
            <w:tcW w:w="27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Yield on earning assets*</w:t>
            </w:r>
          </w:p>
        </w:tc>
        <w:tc>
          <w:tcPr>
            <w:tcW w:w="1780" w:type="dxa"/>
            <w:vAlign w:val="bottom"/>
            <w:shd w:val="clear" w:color="auto" w:fill="B6B6B6"/>
          </w:tcPr>
          <w:p>
            <w:pPr>
              <w:jc w:val="right"/>
              <w:ind w:right="509"/>
              <w:spacing w:after="0"/>
              <w:rPr>
                <w:sz w:val="20"/>
                <w:szCs w:val="20"/>
                <w:color w:val="auto"/>
              </w:rPr>
            </w:pPr>
            <w:r>
              <w:rPr>
                <w:rFonts w:ascii="Times New Roman" w:cs="Times New Roman" w:eastAsia="Times New Roman" w:hAnsi="Times New Roman"/>
                <w:sz w:val="14"/>
                <w:szCs w:val="14"/>
                <w:color w:val="auto"/>
              </w:rPr>
              <w:t>4.41 %</w:t>
            </w:r>
          </w:p>
        </w:tc>
        <w:tc>
          <w:tcPr>
            <w:tcW w:w="2240" w:type="dxa"/>
            <w:vAlign w:val="bottom"/>
            <w:shd w:val="clear" w:color="auto" w:fill="B6B6B6"/>
          </w:tcPr>
          <w:p>
            <w:pPr>
              <w:jc w:val="right"/>
              <w:ind w:right="1169"/>
              <w:spacing w:after="0"/>
              <w:rPr>
                <w:sz w:val="20"/>
                <w:szCs w:val="20"/>
                <w:color w:val="auto"/>
              </w:rPr>
            </w:pPr>
            <w:r>
              <w:rPr>
                <w:rFonts w:ascii="Times New Roman" w:cs="Times New Roman" w:eastAsia="Times New Roman" w:hAnsi="Times New Roman"/>
                <w:sz w:val="14"/>
                <w:szCs w:val="14"/>
                <w:color w:val="auto"/>
              </w:rPr>
              <w:t>3.98 %</w:t>
            </w:r>
          </w:p>
        </w:tc>
        <w:tc>
          <w:tcPr>
            <w:tcW w:w="2240" w:type="dxa"/>
            <w:vAlign w:val="bottom"/>
            <w:shd w:val="clear" w:color="auto" w:fill="B6B6B6"/>
          </w:tcPr>
          <w:p>
            <w:pPr>
              <w:jc w:val="right"/>
              <w:ind w:right="529"/>
              <w:spacing w:after="0"/>
              <w:rPr>
                <w:sz w:val="20"/>
                <w:szCs w:val="20"/>
                <w:color w:val="auto"/>
              </w:rPr>
            </w:pPr>
            <w:r>
              <w:rPr>
                <w:rFonts w:ascii="Times New Roman" w:cs="Times New Roman" w:eastAsia="Times New Roman" w:hAnsi="Times New Roman"/>
                <w:sz w:val="14"/>
                <w:szCs w:val="14"/>
                <w:color w:val="auto"/>
              </w:rPr>
              <w:t>4.34 %</w:t>
            </w:r>
          </w:p>
        </w:tc>
        <w:tc>
          <w:tcPr>
            <w:tcW w:w="2300" w:type="dxa"/>
            <w:vAlign w:val="bottom"/>
            <w:shd w:val="clear" w:color="auto" w:fill="B6B6B6"/>
          </w:tcPr>
          <w:p>
            <w:pPr>
              <w:jc w:val="right"/>
              <w:ind w:right="1229"/>
              <w:spacing w:after="0"/>
              <w:rPr>
                <w:sz w:val="20"/>
                <w:szCs w:val="20"/>
                <w:color w:val="auto"/>
              </w:rPr>
            </w:pPr>
            <w:r>
              <w:rPr>
                <w:rFonts w:ascii="Times New Roman" w:cs="Times New Roman" w:eastAsia="Times New Roman" w:hAnsi="Times New Roman"/>
                <w:sz w:val="14"/>
                <w:szCs w:val="14"/>
                <w:color w:val="auto"/>
              </w:rPr>
              <w:t>3.91 %</w:t>
            </w:r>
          </w:p>
        </w:tc>
      </w:tr>
      <w:tr>
        <w:trPr>
          <w:trHeight w:val="196"/>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Cost of interest-bearing liabilities</w:t>
            </w:r>
          </w:p>
        </w:tc>
        <w:tc>
          <w:tcPr>
            <w:tcW w:w="17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3.35 %</w:t>
            </w:r>
          </w:p>
        </w:tc>
        <w:tc>
          <w:tcPr>
            <w:tcW w:w="224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rPr>
              <w:t>2.89 %</w:t>
            </w:r>
          </w:p>
        </w:tc>
        <w:tc>
          <w:tcPr>
            <w:tcW w:w="22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3.32 %</w:t>
            </w:r>
          </w:p>
        </w:tc>
        <w:tc>
          <w:tcPr>
            <w:tcW w:w="2300" w:type="dxa"/>
            <w:vAlign w:val="bottom"/>
            <w:tcBorders>
              <w:bottom w:val="single" w:sz="8" w:color="auto"/>
            </w:tcBorders>
          </w:tcPr>
          <w:p>
            <w:pPr>
              <w:jc w:val="right"/>
              <w:ind w:right="1229"/>
              <w:spacing w:after="0"/>
              <w:rPr>
                <w:sz w:val="20"/>
                <w:szCs w:val="20"/>
                <w:color w:val="auto"/>
              </w:rPr>
            </w:pPr>
            <w:r>
              <w:rPr>
                <w:rFonts w:ascii="Times New Roman" w:cs="Times New Roman" w:eastAsia="Times New Roman" w:hAnsi="Times New Roman"/>
                <w:sz w:val="14"/>
                <w:szCs w:val="14"/>
                <w:color w:val="auto"/>
              </w:rPr>
              <w:t>2.52 %</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on a tax-equivalent basis assuming a tax rate of 21% for both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quarter of 2024 compared to second quarter of 2023:</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decrease in net interest income is primarily due to the decrease in average earning assets of $52.3 million, or 2.6%, partially offset by an increase in the net interest margin to 3.32%, as compared to 3.25% in the same quarter last year. The yield on interest-earning assets increased 43 basis points from 3.98% to 4.41% while the cost of interest-bearing liabilities increased 46 basis points from 2.89% to 3.35%.</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Average loans decreased $36.4 million, or 3.4%, to $1.04 billion. The decrease in average loans was primarily due to the Company opting to be more selective in booking new loans as a result of a decline in average deposits. The average yield on loans increased 44 basis points to 5.26%.</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investment securities decreased $96.0 million, or 12.8%, to $653.7 million. The Company has not offset maturities and sales of investment securities with new purchase volume primarily due to the decline in average funding sources. The average yield on taxable investment securities increased 25 basis points to 2.88% and the average yield on tax-exempt investment securities increased 7 basis points to 2.75% driven by purchases of investment securities at current market interest rates and maturities and sales of securities at below market interest rates.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Average short-term investments, consisting of interest-bearing deposits in other financial institutions and federal funds sold, increased $80.1 million, or 43.2%, to $265.3 million. The increase is primarily a result of the sale and maturities of investment securities and the decline in average loans, partially offset by a decrease in average funding sources. The average yield on short-term investments increased 40 basis points to 4.95%, primarily due to higher average short-term interest rates when comparing the periods. The majority of these short-term investments are held at the Federal Reserve Bank.</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average balance of interest-bearing deposits increased $129.0 million, or 25.3%, to $638.3 million. Average non-interest-bearing demand deposits decreased $145.6 million, or 26.3%, to $407.1 million. The Company has experienced a migration of client funds from non-interest bearing to interest-bearing driven by the higher interest rate environment. The average rate paid on interest-bearing deposits increased 47 basis points to 3.35% due to higher average short-term interest rates when comparing the periods.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accounts and drafts payable decreased $52.3 million, or 5.0%, to $996.9 million. The decrease in average accounts and drafts payable was primarily reflective of a cyber event at a client, as described above, which decreased average balances approximately $100.0 million as well as the decrease in transportation dollar volumes of 6.5%, partially offset by an increase in facility dollar volume of 10.1%.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First half of 2024 compared to first half of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decrease in net interest income is primarily due to the decrease in average earning assets of $75.5 million, or 3.6%, partially offset by the increase in the net interest margin to 3.29%, as compared to 3.24% in the prior year. The yield 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interest-earning assets increased 43 basis points from 3.91% to 4.34% while the cost of interest-bearing liabilities increased 80 basis points from 2.52% to 3.32%.</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Average loans decreased $48.2 million, or 4.5%, to $1.03 billion. The decrease in average loans was primarily due to the Company opting to be more selective in booking new loans as a result of a decline in average deposits. The average yield on loans increased 44 basis points to 5.16%.</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Average investment securities decreased $96.1 million, or 12.5%, to $674.3 million. The average yield on taxable investment securities increased 20 basis points to 2.79% and the average yield on tax-exempt investment securities declined 3 basis points to 2.72%. The Company has not offset maturities and sales of investment securities with new purchase volume primarily due to the decline in average funding sources. The increase in the average yield on taxable investment securities was driven by purchases of investment securities at current market interest rates and maturities and sales of securities at below market interest rates.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short-term investments, consisting of interest-bearing deposits in other financial institutions and federal funds sold, increased $68.8 million, or 28.7%, to $308.7 million. The increase is primarily a result of the decline in average investment securities and loans, partially offset by a decrease in average funding sources. The average yield on short-term investments increased 64 basis points to 5.02%, primarily due to higher average short-term interest rates when comparing the periods. The majority of these short-term investments are held at the Federal Reserve Bank.</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average balance of interest-bearing deposits increased $85.0 million, or 15.5%, to $635.0 million. Average non-interest-bearing demand deposits decreased $125.7 million, or 22.7%, to $427.5 million. The Company has experienced a migration of client funds from non-interest bearing to interest-bearing driven by the higher interest rate environment. The average rate paid on interest-bearing deposits increased 82 basis points to 3.32% due to higher average short-term interest rates when comparing the periods.</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Average accounts and drafts payable decreased $55.7 million, or 5.2%, to $1.02 billion. The decrease in average accounts and drafts payable was primarily reflective of a cyber event experienced by a client, as described above, which decreased average balances approximately $100.0 million as well as the decrease in transportation dollar volumes of 9.8%, partially offset by an increase in facility dollar volumes of 4.8%.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of Assets, Liabilities and Shareholders' Equity; Interest Rate and Interest Differential</w:t>
      </w:r>
    </w:p>
    <w:p>
      <w:pPr>
        <w:spacing w:after="0" w:line="159" w:lineRule="exact"/>
        <w:rPr>
          <w:sz w:val="20"/>
          <w:szCs w:val="20"/>
          <w:color w:val="auto"/>
        </w:rPr>
      </w:pPr>
    </w:p>
    <w:p>
      <w:pPr>
        <w:jc w:val="both"/>
        <w:ind w:firstLine="7"/>
        <w:spacing w:after="0" w:line="280" w:lineRule="auto"/>
        <w:rPr>
          <w:sz w:val="20"/>
          <w:szCs w:val="20"/>
          <w:color w:val="auto"/>
        </w:rPr>
      </w:pPr>
      <w:r>
        <w:rPr>
          <w:rFonts w:ascii="Times New Roman" w:cs="Times New Roman" w:eastAsia="Times New Roman" w:hAnsi="Times New Roman"/>
          <w:sz w:val="14"/>
          <w:szCs w:val="14"/>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gridSpan w:val="2"/>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Second Quarter of 2024</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00" w:type="dxa"/>
            <w:vAlign w:val="bottom"/>
            <w:gridSpan w:val="2"/>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Second Quarter of 2023</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320" w:type="dxa"/>
            <w:vAlign w:val="bottom"/>
          </w:tcPr>
          <w:p>
            <w:pPr>
              <w:spacing w:after="0"/>
              <w:rPr>
                <w:sz w:val="10"/>
                <w:szCs w:val="10"/>
                <w:color w:val="auto"/>
              </w:rPr>
            </w:pPr>
          </w:p>
        </w:tc>
        <w:tc>
          <w:tcPr>
            <w:tcW w:w="1180" w:type="dxa"/>
            <w:vAlign w:val="bottom"/>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260" w:type="dxa"/>
            <w:vAlign w:val="bottom"/>
          </w:tcPr>
          <w:p>
            <w:pPr>
              <w:spacing w:after="0"/>
              <w:rPr>
                <w:sz w:val="10"/>
                <w:szCs w:val="10"/>
                <w:color w:val="auto"/>
              </w:rPr>
            </w:pPr>
          </w:p>
        </w:tc>
        <w:tc>
          <w:tcPr>
            <w:tcW w:w="100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320" w:type="dxa"/>
            <w:vAlign w:val="bottom"/>
          </w:tcPr>
          <w:p>
            <w:pPr>
              <w:spacing w:after="0"/>
              <w:rPr>
                <w:sz w:val="10"/>
                <w:szCs w:val="10"/>
                <w:color w:val="auto"/>
              </w:rPr>
            </w:pPr>
          </w:p>
        </w:tc>
        <w:tc>
          <w:tcPr>
            <w:tcW w:w="1180" w:type="dxa"/>
            <w:vAlign w:val="bottom"/>
          </w:tcPr>
          <w:p>
            <w:pPr>
              <w:ind w:left="160"/>
              <w:spacing w:after="0" w:line="11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Yield/</w:t>
            </w:r>
          </w:p>
        </w:tc>
        <w:tc>
          <w:tcPr>
            <w:tcW w:w="0" w:type="dxa"/>
            <w:vAlign w:val="bottom"/>
          </w:tcPr>
          <w:p>
            <w:pPr>
              <w:spacing w:after="0"/>
              <w:rPr>
                <w:sz w:val="1"/>
                <w:szCs w:val="1"/>
                <w:color w:val="auto"/>
              </w:rPr>
            </w:pPr>
          </w:p>
        </w:tc>
      </w:tr>
      <w:tr>
        <w:trPr>
          <w:trHeight w:val="11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10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Pr>
          <w:p>
            <w:pPr>
              <w:ind w:left="180"/>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7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66"/>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r>
              <w:rPr>
                <w:rFonts w:ascii="Times New Roman" w:cs="Times New Roman" w:eastAsia="Times New Roman" w:hAnsi="Times New Roman"/>
                <w:sz w:val="14"/>
                <w:szCs w:val="14"/>
                <w:color w:val="auto"/>
                <w:vertAlign w:val="superscript"/>
              </w:rPr>
              <w:t>1</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Interest-earning assets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Loans</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w:t>
            </w:r>
          </w:p>
        </w:tc>
        <w:tc>
          <w:tcPr>
            <w:tcW w:w="240" w:type="dxa"/>
            <w:vAlign w:val="bottom"/>
            <w:shd w:val="clear" w:color="auto" w:fill="B6B6B6"/>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1,039,461</w:t>
            </w: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13,592</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5.26 %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1,075,891</w:t>
            </w: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12,931</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4.82 %</w:t>
            </w: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 securities</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Taxable</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487,164</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3,484</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2.88 %</w:t>
            </w: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561,989</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3,687</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2.63 %</w:t>
            </w:r>
          </w:p>
        </w:tc>
        <w:tc>
          <w:tcPr>
            <w:tcW w:w="0" w:type="dxa"/>
            <w:vAlign w:val="bottom"/>
          </w:tcPr>
          <w:p>
            <w:pPr>
              <w:spacing w:after="0"/>
              <w:rPr>
                <w:sz w:val="1"/>
                <w:szCs w:val="1"/>
                <w:color w:val="auto"/>
              </w:rPr>
            </w:pPr>
          </w:p>
        </w:tc>
      </w:tr>
      <w:tr>
        <w:trPr>
          <w:trHeight w:val="17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Tax-exempt</w:t>
            </w:r>
            <w:r>
              <w:rPr>
                <w:rFonts w:ascii="Times New Roman" w:cs="Times New Roman" w:eastAsia="Times New Roman" w:hAnsi="Times New Roman"/>
                <w:sz w:val="14"/>
                <w:szCs w:val="14"/>
                <w:color w:val="auto"/>
                <w:vertAlign w:val="superscript"/>
              </w:rPr>
              <w:t>4</w:t>
            </w:r>
          </w:p>
        </w:tc>
        <w:tc>
          <w:tcPr>
            <w:tcW w:w="24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166,511</w:t>
            </w:r>
          </w:p>
        </w:tc>
        <w:tc>
          <w:tcPr>
            <w:tcW w:w="320" w:type="dxa"/>
            <w:vAlign w:val="bottom"/>
          </w:tcPr>
          <w:p>
            <w:pPr>
              <w:spacing w:after="0"/>
              <w:rPr>
                <w:sz w:val="14"/>
                <w:szCs w:val="14"/>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1,137</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187,661</w:t>
            </w:r>
          </w:p>
        </w:tc>
        <w:tc>
          <w:tcPr>
            <w:tcW w:w="320" w:type="dxa"/>
            <w:vAlign w:val="bottom"/>
          </w:tcPr>
          <w:p>
            <w:pPr>
              <w:spacing w:after="0"/>
              <w:rPr>
                <w:sz w:val="14"/>
                <w:szCs w:val="14"/>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1,253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2.68 %</w:t>
            </w: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240" w:type="dxa"/>
            <w:vAlign w:val="bottom"/>
            <w:tcBorders>
              <w:bottom w:val="single" w:sz="8" w:color="auto"/>
            </w:tcBorders>
            <w:shd w:val="clear" w:color="auto" w:fill="B6B6B6"/>
          </w:tcPr>
          <w:p>
            <w:pPr>
              <w:spacing w:after="0"/>
              <w:rPr>
                <w:sz w:val="13"/>
                <w:szCs w:val="13"/>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265,291</w:t>
            </w:r>
          </w:p>
        </w:tc>
        <w:tc>
          <w:tcPr>
            <w:tcW w:w="320" w:type="dxa"/>
            <w:vAlign w:val="bottom"/>
            <w:tcBorders>
              <w:bottom w:val="single" w:sz="8" w:color="auto"/>
            </w:tcBorders>
            <w:shd w:val="clear" w:color="auto" w:fill="B6B6B6"/>
          </w:tcPr>
          <w:p>
            <w:pPr>
              <w:spacing w:after="0"/>
              <w:rPr>
                <w:sz w:val="13"/>
                <w:szCs w:val="13"/>
                <w:color w:val="auto"/>
              </w:rPr>
            </w:pPr>
          </w:p>
        </w:tc>
        <w:tc>
          <w:tcPr>
            <w:tcW w:w="118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3,267</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4.95 %</w:t>
            </w:r>
          </w:p>
        </w:tc>
        <w:tc>
          <w:tcPr>
            <w:tcW w:w="80" w:type="dxa"/>
            <w:vAlign w:val="bottom"/>
            <w:tcBorders>
              <w:bottom w:val="single" w:sz="8" w:color="auto"/>
            </w:tcBorders>
            <w:shd w:val="clear" w:color="auto" w:fill="B6B6B6"/>
          </w:tcPr>
          <w:p>
            <w:pPr>
              <w:spacing w:after="0"/>
              <w:rPr>
                <w:sz w:val="13"/>
                <w:szCs w:val="13"/>
                <w:color w:val="auto"/>
              </w:rPr>
            </w:pPr>
          </w:p>
        </w:tc>
        <w:tc>
          <w:tcPr>
            <w:tcW w:w="260" w:type="dxa"/>
            <w:vAlign w:val="bottom"/>
            <w:tcBorders>
              <w:bottom w:val="single" w:sz="8" w:color="auto"/>
            </w:tcBorders>
            <w:shd w:val="clear" w:color="auto" w:fill="B6B6B6"/>
          </w:tcPr>
          <w:p>
            <w:pPr>
              <w:spacing w:after="0"/>
              <w:rPr>
                <w:sz w:val="13"/>
                <w:szCs w:val="13"/>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185,230</w:t>
            </w:r>
          </w:p>
        </w:tc>
        <w:tc>
          <w:tcPr>
            <w:tcW w:w="320" w:type="dxa"/>
            <w:vAlign w:val="bottom"/>
            <w:tcBorders>
              <w:bottom w:val="single" w:sz="8" w:color="auto"/>
            </w:tcBorders>
            <w:shd w:val="clear" w:color="auto" w:fill="B6B6B6"/>
          </w:tcPr>
          <w:p>
            <w:pPr>
              <w:spacing w:after="0"/>
              <w:rPr>
                <w:sz w:val="13"/>
                <w:szCs w:val="13"/>
                <w:color w:val="auto"/>
              </w:rPr>
            </w:pPr>
          </w:p>
        </w:tc>
        <w:tc>
          <w:tcPr>
            <w:tcW w:w="118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2,100</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4.55 %</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1,958,427</w:t>
            </w:r>
          </w:p>
        </w:tc>
        <w:tc>
          <w:tcPr>
            <w:tcW w:w="320" w:type="dxa"/>
            <w:vAlign w:val="bottom"/>
          </w:tcPr>
          <w:p>
            <w:pPr>
              <w:spacing w:after="0"/>
              <w:rPr>
                <w:sz w:val="13"/>
                <w:szCs w:val="13"/>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21,480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2,010,771</w:t>
            </w:r>
          </w:p>
        </w:tc>
        <w:tc>
          <w:tcPr>
            <w:tcW w:w="320" w:type="dxa"/>
            <w:vAlign w:val="bottom"/>
          </w:tcPr>
          <w:p>
            <w:pPr>
              <w:spacing w:after="0"/>
              <w:rPr>
                <w:sz w:val="13"/>
                <w:szCs w:val="13"/>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19,971</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spacing w:after="0"/>
              <w:rPr>
                <w:sz w:val="15"/>
                <w:szCs w:val="15"/>
                <w:color w:val="auto"/>
              </w:rPr>
            </w:pP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and due from banks</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22,196</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24,461</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33,320</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22,932</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Bank-owned life insurance</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49,622</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48,391</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Goodwill and other intangibles</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20,389</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21,159</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Payments in advance of funding</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213,185</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254,869</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Unrealized loss on investment securities</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(64,196)</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(62,873)</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Other assets</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88,404</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63,902</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4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(13,302)</w:t>
            </w: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spacing w:after="0"/>
              <w:rPr>
                <w:sz w:val="14"/>
                <w:szCs w:val="14"/>
                <w:color w:val="auto"/>
              </w:rPr>
            </w:pPr>
          </w:p>
        </w:tc>
        <w:tc>
          <w:tcPr>
            <w:tcW w:w="80" w:type="dxa"/>
            <w:vAlign w:val="bottom"/>
            <w:tcBorders>
              <w:bottom w:val="single" w:sz="8" w:color="auto"/>
            </w:tcBorders>
            <w:shd w:val="clear" w:color="auto" w:fill="B6B6B6"/>
          </w:tcPr>
          <w:p>
            <w:pPr>
              <w:spacing w:after="0"/>
              <w:rPr>
                <w:sz w:val="14"/>
                <w:szCs w:val="14"/>
                <w:color w:val="auto"/>
              </w:rPr>
            </w:pPr>
          </w:p>
        </w:tc>
        <w:tc>
          <w:tcPr>
            <w:tcW w:w="26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(13,253)</w:t>
            </w: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2,308,045</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2,370,359</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r>
              <w:rPr>
                <w:rFonts w:ascii="Times New Roman" w:cs="Times New Roman" w:eastAsia="Times New Roman" w:hAnsi="Times New Roman"/>
                <w:sz w:val="14"/>
                <w:szCs w:val="14"/>
                <w:b w:val="1"/>
                <w:bCs w:val="1"/>
                <w:color w:val="auto"/>
                <w:vertAlign w:val="superscript"/>
              </w:rPr>
              <w:t>1</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Interest-bearing demand deposits</w:t>
            </w:r>
          </w:p>
        </w:tc>
        <w:tc>
          <w:tcPr>
            <w:tcW w:w="240" w:type="dxa"/>
            <w:vAlign w:val="bottom"/>
            <w:shd w:val="clear" w:color="auto" w:fill="B6B6B6"/>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554,813</w:t>
            </w: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4,526</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3.28 %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442,686</w:t>
            </w: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3,229</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2.93 %</w:t>
            </w: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Savings deposits</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7,040</w:t>
            </w:r>
          </w:p>
        </w:tc>
        <w:tc>
          <w:tcPr>
            <w:tcW w:w="320" w:type="dxa"/>
            <w:vAlign w:val="bottom"/>
          </w:tcPr>
          <w:p>
            <w:pPr>
              <w:spacing w:after="0"/>
              <w:rPr>
                <w:sz w:val="13"/>
                <w:szCs w:val="13"/>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31</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6,457</w:t>
            </w:r>
          </w:p>
        </w:tc>
        <w:tc>
          <w:tcPr>
            <w:tcW w:w="320" w:type="dxa"/>
            <w:vAlign w:val="bottom"/>
          </w:tcPr>
          <w:p>
            <w:pPr>
              <w:spacing w:after="0"/>
              <w:rPr>
                <w:sz w:val="13"/>
                <w:szCs w:val="13"/>
                <w:color w:val="auto"/>
              </w:rPr>
            </w:pPr>
          </w:p>
        </w:tc>
        <w:tc>
          <w:tcPr>
            <w:tcW w:w="118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26</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Time deposits &gt;= $100</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26,959</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246</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3.67 %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21,934</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151</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2.76 %</w:t>
            </w: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Other time deposits</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49,516</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509</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4.13 %</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38,243</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245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2.57 %</w:t>
            </w: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638,328</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5,312</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3.35 %</w:t>
            </w: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509,320</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3,651</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2.88 %</w:t>
            </w:r>
          </w:p>
        </w:tc>
        <w:tc>
          <w:tcPr>
            <w:tcW w:w="0" w:type="dxa"/>
            <w:vAlign w:val="bottom"/>
          </w:tcPr>
          <w:p>
            <w:pPr>
              <w:spacing w:after="0"/>
              <w:rPr>
                <w:sz w:val="1"/>
                <w:szCs w:val="1"/>
                <w:color w:val="auto"/>
              </w:rPr>
            </w:pPr>
          </w:p>
        </w:tc>
      </w:tr>
      <w:tr>
        <w:trPr>
          <w:trHeight w:val="171"/>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3,199</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43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5.39 %</w:t>
            </w: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638,339</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5,312</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3.35 %</w:t>
            </w: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512,519</w:t>
            </w:r>
          </w:p>
        </w:tc>
        <w:tc>
          <w:tcPr>
            <w:tcW w:w="320" w:type="dxa"/>
            <w:vAlign w:val="bottom"/>
            <w:shd w:val="clear" w:color="auto" w:fill="B6B6B6"/>
          </w:tcPr>
          <w:p>
            <w:pPr>
              <w:spacing w:after="0"/>
              <w:rPr>
                <w:sz w:val="14"/>
                <w:szCs w:val="14"/>
                <w:color w:val="auto"/>
              </w:rPr>
            </w:pP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3,694</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2.89 %</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 bearing liabilities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Demand deposits</w:t>
            </w:r>
          </w:p>
        </w:tc>
        <w:tc>
          <w:tcPr>
            <w:tcW w:w="24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407,079</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00" w:type="dxa"/>
            <w:vAlign w:val="bottom"/>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552,718</w:t>
            </w:r>
          </w:p>
        </w:tc>
        <w:tc>
          <w:tcPr>
            <w:tcW w:w="320" w:type="dxa"/>
            <w:vAlign w:val="bottom"/>
            <w:shd w:val="clear" w:color="auto" w:fill="B6B6B6"/>
          </w:tcPr>
          <w:p>
            <w:pPr>
              <w:spacing w:after="0"/>
              <w:rPr>
                <w:sz w:val="15"/>
                <w:szCs w:val="15"/>
                <w:color w:val="auto"/>
              </w:rPr>
            </w:pPr>
          </w:p>
        </w:tc>
        <w:tc>
          <w:tcPr>
            <w:tcW w:w="1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Accounts and drafts payable</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996,944</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1,049,281</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378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240" w:type="dxa"/>
            <w:vAlign w:val="bottom"/>
            <w:tcBorders>
              <w:bottom w:val="single" w:sz="8" w:color="auto"/>
            </w:tcBorders>
            <w:shd w:val="clear" w:color="auto" w:fill="B6B6B6"/>
          </w:tcPr>
          <w:p>
            <w:pPr>
              <w:spacing w:after="0"/>
              <w:rPr>
                <w:sz w:val="13"/>
                <w:szCs w:val="13"/>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40,418</w:t>
            </w:r>
          </w:p>
        </w:tc>
        <w:tc>
          <w:tcPr>
            <w:tcW w:w="320" w:type="dxa"/>
            <w:vAlign w:val="bottom"/>
            <w:tcBorders>
              <w:bottom w:val="single" w:sz="8" w:color="auto"/>
            </w:tcBorders>
            <w:shd w:val="clear" w:color="auto" w:fill="B6B6B6"/>
          </w:tcPr>
          <w:p>
            <w:pPr>
              <w:spacing w:after="0"/>
              <w:rPr>
                <w:sz w:val="13"/>
                <w:szCs w:val="13"/>
                <w:color w:val="auto"/>
              </w:rPr>
            </w:pPr>
          </w:p>
        </w:tc>
        <w:tc>
          <w:tcPr>
            <w:tcW w:w="118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80" w:type="dxa"/>
            <w:vAlign w:val="bottom"/>
            <w:tcBorders>
              <w:bottom w:val="single" w:sz="8" w:color="auto"/>
            </w:tcBorders>
            <w:shd w:val="clear" w:color="auto" w:fill="B6B6B6"/>
          </w:tcPr>
          <w:p>
            <w:pPr>
              <w:spacing w:after="0"/>
              <w:rPr>
                <w:sz w:val="13"/>
                <w:szCs w:val="13"/>
                <w:color w:val="auto"/>
              </w:rPr>
            </w:pPr>
          </w:p>
        </w:tc>
        <w:tc>
          <w:tcPr>
            <w:tcW w:w="260" w:type="dxa"/>
            <w:vAlign w:val="bottom"/>
            <w:tcBorders>
              <w:bottom w:val="single" w:sz="8" w:color="auto"/>
            </w:tcBorders>
            <w:shd w:val="clear" w:color="auto" w:fill="B6B6B6"/>
          </w:tcPr>
          <w:p>
            <w:pPr>
              <w:spacing w:after="0"/>
              <w:rPr>
                <w:sz w:val="13"/>
                <w:szCs w:val="13"/>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41,775</w:t>
            </w:r>
          </w:p>
        </w:tc>
        <w:tc>
          <w:tcPr>
            <w:tcW w:w="320" w:type="dxa"/>
            <w:vAlign w:val="bottom"/>
            <w:tcBorders>
              <w:bottom w:val="single" w:sz="8" w:color="auto"/>
            </w:tcBorders>
            <w:shd w:val="clear" w:color="auto" w:fill="B6B6B6"/>
          </w:tcPr>
          <w:p>
            <w:pPr>
              <w:spacing w:after="0"/>
              <w:rPr>
                <w:sz w:val="13"/>
                <w:szCs w:val="13"/>
                <w:color w:val="auto"/>
              </w:rPr>
            </w:pPr>
          </w:p>
        </w:tc>
        <w:tc>
          <w:tcPr>
            <w:tcW w:w="118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2,082,780</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2,156,293</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24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225,265</w:t>
            </w: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spacing w:after="0"/>
              <w:rPr>
                <w:sz w:val="14"/>
                <w:szCs w:val="14"/>
                <w:color w:val="auto"/>
              </w:rPr>
            </w:pPr>
          </w:p>
        </w:tc>
        <w:tc>
          <w:tcPr>
            <w:tcW w:w="80" w:type="dxa"/>
            <w:vAlign w:val="bottom"/>
            <w:tcBorders>
              <w:bottom w:val="single" w:sz="8" w:color="auto"/>
            </w:tcBorders>
            <w:shd w:val="clear" w:color="auto" w:fill="B6B6B6"/>
          </w:tcPr>
          <w:p>
            <w:pPr>
              <w:spacing w:after="0"/>
              <w:rPr>
                <w:sz w:val="14"/>
                <w:szCs w:val="14"/>
                <w:color w:val="auto"/>
              </w:rPr>
            </w:pPr>
          </w:p>
        </w:tc>
        <w:tc>
          <w:tcPr>
            <w:tcW w:w="26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jc w:val="right"/>
              <w:ind w:right="3"/>
              <w:spacing w:after="0"/>
              <w:rPr>
                <w:sz w:val="20"/>
                <w:szCs w:val="20"/>
                <w:color w:val="auto"/>
              </w:rPr>
            </w:pPr>
            <w:r>
              <w:rPr>
                <w:rFonts w:ascii="Times New Roman" w:cs="Times New Roman" w:eastAsia="Times New Roman" w:hAnsi="Times New Roman"/>
                <w:sz w:val="11"/>
                <w:szCs w:val="11"/>
                <w:color w:val="auto"/>
              </w:rPr>
              <w:t>214,066</w:t>
            </w: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2,308,045</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2,370,359</w:t>
            </w: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24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16,168</w:t>
            </w:r>
          </w:p>
        </w:tc>
        <w:tc>
          <w:tcPr>
            <w:tcW w:w="9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00" w:type="dxa"/>
            <w:vAlign w:val="bottom"/>
            <w:shd w:val="clear" w:color="auto" w:fill="B6B6B6"/>
          </w:tcPr>
          <w:p>
            <w:pPr>
              <w:spacing w:after="0"/>
              <w:rPr>
                <w:sz w:val="14"/>
                <w:szCs w:val="14"/>
                <w:color w:val="auto"/>
              </w:rPr>
            </w:pPr>
          </w:p>
        </w:tc>
        <w:tc>
          <w:tcPr>
            <w:tcW w:w="320" w:type="dxa"/>
            <w:vAlign w:val="bottom"/>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16,277</w:t>
            </w:r>
          </w:p>
        </w:tc>
        <w:tc>
          <w:tcPr>
            <w:tcW w:w="9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interest margin</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Interest spread</w:t>
            </w:r>
          </w:p>
        </w:tc>
        <w:tc>
          <w:tcPr>
            <w:tcW w:w="24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spacing w:after="0"/>
              <w:rPr>
                <w:sz w:val="14"/>
                <w:szCs w:val="14"/>
                <w:color w:val="auto"/>
              </w:rPr>
            </w:pP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1.06 %</w:t>
            </w:r>
          </w:p>
        </w:tc>
        <w:tc>
          <w:tcPr>
            <w:tcW w:w="80" w:type="dxa"/>
            <w:vAlign w:val="bottom"/>
            <w:tcBorders>
              <w:bottom w:val="single" w:sz="8" w:color="auto"/>
            </w:tcBorders>
            <w:shd w:val="clear" w:color="auto" w:fill="B6B6B6"/>
          </w:tcPr>
          <w:p>
            <w:pPr>
              <w:spacing w:after="0"/>
              <w:rPr>
                <w:sz w:val="14"/>
                <w:szCs w:val="14"/>
                <w:color w:val="auto"/>
              </w:rPr>
            </w:pPr>
          </w:p>
        </w:tc>
        <w:tc>
          <w:tcPr>
            <w:tcW w:w="260" w:type="dxa"/>
            <w:vAlign w:val="bottom"/>
            <w:tcBorders>
              <w:bottom w:val="single" w:sz="8" w:color="auto"/>
            </w:tcBorders>
            <w:shd w:val="clear" w:color="auto" w:fill="B6B6B6"/>
          </w:tcPr>
          <w:p>
            <w:pPr>
              <w:spacing w:after="0"/>
              <w:rPr>
                <w:sz w:val="14"/>
                <w:szCs w:val="14"/>
                <w:color w:val="auto"/>
              </w:rPr>
            </w:pPr>
          </w:p>
        </w:tc>
        <w:tc>
          <w:tcPr>
            <w:tcW w:w="1000" w:type="dxa"/>
            <w:vAlign w:val="bottom"/>
            <w:tcBorders>
              <w:bottom w:val="single" w:sz="8" w:color="auto"/>
            </w:tcBorders>
            <w:shd w:val="clear" w:color="auto" w:fill="B6B6B6"/>
          </w:tcPr>
          <w:p>
            <w:pPr>
              <w:spacing w:after="0"/>
              <w:rPr>
                <w:sz w:val="14"/>
                <w:szCs w:val="14"/>
                <w:color w:val="auto"/>
              </w:rPr>
            </w:pPr>
          </w:p>
        </w:tc>
        <w:tc>
          <w:tcPr>
            <w:tcW w:w="320" w:type="dxa"/>
            <w:vAlign w:val="bottom"/>
            <w:tcBorders>
              <w:bottom w:val="single" w:sz="8" w:color="auto"/>
            </w:tcBorders>
            <w:shd w:val="clear" w:color="auto" w:fill="B6B6B6"/>
          </w:tcPr>
          <w:p>
            <w:pPr>
              <w:spacing w:after="0"/>
              <w:rPr>
                <w:sz w:val="14"/>
                <w:szCs w:val="14"/>
                <w:color w:val="auto"/>
              </w:rPr>
            </w:pPr>
          </w:p>
        </w:tc>
        <w:tc>
          <w:tcPr>
            <w:tcW w:w="1180" w:type="dxa"/>
            <w:vAlign w:val="bottom"/>
            <w:tcBorders>
              <w:bottom w:val="single" w:sz="8" w:color="auto"/>
            </w:tcBorders>
            <w:shd w:val="clear" w:color="auto" w:fill="B6B6B6"/>
          </w:tcPr>
          <w:p>
            <w:pPr>
              <w:spacing w:after="0"/>
              <w:rPr>
                <w:sz w:val="14"/>
                <w:szCs w:val="14"/>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1.09 %</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Balances shown are daily averages.</w:t>
      </w:r>
    </w:p>
    <w:p>
      <w:pPr>
        <w:spacing w:after="0" w:line="29"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1"/>
          <w:szCs w:val="11"/>
          <w:color w:val="auto"/>
        </w:rPr>
        <w:t>Interest income on loans includes net loan fees of $146,000 and $291,000 for the second quarter of 2024 and 2023, respectively.</w:t>
      </w:r>
    </w:p>
    <w:p>
      <w:pPr>
        <w:spacing w:after="0" w:line="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these computations, yields on investment securities are computed as interest income divided by the average amortized cost of the investments.</w:t>
      </w:r>
    </w:p>
    <w:p>
      <w:pPr>
        <w:spacing w:after="0" w:line="17"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1"/>
          <w:szCs w:val="11"/>
          <w:color w:val="auto"/>
        </w:rPr>
        <w:t>Interest income is presented on a tax-equivalent basis assuming a tax rate of 21% for both 2024 and 2023. The tax-equivalent adjustment was approximately $239,000 and $263,000 for the second quarter of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First Half of 2024</w:t>
            </w: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First Half of 2023</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1"/>
                <w:szCs w:val="11"/>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Yield/</w:t>
            </w:r>
          </w:p>
        </w:tc>
        <w:tc>
          <w:tcPr>
            <w:tcW w:w="260" w:type="dxa"/>
            <w:vAlign w:val="bottom"/>
          </w:tcPr>
          <w:p>
            <w:pPr>
              <w:spacing w:after="0"/>
              <w:rPr>
                <w:sz w:val="11"/>
                <w:szCs w:val="11"/>
                <w:color w:val="auto"/>
              </w:rPr>
            </w:pPr>
          </w:p>
        </w:tc>
        <w:tc>
          <w:tcPr>
            <w:tcW w:w="1020" w:type="dxa"/>
            <w:vAlign w:val="bottom"/>
            <w:vMerge w:val="restart"/>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1"/>
                <w:szCs w:val="11"/>
                <w:color w:val="auto"/>
              </w:rPr>
            </w:pPr>
          </w:p>
        </w:tc>
        <w:tc>
          <w:tcPr>
            <w:tcW w:w="134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96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Yield/</w:t>
            </w:r>
          </w:p>
        </w:tc>
        <w:tc>
          <w:tcPr>
            <w:tcW w:w="0" w:type="dxa"/>
            <w:vAlign w:val="bottom"/>
          </w:tcPr>
          <w:p>
            <w:pPr>
              <w:spacing w:after="0"/>
              <w:rPr>
                <w:sz w:val="1"/>
                <w:szCs w:val="1"/>
                <w:color w:val="auto"/>
              </w:rPr>
            </w:pPr>
          </w:p>
        </w:tc>
      </w:tr>
      <w:tr>
        <w:trPr>
          <w:trHeight w:val="11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4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ind w:left="340"/>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10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tcPr>
          <w:p>
            <w:pPr>
              <w:ind w:left="340"/>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10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Rate</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Rate</w:t>
            </w:r>
          </w:p>
        </w:tc>
        <w:tc>
          <w:tcPr>
            <w:tcW w:w="0" w:type="dxa"/>
            <w:vAlign w:val="bottom"/>
          </w:tcPr>
          <w:p>
            <w:pPr>
              <w:spacing w:after="0"/>
              <w:rPr>
                <w:sz w:val="1"/>
                <w:szCs w:val="1"/>
                <w:color w:val="auto"/>
              </w:rPr>
            </w:pPr>
          </w:p>
        </w:tc>
      </w:tr>
      <w:tr>
        <w:trPr>
          <w:trHeight w:val="165"/>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r>
              <w:rPr>
                <w:rFonts w:ascii="Times New Roman" w:cs="Times New Roman" w:eastAsia="Times New Roman" w:hAnsi="Times New Roman"/>
                <w:sz w:val="7"/>
                <w:szCs w:val="7"/>
                <w:color w:val="auto"/>
              </w:rPr>
              <w:t>1</w:t>
            </w:r>
          </w:p>
        </w:tc>
        <w:tc>
          <w:tcPr>
            <w:tcW w:w="240" w:type="dxa"/>
            <w:vAlign w:val="bottom"/>
            <w:shd w:val="clear" w:color="auto" w:fill="B6B6B6"/>
          </w:tcPr>
          <w:p>
            <w:pPr>
              <w:spacing w:after="0"/>
              <w:rPr>
                <w:sz w:val="14"/>
                <w:szCs w:val="14"/>
                <w:color w:val="auto"/>
              </w:rPr>
            </w:pPr>
          </w:p>
        </w:tc>
        <w:tc>
          <w:tcPr>
            <w:tcW w:w="1020" w:type="dxa"/>
            <w:vAlign w:val="bottom"/>
            <w:shd w:val="clear" w:color="auto" w:fill="B6B6B6"/>
          </w:tcPr>
          <w:p>
            <w:pPr>
              <w:spacing w:after="0"/>
              <w:rPr>
                <w:sz w:val="14"/>
                <w:szCs w:val="14"/>
                <w:color w:val="auto"/>
              </w:rPr>
            </w:pP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20" w:type="dxa"/>
            <w:vAlign w:val="bottom"/>
            <w:shd w:val="clear" w:color="auto" w:fill="B6B6B6"/>
          </w:tcPr>
          <w:p>
            <w:pPr>
              <w:spacing w:after="0"/>
              <w:rPr>
                <w:sz w:val="14"/>
                <w:szCs w:val="14"/>
                <w:color w:val="auto"/>
              </w:rPr>
            </w:pP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Interest-earning assets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Loans</w:t>
            </w:r>
            <w:r>
              <w:rPr>
                <w:rFonts w:ascii="Times New Roman" w:cs="Times New Roman" w:eastAsia="Times New Roman" w:hAnsi="Times New Roman"/>
                <w:sz w:val="7"/>
                <w:szCs w:val="7"/>
                <w:color w:val="auto"/>
              </w:rPr>
              <w:t>2</w:t>
            </w:r>
            <w:r>
              <w:rPr>
                <w:rFonts w:ascii="Times New Roman" w:cs="Times New Roman" w:eastAsia="Times New Roman" w:hAnsi="Times New Roman"/>
                <w:sz w:val="11"/>
                <w:szCs w:val="11"/>
                <w:color w:val="auto"/>
              </w:rPr>
              <w:t>:</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Taxable</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1,027,854</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26,368</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5.16 %</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1,076,055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25,166</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Investment securities</w:t>
            </w:r>
            <w:r>
              <w:rPr>
                <w:rFonts w:ascii="Times New Roman" w:cs="Times New Roman" w:eastAsia="Times New Roman" w:hAnsi="Times New Roman"/>
                <w:sz w:val="7"/>
                <w:szCs w:val="7"/>
                <w:color w:val="auto"/>
              </w:rPr>
              <w:t>3</w:t>
            </w:r>
            <w:r>
              <w:rPr>
                <w:rFonts w:ascii="Times New Roman" w:cs="Times New Roman" w:eastAsia="Times New Roman" w:hAnsi="Times New Roman"/>
                <w:sz w:val="11"/>
                <w:szCs w:val="11"/>
                <w:color w:val="auto"/>
              </w:rPr>
              <w:t>:</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Taxable</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504,154</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7,004</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566,804</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7,274</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Tax-exempt</w:t>
            </w:r>
            <w:r>
              <w:rPr>
                <w:rFonts w:ascii="Times New Roman" w:cs="Times New Roman" w:eastAsia="Times New Roman" w:hAnsi="Times New Roman"/>
                <w:sz w:val="7"/>
                <w:szCs w:val="7"/>
                <w:color w:val="auto"/>
              </w:rPr>
              <w:t>4</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170,098</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2,298</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2.72 %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203,587</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2,781</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2.75 %</w:t>
            </w: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308,727</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7,708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5.02 %</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239,887</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5,213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4.38 %</w:t>
            </w: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interest-earning assets</w:t>
            </w:r>
          </w:p>
        </w:tc>
        <w:tc>
          <w:tcPr>
            <w:tcW w:w="240" w:type="dxa"/>
            <w:vAlign w:val="bottom"/>
            <w:shd w:val="clear" w:color="auto" w:fill="B6B6B6"/>
          </w:tcPr>
          <w:p>
            <w:pPr>
              <w:spacing w:after="0"/>
              <w:rPr>
                <w:sz w:val="14"/>
                <w:szCs w:val="14"/>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2,010,833</w:t>
            </w: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43,378</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4.34 %</w:t>
            </w: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2,086,333</w:t>
            </w: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40,434</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3.91 %</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Non-interest-earning assets: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Cash and due from banks</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22,711</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23,260</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32,426</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21,689</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Bank-owned life insurance</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49,453</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48,252</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Goodwill and other intangibles</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20,481</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21,257</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Payments in advance of funding</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203,761</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247,918</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Unrealized loss on investment securities</w:t>
            </w:r>
          </w:p>
        </w:tc>
        <w:tc>
          <w:tcPr>
            <w:tcW w:w="24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(61,801)</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(64,689)</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Other assets</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80,146</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63,868</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Allowance for credit losses</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(13,197)</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(13,394)</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240" w:type="dxa"/>
            <w:vAlign w:val="bottom"/>
            <w:tcBorders>
              <w:bottom w:val="single" w:sz="8" w:color="auto"/>
            </w:tcBorders>
            <w:shd w:val="clear" w:color="auto" w:fill="B6B6B6"/>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2,344,813</w:t>
            </w:r>
          </w:p>
        </w:tc>
        <w:tc>
          <w:tcPr>
            <w:tcW w:w="140" w:type="dxa"/>
            <w:vAlign w:val="bottom"/>
            <w:tcBorders>
              <w:bottom w:val="single" w:sz="8" w:color="auto"/>
            </w:tcBorders>
            <w:shd w:val="clear" w:color="auto" w:fill="B6B6B6"/>
          </w:tcPr>
          <w:p>
            <w:pPr>
              <w:spacing w:after="0"/>
              <w:rPr>
                <w:sz w:val="13"/>
                <w:szCs w:val="13"/>
                <w:color w:val="auto"/>
              </w:rPr>
            </w:pPr>
          </w:p>
        </w:tc>
        <w:tc>
          <w:tcPr>
            <w:tcW w:w="134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80" w:type="dxa"/>
            <w:vAlign w:val="bottom"/>
            <w:tcBorders>
              <w:bottom w:val="single" w:sz="8" w:color="auto"/>
            </w:tcBorders>
            <w:shd w:val="clear" w:color="auto" w:fill="B6B6B6"/>
          </w:tcPr>
          <w:p>
            <w:pPr>
              <w:spacing w:after="0"/>
              <w:rPr>
                <w:sz w:val="13"/>
                <w:szCs w:val="13"/>
                <w:color w:val="auto"/>
              </w:rPr>
            </w:pPr>
          </w:p>
        </w:tc>
        <w:tc>
          <w:tcPr>
            <w:tcW w:w="260" w:type="dxa"/>
            <w:vAlign w:val="bottom"/>
            <w:tcBorders>
              <w:bottom w:val="single" w:sz="8" w:color="auto"/>
            </w:tcBorders>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2,434,494</w:t>
            </w:r>
          </w:p>
        </w:tc>
        <w:tc>
          <w:tcPr>
            <w:tcW w:w="140" w:type="dxa"/>
            <w:vAlign w:val="bottom"/>
            <w:tcBorders>
              <w:bottom w:val="single" w:sz="8" w:color="auto"/>
            </w:tcBorders>
            <w:shd w:val="clear" w:color="auto" w:fill="B6B6B6"/>
          </w:tcPr>
          <w:p>
            <w:pPr>
              <w:spacing w:after="0"/>
              <w:rPr>
                <w:sz w:val="13"/>
                <w:szCs w:val="13"/>
                <w:color w:val="auto"/>
              </w:rPr>
            </w:pPr>
          </w:p>
        </w:tc>
        <w:tc>
          <w:tcPr>
            <w:tcW w:w="134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r>
              <w:rPr>
                <w:rFonts w:ascii="Times New Roman" w:cs="Times New Roman" w:eastAsia="Times New Roman" w:hAnsi="Times New Roman"/>
                <w:sz w:val="7"/>
                <w:szCs w:val="7"/>
                <w:b w:val="1"/>
                <w:bCs w:val="1"/>
                <w:color w:val="auto"/>
              </w:rPr>
              <w:t>1</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Interest-bearing liabilities:</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Interest-bearing demand deposits</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551,442</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8,930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3.26 %</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482,825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6,053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Savings deposits</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7,242</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63</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1.75 %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6,778</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48</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1.43 %</w:t>
            </w: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Time deposits &gt;= $100</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27,293</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503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22,863</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260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Other time deposits</w:t>
            </w:r>
          </w:p>
        </w:tc>
        <w:tc>
          <w:tcPr>
            <w:tcW w:w="240" w:type="dxa"/>
            <w:vAlign w:val="bottom"/>
            <w:tcBorders>
              <w:bottom w:val="single" w:sz="8" w:color="auto"/>
            </w:tcBorders>
            <w:shd w:val="clear" w:color="auto" w:fill="B6B6B6"/>
          </w:tcPr>
          <w:p>
            <w:pPr>
              <w:spacing w:after="0"/>
              <w:rPr>
                <w:sz w:val="14"/>
                <w:szCs w:val="14"/>
                <w:color w:val="auto"/>
              </w:rPr>
            </w:pP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48,998</w:t>
            </w:r>
          </w:p>
        </w:tc>
        <w:tc>
          <w:tcPr>
            <w:tcW w:w="140" w:type="dxa"/>
            <w:vAlign w:val="bottom"/>
            <w:tcBorders>
              <w:bottom w:val="single" w:sz="8" w:color="auto"/>
            </w:tcBorders>
            <w:shd w:val="clear" w:color="auto" w:fill="B6B6B6"/>
          </w:tcPr>
          <w:p>
            <w:pPr>
              <w:spacing w:after="0"/>
              <w:rPr>
                <w:sz w:val="14"/>
                <w:szCs w:val="14"/>
                <w:color w:val="auto"/>
              </w:rPr>
            </w:pPr>
          </w:p>
        </w:tc>
        <w:tc>
          <w:tcPr>
            <w:tcW w:w="134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994</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4.08 %</w:t>
            </w:r>
          </w:p>
        </w:tc>
        <w:tc>
          <w:tcPr>
            <w:tcW w:w="80" w:type="dxa"/>
            <w:vAlign w:val="bottom"/>
            <w:tcBorders>
              <w:bottom w:val="single" w:sz="8" w:color="auto"/>
            </w:tcBorders>
            <w:shd w:val="clear" w:color="auto" w:fill="B6B6B6"/>
          </w:tcPr>
          <w:p>
            <w:pPr>
              <w:spacing w:after="0"/>
              <w:rPr>
                <w:sz w:val="14"/>
                <w:szCs w:val="14"/>
                <w:color w:val="auto"/>
              </w:rPr>
            </w:pPr>
          </w:p>
        </w:tc>
        <w:tc>
          <w:tcPr>
            <w:tcW w:w="260" w:type="dxa"/>
            <w:vAlign w:val="bottom"/>
            <w:tcBorders>
              <w:bottom w:val="single" w:sz="8" w:color="auto"/>
            </w:tcBorders>
            <w:shd w:val="clear" w:color="auto" w:fill="B6B6B6"/>
          </w:tcPr>
          <w:p>
            <w:pPr>
              <w:spacing w:after="0"/>
              <w:rPr>
                <w:sz w:val="14"/>
                <w:szCs w:val="14"/>
                <w:color w:val="auto"/>
              </w:rPr>
            </w:pP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37,519</w:t>
            </w:r>
          </w:p>
        </w:tc>
        <w:tc>
          <w:tcPr>
            <w:tcW w:w="140" w:type="dxa"/>
            <w:vAlign w:val="bottom"/>
            <w:tcBorders>
              <w:bottom w:val="single" w:sz="8" w:color="auto"/>
            </w:tcBorders>
            <w:shd w:val="clear" w:color="auto" w:fill="B6B6B6"/>
          </w:tcPr>
          <w:p>
            <w:pPr>
              <w:spacing w:after="0"/>
              <w:rPr>
                <w:sz w:val="14"/>
                <w:szCs w:val="14"/>
                <w:color w:val="auto"/>
              </w:rPr>
            </w:pPr>
          </w:p>
        </w:tc>
        <w:tc>
          <w:tcPr>
            <w:tcW w:w="134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461</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2.48 %</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interest-bearing deposits</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634,975</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10,490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549,985</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6,822</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240" w:type="dxa"/>
            <w:vAlign w:val="bottom"/>
            <w:tcBorders>
              <w:bottom w:val="single" w:sz="8" w:color="auto"/>
            </w:tcBorders>
            <w:shd w:val="clear" w:color="auto" w:fill="B6B6B6"/>
          </w:tcPr>
          <w:p>
            <w:pPr>
              <w:spacing w:after="0"/>
              <w:rPr>
                <w:sz w:val="14"/>
                <w:szCs w:val="14"/>
                <w:color w:val="auto"/>
              </w:rPr>
            </w:pP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140" w:type="dxa"/>
            <w:vAlign w:val="bottom"/>
            <w:tcBorders>
              <w:bottom w:val="single" w:sz="8" w:color="auto"/>
            </w:tcBorders>
            <w:shd w:val="clear" w:color="auto" w:fill="B6B6B6"/>
          </w:tcPr>
          <w:p>
            <w:pPr>
              <w:spacing w:after="0"/>
              <w:rPr>
                <w:sz w:val="14"/>
                <w:szCs w:val="14"/>
                <w:color w:val="auto"/>
              </w:rPr>
            </w:pPr>
          </w:p>
        </w:tc>
        <w:tc>
          <w:tcPr>
            <w:tcW w:w="134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gridSpan w:val="2"/>
            <w:shd w:val="clear" w:color="auto" w:fill="B6B6B6"/>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260" w:type="dxa"/>
            <w:vAlign w:val="bottom"/>
            <w:tcBorders>
              <w:bottom w:val="single" w:sz="8" w:color="auto"/>
            </w:tcBorders>
            <w:shd w:val="clear" w:color="auto" w:fill="B6B6B6"/>
          </w:tcPr>
          <w:p>
            <w:pPr>
              <w:spacing w:after="0"/>
              <w:rPr>
                <w:sz w:val="14"/>
                <w:szCs w:val="14"/>
                <w:color w:val="auto"/>
              </w:rPr>
            </w:pP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4,509</w:t>
            </w:r>
          </w:p>
        </w:tc>
        <w:tc>
          <w:tcPr>
            <w:tcW w:w="140" w:type="dxa"/>
            <w:vAlign w:val="bottom"/>
            <w:tcBorders>
              <w:bottom w:val="single" w:sz="8" w:color="auto"/>
            </w:tcBorders>
            <w:shd w:val="clear" w:color="auto" w:fill="B6B6B6"/>
          </w:tcPr>
          <w:p>
            <w:pPr>
              <w:spacing w:after="0"/>
              <w:rPr>
                <w:sz w:val="14"/>
                <w:szCs w:val="14"/>
                <w:color w:val="auto"/>
              </w:rPr>
            </w:pPr>
          </w:p>
        </w:tc>
        <w:tc>
          <w:tcPr>
            <w:tcW w:w="1340" w:type="dxa"/>
            <w:vAlign w:val="bottom"/>
            <w:tcBorders>
              <w:bottom w:val="single" w:sz="8" w:color="auto"/>
            </w:tcBorders>
            <w:shd w:val="clear" w:color="auto" w:fill="B6B6B6"/>
          </w:tcPr>
          <w:p>
            <w:pPr>
              <w:jc w:val="right"/>
              <w:ind w:right="203"/>
              <w:spacing w:after="0"/>
              <w:rPr>
                <w:sz w:val="20"/>
                <w:szCs w:val="20"/>
                <w:color w:val="auto"/>
              </w:rPr>
            </w:pPr>
            <w:r>
              <w:rPr>
                <w:rFonts w:ascii="Times New Roman" w:cs="Times New Roman" w:eastAsia="Times New Roman" w:hAnsi="Times New Roman"/>
                <w:sz w:val="11"/>
                <w:szCs w:val="11"/>
                <w:color w:val="auto"/>
              </w:rPr>
              <w:t>116</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5.19 %</w:t>
            </w: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interest-bearing liabilities</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634,986</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10,490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3.32 %</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554,494</w:t>
            </w:r>
          </w:p>
        </w:tc>
        <w:tc>
          <w:tcPr>
            <w:tcW w:w="140" w:type="dxa"/>
            <w:vAlign w:val="bottom"/>
          </w:tcPr>
          <w:p>
            <w:pPr>
              <w:spacing w:after="0"/>
              <w:rPr>
                <w:sz w:val="13"/>
                <w:szCs w:val="13"/>
                <w:color w:val="auto"/>
              </w:rPr>
            </w:pP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6,938</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2.52 %</w:t>
            </w: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Non-interest bearing liabilities:</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Demand deposits</w:t>
            </w:r>
          </w:p>
        </w:tc>
        <w:tc>
          <w:tcPr>
            <w:tcW w:w="24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427,489</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553,178</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1"/>
                <w:szCs w:val="11"/>
                <w:color w:val="auto"/>
              </w:rPr>
              <w:t>Accounts and drafts payable</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1,016,388</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1,072,105</w:t>
            </w: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Other liabilities</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39,983</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42,777</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240" w:type="dxa"/>
            <w:vAlign w:val="bottom"/>
            <w:shd w:val="clear" w:color="auto" w:fill="B6B6B6"/>
          </w:tcPr>
          <w:p>
            <w:pPr>
              <w:spacing w:after="0"/>
              <w:rPr>
                <w:sz w:val="14"/>
                <w:szCs w:val="14"/>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2,118,846</w:t>
            </w: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80" w:type="dxa"/>
            <w:vAlign w:val="bottom"/>
            <w:shd w:val="clear" w:color="auto" w:fill="B6B6B6"/>
          </w:tcPr>
          <w:p>
            <w:pPr>
              <w:spacing w:after="0"/>
              <w:rPr>
                <w:sz w:val="14"/>
                <w:szCs w:val="14"/>
                <w:color w:val="auto"/>
              </w:rPr>
            </w:pPr>
          </w:p>
        </w:tc>
        <w:tc>
          <w:tcPr>
            <w:tcW w:w="260" w:type="dxa"/>
            <w:vAlign w:val="bottom"/>
            <w:shd w:val="clear" w:color="auto" w:fill="B6B6B6"/>
          </w:tcPr>
          <w:p>
            <w:pPr>
              <w:spacing w:after="0"/>
              <w:rPr>
                <w:sz w:val="14"/>
                <w:szCs w:val="14"/>
                <w:color w:val="auto"/>
              </w:rPr>
            </w:pPr>
          </w:p>
        </w:tc>
        <w:tc>
          <w:tcPr>
            <w:tcW w:w="1020" w:type="dxa"/>
            <w:vAlign w:val="bottom"/>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2,222,554</w:t>
            </w:r>
          </w:p>
        </w:tc>
        <w:tc>
          <w:tcPr>
            <w:tcW w:w="140" w:type="dxa"/>
            <w:vAlign w:val="bottom"/>
            <w:shd w:val="clear" w:color="auto" w:fill="B6B6B6"/>
          </w:tcPr>
          <w:p>
            <w:pPr>
              <w:spacing w:after="0"/>
              <w:rPr>
                <w:sz w:val="14"/>
                <w:szCs w:val="14"/>
                <w:color w:val="auto"/>
              </w:rPr>
            </w:pPr>
          </w:p>
        </w:tc>
        <w:tc>
          <w:tcPr>
            <w:tcW w:w="1340" w:type="dxa"/>
            <w:vAlign w:val="bottom"/>
            <w:shd w:val="clear" w:color="auto" w:fill="B6B6B6"/>
          </w:tcPr>
          <w:p>
            <w:pPr>
              <w:spacing w:after="0"/>
              <w:rPr>
                <w:sz w:val="14"/>
                <w:szCs w:val="14"/>
                <w:color w:val="auto"/>
              </w:rPr>
            </w:pPr>
          </w:p>
        </w:tc>
        <w:tc>
          <w:tcPr>
            <w:tcW w:w="960" w:type="dxa"/>
            <w:vAlign w:val="bottom"/>
            <w:shd w:val="clear" w:color="auto" w:fill="B6B6B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225,967</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211,940</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Total liabilities and shareholders’ equity</w:t>
            </w:r>
          </w:p>
        </w:tc>
        <w:tc>
          <w:tcPr>
            <w:tcW w:w="240" w:type="dxa"/>
            <w:vAlign w:val="bottom"/>
            <w:tcBorders>
              <w:bottom w:val="single" w:sz="8" w:color="auto"/>
            </w:tcBorders>
            <w:shd w:val="clear" w:color="auto" w:fill="B6B6B6"/>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2,344,813</w:t>
            </w:r>
          </w:p>
        </w:tc>
        <w:tc>
          <w:tcPr>
            <w:tcW w:w="140" w:type="dxa"/>
            <w:vAlign w:val="bottom"/>
            <w:tcBorders>
              <w:bottom w:val="single" w:sz="8" w:color="auto"/>
            </w:tcBorders>
            <w:shd w:val="clear" w:color="auto" w:fill="B6B6B6"/>
          </w:tcPr>
          <w:p>
            <w:pPr>
              <w:spacing w:after="0"/>
              <w:rPr>
                <w:sz w:val="13"/>
                <w:szCs w:val="13"/>
                <w:color w:val="auto"/>
              </w:rPr>
            </w:pPr>
          </w:p>
        </w:tc>
        <w:tc>
          <w:tcPr>
            <w:tcW w:w="134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80" w:type="dxa"/>
            <w:vAlign w:val="bottom"/>
            <w:tcBorders>
              <w:bottom w:val="single" w:sz="8" w:color="auto"/>
            </w:tcBorders>
            <w:shd w:val="clear" w:color="auto" w:fill="B6B6B6"/>
          </w:tcPr>
          <w:p>
            <w:pPr>
              <w:spacing w:after="0"/>
              <w:rPr>
                <w:sz w:val="13"/>
                <w:szCs w:val="13"/>
                <w:color w:val="auto"/>
              </w:rPr>
            </w:pPr>
          </w:p>
        </w:tc>
        <w:tc>
          <w:tcPr>
            <w:tcW w:w="260" w:type="dxa"/>
            <w:vAlign w:val="bottom"/>
            <w:tcBorders>
              <w:bottom w:val="single" w:sz="8" w:color="auto"/>
            </w:tcBorders>
            <w:shd w:val="clear" w:color="auto" w:fill="B6B6B6"/>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shd w:val="clear" w:color="auto" w:fill="B6B6B6"/>
          </w:tcPr>
          <w:p>
            <w:pPr>
              <w:jc w:val="right"/>
              <w:ind w:right="23"/>
              <w:spacing w:after="0"/>
              <w:rPr>
                <w:sz w:val="20"/>
                <w:szCs w:val="20"/>
                <w:color w:val="auto"/>
              </w:rPr>
            </w:pPr>
            <w:r>
              <w:rPr>
                <w:rFonts w:ascii="Times New Roman" w:cs="Times New Roman" w:eastAsia="Times New Roman" w:hAnsi="Times New Roman"/>
                <w:sz w:val="11"/>
                <w:szCs w:val="11"/>
                <w:color w:val="auto"/>
              </w:rPr>
              <w:t>2,434,494</w:t>
            </w:r>
          </w:p>
        </w:tc>
        <w:tc>
          <w:tcPr>
            <w:tcW w:w="140" w:type="dxa"/>
            <w:vAlign w:val="bottom"/>
            <w:tcBorders>
              <w:bottom w:val="single" w:sz="8" w:color="auto"/>
            </w:tcBorders>
            <w:shd w:val="clear" w:color="auto" w:fill="B6B6B6"/>
          </w:tcPr>
          <w:p>
            <w:pPr>
              <w:spacing w:after="0"/>
              <w:rPr>
                <w:sz w:val="13"/>
                <w:szCs w:val="13"/>
                <w:color w:val="auto"/>
              </w:rPr>
            </w:pPr>
          </w:p>
        </w:tc>
        <w:tc>
          <w:tcPr>
            <w:tcW w:w="1340" w:type="dxa"/>
            <w:vAlign w:val="bottom"/>
            <w:tcBorders>
              <w:bottom w:val="single" w:sz="8" w:color="auto"/>
            </w:tcBorders>
            <w:shd w:val="clear" w:color="auto" w:fill="B6B6B6"/>
          </w:tcPr>
          <w:p>
            <w:pPr>
              <w:spacing w:after="0"/>
              <w:rPr>
                <w:sz w:val="13"/>
                <w:szCs w:val="13"/>
                <w:color w:val="auto"/>
              </w:rPr>
            </w:pPr>
          </w:p>
        </w:tc>
        <w:tc>
          <w:tcPr>
            <w:tcW w:w="960" w:type="dxa"/>
            <w:vAlign w:val="bottom"/>
            <w:tcBorders>
              <w:bottom w:val="single" w:sz="8" w:color="auto"/>
            </w:tcBorders>
            <w:shd w:val="clear" w:color="auto" w:fill="B6B6B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interest income</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32,888</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33,496</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1"/>
                <w:szCs w:val="11"/>
                <w:color w:val="auto"/>
              </w:rPr>
              <w:t>Net interest margin</w:t>
            </w:r>
          </w:p>
        </w:tc>
        <w:tc>
          <w:tcPr>
            <w:tcW w:w="24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3.29 %</w:t>
            </w: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40" w:type="dxa"/>
            <w:vAlign w:val="bottom"/>
            <w:shd w:val="clear" w:color="auto" w:fill="B6B6B6"/>
          </w:tcPr>
          <w:p>
            <w:pPr>
              <w:spacing w:after="0"/>
              <w:rPr>
                <w:sz w:val="15"/>
                <w:szCs w:val="15"/>
                <w:color w:val="auto"/>
              </w:rPr>
            </w:pPr>
          </w:p>
        </w:tc>
        <w:tc>
          <w:tcPr>
            <w:tcW w:w="1340" w:type="dxa"/>
            <w:vAlign w:val="bottom"/>
            <w:shd w:val="clear" w:color="auto" w:fill="B6B6B6"/>
          </w:tcPr>
          <w:p>
            <w:pPr>
              <w:spacing w:after="0"/>
              <w:rPr>
                <w:sz w:val="15"/>
                <w:szCs w:val="15"/>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1"/>
                <w:szCs w:val="11"/>
                <w:color w:val="auto"/>
              </w:rPr>
              <w:t>3.24 %</w:t>
            </w:r>
          </w:p>
        </w:tc>
        <w:tc>
          <w:tcPr>
            <w:tcW w:w="0" w:type="dxa"/>
            <w:vAlign w:val="bottom"/>
          </w:tcPr>
          <w:p>
            <w:pPr>
              <w:spacing w:after="0"/>
              <w:rPr>
                <w:sz w:val="1"/>
                <w:szCs w:val="1"/>
                <w:color w:val="auto"/>
              </w:rPr>
            </w:pPr>
          </w:p>
        </w:tc>
      </w:tr>
      <w:tr>
        <w:trPr>
          <w:trHeight w:val="16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Interest spread</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Balances shown are daily averages.</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on loans includes net loan fees of $229,000 and $511,000 for the six-month periods ended June 30, 2024 and 2023, respectively.</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these computations, yields on investment securities are computed as interest income divided by the average amortized cost of the investments.</w:t>
      </w:r>
    </w:p>
    <w:p>
      <w:pPr>
        <w:spacing w:after="0" w:line="3" w:lineRule="exact"/>
        <w:rPr>
          <w:rFonts w:ascii="Times New Roman" w:cs="Times New Roman" w:eastAsia="Times New Roman" w:hAnsi="Times New Roman"/>
          <w:sz w:val="11"/>
          <w:szCs w:val="11"/>
          <w:color w:val="auto"/>
        </w:rPr>
      </w:pPr>
    </w:p>
    <w:p>
      <w:pPr>
        <w:ind w:left="260" w:right="320" w:hanging="255"/>
        <w:spacing w:after="0" w:line="277" w:lineRule="auto"/>
        <w:tabs>
          <w:tab w:leader="none" w:pos="2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is presented on a tax-equivalent basis assuming a tax rate of 21% for both the six-month periods ended June 30, 2024 and 2023. The tax-equivalent adjustment was approximately $483,000 and $584,000 for the six-month periods ended June 30, 2024 and 2023,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Analysis of Net Interest Income Changes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4460" w:type="dxa"/>
            <w:vAlign w:val="bottom"/>
            <w:gridSpan w:val="6"/>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Second Quarter of 2024 Compared to Second Quarter of 2023</w:t>
            </w:r>
          </w:p>
        </w:tc>
        <w:tc>
          <w:tcPr>
            <w:tcW w:w="0" w:type="dxa"/>
            <w:vAlign w:val="bottom"/>
          </w:tcPr>
          <w:p>
            <w:pPr>
              <w:spacing w:after="0"/>
              <w:rPr>
                <w:sz w:val="1"/>
                <w:szCs w:val="1"/>
                <w:color w:val="auto"/>
              </w:rPr>
            </w:pPr>
          </w:p>
        </w:tc>
      </w:tr>
      <w:tr>
        <w:trPr>
          <w:trHeight w:val="22"/>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68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Rate</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68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Increase (decrease) in interest income:</w:t>
            </w:r>
          </w:p>
        </w:tc>
        <w:tc>
          <w:tcPr>
            <w:tcW w:w="960" w:type="dxa"/>
            <w:vAlign w:val="bottom"/>
            <w:shd w:val="clear" w:color="auto" w:fill="B6B6B6"/>
          </w:tcPr>
          <w:p>
            <w:pPr>
              <w:spacing w:after="0"/>
              <w:rPr>
                <w:sz w:val="17"/>
                <w:szCs w:val="17"/>
                <w:color w:val="auto"/>
              </w:rPr>
            </w:pPr>
          </w:p>
        </w:tc>
        <w:tc>
          <w:tcPr>
            <w:tcW w:w="500" w:type="dxa"/>
            <w:vAlign w:val="bottom"/>
            <w:shd w:val="clear" w:color="auto" w:fill="B6B6B6"/>
          </w:tcPr>
          <w:p>
            <w:pPr>
              <w:spacing w:after="0"/>
              <w:rPr>
                <w:sz w:val="17"/>
                <w:szCs w:val="17"/>
                <w:color w:val="auto"/>
              </w:rPr>
            </w:pPr>
          </w:p>
        </w:tc>
        <w:tc>
          <w:tcPr>
            <w:tcW w:w="1020" w:type="dxa"/>
            <w:vAlign w:val="bottom"/>
            <w:shd w:val="clear" w:color="auto" w:fill="B6B6B6"/>
          </w:tcPr>
          <w:p>
            <w:pPr>
              <w:spacing w:after="0"/>
              <w:rPr>
                <w:sz w:val="17"/>
                <w:szCs w:val="17"/>
                <w:color w:val="auto"/>
              </w:rPr>
            </w:pPr>
          </w:p>
        </w:tc>
        <w:tc>
          <w:tcPr>
            <w:tcW w:w="500" w:type="dxa"/>
            <w:vAlign w:val="bottom"/>
            <w:shd w:val="clear" w:color="auto" w:fill="B6B6B6"/>
          </w:tcPr>
          <w:p>
            <w:pPr>
              <w:spacing w:after="0"/>
              <w:rPr>
                <w:sz w:val="17"/>
                <w:szCs w:val="17"/>
                <w:color w:val="auto"/>
              </w:rPr>
            </w:pPr>
          </w:p>
        </w:tc>
        <w:tc>
          <w:tcPr>
            <w:tcW w:w="3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1,121</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202"/>
        </w:trPr>
        <w:tc>
          <w:tcPr>
            <w:tcW w:w="68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960" w:type="dxa"/>
            <w:vAlign w:val="bottom"/>
            <w:shd w:val="clear" w:color="auto" w:fill="B6B6B6"/>
          </w:tcPr>
          <w:p>
            <w:pPr>
              <w:spacing w:after="0"/>
              <w:rPr>
                <w:sz w:val="17"/>
                <w:szCs w:val="17"/>
                <w:color w:val="auto"/>
              </w:rPr>
            </w:pPr>
          </w:p>
        </w:tc>
        <w:tc>
          <w:tcPr>
            <w:tcW w:w="500" w:type="dxa"/>
            <w:vAlign w:val="bottom"/>
            <w:shd w:val="clear" w:color="auto" w:fill="B6B6B6"/>
          </w:tcPr>
          <w:p>
            <w:pPr>
              <w:spacing w:after="0"/>
              <w:rPr>
                <w:sz w:val="17"/>
                <w:szCs w:val="17"/>
                <w:color w:val="auto"/>
              </w:rPr>
            </w:pPr>
          </w:p>
        </w:tc>
        <w:tc>
          <w:tcPr>
            <w:tcW w:w="1020" w:type="dxa"/>
            <w:vAlign w:val="bottom"/>
            <w:shd w:val="clear" w:color="auto" w:fill="B6B6B6"/>
          </w:tcPr>
          <w:p>
            <w:pPr>
              <w:spacing w:after="0"/>
              <w:rPr>
                <w:sz w:val="17"/>
                <w:szCs w:val="17"/>
                <w:color w:val="auto"/>
              </w:rPr>
            </w:pPr>
          </w:p>
        </w:tc>
        <w:tc>
          <w:tcPr>
            <w:tcW w:w="500" w:type="dxa"/>
            <w:vAlign w:val="bottom"/>
            <w:shd w:val="clear" w:color="auto" w:fill="B6B6B6"/>
          </w:tcPr>
          <w:p>
            <w:pPr>
              <w:spacing w:after="0"/>
              <w:rPr>
                <w:sz w:val="17"/>
                <w:szCs w:val="17"/>
                <w:color w:val="auto"/>
              </w:rPr>
            </w:pPr>
          </w:p>
        </w:tc>
        <w:tc>
          <w:tcPr>
            <w:tcW w:w="3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Taxable</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20" w:type="dxa"/>
            <w:vAlign w:val="bottom"/>
          </w:tcPr>
          <w:p>
            <w:pPr>
              <w:spacing w:after="0"/>
              <w:rPr>
                <w:sz w:val="17"/>
                <w:szCs w:val="17"/>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324</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7"/>
        </w:trPr>
        <w:tc>
          <w:tcPr>
            <w:tcW w:w="6820" w:type="dxa"/>
            <w:vAlign w:val="bottom"/>
            <w:shd w:val="clear" w:color="auto" w:fill="B6B6B6"/>
          </w:tcPr>
          <w:p>
            <w:pPr>
              <w:ind w:left="2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2</w:t>
            </w:r>
          </w:p>
        </w:tc>
        <w:tc>
          <w:tcPr>
            <w:tcW w:w="960" w:type="dxa"/>
            <w:vAlign w:val="bottom"/>
            <w:shd w:val="clear" w:color="auto" w:fill="B6B6B6"/>
          </w:tcPr>
          <w:p>
            <w:pPr>
              <w:spacing w:after="0"/>
              <w:rPr>
                <w:sz w:val="18"/>
                <w:szCs w:val="18"/>
                <w:color w:val="auto"/>
              </w:rPr>
            </w:pPr>
          </w:p>
        </w:tc>
        <w:tc>
          <w:tcPr>
            <w:tcW w:w="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20" w:type="dxa"/>
            <w:vAlign w:val="bottom"/>
            <w:shd w:val="clear" w:color="auto" w:fill="B6B6B6"/>
          </w:tcPr>
          <w:p>
            <w:pPr>
              <w:spacing w:after="0"/>
              <w:rPr>
                <w:sz w:val="18"/>
                <w:szCs w:val="18"/>
                <w:color w:val="auto"/>
              </w:rPr>
            </w:pPr>
          </w:p>
        </w:tc>
        <w:tc>
          <w:tcPr>
            <w:tcW w:w="5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c>
          <w:tcPr>
            <w:tcW w:w="380" w:type="dxa"/>
            <w:vAlign w:val="bottom"/>
            <w:shd w:val="clear" w:color="auto" w:fill="B6B6B6"/>
          </w:tcPr>
          <w:p>
            <w:pPr>
              <w:spacing w:after="0"/>
              <w:rPr>
                <w:sz w:val="18"/>
                <w:szCs w:val="18"/>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6"/>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970</w:t>
            </w:r>
          </w:p>
        </w:tc>
        <w:tc>
          <w:tcPr>
            <w:tcW w:w="10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960" w:type="dxa"/>
            <w:vAlign w:val="bottom"/>
            <w:tcBorders>
              <w:bottom w:val="single" w:sz="8" w:color="auto"/>
            </w:tcBorders>
            <w:shd w:val="clear" w:color="auto" w:fill="B6B6B6"/>
          </w:tcPr>
          <w:p>
            <w:pPr>
              <w:spacing w:after="0"/>
              <w:rPr>
                <w:sz w:val="16"/>
                <w:szCs w:val="16"/>
                <w:color w:val="auto"/>
              </w:rPr>
            </w:pPr>
          </w:p>
        </w:tc>
        <w:tc>
          <w:tcPr>
            <w:tcW w:w="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20" w:type="dxa"/>
            <w:vAlign w:val="bottom"/>
            <w:tcBorders>
              <w:bottom w:val="single" w:sz="8" w:color="auto"/>
            </w:tcBorders>
            <w:shd w:val="clear" w:color="auto" w:fill="B6B6B6"/>
          </w:tcPr>
          <w:p>
            <w:pPr>
              <w:spacing w:after="0"/>
              <w:rPr>
                <w:sz w:val="16"/>
                <w:szCs w:val="16"/>
                <w:color w:val="auto"/>
              </w:rPr>
            </w:pPr>
          </w:p>
        </w:tc>
        <w:tc>
          <w:tcPr>
            <w:tcW w:w="5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1,673</w:t>
            </w:r>
          </w:p>
        </w:tc>
        <w:tc>
          <w:tcPr>
            <w:tcW w:w="380" w:type="dxa"/>
            <w:vAlign w:val="bottom"/>
            <w:tcBorders>
              <w:bottom w:val="single" w:sz="8" w:color="auto"/>
            </w:tcBorders>
            <w:shd w:val="clear" w:color="auto" w:fill="B6B6B6"/>
          </w:tcPr>
          <w:p>
            <w:pPr>
              <w:spacing w:after="0"/>
              <w:rPr>
                <w:sz w:val="16"/>
                <w:szCs w:val="16"/>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0" w:type="dxa"/>
            <w:vAlign w:val="bottom"/>
          </w:tcPr>
          <w:p>
            <w:pPr>
              <w:spacing w:after="0"/>
              <w:rPr>
                <w:sz w:val="1"/>
                <w:szCs w:val="1"/>
                <w:color w:val="auto"/>
              </w:rPr>
            </w:pPr>
          </w:p>
        </w:tc>
      </w:tr>
      <w:tr>
        <w:trPr>
          <w:trHeight w:val="192"/>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interest expense:</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2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960" w:type="dxa"/>
            <w:vAlign w:val="bottom"/>
            <w:shd w:val="clear" w:color="auto" w:fill="B6B6B6"/>
          </w:tcPr>
          <w:p>
            <w:pPr>
              <w:spacing w:after="0"/>
              <w:rPr>
                <w:sz w:val="18"/>
                <w:szCs w:val="18"/>
                <w:color w:val="auto"/>
              </w:rPr>
            </w:pPr>
          </w:p>
        </w:tc>
        <w:tc>
          <w:tcPr>
            <w:tcW w:w="5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881</w:t>
            </w:r>
          </w:p>
        </w:tc>
        <w:tc>
          <w:tcPr>
            <w:tcW w:w="1020" w:type="dxa"/>
            <w:vAlign w:val="bottom"/>
            <w:shd w:val="clear" w:color="auto" w:fill="B6B6B6"/>
          </w:tcPr>
          <w:p>
            <w:pPr>
              <w:spacing w:after="0"/>
              <w:rPr>
                <w:sz w:val="18"/>
                <w:szCs w:val="18"/>
                <w:color w:val="auto"/>
              </w:rPr>
            </w:pPr>
          </w:p>
        </w:tc>
        <w:tc>
          <w:tcPr>
            <w:tcW w:w="5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416</w:t>
            </w:r>
          </w:p>
        </w:tc>
        <w:tc>
          <w:tcPr>
            <w:tcW w:w="380" w:type="dxa"/>
            <w:vAlign w:val="bottom"/>
            <w:shd w:val="clear" w:color="auto" w:fill="B6B6B6"/>
          </w:tcPr>
          <w:p>
            <w:pPr>
              <w:spacing w:after="0"/>
              <w:rPr>
                <w:sz w:val="18"/>
                <w:szCs w:val="18"/>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0" w:type="dxa"/>
            <w:vAlign w:val="bottom"/>
          </w:tcPr>
          <w:p>
            <w:pPr>
              <w:spacing w:after="0"/>
              <w:rPr>
                <w:sz w:val="1"/>
                <w:szCs w:val="1"/>
                <w:color w:val="auto"/>
              </w:rPr>
            </w:pPr>
          </w:p>
        </w:tc>
      </w:tr>
      <w:tr>
        <w:trPr>
          <w:trHeight w:val="19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96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spacing w:after="0"/>
              <w:rPr>
                <w:sz w:val="17"/>
                <w:szCs w:val="17"/>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7"/>
        </w:trPr>
        <w:tc>
          <w:tcPr>
            <w:tcW w:w="68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Time deposits &gt;=$100</w:t>
            </w:r>
          </w:p>
        </w:tc>
        <w:tc>
          <w:tcPr>
            <w:tcW w:w="960" w:type="dxa"/>
            <w:vAlign w:val="bottom"/>
            <w:shd w:val="clear" w:color="auto" w:fill="B6B6B6"/>
          </w:tcPr>
          <w:p>
            <w:pPr>
              <w:spacing w:after="0"/>
              <w:rPr>
                <w:sz w:val="18"/>
                <w:szCs w:val="18"/>
                <w:color w:val="auto"/>
              </w:rPr>
            </w:pPr>
          </w:p>
        </w:tc>
        <w:tc>
          <w:tcPr>
            <w:tcW w:w="50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39</w:t>
            </w:r>
          </w:p>
        </w:tc>
        <w:tc>
          <w:tcPr>
            <w:tcW w:w="1020" w:type="dxa"/>
            <w:vAlign w:val="bottom"/>
            <w:shd w:val="clear" w:color="auto" w:fill="B6B6B6"/>
          </w:tcPr>
          <w:p>
            <w:pPr>
              <w:spacing w:after="0"/>
              <w:rPr>
                <w:sz w:val="18"/>
                <w:szCs w:val="18"/>
                <w:color w:val="auto"/>
              </w:rPr>
            </w:pPr>
          </w:p>
        </w:tc>
        <w:tc>
          <w:tcPr>
            <w:tcW w:w="50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56</w:t>
            </w:r>
          </w:p>
        </w:tc>
        <w:tc>
          <w:tcPr>
            <w:tcW w:w="380" w:type="dxa"/>
            <w:vAlign w:val="bottom"/>
            <w:shd w:val="clear" w:color="auto" w:fill="B6B6B6"/>
          </w:tcPr>
          <w:p>
            <w:pPr>
              <w:spacing w:after="0"/>
              <w:rPr>
                <w:sz w:val="18"/>
                <w:szCs w:val="18"/>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time deposits</w:t>
            </w:r>
          </w:p>
        </w:tc>
        <w:tc>
          <w:tcPr>
            <w:tcW w:w="960" w:type="dxa"/>
            <w:vAlign w:val="bottom"/>
          </w:tcPr>
          <w:p>
            <w:pPr>
              <w:spacing w:after="0"/>
              <w:rPr>
                <w:sz w:val="17"/>
                <w:szCs w:val="17"/>
                <w:color w:val="auto"/>
              </w:rPr>
            </w:pP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w:t>
            </w:r>
          </w:p>
        </w:tc>
        <w:tc>
          <w:tcPr>
            <w:tcW w:w="1020" w:type="dxa"/>
            <w:vAlign w:val="bottom"/>
          </w:tcPr>
          <w:p>
            <w:pPr>
              <w:spacing w:after="0"/>
              <w:rPr>
                <w:sz w:val="17"/>
                <w:szCs w:val="17"/>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178</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02"/>
        </w:trPr>
        <w:tc>
          <w:tcPr>
            <w:tcW w:w="682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960" w:type="dxa"/>
            <w:vAlign w:val="bottom"/>
            <w:tcBorders>
              <w:bottom w:val="single" w:sz="8" w:color="auto"/>
            </w:tcBorders>
            <w:shd w:val="clear" w:color="auto" w:fill="B6B6B6"/>
          </w:tcPr>
          <w:p>
            <w:pPr>
              <w:spacing w:after="0"/>
              <w:rPr>
                <w:sz w:val="17"/>
                <w:szCs w:val="17"/>
                <w:color w:val="auto"/>
              </w:rPr>
            </w:pPr>
          </w:p>
        </w:tc>
        <w:tc>
          <w:tcPr>
            <w:tcW w:w="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tcBorders>
              <w:bottom w:val="single" w:sz="8" w:color="auto"/>
            </w:tcBorders>
            <w:shd w:val="clear" w:color="auto" w:fill="B6B6B6"/>
          </w:tcPr>
          <w:p>
            <w:pPr>
              <w:spacing w:after="0"/>
              <w:rPr>
                <w:sz w:val="17"/>
                <w:szCs w:val="17"/>
                <w:color w:val="auto"/>
              </w:rPr>
            </w:pPr>
          </w:p>
        </w:tc>
        <w:tc>
          <w:tcPr>
            <w:tcW w:w="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80" w:type="dxa"/>
            <w:vAlign w:val="bottom"/>
            <w:tcBorders>
              <w:bottom w:val="single" w:sz="8" w:color="auto"/>
            </w:tcBorders>
            <w:shd w:val="clear" w:color="auto" w:fill="B6B6B6"/>
          </w:tcPr>
          <w:p>
            <w:pPr>
              <w:spacing w:after="0"/>
              <w:rPr>
                <w:sz w:val="17"/>
                <w:szCs w:val="17"/>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987</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631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92"/>
        </w:trPr>
        <w:tc>
          <w:tcPr>
            <w:tcW w:w="68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960" w:type="dxa"/>
            <w:vAlign w:val="bottom"/>
            <w:tcBorders>
              <w:bottom w:val="single" w:sz="8" w:color="auto"/>
            </w:tcBorders>
            <w:shd w:val="clear" w:color="auto" w:fill="B6B6B6"/>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20" w:type="dxa"/>
            <w:vAlign w:val="bottom"/>
            <w:tcBorders>
              <w:bottom w:val="single" w:sz="8" w:color="auto"/>
            </w:tcBorders>
            <w:shd w:val="clear" w:color="auto" w:fill="B6B6B6"/>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1,042</w:t>
            </w:r>
          </w:p>
        </w:tc>
        <w:tc>
          <w:tcPr>
            <w:tcW w:w="38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includes net loan fees.</w:t>
      </w:r>
    </w:p>
    <w:p>
      <w:pPr>
        <w:spacing w:after="0" w:line="1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is presented on a tax-equivalent basis assuming a tax rate of 21% for the three-month periods ended June 30, 2024 and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00" w:type="dxa"/>
            <w:vAlign w:val="bottom"/>
            <w:gridSpan w:val="4"/>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First Half of 2024 Compared to</w:t>
            </w:r>
          </w:p>
        </w:tc>
        <w:tc>
          <w:tcPr>
            <w:tcW w:w="1080" w:type="dxa"/>
            <w:vAlign w:val="bottom"/>
          </w:tcPr>
          <w:p>
            <w:pPr>
              <w:spacing w:after="0"/>
              <w:rPr>
                <w:sz w:val="13"/>
                <w:szCs w:val="13"/>
                <w:color w:val="auto"/>
              </w:rPr>
            </w:pPr>
          </w:p>
        </w:tc>
      </w:tr>
      <w:tr>
        <w:trPr>
          <w:trHeight w:val="186"/>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First Half of 2023</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Rate</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8"/>
        </w:trPr>
        <w:tc>
          <w:tcPr>
            <w:tcW w:w="68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Increase (decrease) in interest income:</w:t>
            </w:r>
          </w:p>
        </w:tc>
        <w:tc>
          <w:tcPr>
            <w:tcW w:w="280" w:type="dxa"/>
            <w:vAlign w:val="bottom"/>
            <w:shd w:val="clear" w:color="auto" w:fill="B6B6B6"/>
          </w:tcPr>
          <w:p>
            <w:pPr>
              <w:spacing w:after="0"/>
              <w:rPr>
                <w:sz w:val="17"/>
                <w:szCs w:val="17"/>
                <w:color w:val="auto"/>
              </w:rPr>
            </w:pPr>
          </w:p>
        </w:tc>
        <w:tc>
          <w:tcPr>
            <w:tcW w:w="11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40" w:type="dxa"/>
            <w:vAlign w:val="bottom"/>
            <w:shd w:val="clear" w:color="auto" w:fill="B6B6B6"/>
          </w:tcPr>
          <w:p>
            <w:pPr>
              <w:spacing w:after="0"/>
              <w:rPr>
                <w:sz w:val="17"/>
                <w:szCs w:val="17"/>
                <w:color w:val="auto"/>
              </w:rPr>
            </w:pPr>
          </w:p>
        </w:tc>
        <w:tc>
          <w:tcPr>
            <w:tcW w:w="40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r>
      <w:tr>
        <w:trPr>
          <w:trHeight w:val="202"/>
        </w:trPr>
        <w:tc>
          <w:tcPr>
            <w:tcW w:w="6820" w:type="dxa"/>
            <w:vAlign w:val="bottom"/>
          </w:tcPr>
          <w:p>
            <w:pPr>
              <w:ind w:left="140"/>
              <w:spacing w:after="0" w:line="201" w:lineRule="exact"/>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6820" w:type="dxa"/>
            <w:vAlign w:val="bottom"/>
            <w:shd w:val="clear" w:color="auto" w:fill="B6B6B6"/>
          </w:tcPr>
          <w:p>
            <w:pPr>
              <w:ind w:left="280"/>
              <w:spacing w:after="0"/>
              <w:rPr>
                <w:sz w:val="20"/>
                <w:szCs w:val="20"/>
                <w:color w:val="auto"/>
              </w:rPr>
            </w:pPr>
            <w:r>
              <w:rPr>
                <w:rFonts w:ascii="Times New Roman" w:cs="Times New Roman" w:eastAsia="Times New Roman" w:hAnsi="Times New Roman"/>
                <w:sz w:val="14"/>
                <w:szCs w:val="14"/>
                <w:color w:val="auto"/>
              </w:rPr>
              <w:t>Taxable</w:t>
            </w:r>
          </w:p>
        </w:tc>
        <w:tc>
          <w:tcPr>
            <w:tcW w:w="280" w:type="dxa"/>
            <w:vAlign w:val="bottom"/>
            <w:shd w:val="clear" w:color="auto" w:fill="B6B6B6"/>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2,344</w:t>
            </w:r>
          </w:p>
        </w:tc>
        <w:tc>
          <w:tcPr>
            <w:tcW w:w="40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1,202</w:t>
            </w:r>
          </w:p>
        </w:tc>
      </w:tr>
      <w:tr>
        <w:trPr>
          <w:trHeight w:val="19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6820" w:type="dxa"/>
            <w:vAlign w:val="bottom"/>
            <w:shd w:val="clear" w:color="auto" w:fill="B6B6B6"/>
          </w:tcPr>
          <w:p>
            <w:pPr>
              <w:ind w:left="280"/>
              <w:spacing w:after="0"/>
              <w:rPr>
                <w:sz w:val="20"/>
                <w:szCs w:val="20"/>
                <w:color w:val="auto"/>
              </w:rPr>
            </w:pPr>
            <w:r>
              <w:rPr>
                <w:rFonts w:ascii="Times New Roman" w:cs="Times New Roman" w:eastAsia="Times New Roman" w:hAnsi="Times New Roman"/>
                <w:sz w:val="14"/>
                <w:szCs w:val="14"/>
                <w:color w:val="auto"/>
              </w:rPr>
              <w:t>Taxable</w:t>
            </w: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554</w:t>
            </w:r>
          </w:p>
        </w:tc>
        <w:tc>
          <w:tcPr>
            <w:tcW w:w="40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(270)</w:t>
            </w:r>
          </w:p>
        </w:tc>
      </w:tr>
      <w:tr>
        <w:trPr>
          <w:trHeight w:val="202"/>
        </w:trPr>
        <w:tc>
          <w:tcPr>
            <w:tcW w:w="6820" w:type="dxa"/>
            <w:vAlign w:val="bottom"/>
          </w:tcPr>
          <w:p>
            <w:pPr>
              <w:ind w:left="280"/>
              <w:spacing w:after="0" w:line="201" w:lineRule="exact"/>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2</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r>
      <w:tr>
        <w:trPr>
          <w:trHeight w:val="196"/>
        </w:trPr>
        <w:tc>
          <w:tcPr>
            <w:tcW w:w="6820" w:type="dxa"/>
            <w:vAlign w:val="bottom"/>
            <w:tcBorders>
              <w:bottom w:val="single" w:sz="8" w:color="auto"/>
            </w:tcBorders>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tcBorders>
              <w:bottom w:val="single" w:sz="8" w:color="auto"/>
            </w:tcBorders>
            <w:shd w:val="clear" w:color="auto" w:fill="B6B6B6"/>
          </w:tcPr>
          <w:p>
            <w:pPr>
              <w:spacing w:after="0"/>
              <w:rPr>
                <w:sz w:val="17"/>
                <w:szCs w:val="17"/>
                <w:color w:val="auto"/>
              </w:rPr>
            </w:pPr>
          </w:p>
        </w:tc>
        <w:tc>
          <w:tcPr>
            <w:tcW w:w="1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1,653</w:t>
            </w:r>
          </w:p>
        </w:tc>
        <w:tc>
          <w:tcPr>
            <w:tcW w:w="180" w:type="dxa"/>
            <w:vAlign w:val="bottom"/>
            <w:tcBorders>
              <w:bottom w:val="single" w:sz="8" w:color="auto"/>
            </w:tcBorders>
            <w:shd w:val="clear" w:color="auto" w:fill="B6B6B6"/>
          </w:tcPr>
          <w:p>
            <w:pPr>
              <w:spacing w:after="0"/>
              <w:rPr>
                <w:sz w:val="17"/>
                <w:szCs w:val="17"/>
                <w:color w:val="auto"/>
              </w:rPr>
            </w:pPr>
          </w:p>
        </w:tc>
        <w:tc>
          <w:tcPr>
            <w:tcW w:w="134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842</w:t>
            </w:r>
          </w:p>
        </w:tc>
        <w:tc>
          <w:tcPr>
            <w:tcW w:w="400" w:type="dxa"/>
            <w:vAlign w:val="bottom"/>
            <w:tcBorders>
              <w:bottom w:val="single" w:sz="8" w:color="auto"/>
            </w:tcBorders>
            <w:shd w:val="clear" w:color="auto" w:fill="B6B6B6"/>
          </w:tcPr>
          <w:p>
            <w:pPr>
              <w:spacing w:after="0"/>
              <w:rPr>
                <w:sz w:val="17"/>
                <w:szCs w:val="17"/>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2,495</w:t>
            </w:r>
          </w:p>
        </w:tc>
      </w:tr>
      <w:tr>
        <w:trPr>
          <w:trHeight w:val="19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3,710</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198"/>
        </w:trPr>
        <w:tc>
          <w:tcPr>
            <w:tcW w:w="68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expense on:</w:t>
            </w:r>
          </w:p>
        </w:tc>
        <w:tc>
          <w:tcPr>
            <w:tcW w:w="280" w:type="dxa"/>
            <w:vAlign w:val="bottom"/>
            <w:shd w:val="clear" w:color="auto" w:fill="B6B6B6"/>
          </w:tcPr>
          <w:p>
            <w:pPr>
              <w:spacing w:after="0"/>
              <w:rPr>
                <w:sz w:val="17"/>
                <w:szCs w:val="17"/>
                <w:color w:val="auto"/>
              </w:rPr>
            </w:pPr>
          </w:p>
        </w:tc>
        <w:tc>
          <w:tcPr>
            <w:tcW w:w="11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40" w:type="dxa"/>
            <w:vAlign w:val="bottom"/>
            <w:shd w:val="clear" w:color="auto" w:fill="B6B6B6"/>
          </w:tcPr>
          <w:p>
            <w:pPr>
              <w:spacing w:after="0"/>
              <w:rPr>
                <w:sz w:val="17"/>
                <w:szCs w:val="17"/>
                <w:color w:val="auto"/>
              </w:rPr>
            </w:pPr>
          </w:p>
        </w:tc>
        <w:tc>
          <w:tcPr>
            <w:tcW w:w="400" w:type="dxa"/>
            <w:vAlign w:val="bottom"/>
            <w:shd w:val="clear" w:color="auto" w:fill="B6B6B6"/>
          </w:tcPr>
          <w:p>
            <w:pPr>
              <w:spacing w:after="0"/>
              <w:rPr>
                <w:sz w:val="17"/>
                <w:szCs w:val="17"/>
                <w:color w:val="auto"/>
              </w:rPr>
            </w:pPr>
          </w:p>
        </w:tc>
        <w:tc>
          <w:tcPr>
            <w:tcW w:w="1080" w:type="dxa"/>
            <w:vAlign w:val="bottom"/>
            <w:shd w:val="clear" w:color="auto" w:fill="B6B6B6"/>
          </w:tcPr>
          <w:p>
            <w:pPr>
              <w:spacing w:after="0"/>
              <w:rPr>
                <w:sz w:val="17"/>
                <w:szCs w:val="17"/>
                <w:color w:val="auto"/>
              </w:rPr>
            </w:pPr>
          </w:p>
        </w:tc>
      </w:tr>
      <w:tr>
        <w:trPr>
          <w:trHeight w:val="19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8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949</w:t>
            </w:r>
          </w:p>
        </w:tc>
        <w:tc>
          <w:tcPr>
            <w:tcW w:w="180" w:type="dxa"/>
            <w:vAlign w:val="bottom"/>
          </w:tcPr>
          <w:p>
            <w:pPr>
              <w:spacing w:after="0"/>
              <w:rPr>
                <w:sz w:val="17"/>
                <w:szCs w:val="17"/>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1,928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07"/>
        </w:trPr>
        <w:tc>
          <w:tcPr>
            <w:tcW w:w="68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Savings deposits</w:t>
            </w: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40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Time deposits &gt;=$100</w:t>
            </w:r>
          </w:p>
        </w:tc>
        <w:tc>
          <w:tcPr>
            <w:tcW w:w="28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Pr>
          <w:p>
            <w:pPr>
              <w:spacing w:after="0"/>
              <w:rPr>
                <w:sz w:val="17"/>
                <w:szCs w:val="17"/>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07"/>
        </w:trPr>
        <w:tc>
          <w:tcPr>
            <w:tcW w:w="6820" w:type="dxa"/>
            <w:vAlign w:val="bottom"/>
            <w:shd w:val="clear" w:color="auto" w:fill="B6B6B6"/>
          </w:tcPr>
          <w:p>
            <w:pPr>
              <w:ind w:left="140"/>
              <w:spacing w:after="0"/>
              <w:rPr>
                <w:sz w:val="20"/>
                <w:szCs w:val="20"/>
                <w:color w:val="auto"/>
              </w:rPr>
            </w:pPr>
            <w:r>
              <w:rPr>
                <w:rFonts w:ascii="Times New Roman" w:cs="Times New Roman" w:eastAsia="Times New Roman" w:hAnsi="Times New Roman"/>
                <w:sz w:val="14"/>
                <w:szCs w:val="14"/>
                <w:color w:val="auto"/>
              </w:rPr>
              <w:t>Other time deposits</w:t>
            </w: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171</w:t>
            </w:r>
          </w:p>
        </w:tc>
        <w:tc>
          <w:tcPr>
            <w:tcW w:w="180" w:type="dxa"/>
            <w:vAlign w:val="bottom"/>
            <w:shd w:val="clear" w:color="auto" w:fill="B6B6B6"/>
          </w:tcPr>
          <w:p>
            <w:pPr>
              <w:spacing w:after="0"/>
              <w:rPr>
                <w:sz w:val="18"/>
                <w:szCs w:val="18"/>
                <w:color w:val="auto"/>
              </w:rPr>
            </w:pPr>
          </w:p>
        </w:tc>
        <w:tc>
          <w:tcPr>
            <w:tcW w:w="1340" w:type="dxa"/>
            <w:vAlign w:val="bottom"/>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362</w:t>
            </w:r>
          </w:p>
        </w:tc>
        <w:tc>
          <w:tcPr>
            <w:tcW w:w="400" w:type="dxa"/>
            <w:vAlign w:val="bottom"/>
            <w:shd w:val="clear" w:color="auto" w:fill="B6B6B6"/>
          </w:tcPr>
          <w:p>
            <w:pPr>
              <w:spacing w:after="0"/>
              <w:rPr>
                <w:sz w:val="18"/>
                <w:szCs w:val="18"/>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533</w:t>
            </w:r>
          </w:p>
        </w:tc>
      </w:tr>
      <w:tr>
        <w:trPr>
          <w:trHeight w:val="196"/>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r>
      <w:tr>
        <w:trPr>
          <w:trHeight w:val="192"/>
        </w:trPr>
        <w:tc>
          <w:tcPr>
            <w:tcW w:w="68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shd w:val="clear" w:color="auto" w:fill="B6B6B6"/>
          </w:tcPr>
          <w:p>
            <w:pPr>
              <w:spacing w:after="0"/>
              <w:rPr>
                <w:sz w:val="16"/>
                <w:szCs w:val="16"/>
                <w:color w:val="auto"/>
              </w:rPr>
            </w:pPr>
          </w:p>
        </w:tc>
        <w:tc>
          <w:tcPr>
            <w:tcW w:w="11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1,124</w:t>
            </w:r>
          </w:p>
        </w:tc>
        <w:tc>
          <w:tcPr>
            <w:tcW w:w="180" w:type="dxa"/>
            <w:vAlign w:val="bottom"/>
            <w:tcBorders>
              <w:bottom w:val="single" w:sz="8" w:color="auto"/>
            </w:tcBorders>
            <w:shd w:val="clear" w:color="auto" w:fill="B6B6B6"/>
          </w:tcPr>
          <w:p>
            <w:pPr>
              <w:spacing w:after="0"/>
              <w:rPr>
                <w:sz w:val="16"/>
                <w:szCs w:val="16"/>
                <w:color w:val="auto"/>
              </w:rPr>
            </w:pPr>
          </w:p>
        </w:tc>
        <w:tc>
          <w:tcPr>
            <w:tcW w:w="1340" w:type="dxa"/>
            <w:vAlign w:val="bottom"/>
            <w:tcBorders>
              <w:bottom w:val="single" w:sz="8" w:color="auto"/>
            </w:tcBorders>
            <w:shd w:val="clear" w:color="auto" w:fill="B6B6B6"/>
          </w:tcPr>
          <w:p>
            <w:pPr>
              <w:jc w:val="right"/>
              <w:ind w:right="29"/>
              <w:spacing w:after="0"/>
              <w:rPr>
                <w:sz w:val="20"/>
                <w:szCs w:val="20"/>
                <w:color w:val="auto"/>
              </w:rPr>
            </w:pPr>
            <w:r>
              <w:rPr>
                <w:rFonts w:ascii="Times New Roman" w:cs="Times New Roman" w:eastAsia="Times New Roman" w:hAnsi="Times New Roman"/>
                <w:sz w:val="14"/>
                <w:szCs w:val="14"/>
                <w:color w:val="auto"/>
              </w:rPr>
              <w:t>2,428</w:t>
            </w:r>
          </w:p>
        </w:tc>
        <w:tc>
          <w:tcPr>
            <w:tcW w:w="400" w:type="dxa"/>
            <w:vAlign w:val="bottom"/>
            <w:tcBorders>
              <w:bottom w:val="single" w:sz="8" w:color="auto"/>
            </w:tcBorders>
            <w:shd w:val="clear" w:color="auto" w:fill="B6B6B6"/>
          </w:tcPr>
          <w:p>
            <w:pPr>
              <w:spacing w:after="0"/>
              <w:rPr>
                <w:sz w:val="16"/>
                <w:szCs w:val="16"/>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3,552</w:t>
            </w:r>
          </w:p>
        </w:tc>
      </w:tr>
      <w:tr>
        <w:trPr>
          <w:trHeight w:val="192"/>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1,282</w:t>
            </w:r>
          </w:p>
        </w:tc>
        <w:tc>
          <w:tcPr>
            <w:tcW w:w="4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r>
    </w:tbl>
    <w:p>
      <w:pPr>
        <w:spacing w:after="0" w:line="46" w:lineRule="exact"/>
        <w:rPr>
          <w:sz w:val="20"/>
          <w:szCs w:val="20"/>
          <w:color w:val="auto"/>
        </w:rPr>
      </w:pP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includes net loan fees.</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income is presented on a tax-equivalent basis assuming a tax rate of 21% for the six-month periods ended June 30, 2024 and 2023.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and Allowance for Credit Losses and Allowance for Unfunded Commitments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recorded a provision for credit losses and off-balance sheet credit exposures of $400,000 for the second quarter of 2024 and release of credit losses of $120,000 in second quarter of 2023. The Company recorded a provision for credit losses and off-balance sheet credit exposures of $495,000 for the first half of 2024 and release of credit losses of $460,000 in first half of 2023.The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second quarter and first half of 2024 was driven by an increase in total loans of $47.7 million, or 4.7%, as compared to December 31, 2023.</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experienced no loan charge-offs in the second quarter of 2024 and 2023. The ACL was $13.6 million at June 30, 2024 and $13.1 million at December 31, 2023. The ACL represented 1.28% of outstanding loans at June 30, 2024 and 1.29% of outstanding loans at December 31, 2023. The allowance for unfunded commitments was $82,000 at June 30, 2024 and $132,000 at December 31, 2023. There were no nonperforming loans outstanding at June 30, 2024 and December 31, 2023.</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Credit Loss Experience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on the Company's provision for (release of) credit losses and analysis of the ACL:</w:t>
      </w:r>
    </w:p>
    <w:p>
      <w:pPr>
        <w:spacing w:after="0" w:line="19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First Half of</w:t>
      </w: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Second Quarter of</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33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8"/>
        </w:trPr>
        <w:tc>
          <w:tcPr>
            <w:tcW w:w="52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at beginning of period</w:t>
            </w:r>
          </w:p>
        </w:tc>
        <w:tc>
          <w:tcPr>
            <w:tcW w:w="34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13,299</w:t>
            </w:r>
          </w:p>
        </w:tc>
        <w:tc>
          <w:tcPr>
            <w:tcW w:w="580" w:type="dxa"/>
            <w:vAlign w:val="bottom"/>
            <w:shd w:val="clear" w:color="auto" w:fill="B6B6B6"/>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13,254</w:t>
            </w:r>
          </w:p>
        </w:tc>
        <w:tc>
          <w:tcPr>
            <w:tcW w:w="100" w:type="dxa"/>
            <w:vAlign w:val="bottom"/>
            <w:shd w:val="clear" w:color="auto" w:fill="B6B6B6"/>
          </w:tcPr>
          <w:p>
            <w:pPr>
              <w:spacing w:after="0"/>
              <w:rPr>
                <w:sz w:val="17"/>
                <w:szCs w:val="17"/>
                <w:color w:val="auto"/>
              </w:rPr>
            </w:pPr>
          </w:p>
        </w:tc>
        <w:tc>
          <w:tcPr>
            <w:tcW w:w="32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13,089</w:t>
            </w:r>
          </w:p>
        </w:tc>
        <w:tc>
          <w:tcPr>
            <w:tcW w:w="38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13,539</w:t>
            </w:r>
          </w:p>
        </w:tc>
      </w:tr>
      <w:tr>
        <w:trPr>
          <w:trHeight w:val="196"/>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335</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545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(345)</w:t>
            </w:r>
          </w:p>
        </w:tc>
      </w:tr>
      <w:tr>
        <w:trPr>
          <w:trHeight w:val="192"/>
        </w:trPr>
        <w:tc>
          <w:tcPr>
            <w:tcW w:w="52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Allowance for credit losses at end of period</w:t>
            </w:r>
          </w:p>
        </w:tc>
        <w:tc>
          <w:tcPr>
            <w:tcW w:w="34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13,634</w:t>
            </w:r>
          </w:p>
        </w:tc>
        <w:tc>
          <w:tcPr>
            <w:tcW w:w="580" w:type="dxa"/>
            <w:vAlign w:val="bottom"/>
            <w:tcBorders>
              <w:bottom w:val="single" w:sz="8" w:color="auto"/>
            </w:tcBorders>
            <w:shd w:val="clear" w:color="auto" w:fill="B6B6B6"/>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13,194</w:t>
            </w:r>
          </w:p>
        </w:tc>
        <w:tc>
          <w:tcPr>
            <w:tcW w:w="10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13,634</w:t>
            </w:r>
          </w:p>
        </w:tc>
        <w:tc>
          <w:tcPr>
            <w:tcW w:w="38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13,194</w:t>
            </w:r>
          </w:p>
        </w:tc>
      </w:tr>
      <w:tr>
        <w:trPr>
          <w:trHeight w:val="113"/>
        </w:trPr>
        <w:tc>
          <w:tcPr>
            <w:tcW w:w="5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202"/>
        </w:trPr>
        <w:tc>
          <w:tcPr>
            <w:tcW w:w="52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Allowance for unfunded commitments at beginning of period</w:t>
            </w:r>
          </w:p>
        </w:tc>
        <w:tc>
          <w:tcPr>
            <w:tcW w:w="34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17</w:t>
            </w:r>
          </w:p>
        </w:tc>
        <w:tc>
          <w:tcPr>
            <w:tcW w:w="580" w:type="dxa"/>
            <w:vAlign w:val="bottom"/>
            <w:shd w:val="clear" w:color="auto" w:fill="B6B6B6"/>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shd w:val="clear" w:color="auto" w:fill="B6B6B6"/>
          </w:tcPr>
          <w:p>
            <w:pPr>
              <w:spacing w:after="0"/>
              <w:rPr>
                <w:sz w:val="17"/>
                <w:szCs w:val="17"/>
                <w:color w:val="auto"/>
              </w:rPr>
            </w:pPr>
          </w:p>
        </w:tc>
        <w:tc>
          <w:tcPr>
            <w:tcW w:w="32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132</w:t>
            </w:r>
          </w:p>
        </w:tc>
        <w:tc>
          <w:tcPr>
            <w:tcW w:w="38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232</w:t>
            </w:r>
          </w:p>
        </w:tc>
      </w:tr>
      <w:tr>
        <w:trPr>
          <w:trHeight w:val="196"/>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65</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(50)</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(115)</w:t>
            </w:r>
          </w:p>
        </w:tc>
      </w:tr>
      <w:tr>
        <w:trPr>
          <w:trHeight w:val="192"/>
        </w:trPr>
        <w:tc>
          <w:tcPr>
            <w:tcW w:w="52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Allowance for unfunded commitments at end of period</w:t>
            </w:r>
          </w:p>
        </w:tc>
        <w:tc>
          <w:tcPr>
            <w:tcW w:w="34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82</w:t>
            </w:r>
          </w:p>
        </w:tc>
        <w:tc>
          <w:tcPr>
            <w:tcW w:w="580" w:type="dxa"/>
            <w:vAlign w:val="bottom"/>
            <w:tcBorders>
              <w:bottom w:val="single" w:sz="8" w:color="auto"/>
            </w:tcBorders>
            <w:shd w:val="clear" w:color="auto" w:fill="B6B6B6"/>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auto"/>
            </w:tcBorders>
            <w:shd w:val="clear" w:color="auto" w:fill="B6B6B6"/>
          </w:tcPr>
          <w:p>
            <w:pPr>
              <w:spacing w:after="0"/>
              <w:rPr>
                <w:sz w:val="16"/>
                <w:szCs w:val="16"/>
                <w:color w:val="auto"/>
              </w:rPr>
            </w:pPr>
          </w:p>
        </w:tc>
        <w:tc>
          <w:tcPr>
            <w:tcW w:w="320" w:type="dxa"/>
            <w:vAlign w:val="bottom"/>
            <w:tcBorders>
              <w:bottom w:val="single" w:sz="8" w:color="auto"/>
            </w:tcBorders>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82</w:t>
            </w:r>
          </w:p>
        </w:tc>
        <w:tc>
          <w:tcPr>
            <w:tcW w:w="380" w:type="dxa"/>
            <w:vAlign w:val="bottom"/>
            <w:tcBorders>
              <w:bottom w:val="single" w:sz="8" w:color="auto"/>
            </w:tcBorders>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117</w:t>
            </w:r>
          </w:p>
        </w:tc>
      </w:tr>
      <w:tr>
        <w:trPr>
          <w:trHeight w:val="102"/>
        </w:trPr>
        <w:tc>
          <w:tcPr>
            <w:tcW w:w="5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2"/>
        </w:trPr>
        <w:tc>
          <w:tcPr>
            <w:tcW w:w="52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 outstanding:</w:t>
            </w:r>
          </w:p>
        </w:tc>
        <w:tc>
          <w:tcPr>
            <w:tcW w:w="34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580" w:type="dxa"/>
            <w:vAlign w:val="bottom"/>
            <w:shd w:val="clear" w:color="auto" w:fill="B6B6B6"/>
          </w:tcPr>
          <w:p>
            <w:pPr>
              <w:spacing w:after="0"/>
              <w:rPr>
                <w:sz w:val="17"/>
                <w:szCs w:val="17"/>
                <w:color w:val="auto"/>
              </w:rPr>
            </w:pPr>
          </w:p>
        </w:tc>
        <w:tc>
          <w:tcPr>
            <w:tcW w:w="9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160" w:type="dxa"/>
            <w:vAlign w:val="bottom"/>
            <w:shd w:val="clear" w:color="auto" w:fill="B6B6B6"/>
          </w:tcPr>
          <w:p>
            <w:pPr>
              <w:spacing w:after="0"/>
              <w:rPr>
                <w:sz w:val="17"/>
                <w:szCs w:val="17"/>
                <w:color w:val="auto"/>
              </w:rPr>
            </w:pPr>
          </w:p>
        </w:tc>
        <w:tc>
          <w:tcPr>
            <w:tcW w:w="3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r>
      <w:tr>
        <w:trPr>
          <w:trHeight w:val="196"/>
        </w:trPr>
        <w:tc>
          <w:tcPr>
            <w:tcW w:w="5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1,039,461</w:t>
            </w:r>
          </w:p>
        </w:tc>
        <w:tc>
          <w:tcPr>
            <w:tcW w:w="58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1,075,891</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1,027,854</w:t>
            </w:r>
          </w:p>
        </w:tc>
        <w:tc>
          <w:tcPr>
            <w:tcW w:w="3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1,076,055</w:t>
            </w:r>
          </w:p>
        </w:tc>
      </w:tr>
      <w:tr>
        <w:trPr>
          <w:trHeight w:val="207"/>
        </w:trPr>
        <w:tc>
          <w:tcPr>
            <w:tcW w:w="5240" w:type="dxa"/>
            <w:vAlign w:val="bottom"/>
            <w:shd w:val="clear" w:color="auto" w:fill="B6B6B6"/>
          </w:tcPr>
          <w:p>
            <w:pPr>
              <w:ind w:left="340"/>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1,061,991</w:t>
            </w:r>
          </w:p>
        </w:tc>
        <w:tc>
          <w:tcPr>
            <w:tcW w:w="580" w:type="dxa"/>
            <w:vAlign w:val="bottom"/>
            <w:shd w:val="clear" w:color="auto" w:fill="B6B6B6"/>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1,055,848</w:t>
            </w:r>
          </w:p>
        </w:tc>
        <w:tc>
          <w:tcPr>
            <w:tcW w:w="100" w:type="dxa"/>
            <w:vAlign w:val="bottom"/>
            <w:shd w:val="clear" w:color="auto" w:fill="B6B6B6"/>
          </w:tcPr>
          <w:p>
            <w:pPr>
              <w:spacing w:after="0"/>
              <w:rPr>
                <w:sz w:val="18"/>
                <w:szCs w:val="18"/>
                <w:color w:val="auto"/>
              </w:rPr>
            </w:pPr>
          </w:p>
        </w:tc>
        <w:tc>
          <w:tcPr>
            <w:tcW w:w="320" w:type="dxa"/>
            <w:vAlign w:val="bottom"/>
            <w:shd w:val="clear" w:color="auto" w:fill="B6B6B6"/>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B6B6B6"/>
          </w:tcPr>
          <w:p>
            <w:pPr>
              <w:jc w:val="right"/>
              <w:ind w:right="149"/>
              <w:spacing w:after="0"/>
              <w:rPr>
                <w:sz w:val="20"/>
                <w:szCs w:val="20"/>
                <w:color w:val="auto"/>
              </w:rPr>
            </w:pPr>
            <w:r>
              <w:rPr>
                <w:rFonts w:ascii="Times New Roman" w:cs="Times New Roman" w:eastAsia="Times New Roman" w:hAnsi="Times New Roman"/>
                <w:sz w:val="14"/>
                <w:szCs w:val="14"/>
                <w:color w:val="auto"/>
              </w:rPr>
              <w:t>1,061,991</w:t>
            </w:r>
          </w:p>
        </w:tc>
        <w:tc>
          <w:tcPr>
            <w:tcW w:w="380" w:type="dxa"/>
            <w:vAlign w:val="bottom"/>
            <w:shd w:val="clear" w:color="auto" w:fill="B6B6B6"/>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B6B6B6"/>
          </w:tcPr>
          <w:p>
            <w:pPr>
              <w:jc w:val="right"/>
              <w:ind w:right="109"/>
              <w:spacing w:after="0"/>
              <w:rPr>
                <w:sz w:val="20"/>
                <w:szCs w:val="20"/>
                <w:color w:val="auto"/>
              </w:rPr>
            </w:pPr>
            <w:r>
              <w:rPr>
                <w:rFonts w:ascii="Times New Roman" w:cs="Times New Roman" w:eastAsia="Times New Roman" w:hAnsi="Times New Roman"/>
                <w:sz w:val="14"/>
                <w:szCs w:val="14"/>
                <w:color w:val="auto"/>
              </w:rPr>
              <w:t>1,055,848</w:t>
            </w:r>
          </w:p>
        </w:tc>
      </w:tr>
      <w:tr>
        <w:trPr>
          <w:trHeight w:val="196"/>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Ratio of allowance for credit losses to loans outstanding at June 30</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1.28 %</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operating expenses for the second quarter of 2024 increased $3.5 million, or 8.8%, compared to the second quarter of 2023. Total operating expenses for the first half of 2024 increased $3.8 million, or 4.7%, compared to the first half of 2023.The following table details the components of operating expenses: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Pr>
          <w:p>
            <w:pPr>
              <w:spacing w:after="0"/>
              <w:rPr>
                <w:sz w:val="17"/>
                <w:szCs w:val="17"/>
                <w:color w:val="auto"/>
              </w:rPr>
            </w:pPr>
          </w:p>
        </w:tc>
        <w:tc>
          <w:tcPr>
            <w:tcW w:w="2080" w:type="dxa"/>
            <w:vAlign w:val="bottom"/>
            <w:tcBorders>
              <w:bottom w:val="single" w:sz="8" w:color="auto"/>
            </w:tcBorders>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Second Quarter of</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First Half of</w:t>
            </w:r>
          </w:p>
        </w:tc>
        <w:tc>
          <w:tcPr>
            <w:tcW w:w="720" w:type="dxa"/>
            <w:vAlign w:val="bottom"/>
            <w:tcBorders>
              <w:bottom w:val="single" w:sz="8" w:color="auto"/>
            </w:tcBorders>
          </w:tcPr>
          <w:p>
            <w:pPr>
              <w:spacing w:after="0"/>
              <w:rPr>
                <w:sz w:val="17"/>
                <w:szCs w:val="17"/>
                <w:color w:val="auto"/>
              </w:rPr>
            </w:pPr>
          </w:p>
        </w:tc>
      </w:tr>
      <w:tr>
        <w:trPr>
          <w:trHeight w:val="182"/>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Salaries and commissions</w:t>
            </w:r>
          </w:p>
        </w:tc>
        <w:tc>
          <w:tcPr>
            <w:tcW w:w="780" w:type="dxa"/>
            <w:vAlign w:val="bottom"/>
            <w:shd w:val="clear" w:color="auto" w:fill="B6B6B6"/>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w w:val="98"/>
              </w:rPr>
              <w:t>24,259</w:t>
            </w:r>
          </w:p>
        </w:tc>
        <w:tc>
          <w:tcPr>
            <w:tcW w:w="820" w:type="dxa"/>
            <w:vAlign w:val="bottom"/>
            <w:shd w:val="clear" w:color="auto" w:fill="B6B6B6"/>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98"/>
              </w:rPr>
              <w:t>23,617</w:t>
            </w:r>
          </w:p>
        </w:tc>
        <w:tc>
          <w:tcPr>
            <w:tcW w:w="120" w:type="dxa"/>
            <w:vAlign w:val="bottom"/>
            <w:shd w:val="clear" w:color="auto" w:fill="B6B6B6"/>
          </w:tcPr>
          <w:p>
            <w:pPr>
              <w:spacing w:after="0"/>
              <w:rPr>
                <w:sz w:val="14"/>
                <w:szCs w:val="14"/>
                <w:color w:val="auto"/>
              </w:rPr>
            </w:pPr>
          </w:p>
        </w:tc>
        <w:tc>
          <w:tcPr>
            <w:tcW w:w="26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48,235</w:t>
            </w:r>
          </w:p>
        </w:tc>
        <w:tc>
          <w:tcPr>
            <w:tcW w:w="440" w:type="dxa"/>
            <w:vAlign w:val="bottom"/>
            <w:shd w:val="clear" w:color="auto" w:fill="B6B6B6"/>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46,222</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8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474</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1,700</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w:t>
            </w:r>
          </w:p>
        </w:tc>
      </w:tr>
      <w:tr>
        <w:trPr>
          <w:trHeight w:val="180"/>
        </w:trPr>
        <w:tc>
          <w:tcPr>
            <w:tcW w:w="5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periodic pension cost</w:t>
            </w:r>
          </w:p>
        </w:tc>
        <w:tc>
          <w:tcPr>
            <w:tcW w:w="780" w:type="dxa"/>
            <w:vAlign w:val="bottom"/>
            <w:shd w:val="clear" w:color="auto" w:fill="B6B6B6"/>
          </w:tcPr>
          <w:p>
            <w:pPr>
              <w:spacing w:after="0"/>
              <w:rPr>
                <w:sz w:val="15"/>
                <w:szCs w:val="15"/>
                <w:color w:val="auto"/>
              </w:rPr>
            </w:pPr>
          </w:p>
        </w:tc>
        <w:tc>
          <w:tcPr>
            <w:tcW w:w="4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194</w:t>
            </w:r>
          </w:p>
        </w:tc>
        <w:tc>
          <w:tcPr>
            <w:tcW w:w="820" w:type="dxa"/>
            <w:vAlign w:val="bottom"/>
            <w:shd w:val="clear" w:color="auto" w:fill="B6B6B6"/>
          </w:tcPr>
          <w:p>
            <w:pPr>
              <w:spacing w:after="0"/>
              <w:rPr>
                <w:sz w:val="15"/>
                <w:szCs w:val="15"/>
                <w:color w:val="auto"/>
              </w:rPr>
            </w:pPr>
          </w:p>
        </w:tc>
        <w:tc>
          <w:tcPr>
            <w:tcW w:w="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8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389</w:t>
            </w:r>
          </w:p>
        </w:tc>
        <w:tc>
          <w:tcPr>
            <w:tcW w:w="440" w:type="dxa"/>
            <w:vAlign w:val="bottom"/>
            <w:shd w:val="clear" w:color="auto" w:fill="B6B6B6"/>
          </w:tcPr>
          <w:p>
            <w:pPr>
              <w:spacing w:after="0"/>
              <w:rPr>
                <w:sz w:val="15"/>
                <w:szCs w:val="15"/>
                <w:color w:val="auto"/>
              </w:rPr>
            </w:pPr>
          </w:p>
        </w:tc>
        <w:tc>
          <w:tcPr>
            <w:tcW w:w="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18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benefits</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4,930</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4,768</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10,140</w:t>
            </w: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10,104</w:t>
            </w:r>
          </w:p>
        </w:tc>
      </w:tr>
      <w:tr>
        <w:trPr>
          <w:trHeight w:val="171"/>
        </w:trPr>
        <w:tc>
          <w:tcPr>
            <w:tcW w:w="594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4"/>
                <w:szCs w:val="14"/>
                <w:color w:val="auto"/>
              </w:rPr>
              <w:t>Personnel</w:t>
            </w:r>
          </w:p>
        </w:tc>
        <w:tc>
          <w:tcPr>
            <w:tcW w:w="780" w:type="dxa"/>
            <w:vAlign w:val="bottom"/>
            <w:shd w:val="clear" w:color="auto" w:fill="B6B6B6"/>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w w:val="98"/>
              </w:rPr>
              <w:t>29,857</w:t>
            </w:r>
          </w:p>
        </w:tc>
        <w:tc>
          <w:tcPr>
            <w:tcW w:w="820" w:type="dxa"/>
            <w:vAlign w:val="bottom"/>
            <w:shd w:val="clear" w:color="auto" w:fill="B6B6B6"/>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w w:val="98"/>
              </w:rPr>
              <w:t>29,432</w:t>
            </w:r>
          </w:p>
        </w:tc>
        <w:tc>
          <w:tcPr>
            <w:tcW w:w="120" w:type="dxa"/>
            <w:vAlign w:val="bottom"/>
            <w:shd w:val="clear" w:color="auto" w:fill="B6B6B6"/>
          </w:tcPr>
          <w:p>
            <w:pPr>
              <w:spacing w:after="0"/>
              <w:rPr>
                <w:sz w:val="14"/>
                <w:szCs w:val="14"/>
                <w:color w:val="auto"/>
              </w:rPr>
            </w:pPr>
          </w:p>
        </w:tc>
        <w:tc>
          <w:tcPr>
            <w:tcW w:w="260" w:type="dxa"/>
            <w:vAlign w:val="bottom"/>
            <w:shd w:val="clear" w:color="auto" w:fill="B6B6B6"/>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60,464</w:t>
            </w:r>
          </w:p>
        </w:tc>
        <w:tc>
          <w:tcPr>
            <w:tcW w:w="440" w:type="dxa"/>
            <w:vAlign w:val="bottom"/>
            <w:shd w:val="clear" w:color="auto" w:fill="B6B6B6"/>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59,458</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Occupancy</w:t>
            </w:r>
          </w:p>
        </w:tc>
        <w:tc>
          <w:tcPr>
            <w:tcW w:w="78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826</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1,687</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180"/>
        </w:trPr>
        <w:tc>
          <w:tcPr>
            <w:tcW w:w="59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780" w:type="dxa"/>
            <w:vAlign w:val="bottom"/>
            <w:shd w:val="clear" w:color="auto" w:fill="B6B6B6"/>
          </w:tcPr>
          <w:p>
            <w:pPr>
              <w:spacing w:after="0"/>
              <w:rPr>
                <w:sz w:val="15"/>
                <w:szCs w:val="15"/>
                <w:color w:val="auto"/>
              </w:rPr>
            </w:pPr>
          </w:p>
        </w:tc>
        <w:tc>
          <w:tcPr>
            <w:tcW w:w="4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1,988</w:t>
            </w:r>
          </w:p>
        </w:tc>
        <w:tc>
          <w:tcPr>
            <w:tcW w:w="820" w:type="dxa"/>
            <w:vAlign w:val="bottom"/>
            <w:shd w:val="clear" w:color="auto" w:fill="B6B6B6"/>
          </w:tcPr>
          <w:p>
            <w:pPr>
              <w:spacing w:after="0"/>
              <w:rPr>
                <w:sz w:val="15"/>
                <w:szCs w:val="15"/>
                <w:color w:val="auto"/>
              </w:rPr>
            </w:pPr>
          </w:p>
        </w:tc>
        <w:tc>
          <w:tcPr>
            <w:tcW w:w="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2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880" w:type="dxa"/>
            <w:vAlign w:val="bottom"/>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3,869</w:t>
            </w:r>
          </w:p>
        </w:tc>
        <w:tc>
          <w:tcPr>
            <w:tcW w:w="440" w:type="dxa"/>
            <w:vAlign w:val="bottom"/>
            <w:shd w:val="clear" w:color="auto" w:fill="B6B6B6"/>
          </w:tcPr>
          <w:p>
            <w:pPr>
              <w:spacing w:after="0"/>
              <w:rPr>
                <w:sz w:val="15"/>
                <w:szCs w:val="15"/>
                <w:color w:val="auto"/>
              </w:rPr>
            </w:pPr>
          </w:p>
        </w:tc>
        <w:tc>
          <w:tcPr>
            <w:tcW w:w="7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3,399</w:t>
            </w:r>
          </w:p>
        </w:tc>
      </w:tr>
      <w:tr>
        <w:trPr>
          <w:trHeight w:val="18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78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w:t>
            </w:r>
          </w:p>
        </w:tc>
        <w:tc>
          <w:tcPr>
            <w:tcW w:w="8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373</w:t>
            </w: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59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Other operating</w:t>
            </w:r>
          </w:p>
        </w:tc>
        <w:tc>
          <w:tcPr>
            <w:tcW w:w="780" w:type="dxa"/>
            <w:vAlign w:val="bottom"/>
            <w:tcBorders>
              <w:bottom w:val="single" w:sz="8" w:color="auto"/>
            </w:tcBorders>
            <w:shd w:val="clear" w:color="auto" w:fill="B6B6B6"/>
          </w:tcPr>
          <w:p>
            <w:pPr>
              <w:spacing w:after="0"/>
              <w:rPr>
                <w:sz w:val="15"/>
                <w:szCs w:val="15"/>
                <w:color w:val="auto"/>
              </w:rPr>
            </w:pPr>
          </w:p>
        </w:tc>
        <w:tc>
          <w:tcPr>
            <w:tcW w:w="4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9,940</w:t>
            </w:r>
          </w:p>
        </w:tc>
        <w:tc>
          <w:tcPr>
            <w:tcW w:w="820" w:type="dxa"/>
            <w:vAlign w:val="bottom"/>
            <w:tcBorders>
              <w:bottom w:val="single" w:sz="8" w:color="auto"/>
            </w:tcBorders>
            <w:shd w:val="clear" w:color="auto" w:fill="B6B6B6"/>
          </w:tcPr>
          <w:p>
            <w:pPr>
              <w:spacing w:after="0"/>
              <w:rPr>
                <w:sz w:val="15"/>
                <w:szCs w:val="15"/>
                <w:color w:val="auto"/>
              </w:rPr>
            </w:pPr>
          </w:p>
        </w:tc>
        <w:tc>
          <w:tcPr>
            <w:tcW w:w="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7,056</w:t>
            </w:r>
          </w:p>
        </w:tc>
        <w:tc>
          <w:tcPr>
            <w:tcW w:w="120" w:type="dxa"/>
            <w:vAlign w:val="bottom"/>
            <w:shd w:val="clear" w:color="auto" w:fill="B6B6B6"/>
          </w:tcPr>
          <w:p>
            <w:pPr>
              <w:spacing w:after="0"/>
              <w:rPr>
                <w:sz w:val="15"/>
                <w:szCs w:val="15"/>
                <w:color w:val="auto"/>
              </w:rPr>
            </w:pPr>
          </w:p>
        </w:tc>
        <w:tc>
          <w:tcPr>
            <w:tcW w:w="260" w:type="dxa"/>
            <w:vAlign w:val="bottom"/>
            <w:tcBorders>
              <w:bottom w:val="single" w:sz="8" w:color="auto"/>
            </w:tcBorders>
            <w:shd w:val="clear" w:color="auto" w:fill="B6B6B6"/>
          </w:tcPr>
          <w:p>
            <w:pPr>
              <w:spacing w:after="0"/>
              <w:rPr>
                <w:sz w:val="15"/>
                <w:szCs w:val="15"/>
                <w:color w:val="auto"/>
              </w:rPr>
            </w:pPr>
          </w:p>
        </w:tc>
        <w:tc>
          <w:tcPr>
            <w:tcW w:w="880" w:type="dxa"/>
            <w:vAlign w:val="bottom"/>
            <w:tcBorders>
              <w:bottom w:val="single" w:sz="8" w:color="auto"/>
            </w:tcBorders>
            <w:shd w:val="clear" w:color="auto" w:fill="B6B6B6"/>
          </w:tcPr>
          <w:p>
            <w:pPr>
              <w:jc w:val="right"/>
              <w:ind w:right="9"/>
              <w:spacing w:after="0"/>
              <w:rPr>
                <w:sz w:val="20"/>
                <w:szCs w:val="20"/>
                <w:color w:val="auto"/>
              </w:rPr>
            </w:pPr>
            <w:r>
              <w:rPr>
                <w:rFonts w:ascii="Times New Roman" w:cs="Times New Roman" w:eastAsia="Times New Roman" w:hAnsi="Times New Roman"/>
                <w:sz w:val="14"/>
                <w:szCs w:val="14"/>
                <w:color w:val="auto"/>
              </w:rPr>
              <w:t>17,071</w:t>
            </w:r>
          </w:p>
        </w:tc>
        <w:tc>
          <w:tcPr>
            <w:tcW w:w="440" w:type="dxa"/>
            <w:vAlign w:val="bottom"/>
            <w:tcBorders>
              <w:bottom w:val="single" w:sz="8" w:color="auto"/>
            </w:tcBorders>
            <w:shd w:val="clear" w:color="auto" w:fill="B6B6B6"/>
          </w:tcPr>
          <w:p>
            <w:pPr>
              <w:spacing w:after="0"/>
              <w:rPr>
                <w:sz w:val="15"/>
                <w:szCs w:val="15"/>
                <w:color w:val="auto"/>
              </w:rPr>
            </w:pPr>
          </w:p>
        </w:tc>
        <w:tc>
          <w:tcPr>
            <w:tcW w:w="7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14,702</w:t>
            </w:r>
          </w:p>
        </w:tc>
      </w:tr>
      <w:tr>
        <w:trPr>
          <w:trHeight w:val="171"/>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w:t>
            </w:r>
          </w:p>
        </w:tc>
        <w:tc>
          <w:tcPr>
            <w:tcW w:w="7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8"/>
              </w:rPr>
              <w:t>42,793</w:t>
            </w:r>
          </w:p>
        </w:tc>
        <w:tc>
          <w:tcPr>
            <w:tcW w:w="8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39,339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83,464</w:t>
            </w:r>
          </w:p>
        </w:tc>
        <w:tc>
          <w:tcPr>
            <w:tcW w:w="4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79,711</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Second quarter of 2024 compared to second quarter of 2023:</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Personnel expenses increased $425,000, or 1.4%. Salaries and commissions increased $642,000, or 2.7%, primarily as a result of merit increases. Share-based compensation decreased $435,000, reflecting the Company's financial performance and the impact on performance-based restricted stock between the periods.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Equipment expense increased $239,000, or 13.7%, partially due to an increase in depreciation expense related to technology initiatives throughout our lines of business.</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Other operating expenses increased $2.9 million, or 40.9%. Included in other operating expenses for the second quarter of 2024 are $2.1 million of reserves and other losses on outstanding receivables in addition to $1.3 million related to estimated late fees to be incurred on facility transactions. The late fees were mostly driven by a check processing delay with our third-party vendor, the same client that experienced a cyber attack, as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First half of 2024 compared to first half of 2023:</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Personnel expenses increased $1.0 million, or 1.7%. Salaries and commissions increased $2.0 million, or 4.4%, primarily as a result of merit increases. Share-based compensation decreased $1.2 million, reflecting the Company's financial performance and the impact on performance-based restricted stock between the periods.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Equipment expense increased $470,000, or 13.8%, partially due to an increase in depreciation expense related to technology initiatives throughout our lines of business.</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operating expenses increased $2.4 million, or 16.1% for the same reasons as described for the quarterly variance above, partially offset by lower levels of outside service expense as technology initiatives are completed.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assets at June 30, 2024 were $2.28 billion, a decrease of $196.0 million, or 7.9%, from December 31, 2023.</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experienced a decrease in cash and cash equivalents of $148.7 million, or 39.9%, during the first half of 2024.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w:t>
      </w:r>
    </w:p>
    <w:p>
      <w:pPr>
        <w:spacing w:after="0" w:line="11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investment securities portfolio decreased $86.3 million, or 13.8%, during the first half of 2024. The decrease is due to sales of $25.0 million and maturities of $103.6 million, partially offset by purchases of $47.0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increased $47.7 million, or 4.7%, from December 31, 2023. The Company experienced growth in its franchise restaurant and equipment finance loan portfolios during the first half of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in advance of funding increased $15.7 million, or 7.9%. from December 31, 2023 due to timing of funding.</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and drafts receivable from customers decreased $32.2 million, or 29.1%, from December 31, 2023. The decrease is solely due to timing of customer funding.</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deposits at June 30, 2024 were $1.01 billion, a decrease of $128.5 million, or 11.3%, from December 31, 2023. The decrease is primarily due to timing as well as seasonal tax and compensation payments of Bank clients.</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Accounts and drafts payable at June 30, 2024 were $996.8 million, a decrease of $74.5 million, or 7.0%, from December 31, 2023. The decrease in accounts and drafts payable was primarily reflective of a cyber event at a client which decreased average balances approximately $100.0 million.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liabilities at June 30, 2024 were $2.05 billion, a decrease of $196.1 million, or 8.7%, from December 31, 2023, reflective of the decrease in deposits and accounts and drafts payable.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Total shareholders’ equity at June 30, 2024 was $229.9 million, a $116,000 increase from December 31, 2023. The increase in shareholders’ equity is a result of the first half of 2024 net income of $11.6 million, partially offset by dividends paid of $8.2 million, the repurchase of Company stock of $1.1 million, and an increase in accumulated other comprehensive loss of $2.2 million primarily related to the fair value of available-for-sale investment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2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balance of liquid assets consists of cash and cash equivalents, which include cash and due from banks, interest-bearing deposits in other financial institutions, federal funds sold and money market funds. Cash and cash equivalents totaled $223.7 million at June 30, 2024, a decrease of $148.7 million, or 39.9%, from December 31, 2023. At June 30, 2024, these assets represented 9.8% of total assets and are the Company’s and its subsidiaries’ primary source of liquidity to meet future expected and unexpected loan demand, depositor withdrawals or reductions in accounts and drafts payable.</w:t>
      </w:r>
    </w:p>
    <w:p>
      <w:pPr>
        <w:spacing w:after="0" w:line="2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Secondary sources of liquidity include the investment portfolio and borrowing lines. Total investment securities were $540.8 million at June 30, 2024, a decrease of $86.3 million from December 31, 2023. These assets represented 23.7% of total assets at June 30, 2024. Of the total portfolio, 8.2% mature in one year, 24.1% mature in one to five years, and 67.7% mature in five or more years</w:t>
      </w:r>
      <w:r>
        <w:rPr>
          <w:rFonts w:ascii="Times New Roman" w:cs="Times New Roman" w:eastAsia="Times New Roman" w:hAnsi="Times New Roman"/>
          <w:sz w:val="14"/>
          <w:szCs w:val="14"/>
          <w:i w:val="1"/>
          <w:iCs w:val="1"/>
          <w:color w:val="auto"/>
        </w:rPr>
        <w:t>.</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Bank has unsecured lines of credit at six correspondent banks to purchase federal funds up to a maximum of $83.0 million in aggregate. As of June 30, 2024, the Bank also has secured lines of credit with the Federal Home Loan Bank of $193.1 million collateralized by mortgage loans. The Company also has secured lines of credit from three banks up to a maximum of $250.0 million in aggregate collateralized by investment securities. There were no amounts outstanding under any line of credit as of June 30, 2024 or December 31, 2023.</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$49.0 million of CDARS deposits and interest-bearing demand deposits include $154.9 million of ICS deposits. These programs offer the Bank’s customers the ability to maximize Federal Deposit Insurance Corporation (“FDIC”) insurance coverage. The Company uses these programs to retain or attract deposits from existing customers.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flows provided by operating activities were $20.5 million for the six-month period ended June 30, 2024, compared to $17.0 million for the six-month period ended June 30, 2023, an increase of $3.5 million. Net cash flows from investing and financing activities fluctuate greatly as the Company actively manages its investment and loan portfolios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2024, which are estimated to range from $10 million to $12 million.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income plus amortization of intangible assets, net amortization of premium/discount on investment securities and depreciation of premises and equipment was $16.3 million and $19.0 million for the six-month periods ended June 30, 2024 and 2023, respectively, a decrease of $2.6 million. The first half of 2024 reflected lower net income of $2.6 million and higher depreciation of $296,000, which was partially offset by a decrease in net amortization of premium/discount on investment securities of $305,000. The net amortization of premium/discount on investment securities is dependent on the type of securities purchased and changes in the prevailing market interest rate environment.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factors impacting the $3.5 million increase in net cash provided by operating activities include:</w:t>
      </w:r>
    </w:p>
    <w:p>
      <w:pPr>
        <w:spacing w:after="0" w:line="23"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other operating activities, net of $2.5 million, primarily due to changes in various other assets and liabilities;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smaller increase in accounts receivable of $2.2 million;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increase (decrease) of the current income tax liability of $1.6 million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the provision for (release of) credit losses of $1.0 million primarily due to changes in loans outstanding during the respective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factors were partially offset by a decrease in stock compensation expense of $1.2 million.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2023 Form 10-K.</w:t>
      </w:r>
    </w:p>
    <w:p>
      <w:pPr>
        <w:spacing w:after="0" w:line="1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2023 Form 10-K.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and the Bank continue to exceed all regulatory capital requirements, as evidenced by the following capital amounts and ratios: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2"/>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Requirement to be</w:t>
            </w: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Requirements</w:t>
            </w: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Well-Capitalized</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240" w:type="dxa"/>
            <w:vAlign w:val="bottom"/>
            <w:tcBorders>
              <w:bottom w:val="single" w:sz="8" w:color="auto"/>
            </w:tcBorders>
            <w:gridSpan w:val="2"/>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71"/>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20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272,601</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15.08 %</w:t>
            </w:r>
          </w:p>
        </w:tc>
        <w:tc>
          <w:tcPr>
            <w:tcW w:w="240" w:type="dxa"/>
            <w:vAlign w:val="bottom"/>
            <w:shd w:val="clear" w:color="auto" w:fill="DBDBDB"/>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144,584</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8.00 %</w:t>
            </w:r>
          </w:p>
        </w:tc>
        <w:tc>
          <w:tcPr>
            <w:tcW w:w="480" w:type="dxa"/>
            <w:vAlign w:val="bottom"/>
            <w:shd w:val="clear" w:color="auto" w:fill="DBDBDB"/>
          </w:tcPr>
          <w:p>
            <w:pPr>
              <w:jc w:val="center"/>
              <w:ind w:lef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 %</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206,996</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18.21</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90,956</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113,695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Common Equity Tier I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258,886</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14.32</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81,328</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194,067</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17.07</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51,163</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73,902</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258,886</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14.32</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108,438</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194,067</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17.07</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68,217</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90,956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Tier I capital (to average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258,886</w:t>
            </w:r>
          </w:p>
        </w:tc>
        <w:tc>
          <w:tcPr>
            <w:tcW w:w="9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11.32</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91,511</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auto"/>
            </w:tcBorders>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194,067</w:t>
            </w:r>
          </w:p>
        </w:tc>
        <w:tc>
          <w:tcPr>
            <w:tcW w:w="940" w:type="dxa"/>
            <w:vAlign w:val="bottom"/>
            <w:tcBorders>
              <w:bottom w:val="single" w:sz="8" w:color="auto"/>
            </w:tcBorders>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14.00</w:t>
            </w:r>
          </w:p>
        </w:tc>
        <w:tc>
          <w:tcPr>
            <w:tcW w:w="240" w:type="dxa"/>
            <w:vAlign w:val="bottom"/>
            <w:tcBorders>
              <w:bottom w:val="single" w:sz="8" w:color="auto"/>
            </w:tcBorders>
            <w:shd w:val="clear" w:color="auto" w:fill="DBDBDB"/>
          </w:tcPr>
          <w:p>
            <w:pPr>
              <w:spacing w:after="0"/>
              <w:rPr>
                <w:sz w:val="15"/>
                <w:szCs w:val="15"/>
                <w:color w:val="auto"/>
              </w:rPr>
            </w:pPr>
          </w:p>
        </w:tc>
        <w:tc>
          <w:tcPr>
            <w:tcW w:w="1460" w:type="dxa"/>
            <w:vAlign w:val="bottom"/>
            <w:tcBorders>
              <w:bottom w:val="single" w:sz="8" w:color="auto"/>
            </w:tcBorders>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55,464</w:t>
            </w:r>
          </w:p>
        </w:tc>
        <w:tc>
          <w:tcPr>
            <w:tcW w:w="980" w:type="dxa"/>
            <w:vAlign w:val="bottom"/>
            <w:tcBorders>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Borders>
              <w:bottom w:val="single" w:sz="8" w:color="auto"/>
            </w:tcBorders>
            <w:shd w:val="clear" w:color="auto" w:fill="DBDBDB"/>
          </w:tcPr>
          <w:p>
            <w:pPr>
              <w:spacing w:after="0"/>
              <w:rPr>
                <w:sz w:val="15"/>
                <w:szCs w:val="15"/>
                <w:color w:val="auto"/>
              </w:rPr>
            </w:pPr>
          </w:p>
        </w:tc>
        <w:tc>
          <w:tcPr>
            <w:tcW w:w="760" w:type="dxa"/>
            <w:vAlign w:val="bottom"/>
            <w:tcBorders>
              <w:bottom w:val="single" w:sz="8" w:color="auto"/>
            </w:tcBorders>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69,329</w:t>
            </w:r>
          </w:p>
        </w:tc>
        <w:tc>
          <w:tcPr>
            <w:tcW w:w="9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269,580</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15.49 %</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139,266</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8.00 %</w:t>
            </w:r>
          </w:p>
        </w:tc>
        <w:tc>
          <w:tcPr>
            <w:tcW w:w="4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 %</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204,584</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85,964</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8.00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107,455</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Equity Tier I Capital (to risk-weighted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78,337</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17.88</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48,355</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4.50</w:t>
            </w:r>
          </w:p>
        </w:tc>
        <w:tc>
          <w:tcPr>
            <w:tcW w:w="480" w:type="dxa"/>
            <w:vAlign w:val="bottom"/>
          </w:tcPr>
          <w:p>
            <w:pPr>
              <w:spacing w:after="0"/>
              <w:rPr>
                <w:sz w:val="15"/>
                <w:szCs w:val="15"/>
                <w:color w:val="auto"/>
              </w:rPr>
            </w:pPr>
          </w:p>
        </w:tc>
        <w:tc>
          <w:tcPr>
            <w:tcW w:w="7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69,846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4"/>
                <w:szCs w:val="14"/>
                <w:color w:val="auto"/>
              </w:rPr>
              <w:t>Tier I capital (to risk-weighted assets)</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tcPr>
          <w:p>
            <w:pPr>
              <w:spacing w:after="0"/>
              <w:rPr>
                <w:sz w:val="15"/>
                <w:szCs w:val="15"/>
                <w:color w:val="auto"/>
              </w:rPr>
            </w:pP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14.73</w:t>
            </w:r>
          </w:p>
        </w:tc>
        <w:tc>
          <w:tcPr>
            <w:tcW w:w="240" w:type="dxa"/>
            <w:vAlign w:val="bottom"/>
          </w:tcPr>
          <w:p>
            <w:pPr>
              <w:spacing w:after="0"/>
              <w:rPr>
                <w:sz w:val="15"/>
                <w:szCs w:val="15"/>
                <w:color w:val="auto"/>
              </w:rPr>
            </w:pPr>
          </w:p>
        </w:tc>
        <w:tc>
          <w:tcPr>
            <w:tcW w:w="14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104,449</w:t>
            </w:r>
          </w:p>
        </w:tc>
        <w:tc>
          <w:tcPr>
            <w:tcW w:w="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tcPr>
          <w:p>
            <w:pPr>
              <w:spacing w:after="0"/>
              <w:rPr>
                <w:sz w:val="15"/>
                <w:szCs w:val="15"/>
                <w:color w:val="auto"/>
              </w:rPr>
            </w:pPr>
          </w:p>
        </w:tc>
        <w:tc>
          <w:tcPr>
            <w:tcW w:w="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17.88</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64,473</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6.00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209"/>
              <w:spacing w:after="0"/>
              <w:rPr>
                <w:sz w:val="20"/>
                <w:szCs w:val="20"/>
                <w:color w:val="auto"/>
              </w:rPr>
            </w:pPr>
            <w:r>
              <w:rPr>
                <w:rFonts w:ascii="Times New Roman" w:cs="Times New Roman" w:eastAsia="Times New Roman" w:hAnsi="Times New Roman"/>
                <w:sz w:val="14"/>
                <w:szCs w:val="14"/>
                <w:color w:val="auto"/>
              </w:rPr>
              <w:t>85,964</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Tier I capital (to average assets)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0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20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409"/>
              <w:spacing w:after="0"/>
              <w:rPr>
                <w:sz w:val="20"/>
                <w:szCs w:val="20"/>
                <w:color w:val="auto"/>
              </w:rPr>
            </w:pPr>
            <w:r>
              <w:rPr>
                <w:rFonts w:ascii="Times New Roman" w:cs="Times New Roman" w:eastAsia="Times New Roman" w:hAnsi="Times New Roman"/>
                <w:sz w:val="14"/>
                <w:szCs w:val="14"/>
                <w:color w:val="auto"/>
              </w:rPr>
              <w:t>256,359</w:t>
            </w:r>
          </w:p>
        </w:tc>
        <w:tc>
          <w:tcPr>
            <w:tcW w:w="940" w:type="dxa"/>
            <w:vAlign w:val="bottom"/>
            <w:shd w:val="clear" w:color="auto" w:fill="DBDBDB"/>
          </w:tcPr>
          <w:p>
            <w:pPr>
              <w:ind w:left="400"/>
              <w:spacing w:after="0"/>
              <w:rPr>
                <w:sz w:val="20"/>
                <w:szCs w:val="20"/>
                <w:color w:val="auto"/>
              </w:rPr>
            </w:pPr>
            <w:r>
              <w:rPr>
                <w:rFonts w:ascii="Times New Roman" w:cs="Times New Roman" w:eastAsia="Times New Roman" w:hAnsi="Times New Roman"/>
                <w:sz w:val="14"/>
                <w:szCs w:val="14"/>
                <w:color w:val="auto"/>
              </w:rPr>
              <w:t>10.71</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jc w:val="right"/>
              <w:ind w:right="509"/>
              <w:spacing w:after="0"/>
              <w:rPr>
                <w:sz w:val="20"/>
                <w:szCs w:val="20"/>
                <w:color w:val="auto"/>
              </w:rPr>
            </w:pPr>
            <w:r>
              <w:rPr>
                <w:rFonts w:ascii="Times New Roman" w:cs="Times New Roman" w:eastAsia="Times New Roman" w:hAnsi="Times New Roman"/>
                <w:sz w:val="14"/>
                <w:szCs w:val="14"/>
                <w:color w:val="auto"/>
              </w:rPr>
              <w:t>95,760</w:t>
            </w:r>
          </w:p>
        </w:tc>
        <w:tc>
          <w:tcPr>
            <w:tcW w:w="980" w:type="dxa"/>
            <w:vAlign w:val="bottom"/>
            <w:shd w:val="clear" w:color="auto" w:fill="DBDBDB"/>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shd w:val="clear" w:color="auto" w:fill="DBDBDB"/>
          </w:tcPr>
          <w:p>
            <w:pPr>
              <w:spacing w:after="0"/>
              <w:rPr>
                <w:sz w:val="15"/>
                <w:szCs w:val="15"/>
                <w:color w:val="auto"/>
              </w:rPr>
            </w:pPr>
          </w:p>
        </w:tc>
        <w:tc>
          <w:tcPr>
            <w:tcW w:w="760" w:type="dxa"/>
            <w:vAlign w:val="bottom"/>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3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Cass Commercial Bank</w:t>
            </w: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192,104</w:t>
            </w:r>
          </w:p>
        </w:tc>
        <w:tc>
          <w:tcPr>
            <w:tcW w:w="9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12.49</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61,526</w:t>
            </w:r>
          </w:p>
        </w:tc>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4.00</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76,908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New and Not Yet Adopted Accounting Pronouncements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In October 2023, the FASB issued 2023-06, </w:t>
      </w:r>
      <w:r>
        <w:rPr>
          <w:rFonts w:ascii="Times New Roman" w:cs="Times New Roman" w:eastAsia="Times New Roman" w:hAnsi="Times New Roman"/>
          <w:sz w:val="14"/>
          <w:szCs w:val="14"/>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This ASU amends the ASC to incorporate certain disclosure requirements from SEC Release No. 33-10532 - Disclosure Update and Simplification that was issued in 2018.</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In November 2023, the FASB issued 2023-07, </w:t>
      </w:r>
      <w:r>
        <w:rPr>
          <w:rFonts w:ascii="Times New Roman" w:cs="Times New Roman" w:eastAsia="Times New Roman" w:hAnsi="Times New Roman"/>
          <w:sz w:val="14"/>
          <w:szCs w:val="14"/>
          <w:i w:val="1"/>
          <w:iCs w:val="1"/>
          <w:color w:val="auto"/>
        </w:rPr>
        <w:t>Segment Reporting (Topic 820): Improvements to Reportable Segment Disclosures</w:t>
      </w:r>
      <w:r>
        <w:rPr>
          <w:rFonts w:ascii="Times New Roman" w:cs="Times New Roman" w:eastAsia="Times New Roman" w:hAnsi="Times New Roman"/>
          <w:sz w:val="14"/>
          <w:szCs w:val="14"/>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15, 2024. Early adoption is permitted. ASU 2023-07 is not expected to have a significant impact on the Company's financial statements.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 xml:space="preserve">In December 2023, the FASB issued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Allowance for Credit Losses. </w:t>
      </w:r>
      <w:r>
        <w:rPr>
          <w:rFonts w:ascii="Times New Roman" w:cs="Times New Roman" w:eastAsia="Times New Roman" w:hAnsi="Times New Roman"/>
          <w:sz w:val="14"/>
          <w:szCs w:val="14"/>
          <w:color w:val="auto"/>
        </w:rPr>
        <w:t>The Company performs periodic and systematic detailed reviews of its loan portfolio to determine management’s estimate of the lifetime expected credit losses.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described in the Company’s 2023 Form 10-K for the year ended December 31, 2023,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simulated changes in net interest income versus unchanged rates over the next 12 months as of June 30, 2024 and December 31,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 change in projected net interest income</w:t>
            </w:r>
          </w:p>
        </w:tc>
        <w:tc>
          <w:tcPr>
            <w:tcW w:w="2440" w:type="dxa"/>
            <w:vAlign w:val="bottom"/>
            <w:tcBorders>
              <w:bottom w:val="single" w:sz="8" w:color="auto"/>
            </w:tcBorders>
          </w:tcPr>
          <w:p>
            <w:pPr>
              <w:spacing w:after="0"/>
              <w:rPr>
                <w:sz w:val="16"/>
                <w:szCs w:val="16"/>
                <w:color w:val="auto"/>
              </w:rPr>
            </w:pPr>
          </w:p>
        </w:tc>
      </w:tr>
      <w:tr>
        <w:trPr>
          <w:trHeight w:val="171"/>
        </w:trPr>
        <w:tc>
          <w:tcPr>
            <w:tcW w:w="3440" w:type="dxa"/>
            <w:vAlign w:val="bottom"/>
            <w:tcBorders>
              <w:bottom w:val="single" w:sz="8" w:color="B6B6B6"/>
            </w:tcBorders>
          </w:tcPr>
          <w:p>
            <w:pPr>
              <w:spacing w:after="0"/>
              <w:rPr>
                <w:sz w:val="14"/>
                <w:szCs w:val="14"/>
                <w:color w:val="auto"/>
              </w:rPr>
            </w:pPr>
          </w:p>
        </w:tc>
        <w:tc>
          <w:tcPr>
            <w:tcW w:w="80" w:type="dxa"/>
            <w:vAlign w:val="bottom"/>
            <w:tcBorders>
              <w:bottom w:val="single" w:sz="8" w:color="B6B6B6"/>
            </w:tcBorders>
          </w:tcPr>
          <w:p>
            <w:pPr>
              <w:spacing w:after="0"/>
              <w:rPr>
                <w:sz w:val="14"/>
                <w:szCs w:val="14"/>
                <w:color w:val="auto"/>
              </w:rPr>
            </w:pPr>
          </w:p>
        </w:tc>
        <w:tc>
          <w:tcPr>
            <w:tcW w:w="23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20" w:type="dxa"/>
            <w:vAlign w:val="bottom"/>
            <w:tcBorders>
              <w:bottom w:val="single" w:sz="8" w:color="auto"/>
            </w:tcBorders>
          </w:tcPr>
          <w:p>
            <w:pPr>
              <w:spacing w:after="0"/>
              <w:rPr>
                <w:sz w:val="14"/>
                <w:szCs w:val="14"/>
                <w:color w:val="auto"/>
              </w:rPr>
            </w:pPr>
          </w:p>
        </w:tc>
        <w:tc>
          <w:tcPr>
            <w:tcW w:w="140" w:type="dxa"/>
            <w:vAlign w:val="bottom"/>
            <w:tcBorders>
              <w:bottom w:val="single" w:sz="8" w:color="B6B6B6"/>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11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1"/>
        </w:trPr>
        <w:tc>
          <w:tcPr>
            <w:tcW w:w="352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+200 basis points</w:t>
            </w:r>
          </w:p>
        </w:tc>
        <w:tc>
          <w:tcPr>
            <w:tcW w:w="2320" w:type="dxa"/>
            <w:vAlign w:val="bottom"/>
            <w:shd w:val="clear" w:color="auto" w:fill="B6B6B6"/>
          </w:tcPr>
          <w:p>
            <w:pPr>
              <w:spacing w:after="0"/>
              <w:rPr>
                <w:sz w:val="14"/>
                <w:szCs w:val="14"/>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140" w:type="dxa"/>
            <w:vAlign w:val="bottom"/>
            <w:shd w:val="clear" w:color="auto" w:fill="B6B6B6"/>
          </w:tcPr>
          <w:p>
            <w:pPr>
              <w:spacing w:after="0"/>
              <w:rPr>
                <w:sz w:val="14"/>
                <w:szCs w:val="14"/>
                <w:color w:val="auto"/>
              </w:rPr>
            </w:pPr>
          </w:p>
        </w:tc>
        <w:tc>
          <w:tcPr>
            <w:tcW w:w="1220" w:type="dxa"/>
            <w:vAlign w:val="bottom"/>
            <w:shd w:val="clear" w:color="auto" w:fill="B6B6B6"/>
          </w:tcPr>
          <w:p>
            <w:pPr>
              <w:spacing w:after="0"/>
              <w:rPr>
                <w:sz w:val="14"/>
                <w:szCs w:val="14"/>
                <w:color w:val="auto"/>
              </w:rPr>
            </w:pPr>
          </w:p>
        </w:tc>
        <w:tc>
          <w:tcPr>
            <w:tcW w:w="2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14.7 %</w:t>
            </w:r>
          </w:p>
        </w:tc>
      </w:tr>
      <w:tr>
        <w:trPr>
          <w:trHeight w:val="18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58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Flat rates</w:t>
            </w:r>
          </w:p>
        </w:tc>
        <w:tc>
          <w:tcPr>
            <w:tcW w:w="2680" w:type="dxa"/>
            <w:vAlign w:val="bottom"/>
            <w:gridSpan w:val="3"/>
            <w:shd w:val="clear" w:color="auto" w:fill="B6B6B6"/>
          </w:tcPr>
          <w:p>
            <w:pPr>
              <w:jc w:val="right"/>
              <w:ind w:right="1380"/>
              <w:spacing w:after="0"/>
              <w:rPr>
                <w:sz w:val="20"/>
                <w:szCs w:val="20"/>
                <w:color w:val="auto"/>
              </w:rPr>
            </w:pPr>
            <w:r>
              <w:rPr>
                <w:rFonts w:ascii="Times New Roman" w:cs="Times New Roman" w:eastAsia="Times New Roman" w:hAnsi="Times New Roman"/>
                <w:sz w:val="14"/>
                <w:szCs w:val="14"/>
                <w:color w:val="auto"/>
              </w:rPr>
              <w:t>— %</w:t>
            </w:r>
          </w:p>
        </w:tc>
        <w:tc>
          <w:tcPr>
            <w:tcW w:w="2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-100 basis points</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8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-200 basis points</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B6B6B6"/>
          </w:tcPr>
          <w:p>
            <w:pPr>
              <w:spacing w:after="0"/>
              <w:rPr>
                <w:sz w:val="15"/>
                <w:szCs w:val="15"/>
                <w:color w:val="auto"/>
              </w:rPr>
            </w:pPr>
          </w:p>
        </w:tc>
        <w:tc>
          <w:tcPr>
            <w:tcW w:w="1220" w:type="dxa"/>
            <w:vAlign w:val="bottom"/>
            <w:shd w:val="clear" w:color="auto" w:fill="B6B6B6"/>
          </w:tcPr>
          <w:p>
            <w:pPr>
              <w:spacing w:after="0"/>
              <w:rPr>
                <w:sz w:val="15"/>
                <w:szCs w:val="15"/>
                <w:color w:val="auto"/>
              </w:rPr>
            </w:pPr>
          </w:p>
        </w:tc>
        <w:tc>
          <w:tcPr>
            <w:tcW w:w="24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(6.0)%</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generally asset sensitive as average interest-earning assets of $1.96 billion for the second quarter of 2024 greatly exceeded average interest-bearing liabilities of $638.3 million. The table above on the projected impact of interest rate shocks results from a static balance sheet at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were no changes in the second quarter of 2024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4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has included in Part I, Item 1A of its 2023 Form 10-K, a description of certain risks and uncertainties that could affect the Company’s business, future performance or financial condition (the “Risk Factors”). There are no material changes to the Risk Factors as disclosed in the Company’s 2023 Form 10-K.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49"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157" w:lineRule="exact"/>
        <w:rPr>
          <w:rFonts w:ascii="Times New Roman" w:cs="Times New Roman" w:eastAsia="Times New Roman" w:hAnsi="Times New Roman"/>
          <w:sz w:val="14"/>
          <w:szCs w:val="14"/>
          <w:color w:val="auto"/>
        </w:rPr>
      </w:pPr>
    </w:p>
    <w:p>
      <w:pPr>
        <w:ind w:left="520" w:right="340" w:hanging="515"/>
        <w:spacing w:after="0" w:line="287" w:lineRule="auto"/>
        <w:tabs>
          <w:tab w:leader="none" w:pos="5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have been no material changes to the procedures by which security holders may recommend nominees to the Company’s Board of Directors implemented in the second quarter of 2024.</w:t>
      </w:r>
    </w:p>
    <w:p>
      <w:pPr>
        <w:spacing w:after="0" w:line="92" w:lineRule="exact"/>
        <w:rPr>
          <w:rFonts w:ascii="Times New Roman" w:cs="Times New Roman" w:eastAsia="Times New Roman" w:hAnsi="Times New Roman"/>
          <w:sz w:val="14"/>
          <w:szCs w:val="14"/>
          <w:color w:val="auto"/>
        </w:rPr>
      </w:pPr>
    </w:p>
    <w:p>
      <w:pPr>
        <w:ind w:left="520" w:right="240" w:hanging="515"/>
        <w:spacing w:after="0" w:line="287" w:lineRule="auto"/>
        <w:tabs>
          <w:tab w:leader="none" w:pos="51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June 30, 2024,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10.1 Form of Employee Restricted Stock Award Agreement under the Cass Information Systems, Inc. 2023 Omnibus Stock and Performance Compensation Plan.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10.2 Form of Employee Restricted Stock Unit Agreement under the Cass Information Systems, Inc. 2023 Omnibus Stock and Performance Compensation Plan.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10.3 Form of Non-Employee Director Restricted Stock Award Agreement under the Cass Information Systems, Inc. 2023 Omnibus Stock and Performance Compensation Plan.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10.4 Form of Non-Employee Director Restricted Stock Unit Agreement under the Cass Information Systems, Inc. 2023 Omnibus Stock and Performance Compensation Plan.</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31.1 Certification Pursuant to Section 302 of the Sarbanes-Oxley Act of 2002</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31.2 Certification Pursuant to Section 302 of the Sarbanes-Oxley Act of 2002</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4"/>
          <w:szCs w:val="14"/>
          <w:color w:val="000000"/>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101.INS XBRL Instance Document. The instance document does not appear in the Interactive Data File because its XBRL tags are embedded within the Inline XBRL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101.SCH Inline XBRL Taxonomy Extension Schema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101.CAL Inline XBRL Taxonomy Extension Calculation Linkbase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101.LAB Inline XBRL Taxonomy Extension Label Linkbase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101.PRE Inline XBRL Taxonomy Extension Presentation Linkbase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101.DEF Inline XBRL Taxonomy Extension Definition Linkbase Document.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 104 Cover Page Interactive Data File (formatted as Inline XBRL and contained in Exhibit 101).</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*Management contract or compensatory plan arrangement.</w:t>
      </w:r>
    </w:p>
    <w:p>
      <w:pPr>
        <w:spacing w:after="0" w:line="200" w:lineRule="exact"/>
        <w:rPr>
          <w:sz w:val="20"/>
          <w:szCs w:val="20"/>
          <w:color w:val="auto"/>
        </w:rPr>
      </w:pPr>
    </w:p>
    <w:p>
      <w:pPr>
        <w:spacing w:after="0" w:line="35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00"/>
          </w:cols>
          <w:pgMar w:left="300" w:top="123" w:right="10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CASS INFORMATION SYSTEMS, INC.</w:t>
            </w:r>
          </w:p>
        </w:tc>
        <w:tc>
          <w:tcPr>
            <w:tcW w:w="4800" w:type="dxa"/>
            <w:vAlign w:val="bottom"/>
          </w:tcPr>
          <w:p>
            <w:pPr>
              <w:spacing w:after="0"/>
              <w:rPr>
                <w:sz w:val="16"/>
                <w:szCs w:val="16"/>
                <w:color w:val="auto"/>
              </w:rPr>
            </w:pPr>
          </w:p>
        </w:tc>
      </w:tr>
      <w:tr>
        <w:trPr>
          <w:trHeight w:val="409"/>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2024</w:t>
            </w: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jc w:val="center"/>
              <w:ind w:right="2129"/>
              <w:spacing w:after="0"/>
              <w:rPr>
                <w:sz w:val="20"/>
                <w:szCs w:val="20"/>
                <w:color w:val="auto"/>
              </w:rPr>
            </w:pPr>
            <w:r>
              <w:rPr>
                <w:rFonts w:ascii="Times New Roman" w:cs="Times New Roman" w:eastAsia="Times New Roman" w:hAnsi="Times New Roman"/>
                <w:sz w:val="14"/>
                <w:szCs w:val="14"/>
                <w:color w:val="auto"/>
              </w:rPr>
              <w:t>/s/ Martin H. Resch</w:t>
            </w:r>
          </w:p>
        </w:tc>
      </w:tr>
      <w:tr>
        <w:trPr>
          <w:trHeight w:val="187"/>
        </w:trPr>
        <w:tc>
          <w:tcPr>
            <w:tcW w:w="2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4800" w:type="dxa"/>
            <w:vAlign w:val="bottom"/>
            <w:tcBorders>
              <w:top w:val="single" w:sz="8" w:color="auto"/>
            </w:tcBorders>
          </w:tcPr>
          <w:p>
            <w:pPr>
              <w:jc w:val="center"/>
              <w:ind w:right="2149"/>
              <w:spacing w:after="0"/>
              <w:rPr>
                <w:sz w:val="20"/>
                <w:szCs w:val="20"/>
                <w:color w:val="auto"/>
              </w:rPr>
            </w:pPr>
            <w:r>
              <w:rPr>
                <w:rFonts w:ascii="Times New Roman" w:cs="Times New Roman" w:eastAsia="Times New Roman" w:hAnsi="Times New Roman"/>
                <w:sz w:val="14"/>
                <w:szCs w:val="14"/>
                <w:color w:val="auto"/>
              </w:rPr>
              <w:t>Martin H. Resch</w:t>
            </w:r>
          </w:p>
        </w:tc>
      </w:tr>
      <w:tr>
        <w:trPr>
          <w:trHeight w:val="202"/>
        </w:trPr>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800" w:type="dxa"/>
            <w:vAlign w:val="bottom"/>
          </w:tcPr>
          <w:p>
            <w:pPr>
              <w:jc w:val="center"/>
              <w:ind w:right="2129"/>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2"/>
        </w:trPr>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800" w:type="dxa"/>
            <w:vAlign w:val="bottom"/>
          </w:tcPr>
          <w:p>
            <w:pPr>
              <w:jc w:val="center"/>
              <w:ind w:right="2129"/>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83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6, 2024</w:t>
            </w: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Pr>
          <w:p>
            <w:pPr>
              <w:jc w:val="center"/>
              <w:ind w:right="2149"/>
              <w:spacing w:after="0"/>
              <w:rPr>
                <w:sz w:val="20"/>
                <w:szCs w:val="20"/>
                <w:color w:val="auto"/>
              </w:rPr>
            </w:pPr>
            <w:r>
              <w:rPr>
                <w:rFonts w:ascii="Times New Roman" w:cs="Times New Roman" w:eastAsia="Times New Roman" w:hAnsi="Times New Roman"/>
                <w:sz w:val="14"/>
                <w:szCs w:val="14"/>
                <w:color w:val="auto"/>
              </w:rPr>
              <w:t>/s/ Michael J. Normile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6985</wp:posOffset>
            </wp:positionV>
            <wp:extent cx="44532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53255" cy="6985"/>
                    </a:xfrm>
                    <a:prstGeom prst="rect">
                      <a:avLst/>
                    </a:prstGeom>
                    <a:noFill/>
                  </pic:spPr>
                </pic:pic>
              </a:graphicData>
            </a:graphic>
          </wp:anchor>
        </w:drawing>
      </w:r>
    </w:p>
    <w:p>
      <w:pPr>
        <w:spacing w:after="0" w:line="8"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color w:val="auto"/>
        </w:rPr>
        <w:t>Michael J. Normile</w:t>
      </w:r>
    </w:p>
    <w:p>
      <w:pPr>
        <w:spacing w:after="0" w:line="41"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41"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23" w:right="319" w:bottom="1440"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Martin H. Resch, certify that:</w:t>
      </w:r>
    </w:p>
    <w:p>
      <w:pPr>
        <w:spacing w:after="0" w:line="179" w:lineRule="exact"/>
        <w:rPr>
          <w:sz w:val="20"/>
          <w:szCs w:val="20"/>
          <w:color w:val="auto"/>
        </w:rPr>
      </w:pPr>
    </w:p>
    <w:p>
      <w:pPr>
        <w:ind w:left="260" w:hanging="255"/>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Cass Information Systems, Inc.;</w:t>
      </w:r>
    </w:p>
    <w:p>
      <w:pPr>
        <w:spacing w:after="0" w:line="178"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5"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August 6, 2024</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12700</wp:posOffset>
            </wp:positionV>
            <wp:extent cx="35775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Martin H. Resch</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929" w:right="31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Normile, certify that:</w:t>
      </w:r>
    </w:p>
    <w:p>
      <w:pPr>
        <w:spacing w:after="0" w:line="179" w:lineRule="exact"/>
        <w:rPr>
          <w:sz w:val="20"/>
          <w:szCs w:val="20"/>
          <w:color w:val="auto"/>
        </w:rPr>
      </w:pPr>
    </w:p>
    <w:p>
      <w:pPr>
        <w:ind w:left="260" w:hanging="255"/>
        <w:spacing w:after="0"/>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Cass Information Systems, Inc.;</w:t>
      </w:r>
    </w:p>
    <w:p>
      <w:pPr>
        <w:spacing w:after="0" w:line="178"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15"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5"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8"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August 6, 2024</w:t>
      </w:r>
    </w:p>
    <w:p>
      <w:pPr>
        <w:spacing w:after="0" w:line="4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Michael J. Normile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Executive Vice President and Chief</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Financial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929" w:right="3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Cass Information Systems, Inc. (“the Company”) on Form 10-Q for the period ended June 30, 2024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Martin H. Resch</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August 6, 2024</w:t>
      </w:r>
    </w:p>
    <w:p>
      <w:pPr>
        <w:spacing w:after="0" w:line="24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759" w:right="3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Cass Information Systems, Inc. (“the Company”) on Form 10-Q for the period ended June 30, 2024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36"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14605</wp:posOffset>
            </wp:positionV>
            <wp:extent cx="357759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Michael J. Normile</w:t>
      </w:r>
    </w:p>
    <w:p>
      <w:pPr>
        <w:spacing w:after="0" w:line="2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August 6, 2024</w:t>
      </w:r>
    </w:p>
    <w:p>
      <w:pPr>
        <w:spacing w:after="0" w:line="24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2024-08-06T15:03:03Z</dcterms:created>
  <dcterms:modified xsi:type="dcterms:W3CDTF">2024-08-06T15:03:03Z</dcterms:modified>
</cp:coreProperties>
</file>