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6" w:lineRule="exact"/>
        <w:rPr>
          <w:sz w:val="24"/>
          <w:szCs w:val="24"/>
          <w:color w:val="auto"/>
        </w:rPr>
      </w:pPr>
    </w:p>
    <w:p>
      <w:pPr>
        <w:ind w:left="580" w:right="2080" w:hanging="554"/>
        <w:spacing w:after="0" w:line="610" w:lineRule="auto"/>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9720" w:type="dxa"/>
            <w:vAlign w:val="bottom"/>
            <w:gridSpan w:val="2"/>
          </w:tcPr>
          <w:p>
            <w:pPr>
              <w:jc w:val="center"/>
              <w:ind w:left="1408"/>
              <w:spacing w:after="0"/>
              <w:rPr>
                <w:sz w:val="20"/>
                <w:szCs w:val="20"/>
                <w:color w:val="auto"/>
              </w:rPr>
            </w:pPr>
            <w:r>
              <w:rPr>
                <w:rFonts w:ascii="Times New Roman" w:cs="Times New Roman" w:eastAsia="Times New Roman" w:hAnsi="Times New Roman"/>
                <w:sz w:val="22"/>
                <w:szCs w:val="22"/>
                <w:b w:val="1"/>
                <w:bCs w:val="1"/>
                <w:color w:val="auto"/>
                <w:w w:val="97"/>
              </w:rPr>
              <w:t>CASS INFORMATION SYSTEMS, INC.</w:t>
            </w:r>
          </w:p>
        </w:tc>
      </w:tr>
      <w:tr>
        <w:trPr>
          <w:trHeight w:val="234"/>
        </w:trPr>
        <w:tc>
          <w:tcPr>
            <w:tcW w:w="9720" w:type="dxa"/>
            <w:vAlign w:val="bottom"/>
            <w:gridSpan w:val="2"/>
          </w:tcPr>
          <w:p>
            <w:pPr>
              <w:jc w:val="center"/>
              <w:ind w:left="138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(State or other jurisdiction of incorporation or</w:t>
            </w:r>
          </w:p>
        </w:tc>
        <w:tc>
          <w:tcPr>
            <w:tcW w:w="4060" w:type="dxa"/>
            <w:vAlign w:val="bottom"/>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660" w:type="dxa"/>
            <w:vAlign w:val="bottom"/>
          </w:tcPr>
          <w:p>
            <w:pPr>
              <w:spacing w:after="0"/>
              <w:rPr>
                <w:sz w:val="20"/>
                <w:szCs w:val="20"/>
                <w:color w:val="auto"/>
              </w:rPr>
            </w:pPr>
            <w:r>
              <w:rPr>
                <w:rFonts w:ascii="Arial" w:cs="Arial" w:eastAsia="Arial" w:hAnsi="Arial"/>
                <w:sz w:val="18"/>
                <w:szCs w:val="18"/>
                <w:color w:val="auto"/>
              </w:rPr>
              <w:t>organization)</w:t>
            </w:r>
          </w:p>
        </w:tc>
        <w:tc>
          <w:tcPr>
            <w:tcW w:w="4060" w:type="dxa"/>
            <w:vAlign w:val="bottom"/>
          </w:tcPr>
          <w:p>
            <w:pPr>
              <w:spacing w:after="0"/>
              <w:rPr>
                <w:sz w:val="20"/>
                <w:szCs w:val="20"/>
                <w:color w:val="auto"/>
              </w:rPr>
            </w:pPr>
          </w:p>
        </w:tc>
      </w:tr>
      <w:tr>
        <w:trPr>
          <w:trHeight w:val="21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4060" w:type="dxa"/>
            <w:vAlign w:val="bottom"/>
          </w:tcPr>
          <w:p>
            <w:pPr>
              <w:spacing w:after="0"/>
              <w:rPr>
                <w:sz w:val="18"/>
                <w:szCs w:val="18"/>
                <w:color w:val="auto"/>
              </w:rPr>
            </w:pPr>
          </w:p>
        </w:tc>
      </w:tr>
      <w:tr>
        <w:trPr>
          <w:trHeight w:val="238"/>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5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(314) 506-5500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Common stock, par value $.50</w:t>
            </w:r>
          </w:p>
        </w:tc>
        <w:tc>
          <w:tcPr>
            <w:tcW w:w="272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color w:val="auto"/>
                <w:w w:val="97"/>
              </w:rPr>
              <w:t>CASS</w:t>
            </w:r>
          </w:p>
        </w:tc>
        <w:tc>
          <w:tcPr>
            <w:tcW w:w="42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86"/>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gridSpan w:val="3"/>
          </w:tcPr>
          <w:p>
            <w:pPr>
              <w:jc w:val="right"/>
              <w:ind w:right="180"/>
              <w:spacing w:after="0"/>
              <w:rPr>
                <w:sz w:val="20"/>
                <w:szCs w:val="20"/>
                <w:color w:val="auto"/>
              </w:rPr>
            </w:pPr>
            <w:r>
              <w:rPr>
                <w:rFonts w:ascii="Arial" w:cs="Arial" w:eastAsia="Arial" w:hAnsi="Arial"/>
                <w:sz w:val="22"/>
                <w:szCs w:val="22"/>
                <w:color w:val="auto"/>
              </w:rPr>
              <w:t>____________________</w:t>
            </w:r>
          </w:p>
        </w:tc>
        <w:tc>
          <w:tcPr>
            <w:tcW w:w="4220" w:type="dxa"/>
            <w:vAlign w:val="bottom"/>
          </w:tcPr>
          <w:p>
            <w:pPr>
              <w:spacing w:after="0"/>
              <w:rPr>
                <w:sz w:val="24"/>
                <w:szCs w:val="24"/>
                <w:color w:val="auto"/>
              </w:rPr>
            </w:pPr>
          </w:p>
        </w:tc>
      </w:tr>
    </w:tbl>
    <w:p>
      <w:pPr>
        <w:spacing w:after="0" w:line="15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6" w:lineRule="exact"/>
        <w:rPr>
          <w:sz w:val="24"/>
          <w:szCs w:val="24"/>
          <w:color w:val="auto"/>
        </w:rPr>
      </w:pPr>
    </w:p>
    <w:p>
      <w:pPr>
        <w:ind w:left="3240"/>
        <w:spacing w:after="0"/>
        <w:tabs>
          <w:tab w:leader="none" w:pos="3720" w:val="left"/>
          <w:tab w:leader="none" w:pos="4680" w:val="left"/>
          <w:tab w:leader="none" w:pos="5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25" w:lineRule="exact"/>
        <w:rPr>
          <w:sz w:val="24"/>
          <w:szCs w:val="24"/>
          <w:color w:val="auto"/>
        </w:rPr>
      </w:pPr>
    </w:p>
    <w:p>
      <w:pPr>
        <w:ind w:left="3240"/>
        <w:spacing w:after="0"/>
        <w:tabs>
          <w:tab w:leader="none" w:pos="3720" w:val="left"/>
          <w:tab w:leader="none" w:pos="4680" w:val="left"/>
          <w:tab w:leader="none" w:pos="5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18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x</w:t>
      </w:r>
    </w:p>
    <w:p>
      <w:pPr>
        <w:spacing w:after="0" w:line="200" w:lineRule="exact"/>
        <w:rPr>
          <w:sz w:val="24"/>
          <w:szCs w:val="24"/>
          <w:color w:val="auto"/>
        </w:rPr>
      </w:pPr>
    </w:p>
    <w:p>
      <w:pPr>
        <w:sectPr>
          <w:pgSz w:w="11900" w:h="16838" w:orient="portrait"/>
          <w:cols w:equalWidth="0" w:num="4">
            <w:col w:w="2840" w:space="640"/>
            <w:col w:w="160" w:space="280"/>
            <w:col w:w="2040" w:space="720"/>
            <w:col w:w="4560"/>
          </w:cols>
          <w:pgMar w:left="320" w:top="225" w:right="339" w:bottom="0" w:gutter="0" w:footer="0" w:header="0"/>
          <w:type w:val="continuous"/>
        </w:sectPr>
      </w:pPr>
    </w:p>
    <w:p>
      <w:pPr>
        <w:spacing w:after="0" w:line="9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980"/>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6">
            <w:col w:w="2760" w:space="720"/>
            <w:col w:w="160" w:space="280"/>
            <w:col w:w="2060" w:space="700"/>
            <w:col w:w="160" w:space="320"/>
            <w:col w:w="2220" w:space="720"/>
            <w:col w:w="1140"/>
          </w:cols>
          <w:pgMar w:left="320" w:top="225" w:right="339" w:bottom="0" w:gutter="0" w:footer="0" w:header="0"/>
          <w:type w:val="continuous"/>
        </w:sectPr>
      </w:pPr>
    </w:p>
    <w:p>
      <w:pPr>
        <w:spacing w:after="0" w:line="9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2"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54" w:lineRule="exact"/>
        <w:rPr>
          <w:sz w:val="24"/>
          <w:szCs w:val="24"/>
          <w:color w:val="auto"/>
        </w:rPr>
      </w:pPr>
    </w:p>
    <w:p>
      <w:pPr>
        <w:ind w:left="3240"/>
        <w:spacing w:after="0" w:line="209" w:lineRule="exact"/>
        <w:tabs>
          <w:tab w:leader="none" w:pos="372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x</w:t>
      </w:r>
    </w:p>
    <w:p>
      <w:pPr>
        <w:spacing w:after="0" w:line="21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April 27, 2023: Common stock, par value $.50 per share – 13,716,492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March 31, 2023 (unaudited) and December 31, 2022</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Three Months Ended March 31,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Three Months Ended March 31, 2023 and 2022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Three Months Ended March 31,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7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Shareholders’ Equity Three Months Ended March 31, 2023 and 2022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6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 – Items 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35</w:t>
      </w:r>
    </w:p>
    <w:p>
      <w:pPr>
        <w:spacing w:after="0" w:line="684" w:lineRule="exact"/>
        <w:rPr>
          <w:sz w:val="20"/>
          <w:szCs w:val="20"/>
          <w:color w:val="auto"/>
        </w:rPr>
      </w:pPr>
    </w:p>
    <w:p>
      <w:pPr>
        <w:sectPr>
          <w:pgSz w:w="11900" w:h="16838" w:orient="portrait"/>
          <w:cols w:equalWidth="0" w:num="2">
            <w:col w:w="10340" w:space="420"/>
            <w:col w:w="480"/>
          </w:cols>
          <w:pgMar w:left="320" w:top="117" w:right="33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2022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B6B6B6"/>
          </w:tcPr>
          <w:p>
            <w:pPr>
              <w:spacing w:after="0"/>
              <w:rPr>
                <w:sz w:val="21"/>
                <w:szCs w:val="21"/>
                <w:color w:val="auto"/>
              </w:rPr>
            </w:pPr>
          </w:p>
        </w:tc>
        <w:tc>
          <w:tcPr>
            <w:tcW w:w="144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20,995</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shd w:val="clear" w:color="auto" w:fill="B6B6B6"/>
          </w:tcPr>
          <w:p>
            <w:pPr>
              <w:spacing w:after="0"/>
              <w:rPr>
                <w:sz w:val="22"/>
                <w:szCs w:val="22"/>
                <w:color w:val="auto"/>
              </w:rPr>
            </w:pP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182,360</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179,947</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210,478</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200,942</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703,037</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754,468</w:t>
            </w: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1,070,373</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1,082,906</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720"/>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Borders>
              <w:bottom w:val="single" w:sz="8" w:color="auto"/>
            </w:tcBorders>
            <w:shd w:val="clear" w:color="auto" w:fill="B6B6B6"/>
          </w:tcPr>
          <w:p>
            <w:pPr>
              <w:spacing w:after="0"/>
              <w:rPr>
                <w:sz w:val="21"/>
                <w:szCs w:val="21"/>
                <w:color w:val="auto"/>
              </w:rPr>
            </w:pP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1,057,119</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1,069,367</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293,775</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19,958</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47,998</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Accounts and drafts receivable from customers</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37,288</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95,779</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69,163</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69,301</w:t>
            </w:r>
          </w:p>
        </w:tc>
      </w:tr>
      <w:tr>
        <w:trPr>
          <w:trHeight w:val="282"/>
        </w:trPr>
        <w:tc>
          <w:tcPr>
            <w:tcW w:w="20" w:type="dxa"/>
            <w:vAlign w:val="bottom"/>
            <w:tcBorders>
              <w:bottom w:val="single" w:sz="8" w:color="B6B6B6"/>
            </w:tcBorders>
            <w:shd w:val="clear" w:color="auto" w:fill="B6B6B6"/>
          </w:tcPr>
          <w:p>
            <w:pPr>
              <w:spacing w:after="0"/>
              <w:rPr>
                <w:sz w:val="24"/>
                <w:szCs w:val="24"/>
                <w:color w:val="auto"/>
              </w:rPr>
            </w:pPr>
          </w:p>
        </w:tc>
        <w:tc>
          <w:tcPr>
            <w:tcW w:w="8040" w:type="dxa"/>
            <w:vAlign w:val="bottom"/>
            <w:tcBorders>
              <w:bottom w:val="single" w:sz="8" w:color="B6B6B6"/>
            </w:tcBorders>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2,427,389</w:t>
            </w:r>
          </w:p>
        </w:tc>
        <w:tc>
          <w:tcPr>
            <w:tcW w:w="100" w:type="dxa"/>
            <w:vAlign w:val="bottom"/>
            <w:tcBorders>
              <w:bottom w:val="single" w:sz="8" w:color="B6B6B6"/>
            </w:tcBorders>
            <w:shd w:val="clear" w:color="auto" w:fill="B6B6B6"/>
          </w:tcPr>
          <w:p>
            <w:pPr>
              <w:spacing w:after="0"/>
              <w:rPr>
                <w:sz w:val="24"/>
                <w:szCs w:val="24"/>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2,573,023</w:t>
            </w:r>
          </w:p>
        </w:tc>
      </w:tr>
      <w:tr>
        <w:trPr>
          <w:trHeight w:val="20"/>
        </w:trPr>
        <w:tc>
          <w:tcPr>
            <w:tcW w:w="2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800" w:type="dxa"/>
            <w:vAlign w:val="bottom"/>
            <w:tcBorders>
              <w:top w:val="single" w:sz="8" w:color="B6B6B6"/>
            </w:tcBorders>
          </w:tcPr>
          <w:p>
            <w:pPr>
              <w:spacing w:after="0" w:line="20" w:lineRule="exact"/>
              <w:rPr>
                <w:sz w:val="1"/>
                <w:szCs w:val="1"/>
                <w:color w:val="auto"/>
              </w:rPr>
            </w:pPr>
          </w:p>
        </w:tc>
        <w:tc>
          <w:tcPr>
            <w:tcW w:w="646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320" w:type="dxa"/>
            <w:vAlign w:val="bottom"/>
            <w:tcBorders>
              <w:top w:val="single" w:sz="8" w:color="B6B6B6"/>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6"/>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6"/>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642,757</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Borders>
              <w:bottom w:val="single" w:sz="8" w:color="auto"/>
            </w:tcBorders>
            <w:shd w:val="clear" w:color="auto" w:fill="B6B6B6"/>
          </w:tcPr>
          <w:p>
            <w:pPr>
              <w:spacing w:after="0"/>
              <w:rPr>
                <w:sz w:val="22"/>
                <w:szCs w:val="22"/>
                <w:color w:val="auto"/>
              </w:rPr>
            </w:pP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530,827</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614,460</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1,116,150</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1,257,217</w:t>
            </w:r>
          </w:p>
        </w:tc>
      </w:tr>
      <w:tr>
        <w:trPr>
          <w:trHeight w:val="256"/>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1,051,435</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1,067,600</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41,881</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B6B6B6"/>
          </w:tcPr>
          <w:p>
            <w:pPr>
              <w:spacing w:after="0"/>
              <w:rPr>
                <w:sz w:val="21"/>
                <w:szCs w:val="21"/>
                <w:color w:val="auto"/>
              </w:rPr>
            </w:pP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2,209,889</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2,366,698</w:t>
            </w: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37"/>
        </w:trPr>
        <w:tc>
          <w:tcPr>
            <w:tcW w:w="20" w:type="dxa"/>
            <w:vAlign w:val="bottom"/>
            <w:tcBorders>
              <w:bottom w:val="single" w:sz="8" w:color="B6B6B6"/>
            </w:tcBorders>
            <w:shd w:val="clear" w:color="auto" w:fill="B6B6B6"/>
          </w:tcPr>
          <w:p>
            <w:pPr>
              <w:spacing w:after="0"/>
              <w:rPr>
                <w:sz w:val="20"/>
                <w:szCs w:val="20"/>
                <w:color w:val="auto"/>
              </w:rPr>
            </w:pPr>
          </w:p>
        </w:tc>
        <w:tc>
          <w:tcPr>
            <w:tcW w:w="1580" w:type="dxa"/>
            <w:vAlign w:val="bottom"/>
            <w:tcBorders>
              <w:bottom w:val="single" w:sz="8" w:color="auto"/>
            </w:tcBorders>
            <w:gridSpan w:val="2"/>
            <w:shd w:val="clear" w:color="auto" w:fill="B6B6B6"/>
          </w:tcPr>
          <w:p>
            <w:pPr>
              <w:spacing w:after="0" w:line="202" w:lineRule="exact"/>
              <w:rPr>
                <w:sz w:val="20"/>
                <w:szCs w:val="20"/>
                <w:color w:val="auto"/>
              </w:rPr>
            </w:pPr>
            <w:r>
              <w:rPr>
                <w:rFonts w:ascii="Times New Roman" w:cs="Times New Roman" w:eastAsia="Times New Roman" w:hAnsi="Times New Roman"/>
                <w:sz w:val="18"/>
                <w:szCs w:val="18"/>
                <w:color w:val="auto"/>
                <w:w w:val="99"/>
              </w:rPr>
              <w:t>Shareholders’ Equity:</w:t>
            </w:r>
          </w:p>
        </w:tc>
        <w:tc>
          <w:tcPr>
            <w:tcW w:w="6460" w:type="dxa"/>
            <w:vAlign w:val="bottom"/>
            <w:tcBorders>
              <w:bottom w:val="single" w:sz="8" w:color="B6B6B6"/>
            </w:tcBorders>
            <w:shd w:val="clear" w:color="auto" w:fill="B6B6B6"/>
          </w:tcPr>
          <w:p>
            <w:pPr>
              <w:spacing w:after="0"/>
              <w:rPr>
                <w:sz w:val="20"/>
                <w:szCs w:val="20"/>
                <w:color w:val="auto"/>
              </w:rPr>
            </w:pPr>
          </w:p>
        </w:tc>
        <w:tc>
          <w:tcPr>
            <w:tcW w:w="160" w:type="dxa"/>
            <w:vAlign w:val="bottom"/>
            <w:tcBorders>
              <w:bottom w:val="single" w:sz="8" w:color="B6B6B6"/>
            </w:tcBorders>
            <w:shd w:val="clear" w:color="auto" w:fill="B6B6B6"/>
          </w:tcPr>
          <w:p>
            <w:pPr>
              <w:spacing w:after="0"/>
              <w:rPr>
                <w:sz w:val="20"/>
                <w:szCs w:val="20"/>
                <w:color w:val="auto"/>
              </w:rPr>
            </w:pPr>
          </w:p>
        </w:tc>
        <w:tc>
          <w:tcPr>
            <w:tcW w:w="1440" w:type="dxa"/>
            <w:vAlign w:val="bottom"/>
            <w:tcBorders>
              <w:bottom w:val="single" w:sz="8" w:color="B6B6B6"/>
            </w:tcBorders>
            <w:shd w:val="clear" w:color="auto" w:fill="B6B6B6"/>
          </w:tcPr>
          <w:p>
            <w:pPr>
              <w:spacing w:after="0"/>
              <w:rPr>
                <w:sz w:val="20"/>
                <w:szCs w:val="20"/>
                <w:color w:val="auto"/>
              </w:rPr>
            </w:pPr>
          </w:p>
        </w:tc>
        <w:tc>
          <w:tcPr>
            <w:tcW w:w="100" w:type="dxa"/>
            <w:vAlign w:val="bottom"/>
            <w:tcBorders>
              <w:bottom w:val="single" w:sz="8" w:color="B6B6B6"/>
            </w:tcBorders>
            <w:shd w:val="clear" w:color="auto" w:fill="B6B6B6"/>
          </w:tcPr>
          <w:p>
            <w:pPr>
              <w:spacing w:after="0"/>
              <w:rPr>
                <w:sz w:val="20"/>
                <w:szCs w:val="20"/>
                <w:color w:val="auto"/>
              </w:rPr>
            </w:pPr>
          </w:p>
        </w:tc>
        <w:tc>
          <w:tcPr>
            <w:tcW w:w="160" w:type="dxa"/>
            <w:vAlign w:val="bottom"/>
            <w:tcBorders>
              <w:bottom w:val="single" w:sz="8" w:color="B6B6B6"/>
            </w:tcBorders>
            <w:shd w:val="clear" w:color="auto" w:fill="B6B6B6"/>
          </w:tcPr>
          <w:p>
            <w:pPr>
              <w:spacing w:after="0"/>
              <w:rPr>
                <w:sz w:val="20"/>
                <w:szCs w:val="20"/>
                <w:color w:val="auto"/>
              </w:rPr>
            </w:pPr>
          </w:p>
        </w:tc>
        <w:tc>
          <w:tcPr>
            <w:tcW w:w="1320" w:type="dxa"/>
            <w:vAlign w:val="bottom"/>
            <w:tcBorders>
              <w:bottom w:val="single" w:sz="8" w:color="B6B6B6"/>
            </w:tcBorders>
            <w:shd w:val="clear" w:color="auto" w:fill="B6B6B6"/>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16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shd w:val="clear" w:color="auto" w:fill="B6B6B6"/>
          </w:tcPr>
          <w:p>
            <w:pPr>
              <w:spacing w:after="0"/>
              <w:rPr>
                <w:sz w:val="18"/>
                <w:szCs w:val="18"/>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w:t>
            </w:r>
          </w:p>
        </w:tc>
        <w:tc>
          <w:tcPr>
            <w:tcW w:w="160" w:type="dxa"/>
            <w:vAlign w:val="bottom"/>
            <w:shd w:val="clear" w:color="auto" w:fill="B6B6B6"/>
          </w:tcPr>
          <w:p>
            <w:pPr>
              <w:spacing w:after="0"/>
              <w:rPr>
                <w:sz w:val="18"/>
                <w:szCs w:val="18"/>
                <w:color w:val="auto"/>
              </w:rPr>
            </w:pPr>
          </w:p>
        </w:tc>
        <w:tc>
          <w:tcPr>
            <w:tcW w:w="14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60" w:type="dxa"/>
            <w:vAlign w:val="bottom"/>
            <w:shd w:val="clear" w:color="auto" w:fill="B6B6B6"/>
          </w:tcPr>
          <w:p>
            <w:pPr>
              <w:spacing w:after="0"/>
              <w:rPr>
                <w:sz w:val="18"/>
                <w:szCs w:val="18"/>
                <w:color w:val="auto"/>
              </w:rPr>
            </w:pPr>
          </w:p>
        </w:tc>
        <w:tc>
          <w:tcPr>
            <w:tcW w:w="1320" w:type="dxa"/>
            <w:vAlign w:val="bottom"/>
            <w:shd w:val="clear" w:color="auto" w:fill="B6B6B6"/>
          </w:tcPr>
          <w:p>
            <w:pPr>
              <w:spacing w:after="0"/>
              <w:rPr>
                <w:sz w:val="18"/>
                <w:szCs w:val="18"/>
                <w:color w:val="auto"/>
              </w:rPr>
            </w:pPr>
          </w:p>
        </w:tc>
      </w:tr>
      <w:tr>
        <w:trPr>
          <w:trHeight w:val="203"/>
        </w:trPr>
        <w:tc>
          <w:tcPr>
            <w:tcW w:w="20" w:type="dxa"/>
            <w:vAlign w:val="bottom"/>
            <w:shd w:val="clear" w:color="auto" w:fill="B6B6B6"/>
          </w:tcPr>
          <w:p>
            <w:pPr>
              <w:spacing w:after="0"/>
              <w:rPr>
                <w:sz w:val="17"/>
                <w:szCs w:val="17"/>
                <w:color w:val="auto"/>
              </w:rPr>
            </w:pPr>
          </w:p>
        </w:tc>
        <w:tc>
          <w:tcPr>
            <w:tcW w:w="8040" w:type="dxa"/>
            <w:vAlign w:val="bottom"/>
            <w:gridSpan w:val="3"/>
            <w:shd w:val="clear" w:color="auto" w:fill="B6B6B6"/>
          </w:tcPr>
          <w:p>
            <w:pPr>
              <w:ind w:left="160"/>
              <w:spacing w:after="0" w:line="202" w:lineRule="exact"/>
              <w:rPr>
                <w:sz w:val="20"/>
                <w:szCs w:val="20"/>
                <w:color w:val="auto"/>
              </w:rPr>
            </w:pPr>
            <w:r>
              <w:rPr>
                <w:rFonts w:ascii="Times New Roman" w:cs="Times New Roman" w:eastAsia="Times New Roman" w:hAnsi="Times New Roman"/>
                <w:sz w:val="18"/>
                <w:szCs w:val="18"/>
                <w:color w:val="auto"/>
              </w:rPr>
              <w:t>March 31, 2023 and December 31, 2022; 13,712,093 and 13,669,656 shares outstanding at March 31, 2023</w:t>
            </w:r>
          </w:p>
        </w:tc>
        <w:tc>
          <w:tcPr>
            <w:tcW w:w="160" w:type="dxa"/>
            <w:vAlign w:val="bottom"/>
            <w:shd w:val="clear" w:color="auto" w:fill="B6B6B6"/>
          </w:tcPr>
          <w:p>
            <w:pPr>
              <w:spacing w:after="0"/>
              <w:rPr>
                <w:sz w:val="17"/>
                <w:szCs w:val="17"/>
                <w:color w:val="auto"/>
              </w:rPr>
            </w:pPr>
          </w:p>
        </w:tc>
        <w:tc>
          <w:tcPr>
            <w:tcW w:w="144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r>
      <w:tr>
        <w:trPr>
          <w:trHeight w:val="261"/>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and December 31, 2022, respectively.</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207,422</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B6B6B6"/>
          </w:tcPr>
          <w:p>
            <w:pPr>
              <w:spacing w:after="0"/>
              <w:rPr>
                <w:sz w:val="22"/>
                <w:szCs w:val="22"/>
                <w:color w:val="auto"/>
              </w:rPr>
            </w:pP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134,822</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131,682</w:t>
            </w:r>
          </w:p>
        </w:tc>
      </w:tr>
      <w:tr>
        <w:trPr>
          <w:trHeight w:val="211"/>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 in treasury, at cost (1,793,679 shares at March 31, 2023 and 1,836,116 shares at December 31,</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1"/>
        </w:trPr>
        <w:tc>
          <w:tcPr>
            <w:tcW w:w="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(81,211)</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B6B6B6"/>
          </w:tcPr>
          <w:p>
            <w:pPr>
              <w:spacing w:after="0"/>
              <w:rPr>
                <w:sz w:val="22"/>
                <w:szCs w:val="22"/>
                <w:color w:val="auto"/>
              </w:rPr>
            </w:pP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(52,270)</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(59,321)</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217,500</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206,325</w:t>
            </w:r>
          </w:p>
        </w:tc>
      </w:tr>
      <w:tr>
        <w:trPr>
          <w:trHeight w:val="281"/>
        </w:trPr>
        <w:tc>
          <w:tcPr>
            <w:tcW w:w="20" w:type="dxa"/>
            <w:vAlign w:val="bottom"/>
            <w:tcBorders>
              <w:bottom w:val="single" w:sz="8" w:color="B6B6B6"/>
            </w:tcBorders>
            <w:shd w:val="clear" w:color="auto" w:fill="B6B6B6"/>
          </w:tcPr>
          <w:p>
            <w:pPr>
              <w:spacing w:after="0"/>
              <w:rPr>
                <w:sz w:val="24"/>
                <w:szCs w:val="24"/>
                <w:color w:val="auto"/>
              </w:rPr>
            </w:pPr>
          </w:p>
        </w:tc>
        <w:tc>
          <w:tcPr>
            <w:tcW w:w="8040" w:type="dxa"/>
            <w:vAlign w:val="bottom"/>
            <w:tcBorders>
              <w:bottom w:val="single" w:sz="8" w:color="B6B6B6"/>
            </w:tcBorders>
            <w:gridSpan w:val="3"/>
            <w:shd w:val="clear" w:color="auto" w:fill="B6B6B6"/>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2,427,389</w:t>
            </w:r>
          </w:p>
        </w:tc>
        <w:tc>
          <w:tcPr>
            <w:tcW w:w="100" w:type="dxa"/>
            <w:vAlign w:val="bottom"/>
            <w:tcBorders>
              <w:bottom w:val="single" w:sz="8" w:color="B6B6B6"/>
            </w:tcBorders>
            <w:shd w:val="clear" w:color="auto" w:fill="B6B6B6"/>
          </w:tcPr>
          <w:p>
            <w:pPr>
              <w:spacing w:after="0"/>
              <w:rPr>
                <w:sz w:val="24"/>
                <w:szCs w:val="24"/>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2,573,023</w:t>
            </w:r>
          </w:p>
        </w:tc>
      </w:tr>
      <w:tr>
        <w:trPr>
          <w:trHeight w:val="20"/>
        </w:trPr>
        <w:tc>
          <w:tcPr>
            <w:tcW w:w="2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800" w:type="dxa"/>
            <w:vAlign w:val="bottom"/>
            <w:tcBorders>
              <w:top w:val="single" w:sz="8" w:color="B6B6B6"/>
            </w:tcBorders>
          </w:tcPr>
          <w:p>
            <w:pPr>
              <w:spacing w:after="0" w:line="20" w:lineRule="exact"/>
              <w:rPr>
                <w:sz w:val="1"/>
                <w:szCs w:val="1"/>
                <w:color w:val="auto"/>
              </w:rPr>
            </w:pPr>
          </w:p>
        </w:tc>
        <w:tc>
          <w:tcPr>
            <w:tcW w:w="646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320" w:type="dxa"/>
            <w:vAlign w:val="bottom"/>
            <w:tcBorders>
              <w:top w:val="single" w:sz="8" w:color="B6B6B6"/>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08"/>
        </w:trPr>
        <w:tc>
          <w:tcPr>
            <w:tcW w:w="1360" w:type="dxa"/>
            <w:vAlign w:val="bottom"/>
            <w:tcBorders>
              <w:top w:val="single" w:sz="8" w:color="0000FF"/>
            </w:tcBorders>
          </w:tcPr>
          <w:p>
            <w:pPr>
              <w:spacing w:after="0"/>
              <w:rPr>
                <w:sz w:val="24"/>
                <w:szCs w:val="24"/>
                <w:color w:val="auto"/>
              </w:rPr>
            </w:pPr>
          </w:p>
        </w:tc>
        <w:tc>
          <w:tcPr>
            <w:tcW w:w="682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1360" w:type="dxa"/>
            <w:vAlign w:val="bottom"/>
          </w:tcPr>
          <w:p>
            <w:pPr>
              <w:spacing w:after="0"/>
              <w:rPr>
                <w:sz w:val="17"/>
                <w:szCs w:val="17"/>
                <w:color w:val="auto"/>
              </w:rPr>
            </w:pPr>
          </w:p>
        </w:tc>
        <w:tc>
          <w:tcPr>
            <w:tcW w:w="654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65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65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rPr>
              <w:t>(Dollars in Thousands except Per Share Data)</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3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360" w:type="dxa"/>
            <w:vAlign w:val="bottom"/>
            <w:tcBorders>
              <w:bottom w:val="single" w:sz="8" w:color="B6B6B6"/>
            </w:tcBorders>
          </w:tcPr>
          <w:p>
            <w:pPr>
              <w:spacing w:after="0"/>
              <w:rPr>
                <w:sz w:val="20"/>
                <w:szCs w:val="20"/>
                <w:color w:val="auto"/>
              </w:rPr>
            </w:pPr>
          </w:p>
        </w:tc>
        <w:tc>
          <w:tcPr>
            <w:tcW w:w="6540" w:type="dxa"/>
            <w:vAlign w:val="bottom"/>
            <w:tcBorders>
              <w:bottom w:val="single" w:sz="8" w:color="B6B6B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r>
      <w:tr>
        <w:trPr>
          <w:trHeight w:val="243"/>
        </w:trPr>
        <w:tc>
          <w:tcPr>
            <w:tcW w:w="1360" w:type="dxa"/>
            <w:vAlign w:val="bottom"/>
            <w:tcBorders>
              <w:bottom w:val="single" w:sz="8" w:color="auto"/>
            </w:tcBorders>
            <w:shd w:val="clear" w:color="auto" w:fill="B6B6B6"/>
          </w:tcPr>
          <w:p>
            <w:pPr>
              <w:spacing w:after="0"/>
              <w:rPr>
                <w:sz w:val="21"/>
                <w:szCs w:val="21"/>
                <w:color w:val="auto"/>
              </w:rPr>
            </w:pPr>
          </w:p>
        </w:tc>
        <w:tc>
          <w:tcPr>
            <w:tcW w:w="6540" w:type="dxa"/>
            <w:vAlign w:val="bottom"/>
            <w:tcBorders>
              <w:bottom w:val="single" w:sz="8" w:color="auto"/>
            </w:tcBorders>
            <w:shd w:val="clear" w:color="auto" w:fill="B6B6B6"/>
          </w:tcPr>
          <w:p>
            <w:pPr>
              <w:spacing w:after="0"/>
              <w:rPr>
                <w:sz w:val="21"/>
                <w:szCs w:val="21"/>
                <w:color w:val="auto"/>
              </w:rPr>
            </w:pPr>
          </w:p>
        </w:tc>
        <w:tc>
          <w:tcPr>
            <w:tcW w:w="280" w:type="dxa"/>
            <w:vAlign w:val="bottom"/>
            <w:tcBorders>
              <w:bottom w:val="single" w:sz="8" w:color="auto"/>
            </w:tcBorders>
            <w:shd w:val="clear" w:color="auto" w:fill="B6B6B6"/>
          </w:tcPr>
          <w:p>
            <w:pPr>
              <w:spacing w:after="0"/>
              <w:rPr>
                <w:sz w:val="21"/>
                <w:szCs w:val="21"/>
                <w:color w:val="auto"/>
              </w:rPr>
            </w:pPr>
          </w:p>
        </w:tc>
        <w:tc>
          <w:tcPr>
            <w:tcW w:w="860" w:type="dxa"/>
            <w:vAlign w:val="bottom"/>
            <w:tcBorders>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shd w:val="clear" w:color="auto" w:fill="B6B6B6"/>
          </w:tcPr>
          <w:p>
            <w:pPr>
              <w:spacing w:after="0"/>
              <w:rPr>
                <w:sz w:val="21"/>
                <w:szCs w:val="21"/>
                <w:color w:val="auto"/>
              </w:rPr>
            </w:pPr>
          </w:p>
        </w:tc>
        <w:tc>
          <w:tcPr>
            <w:tcW w:w="360" w:type="dxa"/>
            <w:vAlign w:val="bottom"/>
            <w:tcBorders>
              <w:bottom w:val="single" w:sz="8" w:color="auto"/>
            </w:tcBorders>
            <w:shd w:val="clear" w:color="auto" w:fill="B6B6B6"/>
          </w:tcPr>
          <w:p>
            <w:pPr>
              <w:spacing w:after="0"/>
              <w:rPr>
                <w:sz w:val="21"/>
                <w:szCs w:val="21"/>
                <w:color w:val="auto"/>
              </w:rPr>
            </w:pPr>
          </w:p>
        </w:tc>
        <w:tc>
          <w:tcPr>
            <w:tcW w:w="780" w:type="dxa"/>
            <w:vAlign w:val="bottom"/>
            <w:tcBorders>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shd w:val="clear" w:color="auto" w:fill="B6B6B6"/>
          </w:tcPr>
          <w:p>
            <w:pPr>
              <w:spacing w:after="0"/>
              <w:rPr>
                <w:sz w:val="21"/>
                <w:szCs w:val="21"/>
                <w:color w:val="auto"/>
              </w:rPr>
            </w:pPr>
          </w:p>
        </w:tc>
      </w:tr>
      <w:tr>
        <w:trPr>
          <w:trHeight w:val="25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100" w:type="dxa"/>
            <w:vAlign w:val="bottom"/>
            <w:shd w:val="clear" w:color="auto" w:fill="B6B6B6"/>
          </w:tcPr>
          <w:p>
            <w:pPr>
              <w:spacing w:after="0"/>
              <w:rPr>
                <w:sz w:val="22"/>
                <w:szCs w:val="22"/>
                <w:color w:val="auto"/>
              </w:rPr>
            </w:pPr>
          </w:p>
        </w:tc>
        <w:tc>
          <w:tcPr>
            <w:tcW w:w="3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19,036</w:t>
            </w:r>
          </w:p>
        </w:tc>
        <w:tc>
          <w:tcPr>
            <w:tcW w:w="100" w:type="dxa"/>
            <w:vAlign w:val="bottom"/>
            <w:shd w:val="clear" w:color="auto" w:fill="B6B6B6"/>
          </w:tcPr>
          <w:p>
            <w:pPr>
              <w:spacing w:after="0"/>
              <w:rPr>
                <w:sz w:val="22"/>
                <w:szCs w:val="22"/>
                <w:color w:val="auto"/>
              </w:rPr>
            </w:pPr>
          </w:p>
        </w:tc>
      </w:tr>
      <w:tr>
        <w:trPr>
          <w:trHeight w:val="25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00" w:type="dxa"/>
            <w:vAlign w:val="bottom"/>
          </w:tcPr>
          <w:p>
            <w:pPr>
              <w:spacing w:after="0"/>
              <w:rPr>
                <w:sz w:val="21"/>
                <w:szCs w:val="21"/>
                <w:color w:val="auto"/>
              </w:rPr>
            </w:pPr>
          </w:p>
        </w:tc>
      </w:tr>
      <w:tr>
        <w:trPr>
          <w:trHeight w:val="257"/>
        </w:trPr>
        <w:tc>
          <w:tcPr>
            <w:tcW w:w="79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B6B6B6"/>
          </w:tcPr>
          <w:p>
            <w:pPr>
              <w:spacing w:after="0"/>
              <w:rPr>
                <w:sz w:val="22"/>
                <w:szCs w:val="22"/>
                <w:color w:val="auto"/>
              </w:rPr>
            </w:pPr>
          </w:p>
        </w:tc>
        <w:tc>
          <w:tcPr>
            <w:tcW w:w="8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B6B6B6"/>
          </w:tcPr>
          <w:p>
            <w:pPr>
              <w:spacing w:after="0"/>
              <w:rPr>
                <w:sz w:val="22"/>
                <w:szCs w:val="22"/>
                <w:color w:val="auto"/>
              </w:rPr>
            </w:pPr>
          </w:p>
        </w:tc>
        <w:tc>
          <w:tcPr>
            <w:tcW w:w="360" w:type="dxa"/>
            <w:vAlign w:val="bottom"/>
            <w:tcBorders>
              <w:bottom w:val="single" w:sz="8" w:color="auto"/>
            </w:tcBorders>
            <w:shd w:val="clear" w:color="auto" w:fill="B6B6B6"/>
          </w:tcPr>
          <w:p>
            <w:pPr>
              <w:spacing w:after="0"/>
              <w:rPr>
                <w:sz w:val="22"/>
                <w:szCs w:val="22"/>
                <w:color w:val="auto"/>
              </w:rPr>
            </w:pPr>
          </w:p>
        </w:tc>
        <w:tc>
          <w:tcPr>
            <w:tcW w:w="7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B6B6B6"/>
          </w:tcPr>
          <w:p>
            <w:pPr>
              <w:spacing w:after="0"/>
              <w:rPr>
                <w:sz w:val="22"/>
                <w:szCs w:val="22"/>
                <w:color w:val="auto"/>
              </w:rPr>
            </w:pPr>
          </w:p>
        </w:tc>
      </w:tr>
      <w:tr>
        <w:trPr>
          <w:trHeight w:val="296"/>
        </w:trPr>
        <w:tc>
          <w:tcPr>
            <w:tcW w:w="7900" w:type="dxa"/>
            <w:vAlign w:val="bottom"/>
            <w:tcBorders>
              <w:bottom w:val="single" w:sz="8" w:color="B6B6B6"/>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32,107</w:t>
            </w:r>
          </w:p>
        </w:tc>
        <w:tc>
          <w:tcPr>
            <w:tcW w:w="100" w:type="dxa"/>
            <w:vAlign w:val="bottom"/>
            <w:tcBorders>
              <w:bottom w:val="single" w:sz="8" w:color="B6B6B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100" w:type="dxa"/>
            <w:vAlign w:val="bottom"/>
            <w:tcBorders>
              <w:bottom w:val="single" w:sz="8" w:color="B6B6B6"/>
            </w:tcBorders>
          </w:tcPr>
          <w:p>
            <w:pPr>
              <w:spacing w:after="0"/>
              <w:rPr>
                <w:sz w:val="24"/>
                <w:szCs w:val="24"/>
                <w:color w:val="auto"/>
              </w:rPr>
            </w:pPr>
          </w:p>
        </w:tc>
      </w:tr>
      <w:tr>
        <w:trPr>
          <w:trHeight w:val="250"/>
        </w:trPr>
        <w:tc>
          <w:tcPr>
            <w:tcW w:w="790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80" w:type="dxa"/>
            <w:vAlign w:val="bottom"/>
            <w:tcBorders>
              <w:top w:val="single" w:sz="8" w:color="B6B6B6"/>
            </w:tcBorders>
          </w:tcPr>
          <w:p>
            <w:pPr>
              <w:spacing w:after="0"/>
              <w:rPr>
                <w:sz w:val="21"/>
                <w:szCs w:val="21"/>
                <w:color w:val="auto"/>
              </w:rPr>
            </w:pPr>
          </w:p>
        </w:tc>
        <w:tc>
          <w:tcPr>
            <w:tcW w:w="86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60" w:type="dxa"/>
            <w:vAlign w:val="bottom"/>
            <w:tcBorders>
              <w:top w:val="single" w:sz="8" w:color="B6B6B6"/>
            </w:tcBorders>
          </w:tcPr>
          <w:p>
            <w:pPr>
              <w:spacing w:after="0"/>
              <w:rPr>
                <w:sz w:val="21"/>
                <w:szCs w:val="21"/>
                <w:color w:val="auto"/>
              </w:rPr>
            </w:pPr>
          </w:p>
        </w:tc>
        <w:tc>
          <w:tcPr>
            <w:tcW w:w="78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r>
      <w:tr>
        <w:trPr>
          <w:trHeight w:val="263"/>
        </w:trPr>
        <w:tc>
          <w:tcPr>
            <w:tcW w:w="79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8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00" w:type="dxa"/>
            <w:vAlign w:val="bottom"/>
            <w:shd w:val="clear" w:color="auto" w:fill="B6B6B6"/>
          </w:tcPr>
          <w:p>
            <w:pPr>
              <w:spacing w:after="0"/>
              <w:rPr>
                <w:sz w:val="22"/>
                <w:szCs w:val="22"/>
                <w:color w:val="auto"/>
              </w:rPr>
            </w:pPr>
          </w:p>
        </w:tc>
      </w:tr>
      <w:tr>
        <w:trPr>
          <w:trHeight w:val="25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00" w:type="dxa"/>
            <w:vAlign w:val="bottom"/>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Taxable</w:t>
            </w:r>
          </w:p>
        </w:tc>
        <w:tc>
          <w:tcPr>
            <w:tcW w:w="28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B6B6B6"/>
          </w:tcPr>
          <w:p>
            <w:pPr>
              <w:spacing w:after="0"/>
              <w:rPr>
                <w:sz w:val="22"/>
                <w:szCs w:val="22"/>
                <w:color w:val="auto"/>
              </w:rPr>
            </w:pPr>
          </w:p>
        </w:tc>
      </w:tr>
      <w:tr>
        <w:trPr>
          <w:trHeight w:val="250"/>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r>
      <w:tr>
        <w:trPr>
          <w:trHeight w:val="257"/>
        </w:trPr>
        <w:tc>
          <w:tcPr>
            <w:tcW w:w="79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280" w:type="dxa"/>
            <w:vAlign w:val="bottom"/>
            <w:tcBorders>
              <w:bottom w:val="single" w:sz="8" w:color="auto"/>
            </w:tcBorders>
            <w:shd w:val="clear" w:color="auto" w:fill="B6B6B6"/>
          </w:tcPr>
          <w:p>
            <w:pPr>
              <w:spacing w:after="0"/>
              <w:rPr>
                <w:sz w:val="22"/>
                <w:szCs w:val="22"/>
                <w:color w:val="auto"/>
              </w:rPr>
            </w:pPr>
          </w:p>
        </w:tc>
        <w:tc>
          <w:tcPr>
            <w:tcW w:w="8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shd w:val="clear" w:color="auto" w:fill="B6B6B6"/>
          </w:tcPr>
          <w:p>
            <w:pPr>
              <w:spacing w:after="0"/>
              <w:rPr>
                <w:sz w:val="22"/>
                <w:szCs w:val="22"/>
                <w:color w:val="auto"/>
              </w:rPr>
            </w:pPr>
          </w:p>
        </w:tc>
        <w:tc>
          <w:tcPr>
            <w:tcW w:w="360" w:type="dxa"/>
            <w:vAlign w:val="bottom"/>
            <w:tcBorders>
              <w:bottom w:val="single" w:sz="8" w:color="auto"/>
            </w:tcBorders>
            <w:shd w:val="clear" w:color="auto" w:fill="B6B6B6"/>
          </w:tcPr>
          <w:p>
            <w:pPr>
              <w:spacing w:after="0"/>
              <w:rPr>
                <w:sz w:val="22"/>
                <w:szCs w:val="22"/>
                <w:color w:val="auto"/>
              </w:rPr>
            </w:pPr>
          </w:p>
        </w:tc>
        <w:tc>
          <w:tcPr>
            <w:tcW w:w="7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B6B6B6"/>
          </w:tcPr>
          <w:p>
            <w:pPr>
              <w:spacing w:after="0"/>
              <w:rPr>
                <w:sz w:val="22"/>
                <w:szCs w:val="22"/>
                <w:color w:val="auto"/>
              </w:rPr>
            </w:pPr>
          </w:p>
        </w:tc>
      </w:tr>
      <w:tr>
        <w:trPr>
          <w:trHeight w:val="295"/>
        </w:trPr>
        <w:tc>
          <w:tcPr>
            <w:tcW w:w="7900" w:type="dxa"/>
            <w:vAlign w:val="bottom"/>
            <w:tcBorders>
              <w:bottom w:val="single" w:sz="8" w:color="B6B6B6"/>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interest income</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20,142</w:t>
            </w:r>
          </w:p>
        </w:tc>
        <w:tc>
          <w:tcPr>
            <w:tcW w:w="100" w:type="dxa"/>
            <w:vAlign w:val="bottom"/>
            <w:tcBorders>
              <w:bottom w:val="single" w:sz="8" w:color="B6B6B6"/>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100" w:type="dxa"/>
            <w:vAlign w:val="bottom"/>
            <w:tcBorders>
              <w:bottom w:val="single" w:sz="8" w:color="B6B6B6"/>
            </w:tcBorders>
          </w:tcPr>
          <w:p>
            <w:pPr>
              <w:spacing w:after="0"/>
              <w:rPr>
                <w:sz w:val="24"/>
                <w:szCs w:val="24"/>
                <w:color w:val="auto"/>
              </w:rPr>
            </w:pPr>
          </w:p>
        </w:tc>
      </w:tr>
      <w:tr>
        <w:trPr>
          <w:trHeight w:val="250"/>
        </w:trPr>
        <w:tc>
          <w:tcPr>
            <w:tcW w:w="790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Borders>
              <w:top w:val="single" w:sz="8" w:color="B6B6B6"/>
            </w:tcBorders>
          </w:tcPr>
          <w:p>
            <w:pPr>
              <w:spacing w:after="0"/>
              <w:rPr>
                <w:sz w:val="21"/>
                <w:szCs w:val="21"/>
                <w:color w:val="auto"/>
              </w:rPr>
            </w:pPr>
          </w:p>
        </w:tc>
        <w:tc>
          <w:tcPr>
            <w:tcW w:w="86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60" w:type="dxa"/>
            <w:vAlign w:val="bottom"/>
            <w:tcBorders>
              <w:top w:val="single" w:sz="8" w:color="B6B6B6"/>
            </w:tcBorders>
          </w:tcPr>
          <w:p>
            <w:pPr>
              <w:spacing w:after="0"/>
              <w:rPr>
                <w:sz w:val="21"/>
                <w:szCs w:val="21"/>
                <w:color w:val="auto"/>
              </w:rPr>
            </w:pPr>
          </w:p>
        </w:tc>
        <w:tc>
          <w:tcPr>
            <w:tcW w:w="78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r>
      <w:tr>
        <w:trPr>
          <w:trHeight w:val="263"/>
        </w:trPr>
        <w:tc>
          <w:tcPr>
            <w:tcW w:w="79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on deposits</w:t>
            </w:r>
          </w:p>
        </w:tc>
        <w:tc>
          <w:tcPr>
            <w:tcW w:w="28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B6B6B6"/>
          </w:tcPr>
          <w:p>
            <w:pPr>
              <w:spacing w:after="0"/>
              <w:rPr>
                <w:sz w:val="22"/>
                <w:szCs w:val="22"/>
                <w:color w:val="auto"/>
              </w:rPr>
            </w:pPr>
          </w:p>
        </w:tc>
      </w:tr>
      <w:tr>
        <w:trPr>
          <w:trHeight w:val="25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on short-term borrowings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00" w:type="dxa"/>
            <w:vAlign w:val="bottom"/>
            <w:tcBorders>
              <w:top w:val="single" w:sz="8" w:color="B6B6B6"/>
            </w:tcBorders>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top w:val="single" w:sz="8" w:color="auto"/>
              <w:bottom w:val="single" w:sz="8" w:color="auto"/>
            </w:tcBorders>
            <w:shd w:val="clear" w:color="auto" w:fill="B6B6B6"/>
          </w:tcPr>
          <w:p>
            <w:pPr>
              <w:spacing w:after="0"/>
              <w:rPr>
                <w:sz w:val="21"/>
                <w:szCs w:val="21"/>
                <w:color w:val="auto"/>
              </w:rPr>
            </w:pPr>
          </w:p>
        </w:tc>
        <w:tc>
          <w:tcPr>
            <w:tcW w:w="86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top w:val="single" w:sz="8" w:color="B6B6B6"/>
            </w:tcBorders>
            <w:shd w:val="clear" w:color="auto" w:fill="B6B6B6"/>
          </w:tcPr>
          <w:p>
            <w:pPr>
              <w:spacing w:after="0"/>
              <w:rPr>
                <w:sz w:val="21"/>
                <w:szCs w:val="21"/>
                <w:color w:val="auto"/>
              </w:rPr>
            </w:pPr>
          </w:p>
        </w:tc>
        <w:tc>
          <w:tcPr>
            <w:tcW w:w="360" w:type="dxa"/>
            <w:vAlign w:val="bottom"/>
            <w:tcBorders>
              <w:top w:val="single" w:sz="8" w:color="auto"/>
              <w:bottom w:val="single" w:sz="8" w:color="auto"/>
            </w:tcBorders>
            <w:shd w:val="clear" w:color="auto" w:fill="B6B6B6"/>
          </w:tcPr>
          <w:p>
            <w:pPr>
              <w:spacing w:after="0"/>
              <w:rPr>
                <w:sz w:val="21"/>
                <w:szCs w:val="21"/>
                <w:color w:val="auto"/>
              </w:rPr>
            </w:pPr>
          </w:p>
        </w:tc>
        <w:tc>
          <w:tcPr>
            <w:tcW w:w="78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top w:val="single" w:sz="8" w:color="B6B6B6"/>
            </w:tcBorders>
            <w:shd w:val="clear" w:color="auto" w:fill="B6B6B6"/>
          </w:tcPr>
          <w:p>
            <w:pPr>
              <w:spacing w:after="0"/>
              <w:rPr>
                <w:sz w:val="21"/>
                <w:szCs w:val="21"/>
                <w:color w:val="auto"/>
              </w:rPr>
            </w:pPr>
          </w:p>
        </w:tc>
      </w:tr>
      <w:tr>
        <w:trPr>
          <w:trHeight w:val="250"/>
        </w:trPr>
        <w:tc>
          <w:tcPr>
            <w:tcW w:w="7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interest income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100" w:type="dxa"/>
            <w:vAlign w:val="bottom"/>
          </w:tcPr>
          <w:p>
            <w:pPr>
              <w:spacing w:after="0"/>
              <w:rPr>
                <w:sz w:val="21"/>
                <w:szCs w:val="21"/>
                <w:color w:val="auto"/>
              </w:rPr>
            </w:pPr>
          </w:p>
        </w:tc>
      </w:tr>
      <w:tr>
        <w:trPr>
          <w:trHeight w:val="257"/>
        </w:trPr>
        <w:tc>
          <w:tcPr>
            <w:tcW w:w="7900" w:type="dxa"/>
            <w:vAlign w:val="bottom"/>
            <w:gridSpan w:val="2"/>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280" w:type="dxa"/>
            <w:vAlign w:val="bottom"/>
            <w:tcBorders>
              <w:bottom w:val="single" w:sz="8" w:color="auto"/>
            </w:tcBorders>
            <w:shd w:val="clear" w:color="auto" w:fill="B6B6B6"/>
          </w:tcPr>
          <w:p>
            <w:pPr>
              <w:spacing w:after="0"/>
              <w:rPr>
                <w:sz w:val="22"/>
                <w:szCs w:val="22"/>
                <w:color w:val="auto"/>
              </w:rPr>
            </w:pPr>
          </w:p>
        </w:tc>
        <w:tc>
          <w:tcPr>
            <w:tcW w:w="8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B6B6B6"/>
          </w:tcPr>
          <w:p>
            <w:pPr>
              <w:spacing w:after="0"/>
              <w:rPr>
                <w:sz w:val="22"/>
                <w:szCs w:val="22"/>
                <w:color w:val="auto"/>
              </w:rPr>
            </w:pPr>
          </w:p>
        </w:tc>
        <w:tc>
          <w:tcPr>
            <w:tcW w:w="360" w:type="dxa"/>
            <w:vAlign w:val="bottom"/>
            <w:tcBorders>
              <w:bottom w:val="single" w:sz="8" w:color="auto"/>
            </w:tcBorders>
            <w:shd w:val="clear" w:color="auto" w:fill="B6B6B6"/>
          </w:tcPr>
          <w:p>
            <w:pPr>
              <w:spacing w:after="0"/>
              <w:rPr>
                <w:sz w:val="22"/>
                <w:szCs w:val="22"/>
                <w:color w:val="auto"/>
              </w:rPr>
            </w:pPr>
          </w:p>
        </w:tc>
        <w:tc>
          <w:tcPr>
            <w:tcW w:w="7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B6B6B6"/>
          </w:tcPr>
          <w:p>
            <w:pPr>
              <w:spacing w:after="0"/>
              <w:rPr>
                <w:sz w:val="22"/>
                <w:szCs w:val="22"/>
                <w:color w:val="auto"/>
              </w:rPr>
            </w:pPr>
          </w:p>
        </w:tc>
      </w:tr>
      <w:tr>
        <w:trPr>
          <w:trHeight w:val="250"/>
        </w:trPr>
        <w:tc>
          <w:tcPr>
            <w:tcW w:w="79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interest income after (release of) provision for credit losses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100" w:type="dxa"/>
            <w:vAlign w:val="bottom"/>
            <w:tcBorders>
              <w:bottom w:val="single" w:sz="8" w:color="B6B6B6"/>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100" w:type="dxa"/>
            <w:vAlign w:val="bottom"/>
            <w:tcBorders>
              <w:bottom w:val="single" w:sz="8" w:color="B6B6B6"/>
            </w:tcBorders>
          </w:tcPr>
          <w:p>
            <w:pPr>
              <w:spacing w:after="0"/>
              <w:rPr>
                <w:sz w:val="21"/>
                <w:szCs w:val="21"/>
                <w:color w:val="auto"/>
              </w:rPr>
            </w:pPr>
          </w:p>
        </w:tc>
      </w:tr>
      <w:tr>
        <w:trPr>
          <w:trHeight w:val="257"/>
        </w:trPr>
        <w:tc>
          <w:tcPr>
            <w:tcW w:w="7900" w:type="dxa"/>
            <w:vAlign w:val="bottom"/>
            <w:gridSpan w:val="2"/>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49,345</w:t>
            </w:r>
          </w:p>
        </w:tc>
        <w:tc>
          <w:tcPr>
            <w:tcW w:w="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42,103</w:t>
            </w:r>
          </w:p>
        </w:tc>
        <w:tc>
          <w:tcPr>
            <w:tcW w:w="100" w:type="dxa"/>
            <w:vAlign w:val="bottom"/>
            <w:shd w:val="clear" w:color="auto" w:fill="B6B6B6"/>
          </w:tcPr>
          <w:p>
            <w:pPr>
              <w:spacing w:after="0"/>
              <w:rPr>
                <w:sz w:val="22"/>
                <w:szCs w:val="22"/>
                <w:color w:val="auto"/>
              </w:rPr>
            </w:pPr>
          </w:p>
        </w:tc>
      </w:tr>
      <w:tr>
        <w:trPr>
          <w:trHeight w:val="54"/>
        </w:trPr>
        <w:tc>
          <w:tcPr>
            <w:tcW w:w="790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79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80" w:type="dxa"/>
            <w:vAlign w:val="bottom"/>
            <w:shd w:val="clear" w:color="auto" w:fill="B6B6B6"/>
          </w:tcPr>
          <w:p>
            <w:pPr>
              <w:spacing w:after="0"/>
              <w:rPr>
                <w:sz w:val="22"/>
                <w:szCs w:val="22"/>
                <w:color w:val="auto"/>
              </w:rPr>
            </w:pPr>
          </w:p>
        </w:tc>
        <w:tc>
          <w:tcPr>
            <w:tcW w:w="8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78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r>
      <w:tr>
        <w:trPr>
          <w:trHeight w:val="25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100" w:type="dxa"/>
            <w:vAlign w:val="bottom"/>
          </w:tcPr>
          <w:p>
            <w:pPr>
              <w:spacing w:after="0"/>
              <w:rPr>
                <w:sz w:val="21"/>
                <w:szCs w:val="21"/>
                <w:color w:val="auto"/>
              </w:rPr>
            </w:pPr>
          </w:p>
        </w:tc>
      </w:tr>
      <w:tr>
        <w:trPr>
          <w:trHeight w:val="263"/>
        </w:trPr>
        <w:tc>
          <w:tcPr>
            <w:tcW w:w="79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B6B6B6"/>
          </w:tcPr>
          <w:p>
            <w:pPr>
              <w:spacing w:after="0"/>
              <w:rPr>
                <w:sz w:val="22"/>
                <w:szCs w:val="22"/>
                <w:color w:val="auto"/>
              </w:rPr>
            </w:pPr>
          </w:p>
        </w:tc>
      </w:tr>
      <w:tr>
        <w:trPr>
          <w:trHeight w:val="25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21"/>
                <w:szCs w:val="21"/>
                <w:color w:val="auto"/>
              </w:rPr>
            </w:pPr>
          </w:p>
        </w:tc>
      </w:tr>
      <w:tr>
        <w:trPr>
          <w:trHeight w:val="263"/>
        </w:trPr>
        <w:tc>
          <w:tcPr>
            <w:tcW w:w="79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B6B6B6"/>
          </w:tcPr>
          <w:p>
            <w:pPr>
              <w:spacing w:after="0"/>
              <w:rPr>
                <w:sz w:val="22"/>
                <w:szCs w:val="22"/>
                <w:color w:val="auto"/>
              </w:rPr>
            </w:pPr>
          </w:p>
        </w:tc>
      </w:tr>
      <w:tr>
        <w:trPr>
          <w:trHeight w:val="250"/>
        </w:trPr>
        <w:tc>
          <w:tcPr>
            <w:tcW w:w="79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Borders>
              <w:bottom w:val="single" w:sz="8" w:color="B6B6B6"/>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Borders>
              <w:bottom w:val="single" w:sz="8" w:color="B6B6B6"/>
            </w:tcBorders>
          </w:tcPr>
          <w:p>
            <w:pPr>
              <w:spacing w:after="0"/>
              <w:rPr>
                <w:sz w:val="21"/>
                <w:szCs w:val="21"/>
                <w:color w:val="auto"/>
              </w:rPr>
            </w:pPr>
          </w:p>
        </w:tc>
      </w:tr>
      <w:tr>
        <w:trPr>
          <w:trHeight w:val="250"/>
        </w:trPr>
        <w:tc>
          <w:tcPr>
            <w:tcW w:w="7900" w:type="dxa"/>
            <w:vAlign w:val="bottom"/>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280" w:type="dxa"/>
            <w:vAlign w:val="bottom"/>
            <w:tcBorders>
              <w:bottom w:val="single" w:sz="8" w:color="auto"/>
            </w:tcBorders>
            <w:shd w:val="clear" w:color="auto" w:fill="B6B6B6"/>
          </w:tcPr>
          <w:p>
            <w:pPr>
              <w:spacing w:after="0"/>
              <w:rPr>
                <w:sz w:val="21"/>
                <w:szCs w:val="21"/>
                <w:color w:val="auto"/>
              </w:rPr>
            </w:pPr>
          </w:p>
        </w:tc>
        <w:tc>
          <w:tcPr>
            <w:tcW w:w="8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40,372</w:t>
            </w:r>
          </w:p>
        </w:tc>
        <w:tc>
          <w:tcPr>
            <w:tcW w:w="100" w:type="dxa"/>
            <w:vAlign w:val="bottom"/>
            <w:shd w:val="clear" w:color="auto" w:fill="B6B6B6"/>
          </w:tcPr>
          <w:p>
            <w:pPr>
              <w:spacing w:after="0"/>
              <w:rPr>
                <w:sz w:val="21"/>
                <w:szCs w:val="21"/>
                <w:color w:val="auto"/>
              </w:rPr>
            </w:pPr>
          </w:p>
        </w:tc>
        <w:tc>
          <w:tcPr>
            <w:tcW w:w="360" w:type="dxa"/>
            <w:vAlign w:val="bottom"/>
            <w:tcBorders>
              <w:bottom w:val="single" w:sz="8" w:color="auto"/>
            </w:tcBorders>
            <w:shd w:val="clear" w:color="auto" w:fill="B6B6B6"/>
          </w:tcPr>
          <w:p>
            <w:pPr>
              <w:spacing w:after="0"/>
              <w:rPr>
                <w:sz w:val="21"/>
                <w:szCs w:val="21"/>
                <w:color w:val="auto"/>
              </w:rPr>
            </w:pPr>
          </w:p>
        </w:tc>
        <w:tc>
          <w:tcPr>
            <w:tcW w:w="7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00" w:type="dxa"/>
            <w:vAlign w:val="bottom"/>
            <w:shd w:val="clear" w:color="auto" w:fill="B6B6B6"/>
          </w:tcPr>
          <w:p>
            <w:pPr>
              <w:spacing w:after="0"/>
              <w:rPr>
                <w:sz w:val="21"/>
                <w:szCs w:val="21"/>
                <w:color w:val="auto"/>
              </w:rPr>
            </w:pPr>
          </w:p>
        </w:tc>
      </w:tr>
      <w:tr>
        <w:trPr>
          <w:trHeight w:val="250"/>
        </w:trPr>
        <w:tc>
          <w:tcPr>
            <w:tcW w:w="7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100" w:type="dxa"/>
            <w:vAlign w:val="bottom"/>
          </w:tcPr>
          <w:p>
            <w:pPr>
              <w:spacing w:after="0"/>
              <w:rPr>
                <w:sz w:val="21"/>
                <w:szCs w:val="21"/>
                <w:color w:val="auto"/>
              </w:rPr>
            </w:pPr>
          </w:p>
        </w:tc>
      </w:tr>
      <w:tr>
        <w:trPr>
          <w:trHeight w:val="257"/>
        </w:trPr>
        <w:tc>
          <w:tcPr>
            <w:tcW w:w="79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B6B6B6"/>
          </w:tcPr>
          <w:p>
            <w:pPr>
              <w:spacing w:after="0"/>
              <w:rPr>
                <w:sz w:val="22"/>
                <w:szCs w:val="22"/>
                <w:color w:val="auto"/>
              </w:rPr>
            </w:pPr>
          </w:p>
        </w:tc>
        <w:tc>
          <w:tcPr>
            <w:tcW w:w="8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B6B6B6"/>
          </w:tcPr>
          <w:p>
            <w:pPr>
              <w:spacing w:after="0"/>
              <w:rPr>
                <w:sz w:val="22"/>
                <w:szCs w:val="22"/>
                <w:color w:val="auto"/>
              </w:rPr>
            </w:pPr>
          </w:p>
        </w:tc>
        <w:tc>
          <w:tcPr>
            <w:tcW w:w="360" w:type="dxa"/>
            <w:vAlign w:val="bottom"/>
            <w:tcBorders>
              <w:bottom w:val="single" w:sz="8" w:color="auto"/>
            </w:tcBorders>
            <w:shd w:val="clear" w:color="auto" w:fill="B6B6B6"/>
          </w:tcPr>
          <w:p>
            <w:pPr>
              <w:spacing w:after="0"/>
              <w:rPr>
                <w:sz w:val="22"/>
                <w:szCs w:val="22"/>
                <w:color w:val="auto"/>
              </w:rPr>
            </w:pPr>
          </w:p>
        </w:tc>
        <w:tc>
          <w:tcPr>
            <w:tcW w:w="7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B6B6B6"/>
          </w:tcPr>
          <w:p>
            <w:pPr>
              <w:spacing w:after="0"/>
              <w:rPr>
                <w:sz w:val="22"/>
                <w:szCs w:val="22"/>
                <w:color w:val="auto"/>
              </w:rPr>
            </w:pPr>
          </w:p>
        </w:tc>
      </w:tr>
      <w:tr>
        <w:trPr>
          <w:trHeight w:val="257"/>
        </w:trPr>
        <w:tc>
          <w:tcPr>
            <w:tcW w:w="7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tcPr>
          <w:p>
            <w:pPr>
              <w:spacing w:after="0"/>
              <w:rPr>
                <w:sz w:val="22"/>
                <w:szCs w:val="22"/>
                <w:color w:val="auto"/>
              </w:rPr>
            </w:pPr>
          </w:p>
        </w:tc>
      </w:tr>
      <w:tr>
        <w:trPr>
          <w:trHeight w:val="46"/>
        </w:trPr>
        <w:tc>
          <w:tcPr>
            <w:tcW w:w="1360" w:type="dxa"/>
            <w:vAlign w:val="bottom"/>
            <w:tcBorders>
              <w:bottom w:val="single" w:sz="8" w:color="B6B6B6"/>
            </w:tcBorders>
          </w:tcPr>
          <w:p>
            <w:pPr>
              <w:spacing w:after="0"/>
              <w:rPr>
                <w:sz w:val="3"/>
                <w:szCs w:val="3"/>
                <w:color w:val="auto"/>
              </w:rPr>
            </w:pPr>
          </w:p>
        </w:tc>
        <w:tc>
          <w:tcPr>
            <w:tcW w:w="6540" w:type="dxa"/>
            <w:vAlign w:val="bottom"/>
            <w:tcBorders>
              <w:bottom w:val="single" w:sz="8" w:color="B6B6B6"/>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B6B6B6"/>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B6B6B6"/>
            </w:tcBorders>
          </w:tcPr>
          <w:p>
            <w:pPr>
              <w:spacing w:after="0"/>
              <w:rPr>
                <w:sz w:val="3"/>
                <w:szCs w:val="3"/>
                <w:color w:val="auto"/>
              </w:rPr>
            </w:pPr>
          </w:p>
        </w:tc>
      </w:tr>
      <w:tr>
        <w:trPr>
          <w:trHeight w:val="250"/>
        </w:trPr>
        <w:tc>
          <w:tcPr>
            <w:tcW w:w="790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top w:val="single" w:sz="8" w:color="B6B6B6"/>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B6B6B6"/>
            </w:tcBorders>
          </w:tcPr>
          <w:p>
            <w:pPr>
              <w:spacing w:after="0"/>
              <w:rPr>
                <w:sz w:val="21"/>
                <w:szCs w:val="21"/>
                <w:color w:val="auto"/>
              </w:rPr>
            </w:pPr>
          </w:p>
        </w:tc>
        <w:tc>
          <w:tcPr>
            <w:tcW w:w="360" w:type="dxa"/>
            <w:vAlign w:val="bottom"/>
            <w:tcBorders>
              <w:top w:val="single" w:sz="8" w:color="B6B6B6"/>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B6B6B6"/>
            </w:tcBorders>
          </w:tcPr>
          <w:p>
            <w:pPr>
              <w:spacing w:after="0"/>
              <w:rPr>
                <w:sz w:val="21"/>
                <w:szCs w:val="21"/>
                <w:color w:val="auto"/>
              </w:rPr>
            </w:pPr>
          </w:p>
        </w:tc>
      </w:tr>
      <w:tr>
        <w:trPr>
          <w:trHeight w:val="263"/>
        </w:trPr>
        <w:tc>
          <w:tcPr>
            <w:tcW w:w="79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B6B6B6"/>
          </w:tcPr>
          <w:p>
            <w:pPr>
              <w:spacing w:after="0"/>
              <w:rPr>
                <w:sz w:val="22"/>
                <w:szCs w:val="2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08" w:right="11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9"/>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(Unaudited)</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18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6"/>
        </w:trPr>
        <w:tc>
          <w:tcPr>
            <w:tcW w:w="4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63"/>
        </w:trPr>
        <w:tc>
          <w:tcPr>
            <w:tcW w:w="4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shd w:val="clear" w:color="auto" w:fill="B6B6B6"/>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80" w:type="dxa"/>
            <w:vAlign w:val="bottom"/>
            <w:shd w:val="clear" w:color="auto" w:fill="B6B6B6"/>
          </w:tcPr>
          <w:p>
            <w:pPr>
              <w:spacing w:after="0"/>
              <w:rPr>
                <w:sz w:val="22"/>
                <w:szCs w:val="22"/>
                <w:color w:val="auto"/>
              </w:rPr>
            </w:pPr>
          </w:p>
        </w:tc>
        <w:tc>
          <w:tcPr>
            <w:tcW w:w="46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shd w:val="clear" w:color="auto" w:fill="B6B6B6"/>
          </w:tcPr>
          <w:p>
            <w:pPr>
              <w:spacing w:after="0"/>
              <w:rPr>
                <w:sz w:val="22"/>
                <w:szCs w:val="22"/>
                <w:color w:val="auto"/>
              </w:rPr>
            </w:pPr>
          </w:p>
        </w:tc>
        <w:tc>
          <w:tcPr>
            <w:tcW w:w="140" w:type="dxa"/>
            <w:vAlign w:val="bottom"/>
          </w:tcPr>
          <w:p>
            <w:pPr>
              <w:spacing w:after="0"/>
              <w:rPr>
                <w:sz w:val="22"/>
                <w:szCs w:val="22"/>
                <w:color w:val="auto"/>
              </w:rPr>
            </w:pPr>
          </w:p>
        </w:tc>
      </w:tr>
      <w:tr>
        <w:trPr>
          <w:trHeight w:val="25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7"/>
        </w:trPr>
        <w:tc>
          <w:tcPr>
            <w:tcW w:w="47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Net unrealized gain (loss) on securities available-for-sale</w:t>
            </w:r>
          </w:p>
        </w:tc>
        <w:tc>
          <w:tcPr>
            <w:tcW w:w="280" w:type="dxa"/>
            <w:vAlign w:val="bottom"/>
            <w:shd w:val="clear" w:color="auto" w:fill="B6B6B6"/>
          </w:tcPr>
          <w:p>
            <w:pPr>
              <w:spacing w:after="0"/>
              <w:rPr>
                <w:sz w:val="24"/>
                <w:szCs w:val="24"/>
                <w:color w:val="auto"/>
              </w:rPr>
            </w:pPr>
          </w:p>
        </w:tc>
        <w:tc>
          <w:tcPr>
            <w:tcW w:w="140" w:type="dxa"/>
            <w:vAlign w:val="bottom"/>
            <w:shd w:val="clear" w:color="auto" w:fill="B6B6B6"/>
          </w:tcPr>
          <w:p>
            <w:pPr>
              <w:spacing w:after="0"/>
              <w:rPr>
                <w:sz w:val="24"/>
                <w:szCs w:val="24"/>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80" w:type="dxa"/>
            <w:vAlign w:val="bottom"/>
            <w:shd w:val="clear" w:color="auto" w:fill="B6B6B6"/>
          </w:tcPr>
          <w:p>
            <w:pPr>
              <w:spacing w:after="0"/>
              <w:rPr>
                <w:sz w:val="24"/>
                <w:szCs w:val="24"/>
                <w:color w:val="auto"/>
              </w:rPr>
            </w:pPr>
          </w:p>
        </w:tc>
        <w:tc>
          <w:tcPr>
            <w:tcW w:w="460" w:type="dxa"/>
            <w:vAlign w:val="bottom"/>
            <w:shd w:val="clear" w:color="auto" w:fill="B6B6B6"/>
          </w:tcPr>
          <w:p>
            <w:pPr>
              <w:spacing w:after="0"/>
              <w:rPr>
                <w:sz w:val="24"/>
                <w:szCs w:val="24"/>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(37,499)</w:t>
            </w:r>
          </w:p>
        </w:tc>
        <w:tc>
          <w:tcPr>
            <w:tcW w:w="100" w:type="dxa"/>
            <w:vAlign w:val="bottom"/>
            <w:shd w:val="clear" w:color="auto" w:fill="B6B6B6"/>
          </w:tcPr>
          <w:p>
            <w:pPr>
              <w:spacing w:after="0"/>
              <w:rPr>
                <w:sz w:val="24"/>
                <w:szCs w:val="24"/>
                <w:color w:val="auto"/>
              </w:rPr>
            </w:pPr>
          </w:p>
        </w:tc>
        <w:tc>
          <w:tcPr>
            <w:tcW w:w="140" w:type="dxa"/>
            <w:vAlign w:val="bottom"/>
          </w:tcPr>
          <w:p>
            <w:pPr>
              <w:spacing w:after="0"/>
              <w:rPr>
                <w:sz w:val="24"/>
                <w:szCs w:val="24"/>
                <w:color w:val="auto"/>
              </w:rPr>
            </w:pPr>
          </w:p>
        </w:tc>
      </w:tr>
      <w:tr>
        <w:trPr>
          <w:trHeight w:val="250"/>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7"/>
        </w:trPr>
        <w:tc>
          <w:tcPr>
            <w:tcW w:w="47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Reclassification adjustments for gains included in net income</w:t>
            </w:r>
          </w:p>
        </w:tc>
        <w:tc>
          <w:tcPr>
            <w:tcW w:w="280" w:type="dxa"/>
            <w:vAlign w:val="bottom"/>
            <w:shd w:val="clear" w:color="auto" w:fill="B6B6B6"/>
          </w:tcPr>
          <w:p>
            <w:pPr>
              <w:spacing w:after="0"/>
              <w:rPr>
                <w:sz w:val="24"/>
                <w:szCs w:val="24"/>
                <w:color w:val="auto"/>
              </w:rPr>
            </w:pPr>
          </w:p>
        </w:tc>
        <w:tc>
          <w:tcPr>
            <w:tcW w:w="140" w:type="dxa"/>
            <w:vAlign w:val="bottom"/>
            <w:shd w:val="clear" w:color="auto" w:fill="B6B6B6"/>
          </w:tcPr>
          <w:p>
            <w:pPr>
              <w:spacing w:after="0"/>
              <w:rPr>
                <w:sz w:val="24"/>
                <w:szCs w:val="24"/>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B6B6B6"/>
          </w:tcPr>
          <w:p>
            <w:pPr>
              <w:spacing w:after="0"/>
              <w:rPr>
                <w:sz w:val="24"/>
                <w:szCs w:val="24"/>
                <w:color w:val="auto"/>
              </w:rPr>
            </w:pPr>
          </w:p>
        </w:tc>
        <w:tc>
          <w:tcPr>
            <w:tcW w:w="460" w:type="dxa"/>
            <w:vAlign w:val="bottom"/>
            <w:shd w:val="clear" w:color="auto" w:fill="B6B6B6"/>
          </w:tcPr>
          <w:p>
            <w:pPr>
              <w:spacing w:after="0"/>
              <w:rPr>
                <w:sz w:val="24"/>
                <w:szCs w:val="24"/>
                <w:color w:val="auto"/>
              </w:rPr>
            </w:pPr>
          </w:p>
        </w:tc>
        <w:tc>
          <w:tcPr>
            <w:tcW w:w="114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r>
      <w:tr>
        <w:trPr>
          <w:trHeight w:val="250"/>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B6B6B6"/>
          </w:tcPr>
          <w:p>
            <w:pPr>
              <w:spacing w:after="0"/>
              <w:rPr>
                <w:sz w:val="23"/>
                <w:szCs w:val="23"/>
                <w:color w:val="auto"/>
              </w:rPr>
            </w:pPr>
          </w:p>
        </w:tc>
        <w:tc>
          <w:tcPr>
            <w:tcW w:w="140" w:type="dxa"/>
            <w:vAlign w:val="bottom"/>
            <w:tcBorders>
              <w:bottom w:val="single" w:sz="8" w:color="auto"/>
            </w:tcBorders>
            <w:shd w:val="clear" w:color="auto" w:fill="B6B6B6"/>
          </w:tcPr>
          <w:p>
            <w:pPr>
              <w:spacing w:after="0"/>
              <w:rPr>
                <w:sz w:val="23"/>
                <w:szCs w:val="23"/>
                <w:color w:val="auto"/>
              </w:rPr>
            </w:pP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B6B6B6"/>
          </w:tcPr>
          <w:p>
            <w:pPr>
              <w:spacing w:after="0"/>
              <w:rPr>
                <w:sz w:val="23"/>
                <w:szCs w:val="23"/>
                <w:color w:val="auto"/>
              </w:rPr>
            </w:pPr>
          </w:p>
        </w:tc>
        <w:tc>
          <w:tcPr>
            <w:tcW w:w="460" w:type="dxa"/>
            <w:vAlign w:val="bottom"/>
            <w:tcBorders>
              <w:bottom w:val="single" w:sz="8" w:color="auto"/>
            </w:tcBorders>
            <w:shd w:val="clear" w:color="auto" w:fill="B6B6B6"/>
          </w:tcPr>
          <w:p>
            <w:pPr>
              <w:spacing w:after="0"/>
              <w:rPr>
                <w:sz w:val="23"/>
                <w:szCs w:val="23"/>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B6B6B6"/>
          </w:tcPr>
          <w:p>
            <w:pPr>
              <w:spacing w:after="0"/>
              <w:rPr>
                <w:sz w:val="23"/>
                <w:szCs w:val="23"/>
                <w:color w:val="auto"/>
              </w:rPr>
            </w:pPr>
          </w:p>
        </w:tc>
        <w:tc>
          <w:tcPr>
            <w:tcW w:w="140" w:type="dxa"/>
            <w:vAlign w:val="bottom"/>
          </w:tcPr>
          <w:p>
            <w:pPr>
              <w:spacing w:after="0"/>
              <w:rPr>
                <w:sz w:val="23"/>
                <w:szCs w:val="23"/>
                <w:color w:val="auto"/>
              </w:rPr>
            </w:pP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8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1"/>
        </w:trPr>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9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Net amortization of premium/discount on investment securities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1,748</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Gains on sales of securities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current income tax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Increase (decrease) in pension liability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57"/>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95"/>
        </w:trPr>
        <w:tc>
          <w:tcPr>
            <w:tcW w:w="8180" w:type="dxa"/>
            <w:vAlign w:val="bottom"/>
            <w:tcBorders>
              <w:bottom w:val="single" w:sz="8" w:color="B6B6B6"/>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10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w:t>
            </w:r>
          </w:p>
        </w:tc>
      </w:tr>
      <w:tr>
        <w:trPr>
          <w:trHeight w:val="250"/>
        </w:trPr>
        <w:tc>
          <w:tcPr>
            <w:tcW w:w="818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61,418</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16,194</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(156,597)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loans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bank-owned life insurance</w:t>
            </w:r>
          </w:p>
        </w:tc>
        <w:tc>
          <w:tcPr>
            <w:tcW w:w="34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payments in advance of funding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(38,195)</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96"/>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103,927</w:t>
            </w:r>
          </w:p>
        </w:tc>
        <w:tc>
          <w:tcPr>
            <w:tcW w:w="10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(201,100)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increase in noninterest-bearing demand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(57,434)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39,177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interest-bearing demand and savings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(80,002)</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increase (decrease) in time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22,568</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accounts and drafts receivable from customers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(22,391)</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accounts and drafts payable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(16,165)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(60,663)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34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50"/>
        </w:trPr>
        <w:tc>
          <w:tcPr>
            <w:tcW w:w="818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50"/>
        </w:trPr>
        <w:tc>
          <w:tcPr>
            <w:tcW w:w="81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(103,684)</w:t>
            </w:r>
          </w:p>
        </w:tc>
        <w:tc>
          <w:tcPr>
            <w:tcW w:w="10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(137,115)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(323,479)</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200,942</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514,928</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191,449</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204,276</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112,220</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(78,904)</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245,798</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($.28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58,272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124,874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(28,575)</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(28,575)</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203,149</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116,646</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(82,348)</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217,078</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131,682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(59,321)</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206,325</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($.29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176"/>
        </w:trPr>
        <w:tc>
          <w:tcPr>
            <w:tcW w:w="33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61,534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206,614</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134,822</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(79,419)</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(52,270)</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217,500</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Intangible Assets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Financial Accounting Standards Board (“FASB”) Accounting Standards Codification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8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5"/>
                <w:szCs w:val="15"/>
                <w:color w:val="auto"/>
              </w:rPr>
            </w:pPr>
          </w:p>
        </w:tc>
        <w:tc>
          <w:tcPr>
            <w:tcW w:w="1360" w:type="dxa"/>
            <w:vAlign w:val="bottom"/>
          </w:tcPr>
          <w:p>
            <w:pPr>
              <w:jc w:val="right"/>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40" w:type="dxa"/>
            <w:vAlign w:val="bottom"/>
          </w:tcPr>
          <w:p>
            <w:pPr>
              <w:spacing w:after="0"/>
              <w:rPr>
                <w:sz w:val="15"/>
                <w:szCs w:val="15"/>
                <w:color w:val="auto"/>
              </w:rPr>
            </w:pPr>
          </w:p>
        </w:tc>
        <w:tc>
          <w:tcPr>
            <w:tcW w:w="1360" w:type="dxa"/>
            <w:vAlign w:val="bottom"/>
          </w:tcPr>
          <w:p>
            <w:pPr>
              <w:jc w:val="right"/>
              <w:ind w:right="210"/>
              <w:spacing w:after="0" w:line="18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5"/>
                <w:szCs w:val="15"/>
                <w:color w:val="auto"/>
              </w:rPr>
            </w:pPr>
          </w:p>
        </w:tc>
        <w:tc>
          <w:tcPr>
            <w:tcW w:w="1400" w:type="dxa"/>
            <w:vAlign w:val="bottom"/>
          </w:tcPr>
          <w:p>
            <w:pPr>
              <w:jc w:val="right"/>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Pr>
          <w:p>
            <w:pPr>
              <w:spacing w:after="0"/>
              <w:rPr>
                <w:sz w:val="15"/>
                <w:szCs w:val="15"/>
                <w:color w:val="auto"/>
              </w:rPr>
            </w:pPr>
          </w:p>
        </w:tc>
        <w:tc>
          <w:tcPr>
            <w:tcW w:w="132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38"/>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27,936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27,936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 lists are amortized over 7 to 10 years; the patents over 18 years; software over 3 to 7 years, the trade name over 10 to 20 years and other intangible assets over 15 years. Amortization of intangible assets amounted to $195,000 and $135,000 for the three month periods ended March 31, 2023 and 2022, respectively. Estimated annual amortization of intangibles is $780,000 in 2023, $738,000 in 2024, $730,000 in 2025, $582,000 in 2026, and $262,000 in 2027.</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Earnings Per Share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320" w:type="dxa"/>
            <w:vAlign w:val="bottom"/>
          </w:tcPr>
          <w:p>
            <w:pPr>
              <w:spacing w:after="0"/>
              <w:rPr>
                <w:sz w:val="24"/>
                <w:szCs w:val="24"/>
                <w:color w:val="auto"/>
              </w:rPr>
            </w:pPr>
          </w:p>
        </w:tc>
        <w:tc>
          <w:tcPr>
            <w:tcW w:w="27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6700" w:type="dxa"/>
            <w:vAlign w:val="bottom"/>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B6B6B6"/>
            </w:tcBorders>
            <w:shd w:val="clear" w:color="auto" w:fill="B6B6B6"/>
          </w:tcPr>
          <w:p>
            <w:pPr>
              <w:spacing w:after="0"/>
              <w:rPr>
                <w:sz w:val="21"/>
                <w:szCs w:val="21"/>
                <w:color w:val="auto"/>
              </w:rPr>
            </w:pPr>
          </w:p>
        </w:tc>
        <w:tc>
          <w:tcPr>
            <w:tcW w:w="1180" w:type="dxa"/>
            <w:vAlign w:val="bottom"/>
            <w:tcBorders>
              <w:bottom w:val="single" w:sz="8" w:color="B6B6B6"/>
            </w:tcBorders>
            <w:shd w:val="clear" w:color="auto" w:fill="B6B6B6"/>
          </w:tcPr>
          <w:p>
            <w:pPr>
              <w:spacing w:after="0"/>
              <w:rPr>
                <w:sz w:val="21"/>
                <w:szCs w:val="21"/>
                <w:color w:val="auto"/>
              </w:rPr>
            </w:pPr>
          </w:p>
        </w:tc>
        <w:tc>
          <w:tcPr>
            <w:tcW w:w="540" w:type="dxa"/>
            <w:vAlign w:val="bottom"/>
            <w:tcBorders>
              <w:bottom w:val="single" w:sz="8" w:color="B6B6B6"/>
            </w:tcBorders>
            <w:shd w:val="clear" w:color="auto" w:fill="B6B6B6"/>
          </w:tcPr>
          <w:p>
            <w:pPr>
              <w:spacing w:after="0"/>
              <w:rPr>
                <w:sz w:val="21"/>
                <w:szCs w:val="21"/>
                <w:color w:val="auto"/>
              </w:rPr>
            </w:pPr>
          </w:p>
        </w:tc>
        <w:tc>
          <w:tcPr>
            <w:tcW w:w="104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0" w:type="dxa"/>
            <w:vAlign w:val="bottom"/>
          </w:tcPr>
          <w:p>
            <w:pPr>
              <w:spacing w:after="0"/>
              <w:rPr>
                <w:sz w:val="1"/>
                <w:szCs w:val="1"/>
                <w:color w:val="auto"/>
              </w:rPr>
            </w:pPr>
          </w:p>
        </w:tc>
      </w:tr>
      <w:tr>
        <w:trPr>
          <w:trHeight w:val="263"/>
        </w:trPr>
        <w:tc>
          <w:tcPr>
            <w:tcW w:w="67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B6B6B6"/>
          </w:tcPr>
          <w:p>
            <w:pPr>
              <w:spacing w:after="0"/>
              <w:rPr>
                <w:sz w:val="22"/>
                <w:szCs w:val="22"/>
                <w:color w:val="auto"/>
              </w:rPr>
            </w:pP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13,599,472</w:t>
            </w:r>
          </w:p>
        </w:tc>
        <w:tc>
          <w:tcPr>
            <w:tcW w:w="5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13,577,991</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57"/>
        </w:trPr>
        <w:tc>
          <w:tcPr>
            <w:tcW w:w="67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B6B6B6"/>
          </w:tcPr>
          <w:p>
            <w:pPr>
              <w:spacing w:after="0"/>
              <w:rPr>
                <w:sz w:val="21"/>
                <w:szCs w:val="21"/>
                <w:color w:val="auto"/>
              </w:rPr>
            </w:pPr>
          </w:p>
        </w:tc>
        <w:tc>
          <w:tcPr>
            <w:tcW w:w="1180" w:type="dxa"/>
            <w:vAlign w:val="bottom"/>
            <w:shd w:val="clear" w:color="auto" w:fill="B6B6B6"/>
          </w:tcPr>
          <w:p>
            <w:pPr>
              <w:spacing w:after="0"/>
              <w:rPr>
                <w:sz w:val="21"/>
                <w:szCs w:val="21"/>
                <w:color w:val="auto"/>
              </w:rPr>
            </w:pPr>
          </w:p>
        </w:tc>
        <w:tc>
          <w:tcPr>
            <w:tcW w:w="540" w:type="dxa"/>
            <w:vAlign w:val="bottom"/>
            <w:shd w:val="clear" w:color="auto" w:fill="B6B6B6"/>
          </w:tcPr>
          <w:p>
            <w:pPr>
              <w:spacing w:after="0"/>
              <w:rPr>
                <w:sz w:val="21"/>
                <w:szCs w:val="21"/>
                <w:color w:val="auto"/>
              </w:rPr>
            </w:pPr>
          </w:p>
        </w:tc>
        <w:tc>
          <w:tcPr>
            <w:tcW w:w="104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0" w:type="dxa"/>
            <w:vAlign w:val="bottom"/>
          </w:tcPr>
          <w:p>
            <w:pPr>
              <w:spacing w:after="0"/>
              <w:rPr>
                <w:sz w:val="1"/>
                <w:szCs w:val="1"/>
                <w:color w:val="auto"/>
              </w:rPr>
            </w:pPr>
          </w:p>
        </w:tc>
      </w:tr>
      <w:tr>
        <w:trPr>
          <w:trHeight w:val="263"/>
        </w:trPr>
        <w:tc>
          <w:tcPr>
            <w:tcW w:w="67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B6B6B6"/>
          </w:tcPr>
          <w:p>
            <w:pPr>
              <w:spacing w:after="0"/>
              <w:rPr>
                <w:sz w:val="22"/>
                <w:szCs w:val="22"/>
                <w:color w:val="auto"/>
              </w:rPr>
            </w:pP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13,599,472</w:t>
            </w:r>
          </w:p>
        </w:tc>
        <w:tc>
          <w:tcPr>
            <w:tcW w:w="5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13,577,991</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263,926</w:t>
            </w: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236,233</w:t>
            </w:r>
          </w:p>
        </w:tc>
        <w:tc>
          <w:tcPr>
            <w:tcW w:w="0" w:type="dxa"/>
            <w:vAlign w:val="bottom"/>
          </w:tcPr>
          <w:p>
            <w:pPr>
              <w:spacing w:after="0"/>
              <w:rPr>
                <w:sz w:val="1"/>
                <w:szCs w:val="1"/>
                <w:color w:val="auto"/>
              </w:rPr>
            </w:pPr>
          </w:p>
        </w:tc>
      </w:tr>
      <w:tr>
        <w:trPr>
          <w:trHeight w:val="256"/>
        </w:trPr>
        <w:tc>
          <w:tcPr>
            <w:tcW w:w="67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320" w:type="dxa"/>
            <w:vAlign w:val="bottom"/>
            <w:shd w:val="clear" w:color="auto" w:fill="B6B6B6"/>
          </w:tcPr>
          <w:p>
            <w:pPr>
              <w:spacing w:after="0"/>
              <w:rPr>
                <w:sz w:val="22"/>
                <w:szCs w:val="22"/>
                <w:color w:val="auto"/>
              </w:rPr>
            </w:pP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13,863,398</w:t>
            </w:r>
          </w:p>
        </w:tc>
        <w:tc>
          <w:tcPr>
            <w:tcW w:w="5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13,814,224</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Stock Repurchases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in October 2021, the Board of Directors authorized the repurchase of up to 750,000 shares of the Company’s common stock with no expiration date. As of March 31, 2023, 340,707 shares remained available for repurchase under the program. The Company repurchased no shares during the three-month period ended March 31, 2023 and 124,874 shares during the three-month period ended March 31, 2022. Repurchases may be made in the open market or through negotiated transactions from time to time depending on market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Industry Segment Information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The Banking Services segment provides banking services primarily to privately held businesses, franchise restaurants, and faith-based ministries, as well as supporting the banking needs of the Information Services segment.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Annual Report on Form 10-K for the year ended December 31, 2022.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320" w:type="dxa"/>
            <w:vAlign w:val="bottom"/>
          </w:tcPr>
          <w:p>
            <w:pPr>
              <w:spacing w:after="0"/>
              <w:rPr>
                <w:sz w:val="17"/>
                <w:szCs w:val="17"/>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260" w:type="dxa"/>
            <w:vAlign w:val="bottom"/>
          </w:tcPr>
          <w:p>
            <w:pPr>
              <w:spacing w:after="0"/>
              <w:rPr>
                <w:sz w:val="17"/>
                <w:szCs w:val="17"/>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8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94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2023:</w:t>
            </w:r>
          </w:p>
        </w:tc>
        <w:tc>
          <w:tcPr>
            <w:tcW w:w="1240" w:type="dxa"/>
            <w:vAlign w:val="bottom"/>
            <w:shd w:val="clear" w:color="auto" w:fill="B6B6B6"/>
          </w:tcPr>
          <w:p>
            <w:pPr>
              <w:spacing w:after="0"/>
              <w:rPr>
                <w:sz w:val="21"/>
                <w:szCs w:val="21"/>
                <w:color w:val="auto"/>
              </w:rPr>
            </w:pPr>
          </w:p>
        </w:tc>
        <w:tc>
          <w:tcPr>
            <w:tcW w:w="134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38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31,077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32,107</w:t>
            </w:r>
          </w:p>
        </w:tc>
        <w:tc>
          <w:tcPr>
            <w:tcW w:w="0" w:type="dxa"/>
            <w:vAlign w:val="bottom"/>
          </w:tcPr>
          <w:p>
            <w:pPr>
              <w:spacing w:after="0"/>
              <w:rPr>
                <w:sz w:val="1"/>
                <w:szCs w:val="1"/>
                <w:color w:val="auto"/>
              </w:rPr>
            </w:pPr>
          </w:p>
        </w:tc>
      </w:tr>
      <w:tr>
        <w:trPr>
          <w:trHeight w:val="263"/>
        </w:trPr>
        <w:tc>
          <w:tcPr>
            <w:tcW w:w="39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9,447</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13,177</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20,142</w:t>
            </w:r>
          </w:p>
        </w:tc>
        <w:tc>
          <w:tcPr>
            <w:tcW w:w="0" w:type="dxa"/>
            <w:vAlign w:val="bottom"/>
          </w:tcPr>
          <w:p>
            <w:pPr>
              <w:spacing w:after="0"/>
              <w:rPr>
                <w:sz w:val="1"/>
                <w:szCs w:val="1"/>
                <w:color w:val="auto"/>
              </w:rPr>
            </w:pPr>
          </w:p>
        </w:tc>
      </w:tr>
      <w:tr>
        <w:trPr>
          <w:trHeight w:val="250"/>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5,433</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63"/>
        </w:trPr>
        <w:tc>
          <w:tcPr>
            <w:tcW w:w="39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4,991</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3,859</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0" w:type="dxa"/>
            <w:vAlign w:val="bottom"/>
          </w:tcPr>
          <w:p>
            <w:pPr>
              <w:spacing w:after="0"/>
              <w:rPr>
                <w:sz w:val="1"/>
                <w:szCs w:val="1"/>
                <w:color w:val="auto"/>
              </w:rPr>
            </w:pPr>
          </w:p>
        </w:tc>
      </w:tr>
      <w:tr>
        <w:trPr>
          <w:trHeight w:val="263"/>
        </w:trPr>
        <w:tc>
          <w:tcPr>
            <w:tcW w:w="39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17,173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50"/>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3,931</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263"/>
        </w:trPr>
        <w:tc>
          <w:tcPr>
            <w:tcW w:w="39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1,526,001</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1,167,979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(266,591)</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2,427,389</w:t>
            </w:r>
          </w:p>
        </w:tc>
        <w:tc>
          <w:tcPr>
            <w:tcW w:w="0" w:type="dxa"/>
            <w:vAlign w:val="bottom"/>
          </w:tcPr>
          <w:p>
            <w:pPr>
              <w:spacing w:after="0"/>
              <w:rPr>
                <w:sz w:val="1"/>
                <w:szCs w:val="1"/>
                <w:color w:val="auto"/>
              </w:rPr>
            </w:pPr>
          </w:p>
        </w:tc>
      </w:tr>
      <w:tr>
        <w:trPr>
          <w:trHeight w:val="250"/>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1,357,035</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882,892</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2,239,927</w:t>
            </w:r>
          </w:p>
        </w:tc>
        <w:tc>
          <w:tcPr>
            <w:tcW w:w="0" w:type="dxa"/>
            <w:vAlign w:val="bottom"/>
          </w:tcPr>
          <w:p>
            <w:pPr>
              <w:spacing w:after="0"/>
              <w:rPr>
                <w:sz w:val="1"/>
                <w:szCs w:val="1"/>
                <w:color w:val="auto"/>
              </w:rPr>
            </w:pPr>
          </w:p>
        </w:tc>
      </w:tr>
      <w:tr>
        <w:trPr>
          <w:trHeight w:val="263"/>
        </w:trPr>
        <w:tc>
          <w:tcPr>
            <w:tcW w:w="3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29,184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0" w:type="dxa"/>
            <w:vAlign w:val="bottom"/>
          </w:tcPr>
          <w:p>
            <w:pPr>
              <w:spacing w:after="0"/>
              <w:rPr>
                <w:sz w:val="1"/>
                <w:szCs w:val="1"/>
                <w:color w:val="auto"/>
              </w:rPr>
            </w:pPr>
          </w:p>
        </w:tc>
      </w:tr>
      <w:tr>
        <w:trPr>
          <w:trHeight w:val="263"/>
        </w:trPr>
        <w:tc>
          <w:tcPr>
            <w:tcW w:w="39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4,350</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8,853</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0" w:type="dxa"/>
            <w:vAlign w:val="bottom"/>
          </w:tcPr>
          <w:p>
            <w:pPr>
              <w:spacing w:after="0"/>
              <w:rPr>
                <w:sz w:val="1"/>
                <w:szCs w:val="1"/>
                <w:color w:val="auto"/>
              </w:rPr>
            </w:pPr>
          </w:p>
        </w:tc>
      </w:tr>
      <w:tr>
        <w:trPr>
          <w:trHeight w:val="250"/>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63"/>
        </w:trPr>
        <w:tc>
          <w:tcPr>
            <w:tcW w:w="39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5,890</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5,161</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0" w:type="dxa"/>
            <w:vAlign w:val="bottom"/>
          </w:tcPr>
          <w:p>
            <w:pPr>
              <w:spacing w:after="0"/>
              <w:rPr>
                <w:sz w:val="1"/>
                <w:szCs w:val="1"/>
                <w:color w:val="auto"/>
              </w:rPr>
            </w:pPr>
          </w:p>
        </w:tc>
      </w:tr>
      <w:tr>
        <w:trPr>
          <w:trHeight w:val="263"/>
        </w:trPr>
        <w:tc>
          <w:tcPr>
            <w:tcW w:w="39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14,126</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0" w:type="dxa"/>
            <w:vAlign w:val="bottom"/>
          </w:tcPr>
          <w:p>
            <w:pPr>
              <w:spacing w:after="0"/>
              <w:rPr>
                <w:sz w:val="1"/>
                <w:szCs w:val="1"/>
                <w:color w:val="auto"/>
              </w:rPr>
            </w:pPr>
          </w:p>
        </w:tc>
      </w:tr>
      <w:tr>
        <w:trPr>
          <w:trHeight w:val="250"/>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2,429</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63"/>
        </w:trPr>
        <w:tc>
          <w:tcPr>
            <w:tcW w:w="39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1,338,342</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1,088,025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2,422,043</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1,288,407</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966,820</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2,255,227</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60" w:firstLine="8"/>
        <w:spacing w:after="0" w:line="282"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on a tax-equivalent basis assuming a tax rate of 21% for both 2023 and 2022. The tax-equivalent adjustment was approximately $321,000 and $446,000 for the first quarter of 2023 and 2022,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jc w:val="center"/>
              <w:ind w:right="2150"/>
              <w:spacing w:after="0"/>
              <w:rPr>
                <w:sz w:val="20"/>
                <w:szCs w:val="20"/>
                <w:color w:val="auto"/>
              </w:rPr>
            </w:pPr>
            <w:r>
              <w:rPr>
                <w:rFonts w:ascii="Times New Roman" w:cs="Times New Roman" w:eastAsia="Times New Roman" w:hAnsi="Times New Roman"/>
                <w:sz w:val="18"/>
                <w:szCs w:val="18"/>
                <w:color w:val="auto"/>
                <w:w w:val="99"/>
              </w:rPr>
              <w:t>Note 6 – Loans by Type</w:t>
            </w:r>
          </w:p>
        </w:tc>
        <w:tc>
          <w:tcPr>
            <w:tcW w:w="4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loans is as follows:</w:t>
            </w:r>
          </w:p>
        </w:tc>
        <w:tc>
          <w:tcPr>
            <w:tcW w:w="4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080" w:type="dxa"/>
            <w:vAlign w:val="bottom"/>
          </w:tcPr>
          <w:p>
            <w:pPr>
              <w:spacing w:after="0"/>
              <w:rPr>
                <w:sz w:val="24"/>
                <w:szCs w:val="24"/>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3760" w:type="dxa"/>
            <w:vAlign w:val="bottom"/>
            <w:tcBorders>
              <w:bottom w:val="single" w:sz="8" w:color="auto"/>
            </w:tcBorders>
            <w:vMerge w:val="continue"/>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3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0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548,923</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561,616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4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jc w:val="center"/>
              <w:ind w:right="2330"/>
              <w:spacing w:after="0"/>
              <w:rPr>
                <w:sz w:val="20"/>
                <w:szCs w:val="20"/>
                <w:color w:val="auto"/>
              </w:rPr>
            </w:pPr>
            <w:r>
              <w:rPr>
                <w:rFonts w:ascii="Times New Roman" w:cs="Times New Roman" w:eastAsia="Times New Roman" w:hAnsi="Times New Roman"/>
                <w:sz w:val="18"/>
                <w:szCs w:val="18"/>
                <w:color w:val="auto"/>
                <w:w w:val="99"/>
              </w:rPr>
              <w:t>Commercial:</w:t>
            </w:r>
          </w:p>
        </w:tc>
        <w:tc>
          <w:tcPr>
            <w:tcW w:w="408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40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116,202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408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19,075</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Faith-based:</w:t>
            </w:r>
          </w:p>
        </w:tc>
        <w:tc>
          <w:tcPr>
            <w:tcW w:w="4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408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376,630</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387,114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40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9,538</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80" w:type="dxa"/>
            <w:vAlign w:val="bottom"/>
            <w:tcBorders>
              <w:bottom w:val="single" w:sz="8" w:color="auto"/>
            </w:tcBorders>
            <w:shd w:val="clear" w:color="auto" w:fill="B6B6B6"/>
          </w:tcPr>
          <w:p>
            <w:pPr>
              <w:spacing w:after="0"/>
              <w:rPr>
                <w:sz w:val="22"/>
                <w:szCs w:val="22"/>
                <w:color w:val="auto"/>
              </w:rPr>
            </w:pP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loans</w:t>
            </w:r>
          </w:p>
        </w:tc>
        <w:tc>
          <w:tcPr>
            <w:tcW w:w="4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1,070,373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1,082,906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past due by category at March 31, 2023 and December 31,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460" w:type="dxa"/>
            <w:vAlign w:val="bottom"/>
          </w:tcPr>
          <w:p>
            <w:pPr>
              <w:spacing w:after="0"/>
              <w:rPr>
                <w:sz w:val="15"/>
                <w:szCs w:val="15"/>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320" w:type="dxa"/>
            <w:vAlign w:val="bottom"/>
          </w:tcPr>
          <w:p>
            <w:pPr>
              <w:spacing w:after="0"/>
              <w:rPr>
                <w:sz w:val="15"/>
                <w:szCs w:val="15"/>
                <w:color w:val="auto"/>
              </w:rPr>
            </w:pPr>
          </w:p>
        </w:tc>
        <w:tc>
          <w:tcPr>
            <w:tcW w:w="11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Non-</w:t>
            </w:r>
          </w:p>
        </w:tc>
        <w:tc>
          <w:tcPr>
            <w:tcW w:w="36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2023</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548,923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548,923</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116,202</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116,202</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19,075</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376,630</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376,630</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9,538</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1,070,373</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1,070,373</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2022</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560,466</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561,616</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108,166</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108,166</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17,874</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387,114</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387,114</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8,094</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1,081,756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1,082,906</w:t>
            </w:r>
          </w:p>
        </w:tc>
        <w:tc>
          <w:tcPr>
            <w:tcW w:w="0" w:type="dxa"/>
            <w:vAlign w:val="bottom"/>
          </w:tcPr>
          <w:p>
            <w:pPr>
              <w:spacing w:after="0"/>
              <w:rPr>
                <w:sz w:val="1"/>
                <w:szCs w:val="1"/>
                <w:color w:val="auto"/>
              </w:rPr>
            </w:pPr>
          </w:p>
        </w:tc>
      </w:tr>
      <w:tr>
        <w:trPr>
          <w:trHeight w:val="905"/>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March 31, 2023 and December 31,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6"/>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2023</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537,698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548,923</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116,202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116,202</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19,075</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19,075</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372,951</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3,679</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376,630</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9,538</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9,538</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1,055,469</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14,904</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1,070,373</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2022</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549,241</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11,225</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561,616</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108,166</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108,166</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17,874</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17,874</w:t>
            </w: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386,169</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387,114</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8,094</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57"/>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1,069,586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12,170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1,082,906</w:t>
            </w:r>
          </w:p>
        </w:tc>
      </w:tr>
    </w:tbl>
    <w:p>
      <w:pPr>
        <w:spacing w:after="0" w:line="306" w:lineRule="exact"/>
        <w:rPr>
          <w:sz w:val="20"/>
          <w:szCs w:val="20"/>
          <w:color w:val="auto"/>
        </w:rPr>
      </w:pPr>
    </w:p>
    <w:p>
      <w:pPr>
        <w:ind w:left="20" w:right="20" w:firstLine="6"/>
        <w:spacing w:after="0" w:line="222" w:lineRule="auto"/>
        <w:tabs>
          <w:tab w:leader="none" w:pos="131"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obligations.</w:t>
      </w:r>
    </w:p>
    <w:p>
      <w:pPr>
        <w:spacing w:after="0" w:line="6" w:lineRule="exact"/>
        <w:rPr>
          <w:sz w:val="20"/>
          <w:szCs w:val="20"/>
          <w:color w:val="auto"/>
        </w:rPr>
      </w:pPr>
    </w:p>
    <w:p>
      <w:pPr>
        <w:ind w:left="120" w:hanging="94"/>
        <w:spacing w:after="0"/>
        <w:tabs>
          <w:tab w:leader="none" w:pos="1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special monitoring possess some credit deficiency or potential weakness which requires a high level of management attention.</w:t>
      </w: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2022-02, </w:t>
      </w:r>
      <w:r>
        <w:rPr>
          <w:rFonts w:ascii="Times New Roman" w:cs="Times New Roman" w:eastAsia="Times New Roman" w:hAnsi="Times New Roman"/>
          <w:sz w:val="18"/>
          <w:szCs w:val="18"/>
          <w:i w:val="1"/>
          <w:iCs w:val="1"/>
          <w:color w:val="auto"/>
        </w:rPr>
        <w:t>Financial Instruments - Credit Losses (Topic 326): Troubled Debt Restructurings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Vintage Disclosures </w:t>
      </w:r>
      <w:r>
        <w:rPr>
          <w:rFonts w:ascii="Times New Roman" w:cs="Times New Roman" w:eastAsia="Times New Roman" w:hAnsi="Times New Roman"/>
          <w:sz w:val="18"/>
          <w:szCs w:val="18"/>
          <w:color w:val="auto"/>
        </w:rPr>
        <w:t>("ASU 2022-02") effective January 1, 2023. The amendments in ASU 2022-02 eliminated the recognition and measure of troubled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restructurings and enhanced disclosures for loan modifications to borrowers experiencing financial difficulty. In some cases, these modifications may result in new loans. Loan modifications to borrowers experiencing financial difficulty may be in the form of principal forgiveness, an interest rate reduction, an other-than-insignificant payment delay, a term extension, or a combination thereof, among other things.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amortized cost of loans at March 31, 2023 that were both experiencing financial difficulty and modified during the three months ended March 31, 2023, segregated by category and type of modification.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Total</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and Interest Rate</w:t>
            </w:r>
          </w:p>
        </w:tc>
        <w:tc>
          <w:tcPr>
            <w:tcW w:w="16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0" w:type="dxa"/>
            <w:vAlign w:val="bottom"/>
          </w:tcPr>
          <w:p>
            <w:pPr>
              <w:spacing w:after="0"/>
              <w:rPr>
                <w:sz w:val="1"/>
                <w:szCs w:val="1"/>
                <w:color w:val="auto"/>
              </w:rPr>
            </w:pPr>
          </w:p>
        </w:tc>
      </w:tr>
      <w:tr>
        <w:trPr>
          <w:trHeight w:val="259"/>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Payment Delay</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56"/>
        </w:trPr>
        <w:tc>
          <w:tcPr>
            <w:tcW w:w="2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2023</w:t>
            </w:r>
          </w:p>
        </w:tc>
        <w:tc>
          <w:tcPr>
            <w:tcW w:w="78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16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two loans modified during the three months ended March 31, 2023. The terms were extended by periods of two and three years and there was not an interest rate reduction associated with the modifications.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performance of loans that have been modified to borrowers experiencing financial difficulty during the three months ended March 31,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30-59 Days Past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60-89 Days Past</w:t>
            </w:r>
          </w:p>
        </w:tc>
        <w:tc>
          <w:tcPr>
            <w:tcW w:w="200" w:type="dxa"/>
            <w:vAlign w:val="bottom"/>
          </w:tcPr>
          <w:p>
            <w:pPr>
              <w:spacing w:after="0"/>
              <w:rPr>
                <w:sz w:val="17"/>
                <w:szCs w:val="17"/>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90 Days or More</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9"/>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Due</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Past Due</w:t>
            </w:r>
          </w:p>
        </w:tc>
      </w:tr>
      <w:tr>
        <w:trPr>
          <w:trHeight w:val="257"/>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2023</w:t>
            </w:r>
          </w:p>
        </w:tc>
        <w:tc>
          <w:tcPr>
            <w:tcW w:w="102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40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0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r>
      <w:tr>
        <w:trPr>
          <w:trHeight w:val="250"/>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11,225</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7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11,225</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6B6B6"/>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modified loans that had a payment default during the three months ended March 31, 2023 and that had been modified due to the borrower experiencing financial difficulty within the 12 previous months preceding the default.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Company's determination that a modified loan has subsequently been deemed uncollectible, the loan is written off. There were no loans written off during the three months ended March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adoption of ASU 2022-02, there were no loans considered troubled debt restructurings as of March 31, 2022 or December 31, 2022.</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 loans evaluated for expected credit losses on an individual basis as of March 31, 2023 or December 31, 2022. There were no foreclosed loans recorded as other real estate owned as of March 31, 2023 or December 31,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credit losses (“ACL”) by category for the three-month period ended March 31, 2023 and year-ended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80" w:type="dxa"/>
            <w:vAlign w:val="bottom"/>
          </w:tcPr>
          <w:p>
            <w:pPr>
              <w:spacing w:after="0"/>
              <w:rPr>
                <w:sz w:val="18"/>
                <w:szCs w:val="18"/>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60" w:type="dxa"/>
            <w:vAlign w:val="bottom"/>
          </w:tcPr>
          <w:p>
            <w:pPr>
              <w:spacing w:after="0"/>
              <w:rPr>
                <w:sz w:val="18"/>
                <w:szCs w:val="18"/>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w:t>
            </w:r>
          </w:p>
        </w:tc>
        <w:tc>
          <w:tcPr>
            <w:tcW w:w="20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20" w:type="dxa"/>
            <w:vAlign w:val="bottom"/>
          </w:tcPr>
          <w:p>
            <w:pPr>
              <w:spacing w:after="0"/>
              <w:rPr>
                <w:sz w:val="18"/>
                <w:szCs w:val="18"/>
                <w:color w:val="auto"/>
              </w:rPr>
            </w:pPr>
          </w:p>
        </w:tc>
        <w:tc>
          <w:tcPr>
            <w:tcW w:w="13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40" w:type="dxa"/>
            <w:vAlign w:val="bottom"/>
          </w:tcPr>
          <w:p>
            <w:pPr>
              <w:spacing w:after="0"/>
              <w:rPr>
                <w:sz w:val="18"/>
                <w:szCs w:val="18"/>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6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5,034</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5,684</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0" w:type="dxa"/>
            <w:vAlign w:val="bottom"/>
          </w:tcPr>
          <w:p>
            <w:pPr>
              <w:spacing w:after="0"/>
              <w:rPr>
                <w:sz w:val="1"/>
                <w:szCs w:val="1"/>
                <w:color w:val="auto"/>
              </w:rPr>
            </w:pPr>
          </w:p>
        </w:tc>
      </w:tr>
      <w:tr>
        <w:trPr>
          <w:trHeight w:val="250"/>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6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57"/>
        </w:trPr>
        <w:tc>
          <w:tcPr>
            <w:tcW w:w="36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68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B6B6B6"/>
          </w:tcPr>
          <w:p>
            <w:pPr>
              <w:spacing w:after="0"/>
              <w:rPr>
                <w:sz w:val="22"/>
                <w:szCs w:val="22"/>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5,978</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0" w:type="dxa"/>
            <w:vAlign w:val="bottom"/>
          </w:tcPr>
          <w:p>
            <w:pPr>
              <w:spacing w:after="0"/>
              <w:rPr>
                <w:sz w:val="1"/>
                <w:szCs w:val="1"/>
                <w:color w:val="auto"/>
              </w:rPr>
            </w:pPr>
          </w:p>
        </w:tc>
      </w:tr>
      <w:tr>
        <w:trPr>
          <w:trHeight w:val="257"/>
        </w:trPr>
        <w:tc>
          <w:tcPr>
            <w:tcW w:w="3620" w:type="dxa"/>
            <w:vAlign w:val="bottom"/>
            <w:shd w:val="clear" w:color="auto" w:fill="B6B6B6"/>
          </w:tcPr>
          <w:p>
            <w:pPr>
              <w:ind w:left="200"/>
              <w:spacing w:after="0" w:line="256" w:lineRule="exact"/>
              <w:rPr>
                <w:sz w:val="20"/>
                <w:szCs w:val="20"/>
                <w:color w:val="auto"/>
              </w:rPr>
            </w:pPr>
            <w:r>
              <w:rPr>
                <w:rFonts w:ascii="Times New Roman" w:cs="Times New Roman" w:eastAsia="Times New Roman" w:hAnsi="Times New Roman"/>
                <w:sz w:val="18"/>
                <w:szCs w:val="18"/>
                <w:color w:val="auto"/>
              </w:rPr>
              <w:t xml:space="preserve">(Release of) provision for credit losses </w:t>
            </w:r>
            <w:r>
              <w:rPr>
                <w:rFonts w:ascii="Times New Roman" w:cs="Times New Roman" w:eastAsia="Times New Roman" w:hAnsi="Times New Roman"/>
                <w:sz w:val="23"/>
                <w:szCs w:val="23"/>
                <w:color w:val="auto"/>
                <w:vertAlign w:val="superscript"/>
              </w:rPr>
              <w:t>(1)</w:t>
            </w:r>
          </w:p>
        </w:tc>
        <w:tc>
          <w:tcPr>
            <w:tcW w:w="68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B6B6B6"/>
          </w:tcPr>
          <w:p>
            <w:pPr>
              <w:spacing w:after="0"/>
              <w:rPr>
                <w:sz w:val="22"/>
                <w:szCs w:val="22"/>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March 31, 2023</w:t>
            </w:r>
          </w:p>
        </w:tc>
        <w:tc>
          <w:tcPr>
            <w:tcW w:w="6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5,910</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6,123</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980" w:right="20" w:hanging="954"/>
        <w:spacing w:after="0" w:line="266" w:lineRule="auto"/>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three-month period ended March 31, 2023 and year-ended December 31, 2022, there was a release of credit losses of $55,000 and $135,000, respectively, for unfunded commitments.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Commitments and Contingencies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An allowance for unfunded commitments of $177,000 and $232,000 had been recorded at March 31, 2023 and December 31, 2022, respectively.</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March 31, 2023, the balances of unfunded commitments, standby and commercial letters of credit were $233.9 million, $14.3 million, and $1.2 million,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Stock-Based Compensation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Stock-based compensation awards have historically been issued under the Company's Amended and Restated Omnibus Stock and Performance Compensation Plan (the "Prior Plan"), which was amended and last approved by shareholders in 2013. The Company may issue shares out of treasury stock for these awards. During the three months ended March 31, 2023, 35,035 restricted shares and 48,262 performance-based restricted shares were granted under the Prior Plan. Stock-based compensation expense for the three months ended March 31, 2023 and 2022 was $2.0 million and $1.3 million, respectively.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16, 2023, the Board of Directors adopted the 2023 Omnibus Stock and Performance Compensation Plan (the "2023 Omnibus Plan") to replace the Prior Plan, subject to shareholder approval which occurred on April 18, 2023. Subsequent to this date, the Company will issue stock-based compensation awards under the 2023 Omnibus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the total unrecognized compensation expense related to non-vested restricted shares was $2.2 million, and the related weighted-average period over which it is expected to be recognized is approximately 0.87 years.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is a summary of the activity of the Company's restricted stock for the three months ended March 31, 2023, with total shares and weighted-average fair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0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8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06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7"/>
        </w:trPr>
        <w:tc>
          <w:tcPr>
            <w:tcW w:w="38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38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840" w:type="dxa"/>
            <w:vAlign w:val="bottom"/>
            <w:gridSpan w:val="2"/>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205,565</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42.64</w:t>
            </w:r>
          </w:p>
        </w:tc>
      </w:tr>
      <w:tr>
        <w:trPr>
          <w:trHeight w:val="25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35,035</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63"/>
        </w:trPr>
        <w:tc>
          <w:tcPr>
            <w:tcW w:w="38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84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5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4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5840" w:type="dxa"/>
            <w:vAlign w:val="bottom"/>
            <w:tcBorders>
              <w:bottom w:val="single" w:sz="8" w:color="auto"/>
            </w:tcBorders>
            <w:gridSpan w:val="2"/>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220,367</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42.56</w:t>
            </w:r>
          </w:p>
        </w:tc>
      </w:tr>
      <w:tr>
        <w:trPr>
          <w:trHeight w:val="904"/>
        </w:trPr>
        <w:tc>
          <w:tcPr>
            <w:tcW w:w="3860" w:type="dxa"/>
            <w:vAlign w:val="bottom"/>
          </w:tcPr>
          <w:p>
            <w:pPr>
              <w:spacing w:after="0"/>
              <w:rPr>
                <w:sz w:val="24"/>
                <w:szCs w:val="24"/>
                <w:color w:val="auto"/>
              </w:rPr>
            </w:pPr>
          </w:p>
        </w:tc>
        <w:tc>
          <w:tcPr>
            <w:tcW w:w="432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-14-</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for the three months ended March 31, 2023, based on 100% of target value: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180" w:type="dxa"/>
            <w:vAlign w:val="bottom"/>
          </w:tcPr>
          <w:p>
            <w:pPr>
              <w:spacing w:after="0"/>
              <w:rPr>
                <w:sz w:val="21"/>
                <w:szCs w:val="21"/>
                <w:color w:val="auto"/>
              </w:rPr>
            </w:pPr>
          </w:p>
        </w:tc>
        <w:tc>
          <w:tcPr>
            <w:tcW w:w="306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50"/>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138,785</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43.19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48,262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(30,567)</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5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156,480</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42.83</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PBRS that vested during the three months ended March 31, 2023 were based on the Company's achievement of 86.7% of target financial goals, resulting in the issuance of 26,499 shares of common stock. The outstanding PBRS at March 31, 2023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SARs granted and no expense recognized during the three months ended March 31, 2023. Following is a summary of the activity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SARs program for the three months ended March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vMerge w:val="restart"/>
          </w:tcPr>
          <w:p>
            <w:pPr>
              <w:jc w:val="center"/>
              <w:ind w:right="29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8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38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262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15"/>
                <w:szCs w:val="15"/>
                <w:color w:val="auto"/>
              </w:rPr>
            </w:pPr>
          </w:p>
        </w:tc>
        <w:tc>
          <w:tcPr>
            <w:tcW w:w="1400" w:type="dxa"/>
            <w:vAlign w:val="bottom"/>
          </w:tcPr>
          <w:p>
            <w:pPr>
              <w:jc w:val="center"/>
              <w:ind w:right="290"/>
              <w:spacing w:after="0" w:line="176"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4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50"/>
        </w:trPr>
        <w:tc>
          <w:tcPr>
            <w:tcW w:w="38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20" w:type="dxa"/>
            <w:vAlign w:val="bottom"/>
            <w:shd w:val="clear" w:color="auto" w:fill="B6B6B6"/>
          </w:tcPr>
          <w:p>
            <w:pPr>
              <w:jc w:val="center"/>
              <w:ind w:left="1790"/>
              <w:spacing w:after="0"/>
              <w:rPr>
                <w:sz w:val="20"/>
                <w:szCs w:val="20"/>
                <w:color w:val="auto"/>
              </w:rPr>
            </w:pPr>
            <w:r>
              <w:rPr>
                <w:rFonts w:ascii="Times New Roman" w:cs="Times New Roman" w:eastAsia="Times New Roman" w:hAnsi="Times New Roman"/>
                <w:sz w:val="18"/>
                <w:szCs w:val="18"/>
                <w:color w:val="auto"/>
              </w:rPr>
              <w:t>46,325</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41.62</w:t>
            </w:r>
          </w:p>
        </w:tc>
        <w:tc>
          <w:tcPr>
            <w:tcW w:w="1480" w:type="dxa"/>
            <w:vAlign w:val="bottom"/>
            <w:shd w:val="clear" w:color="auto" w:fill="B6B6B6"/>
          </w:tcPr>
          <w:p>
            <w:pPr>
              <w:jc w:val="center"/>
              <w:ind w:left="950"/>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5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6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7"/>
              </w:rPr>
              <w:t>(15,916)</w:t>
            </w:r>
          </w:p>
        </w:tc>
        <w:tc>
          <w:tcPr>
            <w:tcW w:w="28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31.92</w:t>
            </w:r>
          </w:p>
        </w:tc>
        <w:tc>
          <w:tcPr>
            <w:tcW w:w="14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Exercisable at March 31, 2023</w:t>
            </w:r>
          </w:p>
        </w:tc>
        <w:tc>
          <w:tcPr>
            <w:tcW w:w="2620" w:type="dxa"/>
            <w:vAlign w:val="bottom"/>
            <w:tcBorders>
              <w:bottom w:val="single" w:sz="8" w:color="auto"/>
            </w:tcBorders>
            <w:shd w:val="clear" w:color="auto" w:fill="B6B6B6"/>
          </w:tcPr>
          <w:p>
            <w:pPr>
              <w:jc w:val="center"/>
              <w:ind w:left="1790"/>
              <w:spacing w:after="0"/>
              <w:rPr>
                <w:sz w:val="20"/>
                <w:szCs w:val="20"/>
                <w:color w:val="auto"/>
              </w:rPr>
            </w:pPr>
            <w:r>
              <w:rPr>
                <w:rFonts w:ascii="Times New Roman" w:cs="Times New Roman" w:eastAsia="Times New Roman" w:hAnsi="Times New Roman"/>
                <w:sz w:val="18"/>
                <w:szCs w:val="18"/>
                <w:color w:val="auto"/>
              </w:rPr>
              <w:t>30,409</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46.70</w:t>
            </w:r>
          </w:p>
        </w:tc>
        <w:tc>
          <w:tcPr>
            <w:tcW w:w="1480" w:type="dxa"/>
            <w:vAlign w:val="bottom"/>
            <w:tcBorders>
              <w:bottom w:val="single" w:sz="8" w:color="auto"/>
            </w:tcBorders>
            <w:shd w:val="clear" w:color="auto" w:fill="B6B6B6"/>
          </w:tcPr>
          <w:p>
            <w:pPr>
              <w:jc w:val="center"/>
              <w:ind w:left="950"/>
              <w:spacing w:after="0"/>
              <w:rPr>
                <w:sz w:val="20"/>
                <w:szCs w:val="20"/>
                <w:color w:val="auto"/>
              </w:rPr>
            </w:pPr>
            <w:r>
              <w:rPr>
                <w:rFonts w:ascii="Times New Roman" w:cs="Times New Roman" w:eastAsia="Times New Roman" w:hAnsi="Times New Roman"/>
                <w:sz w:val="18"/>
                <w:szCs w:val="18"/>
                <w:color w:val="auto"/>
              </w:rPr>
              <w:t>0.84</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SARs were vested at March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Defined Pension Plans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(the “Plan”), which covers eligible employees. Effective December 31, 2016, the Plan was closed to all new participants. Additionally, the Plan’s benefits were frozen for all remaining participants as of February 28, 2021. As such, subsequent to February 28, 2021, there is no service cost associated with the Plan. The following table represents the components of net periodic pension cost (benefit):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8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8"/>
                <w:szCs w:val="18"/>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Actual 2022</w:t>
            </w:r>
          </w:p>
        </w:tc>
        <w:tc>
          <w:tcPr>
            <w:tcW w:w="0" w:type="dxa"/>
            <w:vAlign w:val="bottom"/>
          </w:tcPr>
          <w:p>
            <w:pPr>
              <w:spacing w:after="0"/>
              <w:rPr>
                <w:sz w:val="1"/>
                <w:szCs w:val="1"/>
                <w:color w:val="auto"/>
              </w:rPr>
            </w:pPr>
          </w:p>
        </w:tc>
      </w:tr>
      <w:tr>
        <w:trPr>
          <w:trHeight w:val="238"/>
        </w:trPr>
        <w:tc>
          <w:tcPr>
            <w:tcW w:w="5720" w:type="dxa"/>
            <w:vAlign w:val="bottom"/>
            <w:tcBorders>
              <w:bottom w:val="single" w:sz="8" w:color="auto"/>
            </w:tcBorders>
            <w:vMerge w:val="continue"/>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26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4,375</w:t>
            </w:r>
          </w:p>
        </w:tc>
        <w:tc>
          <w:tcPr>
            <w:tcW w:w="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center"/>
              <w:ind w:left="630"/>
              <w:spacing w:after="0"/>
              <w:rPr>
                <w:sz w:val="20"/>
                <w:szCs w:val="20"/>
                <w:color w:val="auto"/>
              </w:rPr>
            </w:pPr>
            <w:r>
              <w:rPr>
                <w:rFonts w:ascii="Times New Roman" w:cs="Times New Roman" w:eastAsia="Times New Roman" w:hAnsi="Times New Roman"/>
                <w:sz w:val="18"/>
                <w:szCs w:val="18"/>
                <w:color w:val="auto"/>
                <w:w w:val="98"/>
              </w:rPr>
              <w:t>3,293</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60" w:type="dxa"/>
            <w:vAlign w:val="bottom"/>
          </w:tcPr>
          <w:p>
            <w:pPr>
              <w:spacing w:after="0"/>
              <w:rPr>
                <w:sz w:val="21"/>
                <w:szCs w:val="21"/>
                <w:color w:val="auto"/>
              </w:rPr>
            </w:pPr>
          </w:p>
        </w:tc>
        <w:tc>
          <w:tcPr>
            <w:tcW w:w="12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(5,857)</w:t>
            </w:r>
          </w:p>
        </w:tc>
        <w:tc>
          <w:tcPr>
            <w:tcW w:w="0" w:type="dxa"/>
            <w:vAlign w:val="bottom"/>
          </w:tcPr>
          <w:p>
            <w:pPr>
              <w:spacing w:after="0"/>
              <w:rPr>
                <w:sz w:val="1"/>
                <w:szCs w:val="1"/>
                <w:color w:val="auto"/>
              </w:rPr>
            </w:pPr>
          </w:p>
        </w:tc>
      </w:tr>
      <w:tr>
        <w:trPr>
          <w:trHeight w:val="257"/>
        </w:trPr>
        <w:tc>
          <w:tcPr>
            <w:tcW w:w="57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Net periodic pension cost (benefit)</w:t>
            </w:r>
          </w:p>
        </w:tc>
        <w:tc>
          <w:tcPr>
            <w:tcW w:w="26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center"/>
              <w:ind w:left="610"/>
              <w:spacing w:after="0"/>
              <w:rPr>
                <w:sz w:val="20"/>
                <w:szCs w:val="20"/>
                <w:color w:val="auto"/>
              </w:rPr>
            </w:pPr>
            <w:r>
              <w:rPr>
                <w:rFonts w:ascii="Times New Roman" w:cs="Times New Roman" w:eastAsia="Times New Roman" w:hAnsi="Times New Roman"/>
                <w:sz w:val="18"/>
                <w:szCs w:val="18"/>
                <w:color w:val="auto"/>
              </w:rPr>
              <w:t>(2,564)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net periodic pension cost of $135,000 for the three-month period ended March 31, 2023, and a net periodic pension benefit of $618,000 for the three-month period ended March 31, 2022. The Company made no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contributions to the Plan during the three-month period ended March 31, 2023 and is evaluating the amount of contributions, if any, for the remainder of 2023.</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funded defined-benefit pension plan, 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41"/>
        </w:trPr>
        <w:tc>
          <w:tcPr>
            <w:tcW w:w="5680" w:type="dxa"/>
            <w:vAlign w:val="bottom"/>
            <w:tcBorders>
              <w:bottom w:val="single" w:sz="8" w:color="auto"/>
            </w:tcBorders>
            <w:vMerge w:val="continue"/>
          </w:tcPr>
          <w:p>
            <w:pPr>
              <w:spacing w:after="0"/>
              <w:rPr>
                <w:sz w:val="20"/>
                <w:szCs w:val="20"/>
                <w:color w:val="auto"/>
              </w:rPr>
            </w:pP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2"/>
        </w:trPr>
        <w:tc>
          <w:tcPr>
            <w:tcW w:w="5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640" w:type="dxa"/>
            <w:vAlign w:val="bottom"/>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472</w:t>
            </w:r>
          </w:p>
        </w:tc>
        <w:tc>
          <w:tcPr>
            <w:tcW w:w="38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36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640" w:type="dxa"/>
            <w:vAlign w:val="bottom"/>
            <w:tcBorders>
              <w:bottom w:val="single" w:sz="8" w:color="auto"/>
            </w:tcBorders>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472</w:t>
            </w:r>
          </w:p>
        </w:tc>
        <w:tc>
          <w:tcPr>
            <w:tcW w:w="38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760"/>
        <w:spacing w:after="0" w:line="461" w:lineRule="auto"/>
        <w:rPr>
          <w:sz w:val="20"/>
          <w:szCs w:val="20"/>
          <w:color w:val="auto"/>
        </w:rPr>
      </w:pPr>
      <w:r>
        <w:rPr>
          <w:rFonts w:ascii="Times New Roman" w:cs="Times New Roman" w:eastAsia="Times New Roman" w:hAnsi="Times New Roman"/>
          <w:sz w:val="18"/>
          <w:szCs w:val="18"/>
          <w:color w:val="auto"/>
        </w:rPr>
        <w:t>SERP cost recorded to expense was $118,000 and $107,000 for the three-month periods ended March 31, 2023 and March 31, 2022, respectively. Note 10 – Income Taxes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was 20.7% and 19.6% for the three-month periods ended March 31, 2023 and 2022, respectively. The effective tax rate for all periods differs from the statutory rate of 21% primarily due to the tax-exempt interest received from municipal bonds and bank-owned life insurance, among other factors. The increase in the effective tax rate for the three-month period ended March 31, 2023 as compared to the same period of 2022 is primarily a result of lower tax-exempt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Investment in Securities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8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00" w:type="dxa"/>
            <w:vAlign w:val="bottom"/>
          </w:tcPr>
          <w:p>
            <w:pPr>
              <w:spacing w:after="0"/>
              <w:rPr>
                <w:sz w:val="15"/>
                <w:szCs w:val="15"/>
                <w:color w:val="auto"/>
              </w:rPr>
            </w:pP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28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4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247,798</w:t>
            </w:r>
          </w:p>
        </w:tc>
        <w:tc>
          <w:tcPr>
            <w:tcW w:w="1280" w:type="dxa"/>
            <w:vAlign w:val="bottom"/>
            <w:shd w:val="clear" w:color="auto" w:fill="B6B6B6"/>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99"/>
              </w:rPr>
              <w:t>52</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17,568</w:t>
            </w:r>
          </w:p>
        </w:tc>
        <w:tc>
          <w:tcPr>
            <w:tcW w:w="40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230,282</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201,094</w:t>
            </w:r>
          </w:p>
        </w:tc>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29,554</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171,540</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111,290</w:t>
            </w:r>
          </w:p>
        </w:tc>
        <w:tc>
          <w:tcPr>
            <w:tcW w:w="128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99"/>
              </w:rPr>
              <w:t>19</w:t>
            </w:r>
          </w:p>
        </w:tc>
        <w:tc>
          <w:tcPr>
            <w:tcW w:w="30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9,643</w:t>
            </w:r>
          </w:p>
        </w:tc>
        <w:tc>
          <w:tcPr>
            <w:tcW w:w="40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101,666</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159,244</w:t>
            </w:r>
          </w:p>
        </w:tc>
        <w:tc>
          <w:tcPr>
            <w:tcW w:w="12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2,769</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156,475</w:t>
            </w:r>
          </w:p>
        </w:tc>
        <w:tc>
          <w:tcPr>
            <w:tcW w:w="0" w:type="dxa"/>
            <w:vAlign w:val="bottom"/>
          </w:tcPr>
          <w:p>
            <w:pPr>
              <w:spacing w:after="0"/>
              <w:rPr>
                <w:sz w:val="1"/>
                <w:szCs w:val="1"/>
                <w:color w:val="auto"/>
              </w:rPr>
            </w:pPr>
          </w:p>
        </w:tc>
      </w:tr>
      <w:tr>
        <w:trPr>
          <w:trHeight w:val="218"/>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40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220" w:type="dxa"/>
            <w:vAlign w:val="bottom"/>
            <w:tcBorders>
              <w:bottom w:val="single" w:sz="8" w:color="auto"/>
            </w:tcBorders>
            <w:shd w:val="clear" w:color="auto" w:fill="B6B6B6"/>
          </w:tcPr>
          <w:p>
            <w:pPr>
              <w:spacing w:after="0"/>
              <w:rPr>
                <w:sz w:val="20"/>
                <w:szCs w:val="20"/>
                <w:color w:val="auto"/>
              </w:rPr>
            </w:pP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45,048</w:t>
            </w:r>
          </w:p>
        </w:tc>
        <w:tc>
          <w:tcPr>
            <w:tcW w:w="1280" w:type="dxa"/>
            <w:vAlign w:val="bottom"/>
            <w:tcBorders>
              <w:bottom w:val="single" w:sz="8" w:color="auto"/>
            </w:tcBorders>
            <w:shd w:val="clear" w:color="auto" w:fill="B6B6B6"/>
          </w:tcPr>
          <w:p>
            <w:pPr>
              <w:spacing w:after="0"/>
              <w:rPr>
                <w:sz w:val="20"/>
                <w:szCs w:val="20"/>
                <w:color w:val="auto"/>
              </w:rPr>
            </w:pPr>
          </w:p>
        </w:tc>
        <w:tc>
          <w:tcPr>
            <w:tcW w:w="3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B6B6B6"/>
          </w:tcPr>
          <w:p>
            <w:pPr>
              <w:spacing w:after="0"/>
              <w:rPr>
                <w:sz w:val="20"/>
                <w:szCs w:val="20"/>
                <w:color w:val="auto"/>
              </w:rPr>
            </w:pP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1,974</w:t>
            </w:r>
          </w:p>
        </w:tc>
        <w:tc>
          <w:tcPr>
            <w:tcW w:w="40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43,074</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764,474</w:t>
            </w:r>
          </w:p>
        </w:tc>
        <w:tc>
          <w:tcPr>
            <w:tcW w:w="12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71</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61,508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703,037</w:t>
            </w:r>
          </w:p>
        </w:tc>
        <w:tc>
          <w:tcPr>
            <w:tcW w:w="0" w:type="dxa"/>
            <w:vAlign w:val="bottom"/>
          </w:tcPr>
          <w:p>
            <w:pPr>
              <w:spacing w:after="0"/>
              <w:rPr>
                <w:sz w:val="1"/>
                <w:szCs w:val="1"/>
                <w:color w:val="auto"/>
              </w:rPr>
            </w:pPr>
          </w:p>
        </w:tc>
      </w:tr>
      <w:tr>
        <w:trPr>
          <w:trHeight w:val="905"/>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600" w:type="dxa"/>
            <w:vAlign w:val="bottom"/>
          </w:tcPr>
          <w:p>
            <w:pPr>
              <w:spacing w:after="0"/>
              <w:rPr>
                <w:sz w:val="15"/>
                <w:szCs w:val="15"/>
                <w:color w:val="auto"/>
              </w:rPr>
            </w:pPr>
          </w:p>
        </w:tc>
        <w:tc>
          <w:tcPr>
            <w:tcW w:w="74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41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340" w:type="dxa"/>
            <w:vAlign w:val="bottom"/>
            <w:gridSpan w:val="2"/>
          </w:tcPr>
          <w:p>
            <w:pPr>
              <w:jc w:val="center"/>
              <w:ind w:left="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140" w:type="dxa"/>
            <w:vAlign w:val="bottom"/>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317,376</w:t>
            </w:r>
          </w:p>
        </w:tc>
        <w:tc>
          <w:tcPr>
            <w:tcW w:w="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6B6B6"/>
          </w:tcPr>
          <w:p>
            <w:pPr>
              <w:spacing w:after="0"/>
              <w:rPr>
                <w:sz w:val="21"/>
                <w:szCs w:val="21"/>
                <w:color w:val="auto"/>
              </w:rPr>
            </w:pPr>
          </w:p>
        </w:tc>
        <w:tc>
          <w:tcPr>
            <w:tcW w:w="3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99"/>
              </w:rPr>
              <w:t>54</w:t>
            </w:r>
          </w:p>
        </w:tc>
        <w:tc>
          <w:tcPr>
            <w:tcW w:w="3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1"/>
                <w:szCs w:val="21"/>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295,126</w:t>
            </w:r>
          </w:p>
        </w:tc>
        <w:tc>
          <w:tcPr>
            <w:tcW w:w="0" w:type="dxa"/>
            <w:vAlign w:val="bottom"/>
          </w:tcPr>
          <w:p>
            <w:pPr>
              <w:spacing w:after="0"/>
              <w:rPr>
                <w:sz w:val="1"/>
                <w:szCs w:val="1"/>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205,175</w:t>
            </w: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31,236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173,939</w:t>
            </w:r>
          </w:p>
        </w:tc>
        <w:tc>
          <w:tcPr>
            <w:tcW w:w="0" w:type="dxa"/>
            <w:vAlign w:val="bottom"/>
          </w:tcPr>
          <w:p>
            <w:pPr>
              <w:spacing w:after="0"/>
              <w:rPr>
                <w:sz w:val="1"/>
                <w:szCs w:val="1"/>
                <w:color w:val="auto"/>
              </w:rPr>
            </w:pPr>
          </w:p>
        </w:tc>
      </w:tr>
      <w:tr>
        <w:trPr>
          <w:trHeight w:val="234"/>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92"/>
              </w:rPr>
              <w:t>96,348</w:t>
            </w:r>
          </w:p>
        </w:tc>
        <w:tc>
          <w:tcPr>
            <w:tcW w:w="600" w:type="dxa"/>
            <w:vAlign w:val="bottom"/>
            <w:shd w:val="clear" w:color="auto" w:fill="B6B6B6"/>
          </w:tcPr>
          <w:p>
            <w:pPr>
              <w:spacing w:after="0"/>
              <w:rPr>
                <w:sz w:val="22"/>
                <w:szCs w:val="22"/>
                <w:color w:val="auto"/>
              </w:rPr>
            </w:pPr>
          </w:p>
        </w:tc>
        <w:tc>
          <w:tcPr>
            <w:tcW w:w="74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2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85,097</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158,935</w:t>
            </w: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155,283</w:t>
            </w:r>
          </w:p>
        </w:tc>
        <w:tc>
          <w:tcPr>
            <w:tcW w:w="0" w:type="dxa"/>
            <w:vAlign w:val="bottom"/>
          </w:tcPr>
          <w:p>
            <w:pPr>
              <w:spacing w:after="0"/>
              <w:rPr>
                <w:sz w:val="1"/>
                <w:szCs w:val="1"/>
                <w:color w:val="auto"/>
              </w:rPr>
            </w:pPr>
          </w:p>
        </w:tc>
      </w:tr>
      <w:tr>
        <w:trPr>
          <w:trHeight w:val="231"/>
        </w:trPr>
        <w:tc>
          <w:tcPr>
            <w:tcW w:w="5720" w:type="dxa"/>
            <w:vAlign w:val="bottom"/>
            <w:gridSpan w:val="6"/>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shd w:val="clear" w:color="auto" w:fill="B6B6B6"/>
          </w:tcPr>
          <w:p>
            <w:pPr>
              <w:spacing w:after="0"/>
              <w:rPr>
                <w:sz w:val="20"/>
                <w:szCs w:val="20"/>
                <w:color w:val="auto"/>
              </w:rPr>
            </w:pPr>
          </w:p>
        </w:tc>
        <w:tc>
          <w:tcPr>
            <w:tcW w:w="52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92"/>
              </w:rPr>
              <w:t>47,213</w:t>
            </w:r>
          </w:p>
        </w:tc>
        <w:tc>
          <w:tcPr>
            <w:tcW w:w="600" w:type="dxa"/>
            <w:vAlign w:val="bottom"/>
            <w:shd w:val="clear" w:color="auto" w:fill="B6B6B6"/>
          </w:tcPr>
          <w:p>
            <w:pPr>
              <w:spacing w:after="0"/>
              <w:rPr>
                <w:sz w:val="20"/>
                <w:szCs w:val="20"/>
                <w:color w:val="auto"/>
              </w:rPr>
            </w:pPr>
          </w:p>
        </w:tc>
        <w:tc>
          <w:tcPr>
            <w:tcW w:w="740" w:type="dxa"/>
            <w:vAlign w:val="bottom"/>
            <w:shd w:val="clear" w:color="auto" w:fill="B6B6B6"/>
          </w:tcPr>
          <w:p>
            <w:pPr>
              <w:spacing w:after="0"/>
              <w:rPr>
                <w:sz w:val="20"/>
                <w:szCs w:val="20"/>
                <w:color w:val="auto"/>
              </w:rPr>
            </w:pPr>
          </w:p>
        </w:tc>
        <w:tc>
          <w:tcPr>
            <w:tcW w:w="340" w:type="dxa"/>
            <w:vAlign w:val="bottom"/>
            <w:vMerge w:val="restart"/>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B6B6B6"/>
          </w:tcPr>
          <w:p>
            <w:pPr>
              <w:spacing w:after="0"/>
              <w:rPr>
                <w:sz w:val="20"/>
                <w:szCs w:val="20"/>
                <w:color w:val="auto"/>
              </w:rPr>
            </w:pPr>
          </w:p>
        </w:tc>
        <w:tc>
          <w:tcPr>
            <w:tcW w:w="220" w:type="dxa"/>
            <w:vAlign w:val="bottom"/>
            <w:shd w:val="clear" w:color="auto" w:fill="B6B6B6"/>
          </w:tcPr>
          <w:p>
            <w:pPr>
              <w:spacing w:after="0"/>
              <w:rPr>
                <w:sz w:val="20"/>
                <w:szCs w:val="20"/>
                <w:color w:val="auto"/>
              </w:rPr>
            </w:pPr>
          </w:p>
        </w:tc>
        <w:tc>
          <w:tcPr>
            <w:tcW w:w="9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6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116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spacing w:after="0"/>
              <w:rPr>
                <w:sz w:val="20"/>
                <w:szCs w:val="20"/>
                <w:color w:val="auto"/>
              </w:rPr>
            </w:pPr>
          </w:p>
        </w:tc>
        <w:tc>
          <w:tcPr>
            <w:tcW w:w="240" w:type="dxa"/>
            <w:vAlign w:val="bottom"/>
            <w:tcBorders>
              <w:bottom w:val="single" w:sz="8" w:color="auto"/>
            </w:tcBorders>
            <w:shd w:val="clear" w:color="auto" w:fill="B6B6B6"/>
          </w:tcPr>
          <w:p>
            <w:pPr>
              <w:spacing w:after="0"/>
              <w:rPr>
                <w:sz w:val="20"/>
                <w:szCs w:val="20"/>
                <w:color w:val="auto"/>
              </w:rPr>
            </w:pPr>
          </w:p>
        </w:tc>
        <w:tc>
          <w:tcPr>
            <w:tcW w:w="440" w:type="dxa"/>
            <w:vAlign w:val="bottom"/>
            <w:tcBorders>
              <w:bottom w:val="single" w:sz="8" w:color="auto"/>
            </w:tcBorders>
            <w:shd w:val="clear" w:color="auto" w:fill="B6B6B6"/>
          </w:tcPr>
          <w:p>
            <w:pPr>
              <w:spacing w:after="0"/>
              <w:rPr>
                <w:sz w:val="20"/>
                <w:szCs w:val="20"/>
                <w:color w:val="auto"/>
              </w:rPr>
            </w:pPr>
          </w:p>
        </w:tc>
        <w:tc>
          <w:tcPr>
            <w:tcW w:w="70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520" w:type="dxa"/>
            <w:vAlign w:val="bottom"/>
            <w:tcBorders>
              <w:bottom w:val="single" w:sz="8" w:color="auto"/>
            </w:tcBorders>
            <w:vMerge w:val="continue"/>
            <w:shd w:val="clear" w:color="auto" w:fill="B6B6B6"/>
          </w:tcPr>
          <w:p>
            <w:pPr>
              <w:spacing w:after="0"/>
              <w:rPr>
                <w:sz w:val="20"/>
                <w:szCs w:val="20"/>
                <w:color w:val="auto"/>
              </w:rPr>
            </w:pPr>
          </w:p>
        </w:tc>
        <w:tc>
          <w:tcPr>
            <w:tcW w:w="600" w:type="dxa"/>
            <w:vAlign w:val="bottom"/>
            <w:tcBorders>
              <w:bottom w:val="single" w:sz="8" w:color="auto"/>
            </w:tcBorders>
            <w:shd w:val="clear" w:color="auto" w:fill="B6B6B6"/>
          </w:tcPr>
          <w:p>
            <w:pPr>
              <w:spacing w:after="0"/>
              <w:rPr>
                <w:sz w:val="20"/>
                <w:szCs w:val="20"/>
                <w:color w:val="auto"/>
              </w:rPr>
            </w:pPr>
          </w:p>
        </w:tc>
        <w:tc>
          <w:tcPr>
            <w:tcW w:w="740" w:type="dxa"/>
            <w:vAlign w:val="bottom"/>
            <w:tcBorders>
              <w:bottom w:val="single" w:sz="8" w:color="auto"/>
            </w:tcBorders>
            <w:shd w:val="clear" w:color="auto" w:fill="B6B6B6"/>
          </w:tcPr>
          <w:p>
            <w:pPr>
              <w:spacing w:after="0"/>
              <w:rPr>
                <w:sz w:val="20"/>
                <w:szCs w:val="20"/>
                <w:color w:val="auto"/>
              </w:rPr>
            </w:pPr>
          </w:p>
        </w:tc>
        <w:tc>
          <w:tcPr>
            <w:tcW w:w="340" w:type="dxa"/>
            <w:vAlign w:val="bottom"/>
            <w:tcBorders>
              <w:bottom w:val="single" w:sz="8" w:color="auto"/>
            </w:tcBorders>
            <w:vMerge w:val="continue"/>
            <w:shd w:val="clear" w:color="auto" w:fill="B6B6B6"/>
          </w:tcPr>
          <w:p>
            <w:pPr>
              <w:spacing w:after="0"/>
              <w:rPr>
                <w:sz w:val="20"/>
                <w:szCs w:val="20"/>
                <w:color w:val="auto"/>
              </w:rPr>
            </w:pPr>
          </w:p>
        </w:tc>
        <w:tc>
          <w:tcPr>
            <w:tcW w:w="32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980" w:type="dxa"/>
            <w:vAlign w:val="bottom"/>
            <w:tcBorders>
              <w:bottom w:val="single" w:sz="8" w:color="auto"/>
            </w:tcBorders>
            <w:vMerge w:val="continue"/>
            <w:shd w:val="clear" w:color="auto" w:fill="B6B6B6"/>
          </w:tcPr>
          <w:p>
            <w:pPr>
              <w:spacing w:after="0"/>
              <w:rPr>
                <w:sz w:val="20"/>
                <w:szCs w:val="20"/>
                <w:color w:val="auto"/>
              </w:rPr>
            </w:pPr>
          </w:p>
        </w:tc>
        <w:tc>
          <w:tcPr>
            <w:tcW w:w="260" w:type="dxa"/>
            <w:vAlign w:val="bottom"/>
            <w:tcBorders>
              <w:bottom w:val="single" w:sz="8" w:color="auto"/>
            </w:tcBorders>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vMerge w:val="continue"/>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825,047</w:t>
            </w: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54</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754,468</w:t>
            </w:r>
          </w:p>
        </w:tc>
        <w:tc>
          <w:tcPr>
            <w:tcW w:w="0" w:type="dxa"/>
            <w:vAlign w:val="bottom"/>
          </w:tcPr>
          <w:p>
            <w:pPr>
              <w:spacing w:after="0"/>
              <w:rPr>
                <w:sz w:val="1"/>
                <w:szCs w:val="1"/>
                <w:color w:val="auto"/>
              </w:rPr>
            </w:pPr>
          </w:p>
        </w:tc>
      </w:tr>
      <w:tr>
        <w:trPr>
          <w:trHeight w:val="486"/>
        </w:trPr>
        <w:tc>
          <w:tcPr>
            <w:tcW w:w="5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gridSpan w:val="2"/>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5"/>
                <w:szCs w:val="15"/>
                <w:color w:val="auto"/>
              </w:rPr>
            </w:pPr>
          </w:p>
        </w:tc>
        <w:tc>
          <w:tcPr>
            <w:tcW w:w="1120" w:type="dxa"/>
            <w:vAlign w:val="bottom"/>
            <w:gridSpan w:val="2"/>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40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80,551</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114,603</w:t>
            </w:r>
          </w:p>
        </w:tc>
        <w:tc>
          <w:tcPr>
            <w:tcW w:w="74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195,154</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12,346</w:t>
            </w:r>
          </w:p>
        </w:tc>
        <w:tc>
          <w:tcPr>
            <w:tcW w:w="240" w:type="dxa"/>
            <w:vAlign w:val="bottom"/>
          </w:tcPr>
          <w:p>
            <w:pPr>
              <w:spacing w:after="0"/>
              <w:rPr>
                <w:sz w:val="22"/>
                <w:szCs w:val="22"/>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159,194</w:t>
            </w:r>
          </w:p>
        </w:tc>
        <w:tc>
          <w:tcPr>
            <w:tcW w:w="7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220" w:type="dxa"/>
            <w:vAlign w:val="bottom"/>
          </w:tcPr>
          <w:p>
            <w:pPr>
              <w:spacing w:after="0"/>
              <w:rPr>
                <w:sz w:val="22"/>
                <w:szCs w:val="22"/>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171,540</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29,554</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81,647</w:t>
            </w:r>
          </w:p>
        </w:tc>
        <w:tc>
          <w:tcPr>
            <w:tcW w:w="740" w:type="dxa"/>
            <w:vAlign w:val="bottom"/>
            <w:shd w:val="clear" w:color="auto" w:fill="B6B6B6"/>
          </w:tcPr>
          <w:p>
            <w:pPr>
              <w:spacing w:after="0"/>
              <w:rPr>
                <w:sz w:val="22"/>
                <w:szCs w:val="22"/>
                <w:color w:val="auto"/>
              </w:rPr>
            </w:pPr>
          </w:p>
        </w:tc>
        <w:tc>
          <w:tcPr>
            <w:tcW w:w="66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22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86,647</w:t>
            </w: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156,474</w:t>
            </w:r>
          </w:p>
        </w:tc>
        <w:tc>
          <w:tcPr>
            <w:tcW w:w="2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2,769</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156,474</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18"/>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44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520" w:type="dxa"/>
            <w:vAlign w:val="bottom"/>
            <w:shd w:val="clear" w:color="auto" w:fill="B6B6B6"/>
          </w:tcPr>
          <w:p>
            <w:pPr>
              <w:spacing w:after="0"/>
              <w:rPr>
                <w:sz w:val="18"/>
                <w:szCs w:val="18"/>
                <w:color w:val="auto"/>
              </w:rPr>
            </w:pPr>
          </w:p>
        </w:tc>
        <w:tc>
          <w:tcPr>
            <w:tcW w:w="60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6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B6B6B6"/>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440" w:type="dxa"/>
            <w:vAlign w:val="bottom"/>
            <w:shd w:val="clear" w:color="auto" w:fill="B6B6B6"/>
          </w:tcPr>
          <w:p>
            <w:pPr>
              <w:spacing w:after="0"/>
              <w:rPr>
                <w:sz w:val="17"/>
                <w:szCs w:val="17"/>
                <w:color w:val="auto"/>
              </w:rPr>
            </w:pPr>
          </w:p>
        </w:tc>
        <w:tc>
          <w:tcPr>
            <w:tcW w:w="70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520" w:type="dxa"/>
            <w:vAlign w:val="bottom"/>
            <w:shd w:val="clear" w:color="auto" w:fill="B6B6B6"/>
          </w:tcPr>
          <w:p>
            <w:pPr>
              <w:spacing w:after="0"/>
              <w:rPr>
                <w:sz w:val="17"/>
                <w:szCs w:val="17"/>
                <w:color w:val="auto"/>
              </w:rPr>
            </w:pPr>
          </w:p>
        </w:tc>
        <w:tc>
          <w:tcPr>
            <w:tcW w:w="600" w:type="dxa"/>
            <w:vAlign w:val="bottom"/>
            <w:shd w:val="clear" w:color="auto" w:fill="B6B6B6"/>
          </w:tcPr>
          <w:p>
            <w:pPr>
              <w:spacing w:after="0"/>
              <w:rPr>
                <w:sz w:val="17"/>
                <w:szCs w:val="17"/>
                <w:color w:val="auto"/>
              </w:rPr>
            </w:pPr>
          </w:p>
        </w:tc>
        <w:tc>
          <w:tcPr>
            <w:tcW w:w="740" w:type="dxa"/>
            <w:vAlign w:val="bottom"/>
            <w:shd w:val="clear" w:color="auto" w:fill="B6B6B6"/>
          </w:tcPr>
          <w:p>
            <w:pPr>
              <w:spacing w:after="0"/>
              <w:rPr>
                <w:sz w:val="17"/>
                <w:szCs w:val="17"/>
                <w:color w:val="auto"/>
              </w:rPr>
            </w:pPr>
          </w:p>
        </w:tc>
        <w:tc>
          <w:tcPr>
            <w:tcW w:w="34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98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440" w:type="dxa"/>
            <w:vAlign w:val="bottom"/>
            <w:tcBorders>
              <w:bottom w:val="single" w:sz="8" w:color="auto"/>
            </w:tcBorders>
            <w:shd w:val="clear" w:color="auto" w:fill="B6B6B6"/>
          </w:tcPr>
          <w:p>
            <w:pPr>
              <w:spacing w:after="0"/>
              <w:rPr>
                <w:sz w:val="22"/>
                <w:szCs w:val="22"/>
                <w:color w:val="auto"/>
              </w:rPr>
            </w:pPr>
          </w:p>
        </w:tc>
        <w:tc>
          <w:tcPr>
            <w:tcW w:w="7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520" w:type="dxa"/>
            <w:vAlign w:val="bottom"/>
            <w:tcBorders>
              <w:bottom w:val="single" w:sz="8" w:color="auto"/>
            </w:tcBorders>
            <w:shd w:val="clear" w:color="auto" w:fill="B6B6B6"/>
          </w:tcPr>
          <w:p>
            <w:pPr>
              <w:spacing w:after="0"/>
              <w:rPr>
                <w:sz w:val="22"/>
                <w:szCs w:val="22"/>
                <w:color w:val="auto"/>
              </w:rPr>
            </w:pPr>
          </w:p>
        </w:tc>
        <w:tc>
          <w:tcPr>
            <w:tcW w:w="6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43,075</w:t>
            </w:r>
          </w:p>
        </w:tc>
        <w:tc>
          <w:tcPr>
            <w:tcW w:w="740" w:type="dxa"/>
            <w:vAlign w:val="bottom"/>
            <w:tcBorders>
              <w:bottom w:val="single" w:sz="8" w:color="auto"/>
            </w:tcBorders>
            <w:shd w:val="clear" w:color="auto" w:fill="B6B6B6"/>
          </w:tcPr>
          <w:p>
            <w:pPr>
              <w:spacing w:after="0"/>
              <w:rPr>
                <w:sz w:val="22"/>
                <w:szCs w:val="22"/>
                <w:color w:val="auto"/>
              </w:rPr>
            </w:pPr>
          </w:p>
        </w:tc>
        <w:tc>
          <w:tcPr>
            <w:tcW w:w="660" w:type="dxa"/>
            <w:vAlign w:val="bottom"/>
            <w:tcBorders>
              <w:bottom w:val="single" w:sz="8" w:color="auto"/>
            </w:tcBorders>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43,075</w:t>
            </w:r>
          </w:p>
        </w:tc>
        <w:tc>
          <w:tcPr>
            <w:tcW w:w="1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254,371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3,599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398,519</w:t>
            </w:r>
          </w:p>
        </w:tc>
        <w:tc>
          <w:tcPr>
            <w:tcW w:w="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57,909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652,890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214,919</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8,958</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47,474</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13,346</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262,393</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53,732</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6,135</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118,017</w:t>
            </w:r>
          </w:p>
        </w:tc>
        <w:tc>
          <w:tcPr>
            <w:tcW w:w="2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25,101</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171,749</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31,236</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32,517</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3,629</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47,580</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7,622</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80,097</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155,283</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3,652</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155,283</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218"/>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12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B6B6B6"/>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2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47,213</w:t>
            </w:r>
          </w:p>
        </w:tc>
        <w:tc>
          <w:tcPr>
            <w:tcW w:w="2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2,190</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47,213</w:t>
            </w:r>
          </w:p>
        </w:tc>
        <w:tc>
          <w:tcPr>
            <w:tcW w:w="28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456,451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22,374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260,284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48,259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716,735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250 securities, or 86.8% (176 of which for greater than 12 months), in an unrealized loss position as of March 31, 2023. The unrealized losses at March 31, 2023 were primarily attributable to changes in market interest rates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securities were purchased. The Company does not currently intend to sell and, based on current conditions, the Company does not believe it will be required to sell these available-for-sale securities before the recovery of the amortized cost basis, which may be the maturity dates of the securities. Therefore, the unrealized losses are recorded in accumulated other comprehensive loss. There were 311 securities, or 29.8% (101 of which for greater than 12 months), in an unrealized loss position as of December 31, 2022. At March 31, 2023 and December 31, 2022, the Company had not recorded an allowance for credit losses on securities.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86,522</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85,645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221,691</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218,313</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205,475</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182,676</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250,786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216,403</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764,474</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703,037</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$61.4 million and $0 for the three months ended March 31, 2023 and 2022, respectively. Gross realized gains were $39,000 and $0 for the three months ended March 31, 2023 and 2022, respectively. There were no securities pledged to secure public deposits or for other purposes at March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Fair Value of Financial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assets:</w:t>
            </w:r>
          </w:p>
        </w:tc>
        <w:tc>
          <w:tcPr>
            <w:tcW w:w="26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210,478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210,478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200,942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200,942</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703,037</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703,037</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754,468</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754,468</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1,057,119</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1,069,367</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1,004,682</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7,508</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8,297</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1,978,142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1,898,076</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2,033,074</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1,968,389</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1,116,150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1,116,150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1,257,217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1,257,217</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1,051,435</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1,051,435</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1,067,600</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1,067,600</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2,167,761</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2,167,761</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2,324,883</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2,324,883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w:t>
      </w:r>
      <w:r>
        <w:rPr>
          <w:rFonts w:ascii="Times New Roman" w:cs="Times New Roman" w:eastAsia="Times New Roman" w:hAnsi="Times New Roman"/>
          <w:sz w:val="18"/>
          <w:szCs w:val="18"/>
          <w:color w:val="auto"/>
        </w:rPr>
        <w:t>- The fair value is measured on a recurring basis using Level 2 valuations. Refer to Note 11, “Investment in Securities,”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unrealized gains and losses by investment type.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result in a fair valuation.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Payable </w:t>
      </w:r>
      <w:r>
        <w:rPr>
          <w:rFonts w:ascii="Times New Roman" w:cs="Times New Roman" w:eastAsia="Times New Roman" w:hAnsi="Times New Roman"/>
          <w:sz w:val="18"/>
          <w:szCs w:val="18"/>
          <w:color w:val="auto"/>
        </w:rPr>
        <w:t>- The carrying amount approximates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Revenue from Contracts with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the obligation to the customer is satisfied. The following is detail of the Company’s revenue from contracts with clients.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28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7"/>
        </w:trPr>
        <w:tc>
          <w:tcPr>
            <w:tcW w:w="5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0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Processing fees</w:t>
            </w:r>
          </w:p>
        </w:tc>
        <w:tc>
          <w:tcPr>
            <w:tcW w:w="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480" w:type="dxa"/>
            <w:vAlign w:val="bottom"/>
            <w:gridSpan w:val="3"/>
            <w:shd w:val="clear" w:color="auto" w:fill="B6B6B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19,036</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Financial fees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0" w:type="dxa"/>
            <w:vAlign w:val="bottom"/>
          </w:tcPr>
          <w:p>
            <w:pPr>
              <w:spacing w:after="0"/>
              <w:rPr>
                <w:sz w:val="1"/>
                <w:szCs w:val="1"/>
                <w:color w:val="auto"/>
              </w:rPr>
            </w:pPr>
          </w:p>
        </w:tc>
      </w:tr>
      <w:tr>
        <w:trPr>
          <w:trHeight w:val="256"/>
        </w:trPr>
        <w:tc>
          <w:tcPr>
            <w:tcW w:w="590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30,772</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Bank service fees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57"/>
        </w:trPr>
        <w:tc>
          <w:tcPr>
            <w:tcW w:w="59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31,036</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29,997</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B6B6B6"/>
            </w:tcBorders>
          </w:tcPr>
          <w:p>
            <w:pPr>
              <w:ind w:left="20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auto"/>
            </w:tcBorders>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3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32,107</w:t>
            </w:r>
          </w:p>
        </w:tc>
        <w:tc>
          <w:tcPr>
            <w:tcW w:w="480" w:type="dxa"/>
            <w:vAlign w:val="bottom"/>
            <w:tcBorders>
              <w:bottom w:val="single" w:sz="8" w:color="auto"/>
            </w:tcBorders>
            <w:gridSpan w:val="3"/>
            <w:shd w:val="clear" w:color="auto" w:fill="B6B6B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certain premises under operating leases. As of March 31, 2023, the Company had lease liabilities of $9.3 million and right-of-use assets of $8.9 million. Lease liabilities and right-of-use assets are reflected in other liabilities and other assets, respectively. Presented within occupancy expense on the Consolidated Statements of Income for the three months ended March 31, 2023, operating lease cost was $357,000, short-term lease cost was $53,000, and there was no variable lease cost. At March 31, 2023, the weighted-average remaining lease term for the operating leases was 8.0 years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the weighted-average discount rate used in the measurement of operating lease liabilities was 3.58%. Certain of the Company’s leases contain options to renew the lease; however, these renewal options are not included in the calculation of the lease liabilities as they are not reasonably certain to be exercised. See the Company’s 2022 Annual Report on Form 10-K for information regarding these commitments.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March 31, 2023 is as follows:</w:t>
            </w: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820" w:type="dxa"/>
            <w:vAlign w:val="bottom"/>
          </w:tcPr>
          <w:p>
            <w:pPr>
              <w:spacing w:after="0"/>
              <w:rPr>
                <w:sz w:val="24"/>
                <w:szCs w:val="24"/>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2"/>
        </w:trPr>
        <w:tc>
          <w:tcPr>
            <w:tcW w:w="8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820" w:type="dxa"/>
            <w:vAlign w:val="bottom"/>
            <w:shd w:val="clear" w:color="auto" w:fill="B6B6B6"/>
          </w:tcPr>
          <w:p>
            <w:pPr>
              <w:spacing w:after="0"/>
              <w:rPr>
                <w:sz w:val="21"/>
                <w:szCs w:val="21"/>
                <w:color w:val="auto"/>
              </w:rPr>
            </w:pPr>
          </w:p>
        </w:tc>
        <w:tc>
          <w:tcPr>
            <w:tcW w:w="150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63"/>
        </w:trPr>
        <w:tc>
          <w:tcPr>
            <w:tcW w:w="8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82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63"/>
        </w:trPr>
        <w:tc>
          <w:tcPr>
            <w:tcW w:w="8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82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820" w:type="dxa"/>
            <w:vAlign w:val="bottom"/>
            <w:tcBorders>
              <w:bottom w:val="single" w:sz="8" w:color="auto"/>
            </w:tcBorders>
            <w:shd w:val="clear" w:color="auto" w:fill="B6B6B6"/>
          </w:tcPr>
          <w:p>
            <w:pPr>
              <w:spacing w:after="0"/>
              <w:rPr>
                <w:sz w:val="22"/>
                <w:szCs w:val="22"/>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5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Discount on cash flows</w:t>
            </w:r>
          </w:p>
        </w:tc>
        <w:tc>
          <w:tcPr>
            <w:tcW w:w="820" w:type="dxa"/>
            <w:vAlign w:val="bottom"/>
            <w:tcBorders>
              <w:bottom w:val="single" w:sz="8" w:color="auto"/>
            </w:tcBorders>
            <w:shd w:val="clear" w:color="auto" w:fill="B6B6B6"/>
          </w:tcPr>
          <w:p>
            <w:pPr>
              <w:spacing w:after="0"/>
              <w:rPr>
                <w:sz w:val="22"/>
                <w:szCs w:val="22"/>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20"/>
        <w:spacing w:after="0" w:line="460"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three months ended March 31, 2023. Note 15 – Subsequent Events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March 31, 2023. There were no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jc w:val="both"/>
        <w:spacing w:after="0" w:line="254" w:lineRule="auto"/>
        <w:rPr>
          <w:sz w:val="20"/>
          <w:szCs w:val="20"/>
          <w:color w:val="auto"/>
        </w:rPr>
      </w:pPr>
      <w:r>
        <w:rPr>
          <w:rFonts w:ascii="Times New Roman" w:cs="Times New Roman" w:eastAsia="Times New Roman" w:hAnsi="Times New Roman"/>
          <w:sz w:val="18"/>
          <w:szCs w:val="18"/>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transactional level payment services, and investment of account balances generated during the payment process. The amount, type, and calculation of service fees vary greatly by service offering, but generally follow the volume of transactions processed. Transactional level payment services and interest income from the balances generated during the payment processing cycle are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2022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Industry Developments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the banking industry experienced significant volatility with high-profile bank failures and industry wide concerns related to liquidity, deposit outflows, unrealized securities losses and eroding consumer confidence in the banking system. Despite these negative industry developments, the Company’s liquidity position and balance sheet remains strong. The Company had cash and cash equivalents of $210.5 million at March 31, 2023. In addition, all of the Company's investment securities are classified as available-for-sale and the Company expects to generate approximately $232.5 million of cash flows through amortization and maturities of investment securities within the next 16 months.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also took a number of preemptive actions, which included proactive outreach to clients and actions to maximize its funding sources in response to these recent developments. The Company remains well-capitalized and has no nonperforming loans.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three-month period ended March 31, 2023 (“First Quarter of 2023”) compared to the three-month period ended March 31, 2022 (“First Quarter of 2022”). The following discussion and analysis should be read in conjunction with the unaudited consolidated financial statements and related notes and with the statistical information and financial data appearing in this report, as well as in the Company’s 2022 Annual Report on Form 10-K. Results of operations for the First Quarter of 2023 are not necessarily indicative of the results to be attained for any other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320" w:type="dxa"/>
            <w:vAlign w:val="bottom"/>
          </w:tcPr>
          <w:p>
            <w:pPr>
              <w:spacing w:after="0"/>
              <w:rPr>
                <w:sz w:val="14"/>
                <w:szCs w:val="14"/>
                <w:color w:val="auto"/>
              </w:rPr>
            </w:pP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14"/>
                <w:szCs w:val="14"/>
                <w:color w:val="auto"/>
              </w:rPr>
            </w:pPr>
          </w:p>
        </w:tc>
        <w:tc>
          <w:tcPr>
            <w:tcW w:w="12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4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19,513</w:t>
            </w:r>
          </w:p>
        </w:tc>
        <w:tc>
          <w:tcPr>
            <w:tcW w:w="36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19,036</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2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11,259</w:t>
            </w:r>
          </w:p>
        </w:tc>
        <w:tc>
          <w:tcPr>
            <w:tcW w:w="36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10,532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16,898</w:t>
            </w:r>
          </w:p>
        </w:tc>
        <w:tc>
          <w:tcPr>
            <w:tcW w:w="36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11,903</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provision for credit loss</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(340)</w:t>
            </w:r>
          </w:p>
        </w:tc>
        <w:tc>
          <w:tcPr>
            <w:tcW w:w="36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57"/>
        </w:trPr>
        <w:tc>
          <w:tcPr>
            <w:tcW w:w="4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1,335</w:t>
            </w:r>
          </w:p>
        </w:tc>
        <w:tc>
          <w:tcPr>
            <w:tcW w:w="36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862</w:t>
            </w: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49,345</w:t>
            </w:r>
          </w:p>
        </w:tc>
        <w:tc>
          <w:tcPr>
            <w:tcW w:w="36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42,103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57"/>
        </w:trPr>
        <w:tc>
          <w:tcPr>
            <w:tcW w:w="4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40,372</w:t>
            </w:r>
          </w:p>
        </w:tc>
        <w:tc>
          <w:tcPr>
            <w:tcW w:w="36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31,828</w:t>
            </w: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8,973</w:t>
            </w:r>
          </w:p>
        </w:tc>
        <w:tc>
          <w:tcPr>
            <w:tcW w:w="36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10,275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57"/>
        </w:trPr>
        <w:tc>
          <w:tcPr>
            <w:tcW w:w="4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1,856</w:t>
            </w:r>
          </w:p>
        </w:tc>
        <w:tc>
          <w:tcPr>
            <w:tcW w:w="36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7,117</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8,258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56"/>
        </w:trPr>
        <w:tc>
          <w:tcPr>
            <w:tcW w:w="4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0.51</w:t>
            </w:r>
          </w:p>
        </w:tc>
        <w:tc>
          <w:tcPr>
            <w:tcW w:w="36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0.60</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36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1.32 %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Return on average equity</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13.76 %</w:t>
            </w:r>
          </w:p>
        </w:tc>
        <w:tc>
          <w:tcPr>
            <w:tcW w:w="36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14.21 %</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revenue of $49.3 million during the three months ended March 31, 2023, up 17.2% from the three months ended March 31, 2022, primarily driven by rising interest rates which positively impacted net interest income and financial fees. Operating expense increased 26.8% primarily driven by an increase in full-time equivalent employees and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expenses due to strategic investment in technology initiatives. Net income was $7.1 million and diluted EPS was $0.51 per share, decreases of 13.8% and 15.0% from the three months ended March 31, 2022,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posted a 1.15% return on average assets and 13.76% return on average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average payments in advance of funding, and fee revenue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Pr>
          <w:p>
            <w:pPr>
              <w:spacing w:after="0"/>
              <w:rPr>
                <w:sz w:val="14"/>
                <w:szCs w:val="14"/>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4"/>
                <w:szCs w:val="14"/>
                <w:color w:val="auto"/>
              </w:rPr>
            </w:pPr>
          </w:p>
        </w:tc>
        <w:tc>
          <w:tcPr>
            <w:tcW w:w="128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432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4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300" w:type="dxa"/>
            <w:vAlign w:val="bottom"/>
            <w:shd w:val="clear" w:color="auto" w:fill="B6B6B6"/>
          </w:tcPr>
          <w:p>
            <w:pPr>
              <w:spacing w:after="0"/>
              <w:rPr>
                <w:sz w:val="21"/>
                <w:szCs w:val="21"/>
                <w:color w:val="auto"/>
              </w:rPr>
            </w:pPr>
          </w:p>
        </w:tc>
        <w:tc>
          <w:tcPr>
            <w:tcW w:w="11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9,098</w:t>
            </w:r>
          </w:p>
        </w:tc>
        <w:tc>
          <w:tcPr>
            <w:tcW w:w="320" w:type="dxa"/>
            <w:vAlign w:val="bottom"/>
            <w:shd w:val="clear" w:color="auto" w:fill="B6B6B6"/>
          </w:tcPr>
          <w:p>
            <w:pPr>
              <w:spacing w:after="0"/>
              <w:rPr>
                <w:sz w:val="21"/>
                <w:szCs w:val="21"/>
                <w:color w:val="auto"/>
              </w:rPr>
            </w:pPr>
          </w:p>
        </w:tc>
        <w:tc>
          <w:tcPr>
            <w:tcW w:w="12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8,958</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5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10,268,451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10,855,180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63"/>
        </w:trPr>
        <w:tc>
          <w:tcPr>
            <w:tcW w:w="4320" w:type="dxa"/>
            <w:vAlign w:val="bottom"/>
            <w:shd w:val="clear" w:color="auto" w:fill="B6B6B6"/>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Facility-related transaction volume </w:t>
            </w:r>
            <w:r>
              <w:rPr>
                <w:rFonts w:ascii="Times New Roman" w:cs="Times New Roman" w:eastAsia="Times New Roman" w:hAnsi="Times New Roman"/>
                <w:sz w:val="23"/>
                <w:szCs w:val="23"/>
                <w:color w:val="auto"/>
                <w:vertAlign w:val="superscript"/>
              </w:rPr>
              <w:t>1 2</w:t>
            </w:r>
          </w:p>
        </w:tc>
        <w:tc>
          <w:tcPr>
            <w:tcW w:w="30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3,468</w:t>
            </w:r>
          </w:p>
        </w:tc>
        <w:tc>
          <w:tcPr>
            <w:tcW w:w="3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3,293</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57"/>
        </w:trPr>
        <w:tc>
          <w:tcPr>
            <w:tcW w:w="43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Facility-related dollar volume </w:t>
            </w:r>
            <w:r>
              <w:rPr>
                <w:rFonts w:ascii="Times New Roman" w:cs="Times New Roman" w:eastAsia="Times New Roman" w:hAnsi="Times New Roman"/>
                <w:sz w:val="23"/>
                <w:szCs w:val="23"/>
                <w:color w:val="auto"/>
                <w:vertAlign w:val="superscript"/>
              </w:rPr>
              <w:t>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5,313,385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4,643,942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56"/>
        </w:trPr>
        <w:tc>
          <w:tcPr>
            <w:tcW w:w="4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payments in advance of funding</w:t>
            </w:r>
          </w:p>
        </w:tc>
        <w:tc>
          <w:tcPr>
            <w:tcW w:w="30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240,890</w:t>
            </w:r>
          </w:p>
        </w:tc>
        <w:tc>
          <w:tcPr>
            <w:tcW w:w="32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279,479</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5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19,513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19,036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63"/>
        </w:trPr>
        <w:tc>
          <w:tcPr>
            <w:tcW w:w="4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0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11,259</w:t>
            </w:r>
          </w:p>
        </w:tc>
        <w:tc>
          <w:tcPr>
            <w:tcW w:w="32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10,532</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862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line="27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Facility expense transaction volumes have been restated for the prior period to reflect total invoices processed. Previously, billing account numbers were utilized for the telecom division as a proxy for transactions.</w:t>
      </w: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energy, telecom and environmental.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of 2023 compared to First Quarter of 2022:</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fee revenue increased $727,000, or 6.9%, primarily attributable to the increase in short-term interest rates and increase in facility-related dollar volume of 14.4%, partially offset by a decline in transportation dollar volumes of 5.4%.</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Processing fee revenue increased $477,000, or 2.5%, primarily attributable to the increase in transportation and facility-related transaction volumes of 1.6% and 5.3%,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0" w:type="dxa"/>
            <w:vAlign w:val="bottom"/>
          </w:tcPr>
          <w:p>
            <w:pPr>
              <w:spacing w:after="0"/>
              <w:rPr>
                <w:sz w:val="14"/>
                <w:szCs w:val="14"/>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4"/>
                <w:szCs w:val="14"/>
                <w:color w:val="auto"/>
              </w:rPr>
            </w:pPr>
          </w:p>
        </w:tc>
        <w:tc>
          <w:tcPr>
            <w:tcW w:w="13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40" w:type="dxa"/>
            <w:vAlign w:val="bottom"/>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31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3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earnings assets</w:t>
            </w:r>
          </w:p>
        </w:tc>
        <w:tc>
          <w:tcPr>
            <w:tcW w:w="36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2,162,734</w:t>
            </w:r>
          </w:p>
        </w:tc>
        <w:tc>
          <w:tcPr>
            <w:tcW w:w="5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2,122,915</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591,102</w:t>
            </w:r>
          </w:p>
        </w:tc>
        <w:tc>
          <w:tcPr>
            <w:tcW w:w="520" w:type="dxa"/>
            <w:vAlign w:val="bottom"/>
          </w:tcPr>
          <w:p>
            <w:pPr>
              <w:spacing w:after="0"/>
              <w:rPr>
                <w:sz w:val="21"/>
                <w:szCs w:val="21"/>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593,057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3"/>
        </w:trPr>
        <w:tc>
          <w:tcPr>
            <w:tcW w:w="3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17,219</w:t>
            </w:r>
          </w:p>
        </w:tc>
        <w:tc>
          <w:tcPr>
            <w:tcW w:w="52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12,349</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1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3.23 %</w:t>
            </w:r>
          </w:p>
        </w:tc>
        <w:tc>
          <w:tcPr>
            <w:tcW w:w="2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2.36 %</w:t>
            </w:r>
          </w:p>
        </w:tc>
      </w:tr>
      <w:tr>
        <w:trPr>
          <w:trHeight w:val="263"/>
        </w:trPr>
        <w:tc>
          <w:tcPr>
            <w:tcW w:w="3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Yield on earning assets*</w:t>
            </w:r>
          </w:p>
        </w:tc>
        <w:tc>
          <w:tcPr>
            <w:tcW w:w="198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3.84 %</w:t>
            </w:r>
          </w:p>
        </w:tc>
        <w:tc>
          <w:tcPr>
            <w:tcW w:w="2460" w:type="dxa"/>
            <w:vAlign w:val="bottom"/>
            <w:shd w:val="clear" w:color="auto" w:fill="B6B6B6"/>
          </w:tcPr>
          <w:p>
            <w:pPr>
              <w:jc w:val="right"/>
              <w:ind w:right="1270"/>
              <w:spacing w:after="0"/>
              <w:rPr>
                <w:sz w:val="20"/>
                <w:szCs w:val="20"/>
                <w:color w:val="auto"/>
              </w:rPr>
            </w:pPr>
            <w:r>
              <w:rPr>
                <w:rFonts w:ascii="Times New Roman" w:cs="Times New Roman" w:eastAsia="Times New Roman" w:hAnsi="Times New Roman"/>
                <w:sz w:val="18"/>
                <w:szCs w:val="18"/>
                <w:color w:val="auto"/>
              </w:rPr>
              <w:t>2.40 %</w:t>
            </w:r>
          </w:p>
        </w:tc>
      </w:tr>
      <w:tr>
        <w:trPr>
          <w:trHeight w:val="250"/>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interest-bearing liabilities</w:t>
            </w:r>
          </w:p>
        </w:tc>
        <w:tc>
          <w:tcPr>
            <w:tcW w:w="1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2.20 %</w:t>
            </w:r>
          </w:p>
        </w:tc>
        <w:tc>
          <w:tcPr>
            <w:tcW w:w="246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0.15 %</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on a tax-equivalent basis assuming a tax rate of 21% for both 2023 and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of 2023 compared to First Quarter of 2022:</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net interest income is primarily due to the Federal Reserve's actions to increase the Federal Funds rate throughout 2022 and into the first quarter of 2023, positively affecting the net interest margin which increased to 3.23% as compared to 2.36% in the prior year. Additionally, average earning assets increased $39.8 million, or 1.9%, and contributed to the increase in net interest income. The yield on interest-earning assets increased 144 basis points from 2.40% to 3.84% while the cost of interest-bearing liabilities increased 205 basis points from 0.15% to 2.20%.</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loans increased $116.3 million, or 12.1%, to $1.1 billion. This increase was due to loan growth during 2022, specifically in the Company's franchise restaurants, faith-based, and lease financing receivables portfolios. The average yield on loans increased 90 basis points to 4.61% primarily due to the increase in short-term interest rates.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investment securities increased $101.0 million, or 14.6%, as cash provided by increases in funding sources was utilized to purchase investment securities. The average yield on taxable investment securities increased 105 basis points to 2.54% as a result of the increase in short and long-term interest rates. The average yield on tax-exempt investment securities declined 10 basis points to 2.82%. These securities are longer term fixed rate and do not reprice as quickly in a rising interest rate environment.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short-term investments, consisting of interest-bearing deposits in other financial institutions and federal funds sold, decreased $177.5 million, or 37.6%. The decrease is primarily a result of the increase in the average balances of investment securities and loans. The average yield on short-term investments increased 409 basis points to 4.28% primarily due to the increase in short-term interest rates that began in March 2022. The vast majority of these short-term investments are held at the Federal Reserve Bank.</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average balance of interest-bearing deposits decreased $2.0 million, or 0.3%. The average rate paid on interest-bearing deposits increased 203 basis points to 2.18% due to the increase in short-term interest rates.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demand deposits decreased $20.4 million, or 3.6%. The decrease was driven by deposit attrition as larger depository clients moved their funds to higher interest rate alternatives.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accounts and drafts payable increased $7.1 million, or 0.7%. The increase in average accounts and drafts payable was primarily driven by the increase in facility expense dollar volumes of 14.4%, partially offset by the decrease in transportation dollar volumes of 5.4%.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189" w:lineRule="exact"/>
        <w:rPr>
          <w:sz w:val="20"/>
          <w:szCs w:val="20"/>
          <w:color w:val="auto"/>
        </w:rPr>
      </w:pPr>
    </w:p>
    <w:p>
      <w:pPr>
        <w:jc w:val="both"/>
        <w:ind w:firstLine="9"/>
        <w:spacing w:after="0" w:line="266"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Quarter of 2023</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Quarter of 2022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3"/>
                <w:szCs w:val="13"/>
                <w:color w:val="auto"/>
              </w:rPr>
            </w:pPr>
          </w:p>
        </w:tc>
        <w:tc>
          <w:tcPr>
            <w:tcW w:w="12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3"/>
                <w:szCs w:val="13"/>
                <w:color w:val="auto"/>
              </w:rPr>
            </w:pPr>
          </w:p>
        </w:tc>
        <w:tc>
          <w:tcPr>
            <w:tcW w:w="12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22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1,076,221</w:t>
            </w:r>
          </w:p>
        </w:tc>
        <w:tc>
          <w:tcPr>
            <w:tcW w:w="34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12,235</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959,851</w:t>
            </w:r>
          </w:p>
        </w:tc>
        <w:tc>
          <w:tcPr>
            <w:tcW w:w="34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8,777</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3.71 %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571,673</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3,586</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395,233</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1,456</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219,690</w:t>
            </w:r>
          </w:p>
        </w:tc>
        <w:tc>
          <w:tcPr>
            <w:tcW w:w="340" w:type="dxa"/>
            <w:vAlign w:val="bottom"/>
          </w:tcPr>
          <w:p>
            <w:pPr>
              <w:spacing w:after="0"/>
              <w:rPr>
                <w:sz w:val="18"/>
                <w:szCs w:val="18"/>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1,529</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295,152</w:t>
            </w:r>
          </w:p>
        </w:tc>
        <w:tc>
          <w:tcPr>
            <w:tcW w:w="340" w:type="dxa"/>
            <w:vAlign w:val="bottom"/>
          </w:tcPr>
          <w:p>
            <w:pPr>
              <w:spacing w:after="0"/>
              <w:rPr>
                <w:sz w:val="18"/>
                <w:szCs w:val="18"/>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2,123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0" w:type="dxa"/>
            <w:vAlign w:val="bottom"/>
          </w:tcPr>
          <w:p>
            <w:pPr>
              <w:spacing w:after="0"/>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295,150</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3,113</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4.28 %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472,679</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216</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2,162,734</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20,463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2,122,915</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12,572</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22,044</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22,781</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20,433</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18,706</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48,111</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43,167</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21,355</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16,772</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240,890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279,479</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 securities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(66,525)</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63,834</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37,836</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(13,535)</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(12,046)</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2,499,341</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2,528,263</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18"/>
                <w:szCs w:val="18"/>
                <w:b w:val="1"/>
                <w:bCs w:val="1"/>
                <w:color w:val="auto"/>
                <w:vertAlign w:val="superscript"/>
              </w:rPr>
              <w:t>1</w:t>
            </w: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523,410</w:t>
            </w: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2,824</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530,491</w:t>
            </w: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136</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7,102</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17,488</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23,803</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110</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17,928</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41</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36,787</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215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27,150</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591,102</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3,171</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593,057</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223</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0" w:type="dxa"/>
            <w:vAlign w:val="bottom"/>
          </w:tcPr>
          <w:p>
            <w:pPr>
              <w:spacing w:after="0"/>
              <w:rPr>
                <w:sz w:val="1"/>
                <w:szCs w:val="1"/>
                <w:color w:val="auto"/>
              </w:rPr>
            </w:pPr>
          </w:p>
        </w:tc>
      </w:tr>
      <w:tr>
        <w:trPr>
          <w:trHeight w:val="20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340" w:type="dxa"/>
            <w:vAlign w:val="bottom"/>
          </w:tcPr>
          <w:p>
            <w:pPr>
              <w:spacing w:after="0"/>
              <w:rPr>
                <w:sz w:val="17"/>
                <w:szCs w:val="17"/>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73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596,935</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3,244</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593,057</w:t>
            </w:r>
          </w:p>
        </w:tc>
        <w:tc>
          <w:tcPr>
            <w:tcW w:w="340" w:type="dxa"/>
            <w:vAlign w:val="bottom"/>
            <w:tcBorders>
              <w:bottom w:val="single" w:sz="8" w:color="B6B6B6"/>
            </w:tcBorders>
            <w:shd w:val="clear" w:color="auto" w:fill="B6B6B6"/>
          </w:tcPr>
          <w:p>
            <w:pPr>
              <w:spacing w:after="0"/>
              <w:rPr>
                <w:sz w:val="16"/>
                <w:szCs w:val="16"/>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223</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553,644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574,064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1,095,182</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1,088,105</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43,789</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37,317</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2,289,550</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2,292,543</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209,791</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235,720</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2,499,341</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2,528,263</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spacing w:after="0"/>
              <w:rPr>
                <w:sz w:val="16"/>
                <w:szCs w:val="16"/>
                <w:color w:val="auto"/>
              </w:rPr>
            </w:pP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17,219</w:t>
            </w:r>
          </w:p>
        </w:tc>
        <w:tc>
          <w:tcPr>
            <w:tcW w:w="96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spacing w:after="0"/>
              <w:rPr>
                <w:sz w:val="16"/>
                <w:szCs w:val="16"/>
                <w:color w:val="auto"/>
              </w:rPr>
            </w:pP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12,349</w:t>
            </w:r>
          </w:p>
        </w:tc>
        <w:tc>
          <w:tcPr>
            <w:tcW w:w="98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on loans includes net loan fees of $220,000 and $225,000 for the first quarter of 2023 and 2022, respectively.</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39" w:lineRule="exact"/>
        <w:rPr>
          <w:rFonts w:ascii="Times New Roman" w:cs="Times New Roman" w:eastAsia="Times New Roman" w:hAnsi="Times New Roman"/>
          <w:sz w:val="14"/>
          <w:szCs w:val="14"/>
          <w:color w:val="auto"/>
        </w:rPr>
      </w:pPr>
    </w:p>
    <w:p>
      <w:pPr>
        <w:ind w:left="340" w:right="100" w:hanging="332"/>
        <w:spacing w:after="0" w:line="23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both 2023 and 2022. The tax-equivalent adjustment was approximately $321,000 and $446,000 for the first quarter of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40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First Quarter of 2023 Compared to First Quarter of</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7"/>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2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256"/>
        </w:trPr>
        <w:tc>
          <w:tcPr>
            <w:tcW w:w="50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827</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1,303</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63"/>
        </w:trPr>
        <w:tc>
          <w:tcPr>
            <w:tcW w:w="5080" w:type="dxa"/>
            <w:vAlign w:val="bottom"/>
            <w:shd w:val="clear" w:color="auto" w:fill="B6B6B6"/>
          </w:tcPr>
          <w:p>
            <w:pPr>
              <w:ind w:left="360"/>
              <w:spacing w:after="0" w:line="263"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22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3,008</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tcBorders>
              <w:bottom w:val="single" w:sz="8" w:color="auto"/>
            </w:tcBorders>
            <w:shd w:val="clear" w:color="auto" w:fill="B6B6B6"/>
          </w:tcPr>
          <w:p>
            <w:pPr>
              <w:spacing w:after="0"/>
              <w:rPr>
                <w:sz w:val="21"/>
                <w:szCs w:val="21"/>
                <w:color w:val="auto"/>
              </w:rPr>
            </w:pPr>
          </w:p>
        </w:tc>
        <w:tc>
          <w:tcPr>
            <w:tcW w:w="110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1,339</w:t>
            </w:r>
          </w:p>
        </w:tc>
        <w:tc>
          <w:tcPr>
            <w:tcW w:w="360" w:type="dxa"/>
            <w:vAlign w:val="bottom"/>
            <w:tcBorders>
              <w:bottom w:val="single" w:sz="8" w:color="auto"/>
            </w:tcBorders>
            <w:shd w:val="clear" w:color="auto" w:fill="B6B6B6"/>
          </w:tcPr>
          <w:p>
            <w:pPr>
              <w:spacing w:after="0"/>
              <w:rPr>
                <w:sz w:val="21"/>
                <w:szCs w:val="21"/>
                <w:color w:val="auto"/>
              </w:rPr>
            </w:pPr>
          </w:p>
        </w:tc>
        <w:tc>
          <w:tcPr>
            <w:tcW w:w="104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6,552</w:t>
            </w:r>
          </w:p>
        </w:tc>
        <w:tc>
          <w:tcPr>
            <w:tcW w:w="360" w:type="dxa"/>
            <w:vAlign w:val="bottom"/>
            <w:tcBorders>
              <w:bottom w:val="single" w:sz="8" w:color="auto"/>
            </w:tcBorders>
            <w:shd w:val="clear" w:color="auto" w:fill="B6B6B6"/>
          </w:tcPr>
          <w:p>
            <w:pPr>
              <w:spacing w:after="0"/>
              <w:rPr>
                <w:sz w:val="21"/>
                <w:szCs w:val="21"/>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2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2,690</w:t>
            </w:r>
          </w:p>
        </w:tc>
        <w:tc>
          <w:tcPr>
            <w:tcW w:w="36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5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50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22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Borders>
              <w:bottom w:val="single" w:sz="8" w:color="auto"/>
            </w:tcBorders>
            <w:shd w:val="clear" w:color="auto" w:fill="B6B6B6"/>
          </w:tcPr>
          <w:p>
            <w:pPr>
              <w:spacing w:after="0"/>
              <w:rPr>
                <w:sz w:val="22"/>
                <w:szCs w:val="22"/>
                <w:color w:val="auto"/>
              </w:rPr>
            </w:pPr>
          </w:p>
        </w:tc>
        <w:tc>
          <w:tcPr>
            <w:tcW w:w="104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Borders>
              <w:bottom w:val="single" w:sz="8" w:color="auto"/>
            </w:tcBorders>
            <w:shd w:val="clear" w:color="auto" w:fill="B6B6B6"/>
          </w:tcPr>
          <w:p>
            <w:pPr>
              <w:spacing w:after="0"/>
              <w:rPr>
                <w:sz w:val="22"/>
                <w:szCs w:val="22"/>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2,951</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1,269</w:t>
            </w:r>
          </w:p>
        </w:tc>
        <w:tc>
          <w:tcPr>
            <w:tcW w:w="3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3,601</w:t>
            </w:r>
          </w:p>
        </w:tc>
        <w:tc>
          <w:tcPr>
            <w:tcW w:w="3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three months ended March 31, 2023 and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and Allowance for Unfunded Commitments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release of credit losses and off-balance sheet credit exposures of $340,000, and a provision for credit losses of $230,000 in the First Quarter of 2023 and 2022, respectively. The amount of the (release of) provision for credit losses is derived from the Company’s quarterly Current Expected Credit Loss (“CECL”) model. The amount of the (release of) provision for credit losses will fluctuate as determined by these quarterly analyses. The release of credit losses in the First Quarter of 2023 was primarily driven by the decrease in loan balances outstanding from December 31, 2022.</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experienced no loan charge-offs in the First Quarter of 2023 and 2022. The ACL was $13.3 million at March 31, 2023 compared to $13.5 million at December 31, 2022. The ACL represented 1.24% of outstanding loans at March 31, 2023 and 1.25% of outstanding loans at December 31, 2022. The allowance for unfunded commitments was $177,000 at March 31, 2023 and $232,000 at December 31, 2022. There were no nonperforming loans outstanding at March 31, 2023. The Company had one loan that was considered an individually evaluated credit at December 31, 2022, with no specific allowance. This loan was paid off in full in January 2023.</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(release of) provision for credit losses and analysis of the ACL:</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96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3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57"/>
        </w:trPr>
        <w:tc>
          <w:tcPr>
            <w:tcW w:w="57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13,539</w:t>
            </w:r>
          </w:p>
        </w:tc>
        <w:tc>
          <w:tcPr>
            <w:tcW w:w="62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12,041</w:t>
            </w:r>
          </w:p>
        </w:tc>
      </w:tr>
      <w:tr>
        <w:trPr>
          <w:trHeight w:val="25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3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c>
          <w:tcPr>
            <w:tcW w:w="62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365</w:t>
            </w:r>
          </w:p>
        </w:tc>
      </w:tr>
      <w:tr>
        <w:trPr>
          <w:trHeight w:val="257"/>
        </w:trPr>
        <w:tc>
          <w:tcPr>
            <w:tcW w:w="57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13,254</w:t>
            </w:r>
          </w:p>
        </w:tc>
        <w:tc>
          <w:tcPr>
            <w:tcW w:w="62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12,406</w:t>
            </w:r>
          </w:p>
        </w:tc>
      </w:tr>
      <w:tr>
        <w:trPr>
          <w:trHeight w:val="148"/>
        </w:trPr>
        <w:tc>
          <w:tcPr>
            <w:tcW w:w="5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57"/>
        </w:trPr>
        <w:tc>
          <w:tcPr>
            <w:tcW w:w="57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232</w:t>
            </w:r>
          </w:p>
        </w:tc>
        <w:tc>
          <w:tcPr>
            <w:tcW w:w="62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367</w:t>
            </w:r>
          </w:p>
        </w:tc>
      </w:tr>
      <w:tr>
        <w:trPr>
          <w:trHeight w:val="250"/>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(135)</w:t>
            </w:r>
          </w:p>
        </w:tc>
      </w:tr>
      <w:tr>
        <w:trPr>
          <w:trHeight w:val="250"/>
        </w:trPr>
        <w:tc>
          <w:tcPr>
            <w:tcW w:w="57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177</w:t>
            </w:r>
          </w:p>
        </w:tc>
        <w:tc>
          <w:tcPr>
            <w:tcW w:w="62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r>
      <w:tr>
        <w:trPr>
          <w:trHeight w:val="135"/>
        </w:trPr>
        <w:tc>
          <w:tcPr>
            <w:tcW w:w="5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56"/>
        </w:trPr>
        <w:tc>
          <w:tcPr>
            <w:tcW w:w="57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Loans outstanding:</w:t>
            </w:r>
          </w:p>
        </w:tc>
        <w:tc>
          <w:tcPr>
            <w:tcW w:w="34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62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r>
      <w:tr>
        <w:trPr>
          <w:trHeight w:val="250"/>
        </w:trPr>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Average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1,076,221</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959,851</w:t>
            </w:r>
          </w:p>
        </w:tc>
      </w:tr>
      <w:tr>
        <w:trPr>
          <w:trHeight w:val="263"/>
        </w:trPr>
        <w:tc>
          <w:tcPr>
            <w:tcW w:w="5720" w:type="dxa"/>
            <w:vAlign w:val="bottom"/>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March 31</w:t>
            </w:r>
          </w:p>
        </w:tc>
        <w:tc>
          <w:tcPr>
            <w:tcW w:w="34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1,070,373</w:t>
            </w:r>
          </w:p>
        </w:tc>
        <w:tc>
          <w:tcPr>
            <w:tcW w:w="620" w:type="dxa"/>
            <w:vAlign w:val="bottom"/>
            <w:shd w:val="clear" w:color="auto" w:fill="B6B6B6"/>
          </w:tcPr>
          <w:p>
            <w:pPr>
              <w:spacing w:after="0"/>
              <w:rPr>
                <w:sz w:val="22"/>
                <w:szCs w:val="22"/>
                <w:color w:val="auto"/>
              </w:rPr>
            </w:pPr>
          </w:p>
        </w:tc>
        <w:tc>
          <w:tcPr>
            <w:tcW w:w="9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977,203</w:t>
            </w:r>
          </w:p>
        </w:tc>
      </w:tr>
      <w:tr>
        <w:trPr>
          <w:trHeight w:val="250"/>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Ratio of allowance for credit losses to loans outstanding at March 31</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for the First Quarter of 2023 increased $8.5 million, or 26.8%, compared to the First Quarter of 2022. The following table details the components of operating expenses: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120" w:type="dxa"/>
            <w:vAlign w:val="bottom"/>
            <w:tcBorders>
              <w:bottom w:val="single" w:sz="8" w:color="auto"/>
            </w:tcBorders>
          </w:tcPr>
          <w:p>
            <w:pPr>
              <w:spacing w:after="0"/>
              <w:rPr>
                <w:sz w:val="20"/>
                <w:szCs w:val="20"/>
                <w:color w:val="auto"/>
              </w:rPr>
            </w:pPr>
          </w:p>
        </w:tc>
      </w:tr>
      <w:tr>
        <w:trPr>
          <w:trHeight w:val="236"/>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4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22,605</w:t>
            </w:r>
          </w:p>
        </w:tc>
        <w:tc>
          <w:tcPr>
            <w:tcW w:w="120" w:type="dxa"/>
            <w:vAlign w:val="bottom"/>
            <w:shd w:val="clear" w:color="auto" w:fill="B6B6B6"/>
          </w:tcPr>
          <w:p>
            <w:pPr>
              <w:spacing w:after="0"/>
              <w:rPr>
                <w:sz w:val="19"/>
                <w:szCs w:val="19"/>
                <w:color w:val="auto"/>
              </w:rPr>
            </w:pPr>
          </w:p>
        </w:tc>
        <w:tc>
          <w:tcPr>
            <w:tcW w:w="62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19,631</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periodic pension cost (benefit)</w:t>
            </w:r>
          </w:p>
        </w:tc>
        <w:tc>
          <w:tcPr>
            <w:tcW w:w="400" w:type="dxa"/>
            <w:vAlign w:val="bottom"/>
            <w:shd w:val="clear" w:color="auto" w:fill="B6B6B6"/>
          </w:tcPr>
          <w:p>
            <w:pPr>
              <w:spacing w:after="0"/>
              <w:rPr>
                <w:sz w:val="19"/>
                <w:szCs w:val="19"/>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B6B6B6"/>
          </w:tcPr>
          <w:p>
            <w:pPr>
              <w:spacing w:after="0"/>
              <w:rPr>
                <w:sz w:val="19"/>
                <w:szCs w:val="19"/>
                <w:color w:val="auto"/>
              </w:rPr>
            </w:pPr>
          </w:p>
        </w:tc>
        <w:tc>
          <w:tcPr>
            <w:tcW w:w="620" w:type="dxa"/>
            <w:vAlign w:val="bottom"/>
            <w:shd w:val="clear" w:color="auto" w:fill="B6B6B6"/>
          </w:tcPr>
          <w:p>
            <w:pPr>
              <w:spacing w:after="0"/>
              <w:rPr>
                <w:sz w:val="19"/>
                <w:szCs w:val="19"/>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20" w:type="dxa"/>
            <w:vAlign w:val="bottom"/>
            <w:tcBorders>
              <w:bottom w:val="single" w:sz="8" w:color="B6B6B6"/>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23"/>
        </w:trPr>
        <w:tc>
          <w:tcPr>
            <w:tcW w:w="330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4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30,026</w:t>
            </w:r>
          </w:p>
        </w:tc>
        <w:tc>
          <w:tcPr>
            <w:tcW w:w="120" w:type="dxa"/>
            <w:vAlign w:val="bottom"/>
            <w:shd w:val="clear" w:color="auto" w:fill="B6B6B6"/>
          </w:tcPr>
          <w:p>
            <w:pPr>
              <w:spacing w:after="0"/>
              <w:rPr>
                <w:sz w:val="19"/>
                <w:szCs w:val="19"/>
                <w:color w:val="auto"/>
              </w:rPr>
            </w:pPr>
          </w:p>
        </w:tc>
        <w:tc>
          <w:tcPr>
            <w:tcW w:w="62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24,718</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9"/>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00" w:type="dxa"/>
            <w:vAlign w:val="bottom"/>
            <w:shd w:val="clear" w:color="auto" w:fill="B6B6B6"/>
          </w:tcPr>
          <w:p>
            <w:pPr>
              <w:spacing w:after="0"/>
              <w:rPr>
                <w:sz w:val="19"/>
                <w:szCs w:val="19"/>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shd w:val="clear" w:color="auto" w:fill="B6B6B6"/>
          </w:tcPr>
          <w:p>
            <w:pPr>
              <w:spacing w:after="0"/>
              <w:rPr>
                <w:sz w:val="19"/>
                <w:szCs w:val="19"/>
                <w:color w:val="auto"/>
              </w:rPr>
            </w:pPr>
          </w:p>
        </w:tc>
        <w:tc>
          <w:tcPr>
            <w:tcW w:w="620" w:type="dxa"/>
            <w:vAlign w:val="bottom"/>
            <w:shd w:val="clear" w:color="auto" w:fill="B6B6B6"/>
          </w:tcPr>
          <w:p>
            <w:pPr>
              <w:spacing w:after="0"/>
              <w:rPr>
                <w:sz w:val="19"/>
                <w:szCs w:val="19"/>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33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400" w:type="dxa"/>
            <w:vAlign w:val="bottom"/>
            <w:tcBorders>
              <w:bottom w:val="single" w:sz="8" w:color="auto"/>
            </w:tcBorders>
            <w:shd w:val="clear" w:color="auto" w:fill="B6B6B6"/>
          </w:tcPr>
          <w:p>
            <w:pPr>
              <w:spacing w:after="0"/>
              <w:rPr>
                <w:sz w:val="19"/>
                <w:szCs w:val="19"/>
                <w:color w:val="auto"/>
              </w:rPr>
            </w:pP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20" w:type="dxa"/>
            <w:vAlign w:val="bottom"/>
            <w:tcBorders>
              <w:bottom w:val="single" w:sz="8" w:color="auto"/>
            </w:tcBorders>
            <w:shd w:val="clear" w:color="auto" w:fill="B6B6B6"/>
          </w:tcPr>
          <w:p>
            <w:pPr>
              <w:spacing w:after="0"/>
              <w:rPr>
                <w:sz w:val="19"/>
                <w:szCs w:val="19"/>
                <w:color w:val="auto"/>
              </w:rPr>
            </w:pPr>
          </w:p>
        </w:tc>
        <w:tc>
          <w:tcPr>
            <w:tcW w:w="620" w:type="dxa"/>
            <w:vAlign w:val="bottom"/>
            <w:tcBorders>
              <w:bottom w:val="single" w:sz="8" w:color="auto"/>
            </w:tcBorders>
            <w:shd w:val="clear" w:color="auto" w:fill="B6B6B6"/>
          </w:tcPr>
          <w:p>
            <w:pPr>
              <w:spacing w:after="0"/>
              <w:rPr>
                <w:sz w:val="19"/>
                <w:szCs w:val="19"/>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4,349</w:t>
            </w: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40,372</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31,828</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of 2023 compared to First Quarter of 2022:</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Personnel expenses increased $5.3 million, or 21.5%. Salaries increased $3.0 million, or 15.1%, as a result of merit increases, wage pressures, and an increase in average full-time equivalent employees of 13.2% due to the Touchpoint acquisition and strategic investment in various technology initiatives. Share-based compensation increased $610,000 primarily related to executive succession matters. Pension expense increased $753,000. Despite the Company’s defined benefit pension plan being frozen in the first quarter of 2021 resulting in no service cost in subsequent periods, expense increased as a result of the accounting impact of the decline in plan assets during 2022 and corresponding decline in expected return on plan assets for 2023. Other benefits, such as 401(k) match, health insurance and payroll taxes, increased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$971,000, or 22.2%, primarily due to the 13.2% increase in average full-time equivalent employees as well as a significant increase in employer health insurance costs over prior year levels.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$2.9 million, or 65.9%. Certain expense categories such as outside service fees and data processing fees are elevated as the Company invests in, and transitions to, improved technology. Multiple technology platforms are being maintained prior to switching over to what the Company believes will be more efficient technology platforms for facility and transportation data entry processing by the end of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at March 31, 2023 were $2.4 billion, a decrease of $145.6 million, or 5.7%, from December 31, 2022.</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experienced an increase in cash and cash equivalents of $9.5 million, or 4.7%. The change in cash and cash equivalents reflects the Company’s daily liquidity position and is primarily affected by changes in funding sources, mainly accounts and drafts payable and deposits, cash flows in and out of loans, investments securities and payments in advance of funding.</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securities portfolio decreased $51.4 million, or 6.8%, during the first three months of 2023. The decrease is primarily due to the sale of $61.4 million of short-term securities partially offset by purchases of $15.2 million and a decrease in unrealized losses as a result of the decline in market interest rates during the first quarter of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decreased $12.5 million, or 1.2%. The decrease was primarily due to a decrease in lease financing receivables of $15.7 million.</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in advance of funding decreased $34.0 million, or 11.6%. The decrease in the balance is primarily due to a 5.4% decrease in transportation dollar volumes, which led to fewer dollars advanced to freight carriers.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and drafts receivable from customers decreased $58.5 million, or 61.1%, from December 31, 2022. The decrease is solely due to timing of customer funding.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 at March 31, 2023 were $2.2 billion, a decrease of $156.8 million, or 6.6%, from December 31, 2022.</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at March 31, 2023 were $1.1 billion, a decrease of $141.1 million, or 11.2%, from December 31, 2022. The decrease in deposits was partially due to seasonality with corporate clients making tax and annual bonus payments and fulfilling other operating needs as the Company generally sees a decline in depository balances during the first quarter. In addition, the Company experienced deposit attrition as larger depository clients moved their funds to higher interest rate alternates outside of Cass Commercial Bank.</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and drafts payable at March 31, 2023 were $1.1 billion, a decrease of $16.2 million, or 1.5%, from December 31, 2022. The decrease in these balances, which are non-interest bearing, are primarily reflective of the decrease in transportation dollar volumes of 5.4%, partially offset by the increase in facility expense dollar volumes of 14.4%. Accounts and drafts payable are a stable source of funding generated by payment float from transportation and facility clients. Accounts and drafts payable will fluctuate from period-end to period-end due to the payment processing cycle, which results in lower balances on days when payments clear and higher balances on days when payments are issued. For this reason, average balances are generally a more meaningful measure of accounts and drafts payable.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shareholders’ equity at March 31, 2023 was $217.5 million, an $11.2 million, or 5.4%, increase from December 31, 2022. The increase in shareholders’ equity is a result of first quarter 2023 earnings and a decrease in accumulated other comprehensive loss of $7.1 million due to the decline in market interest rates and resulting positive impact on the fair value of available-for-sale investment securities. These increases were partially offset by dividends paid of $4.0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money market funds. Cash and cash equivalents totaled $210.5 million at March 31, 2023, an increase of $9.5 million, or 4.7%, from December 31, 2022. At March 31, 2023, these assets represented 8.7% of total assets and are the Company’s and its subsidiaries’ primary source of liquidity to meet future expected and unexpected loan demand, depositor withdrawals or reductions in accounts and drafts payable.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securities were $703.0 million at March 31, 2023, a decrease of $51.4 million from December 31, 2022. These assets represented 29.0% of total assets at March 31, 2023. Of the total portfolio, 12.3% mature in one year, 30.9% mature in one to five years, and 56.8% mature in five or more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expects to generate approximately $232.5 million of cash flows through amortization and maturities of investment securities within the next 16 months.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has unsecured lines of credit at six correspondent banks to purchase federal funds up to a maximum of $83.0 million in aggregate. As of March 31, 2023, the Bank also has secured lines of credit with the Federal Home Loan Bank of $216.1 million collateralized by mortgage loans. The Company also has secured lines of credit from three banks up to a maximum of $200.0 million in aggregate collateralized by state and political subdivision securities. There were no amounts outstanding under any line of credit as of March 31, 2023 or December 31, 2022.</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$36.9 million of CDARS deposits and interest-bearing demand deposits include $96.0 million of ICS deposits. These programs offer the Bank’s customers the ability to maximize Federal Deposit Insurance Corporation (“FDIC”) insurance coverage. The Company uses these programs to retain or attract deposits from existing customers.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were $9.3 million for the three months ended March 31, 2023, compared to $14.7 million for the three months ended March 31, 2022, a decrease of $5.4 million.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2023, which are estimated to range from $8 million to $10 million.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plus amortization of intangible assets, net amortization of premium/discount on investment securities and depreciation of premises and equipment was $8.5 million and $10.1 million for the three-months ended March 31, 2023 and 2022, respectively, a decrease of $1.6 million. The decrease was due to the decrease in net income of $1.1 million and decrease in net amortization of premium/discount on investment securities of $529,000. The net amortization of premium/discount on investment securities is dependent on the type of securities purchased and changes in the prevailing market interest rate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impacting the $5.4 million decrease in net cash provided by operating activities include:</w:t>
      </w:r>
    </w:p>
    <w:p>
      <w:pPr>
        <w:spacing w:after="0" w:line="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operating activities, net of $3.1 million, primarily due to changes in various accounts receivable and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accounts receivable of $1.2 million due to the timing of customer payments;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(release of) provision for credit losses of $570,000 primarily due to changes in loans outstanding during the respective periods.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were partially offset by:</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expense of $610,000 primarily related to executive succession matters;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pension liability of $741,000.</w:t>
      </w:r>
    </w:p>
    <w:p>
      <w:pPr>
        <w:spacing w:after="0" w:line="1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inflation, and energy costs as well as new business opportunities available to the Company.</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 interest-bearing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level of economic activity can have a significant impact on the Company’s ability to generate revenues and income, as the volume and size of customer invoices processed may increase or decrease. Lower levels of economic activity decrease both fee income (as fewer invoices are processed) and balances of accounts and drafts payable (as fewer invoices are processed) from the Company's transportation customers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bank holding company, the Company and the Bank are subject to capital requirements pursuant to the FRB’s capital guidelines 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Basel III Capital Rules require banking organizations, like Cass, to maintain:</w:t>
      </w:r>
    </w:p>
    <w:p>
      <w:pPr>
        <w:spacing w:after="0" w:line="185"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common equity Tier 1 capital to risk-weighted assets of at least 4.5%, plus a 2.5% capital conservation buffer (resulting in a minimum common equity Tier 1 capital ratio of 7.0%);</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Tier 1 capital to risk-weighted assets of at least 6.0%, plus a 2.5% capital conservation buffer (resulting in a minimum Tier 1 capital ratio of 8.5%);</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total capital (that is, Tier 1 plus Tier 2 capital) to risk-weighted assets of at least 8.0%, plus the 2.5% capital conservation buffer (resulting in a minimum total capital ratio of 10.5%);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leverage ratio of 4.0%, calculated as the ratio of Tier 1 capital to adjusted average consolidated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calculation of all types of regulatory capital is subject to deductions and adjustments specified in the regulations. For instance, the Basel III Capital Rules and the Capital Simplification Rules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Requirement to be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Requirements</w:t>
            </w: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Well-Capitalized</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23"/>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At March 31, 2023</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261,432</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14.49 %</w:t>
            </w:r>
          </w:p>
        </w:tc>
        <w:tc>
          <w:tcPr>
            <w:tcW w:w="2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144,307</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184,901</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92,549</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115,686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75"/>
        </w:trPr>
        <w:tc>
          <w:tcPr>
            <w:tcW w:w="3780" w:type="dxa"/>
            <w:vAlign w:val="bottom"/>
            <w:shd w:val="clear" w:color="auto" w:fill="DBDBDB"/>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DBDBDB"/>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248,178</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13.76</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81,172</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172,384</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14.90</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52,059</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75,196</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248,178</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13.76</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108,230</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172,384</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14.90</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69,412</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92,549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248,178</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99,124</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172,384</w:t>
            </w:r>
          </w:p>
        </w:tc>
        <w:tc>
          <w:tcPr>
            <w:tcW w:w="960" w:type="dxa"/>
            <w:vAlign w:val="bottom"/>
            <w:tcBorders>
              <w:bottom w:val="single" w:sz="8" w:color="auto"/>
            </w:tcBorders>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61,009</w:t>
            </w:r>
          </w:p>
        </w:tc>
        <w:tc>
          <w:tcPr>
            <w:tcW w:w="106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76,261</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257,313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152,306</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186,075</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93,044</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w w:val="99"/>
              </w:rPr>
              <w:t>116,305</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243,774</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shd w:val="clear" w:color="auto" w:fill="DBDBDB"/>
          </w:tcPr>
          <w:p>
            <w:pPr>
              <w:spacing w:after="0"/>
              <w:rPr>
                <w:sz w:val="20"/>
                <w:szCs w:val="20"/>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85,672</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DBDBDB"/>
          </w:tcPr>
          <w:p>
            <w:pPr>
              <w:spacing w:after="0"/>
              <w:rPr>
                <w:sz w:val="20"/>
                <w:szCs w:val="20"/>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172,848</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14.86</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52,337</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75,598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243,774</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114,229</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172,848</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14.86</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69,783</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93,044</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Times New Roman" w:cs="Times New Roman" w:eastAsia="Times New Roman" w:hAnsi="Times New Roman"/>
                <w:sz w:val="18"/>
                <w:szCs w:val="18"/>
                <w:color w:val="auto"/>
              </w:rPr>
              <w:t>243,771</w:t>
            </w:r>
          </w:p>
        </w:tc>
        <w:tc>
          <w:tcPr>
            <w:tcW w:w="960" w:type="dxa"/>
            <w:vAlign w:val="bottom"/>
            <w:shd w:val="clear" w:color="auto" w:fill="DBDBDB"/>
          </w:tcPr>
          <w:p>
            <w:pPr>
              <w:jc w:val="right"/>
              <w:ind w:right="170"/>
              <w:spacing w:after="0"/>
              <w:rPr>
                <w:sz w:val="20"/>
                <w:szCs w:val="20"/>
                <w:color w:val="auto"/>
              </w:rPr>
            </w:pPr>
            <w:r>
              <w:rPr>
                <w:rFonts w:ascii="Times New Roman" w:cs="Times New Roman" w:eastAsia="Times New Roman" w:hAnsi="Times New Roman"/>
                <w:sz w:val="18"/>
                <w:szCs w:val="18"/>
                <w:color w:val="auto"/>
              </w:rPr>
              <w:t>9.52</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102,386</w:t>
            </w:r>
          </w:p>
        </w:tc>
        <w:tc>
          <w:tcPr>
            <w:tcW w:w="106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172,848</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10.77</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64,196</w:t>
            </w: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80,245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could have the impact of increasing operating expenses, such as compensation expense. Inflationary pressures may also have an impact on total assets, earnings and capital, which could impact the Company's ability to grow. During 2021 and 2022, supply chain disruption, rising energy prices and inflation, among other factors, had the impact of increasing the average balance of accounts and drafts payable and total assets. An increase in total assets could have the impact of decreasing our regulatory capital ratios if earnings and total regulatory capital do not increase at the same rate.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rising inflation, the Federal Reserve increased the Federal Funds rate over the course of 2022 and into the first quarter of 2023. The increase in the Federal Funds rate has contributed to the increase in the Company's net interest margin, therefore positively impacting net interest income. There can be no assurance that further increases in the Federal Funds rate will occur, and the Company continues to monitor such impact to its future levels of net interest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2022, the FASB issued ASU 2022-02. This ASU eliminates the accounting guidance for troubled debt restructurings by creditors that have adopted the CECL methodology for estimating allowances for credit losses and enhances the disclosure requirements for loan restructurings made with borrowers experiencing financial difficulty. Instead, entities are required to evaluate (consistent with the accounting for other loan modifications) whether the modification represents a new loan or continuation of an existing loan. In addition, the amendments require a public business entity to disclose current period gross charge-offs for financing receivables and net investment in leases by year of origination in the vintage disclosures. ASU 2022-02 was effective for fiscal years beginning after December 15, 2022, including interim periods within those fiscal years. The implementation of this ASU effective January 1, 2023 did not have a material impact on the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Company’s Annual Report on Form 10-K for the year ended December 31, 2022,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simulated changes in net interest income versus unchanged rates over the next 12 months as of March 31, 2023 and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7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2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2740" w:type="dxa"/>
            <w:vAlign w:val="bottom"/>
            <w:shd w:val="clear" w:color="auto" w:fill="B6B6B6"/>
          </w:tcPr>
          <w:p>
            <w:pPr>
              <w:spacing w:after="0"/>
              <w:rPr>
                <w:sz w:val="19"/>
                <w:szCs w:val="19"/>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8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3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62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Flat rates</w:t>
            </w:r>
          </w:p>
        </w:tc>
        <w:tc>
          <w:tcPr>
            <w:tcW w:w="3860" w:type="dxa"/>
            <w:vAlign w:val="bottom"/>
            <w:gridSpan w:val="3"/>
            <w:shd w:val="clear" w:color="auto" w:fill="B6B6B6"/>
          </w:tcPr>
          <w:p>
            <w:pPr>
              <w:jc w:val="right"/>
              <w:ind w:right="29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2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generally asset sensitive as average interest-earning assets of $2.16 billion for the first quarter of 2023 greatly exceeded average interest-bearing liabilities of $596.9 million. The table above on the projected impact of interest rate shocks results from a static balance sheet at March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First Quarter of 2023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Part I, Item 1A of its Annual Report on Form 10-K for the year ended December 31, 2022, a description of certain risks and uncertainties that could affect the Company’s business, future performance or financial condition (the “Risk Factors”). Except as set forth below, there are no material changes to the Risk Factors as disclosed in the Company’s 2022 Annual Report on Form 10-K.</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could experience an unexpected inability to obtain needed liquidity which could adversely affect the Company's business, profitability, and viability as a going concern.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and is essential to a financial institution’s business. The ability of a financial institution to meet its current financial obligations is a function of its balance sheet structure, its ability to liquidate assets, and its access to alternative sources of funds. The bank failures in March 2023 exemplify the potential serious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The Company seeks to ensure funding needs are met by maintaining a level of liquidity through asset and liability management. If the Company becomes unable to obtain funds when needed, it could have a material adverse effect on its business, financial condition, and results of operations.</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Recent negative developments affecting the banking industry, and resulting media coverage, have eroded customer confidence in the banking system.</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recent high-profile bank failures involving Silicon Valley Bank, Signature Bank, and First Republic Bank have generated significant market volatility among publicly traded bank holding companies. These market developments have negatively impacted customer confidence in the safety and soundness of regional banks. As a result, customers may choose to maintain deposits with larger financial institutions or invest in higher yielding short-term fixed income securities, all of which could materially adversely impact the Company’s liquidity, loan funding capacity, net interest margin, capital and results of operations. While the Department of the Treasury, the Federal Reserve, and the FDIC have made statements ensuring that depositors of these recently failed banks would have access to their deposits, including uninsured deposit accounts, there is no guarantee that such actions will be successful in restoring customer confidence in regional banks and the banking system more broadly.</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Rising interest rates have decreased the value of the Company’s available-for-sale securities portfolio, and the Company would realize losses if it were required to sell such securities to meet liquidity needs.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a result of inflationary pressures and the resulting rapid increases in interest rates over the last year, the fair value of previously issued government and other fixed income securities has declined significantly, resulting in unrealized losses. While the Company does not currently intend to sell these securities, if the Company were required to sell such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 Furthermore, while the Federal Reserve Board has announced a Bank Term Funding Program available to eligible depository institutions secured by U.S. Treasuries, agency debt, mortgage-backed securities, and other qualifying assets as collateral at par to mitigate the risk of potential losses on the sale of such instruments, there is no guarantee that such programs will be effective in addressing liquidity needs as they arise.</w:t>
      </w:r>
    </w:p>
    <w:p>
      <w:pPr>
        <w:spacing w:after="0" w:line="202"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Any regulatory examination scrutiny or new regulatory requirements arising from the recent events in the banking industry could increase the Company’s expenses and affect the Company’s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anticipates increased regulatory scrutiny and new regulations designed to address the recent negative developments in the banking industry, all of which may increase the Company’s costs of doing business and reduce its profitability. Among other things, there may be an increased focus by regulators on deposit composition and the level of uninsured deposits. As primarily a commercial bank, the Bank has a higher degree of uninsured deposits compared to larger national banks or smaller community banks with a stronger focus on retail deposits. As a result, the Bank could face increased scrutiny or be viewed as higher risk.</w:t>
      </w:r>
    </w:p>
    <w:p>
      <w:pPr>
        <w:spacing w:after="0" w:line="150" w:lineRule="exact"/>
        <w:rPr>
          <w:sz w:val="20"/>
          <w:szCs w:val="20"/>
          <w:color w:val="auto"/>
        </w:rPr>
      </w:pPr>
    </w:p>
    <w:p>
      <w:pPr>
        <w:ind w:right="414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660" w:right="40" w:hanging="652"/>
        <w:spacing w:after="0" w:line="26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First Quarter of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20" w:right="200"/>
        <w:spacing w:after="0" w:line="237" w:lineRule="auto"/>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Exhibit 10.1 Amended and Restated Omnibus Stock and Performance Compensation Plan, incorporated by reference to Exhibit 10.1 to the current report</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on Form 8-K, filed with the SEC on April 21, 2023.*</w:t>
        </w:r>
      </w:hyperlink>
    </w:p>
    <w:p>
      <w:pPr>
        <w:spacing w:after="0" w:line="104" w:lineRule="exact"/>
        <w:rPr>
          <w:sz w:val="20"/>
          <w:szCs w:val="20"/>
          <w:color w:val="auto"/>
        </w:rPr>
      </w:pPr>
    </w:p>
    <w:p>
      <w:pPr>
        <w:ind w:left="20" w:right="60"/>
        <w:spacing w:after="0" w:line="237" w:lineRule="auto"/>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Exhibit 10.2 Form of Restricted Stock Award Agreement for Employees, incorporated by reference to Exhibit 10.8 to the current report on Form 8-K, filed</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with the SEC on April 21, 2023.*</w:t>
        </w:r>
      </w:hyperlink>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10.3 Form of Restricted Stock Award Agreement for Non-Employee Directors.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31.1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31.2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32.1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32.2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right="420"/>
        <w:spacing w:after="0" w:line="237"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*Management contract or compensatory plan arrangement.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CASS INFORMATION SYSTEMS, INC.</w:t>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9, 2023</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26035</wp:posOffset>
            </wp:positionV>
            <wp:extent cx="44316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3">
            <w:col w:w="3160" w:space="720"/>
            <w:col w:w="2440" w:space="720"/>
            <w:col w:w="4200"/>
          </w:cols>
          <w:pgMar w:left="320" w:top="117" w:right="339" w:bottom="1440" w:gutter="0" w:footer="0" w:header="0"/>
          <w:type w:val="continuous"/>
        </w:sectPr>
      </w:pPr>
    </w:p>
    <w:p>
      <w:pPr>
        <w:jc w:val="center"/>
        <w:ind w:left="4240"/>
        <w:spacing w:after="0"/>
        <w:rPr>
          <w:sz w:val="20"/>
          <w:szCs w:val="20"/>
          <w:color w:val="auto"/>
        </w:rPr>
      </w:pPr>
      <w:r>
        <w:rPr>
          <w:rFonts w:ascii="Times New Roman" w:cs="Times New Roman" w:eastAsia="Times New Roman" w:hAnsi="Times New Roman"/>
          <w:sz w:val="18"/>
          <w:szCs w:val="18"/>
          <w:color w:val="auto"/>
        </w:rPr>
        <w:t>Martin H. Resch</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2023</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Normile</w:t>
            </w:r>
          </w:p>
        </w:tc>
      </w:tr>
      <w:tr>
        <w:trPr>
          <w:trHeight w:val="243"/>
        </w:trPr>
        <w:tc>
          <w:tcPr>
            <w:tcW w:w="2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J. Normile</w:t>
            </w:r>
          </w:p>
        </w:tc>
      </w:tr>
      <w:tr>
        <w:trPr>
          <w:trHeight w:val="256"/>
        </w:trPr>
        <w:tc>
          <w:tcPr>
            <w:tcW w:w="2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57"/>
        </w:trPr>
        <w:tc>
          <w:tcPr>
            <w:tcW w:w="2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918"/>
        </w:trPr>
        <w:tc>
          <w:tcPr>
            <w:tcW w:w="2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98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-35-</w:t>
            </w:r>
          </w:p>
        </w:tc>
      </w:tr>
    </w:tbl>
    <w:p>
      <w:pPr>
        <w:sectPr>
          <w:pgSz w:w="11900" w:h="16838" w:orient="portrait"/>
          <w:cols w:equalWidth="0" w:num="1">
            <w:col w:w="11240"/>
          </w:cols>
          <w:pgMar w:left="320" w:top="117" w:right="339" w:bottom="1440" w:gutter="0" w:footer="0" w:header="0"/>
          <w:type w:val="continuous"/>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179" w:lineRule="exact"/>
        <w:rPr>
          <w:sz w:val="20"/>
          <w:szCs w:val="20"/>
          <w:color w:val="auto"/>
        </w:rPr>
      </w:pPr>
    </w:p>
    <w:p>
      <w:pPr>
        <w:jc w:val="center"/>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CASS INFORMATION SYSTEMS, INC. 2023 OMNIBUS STOCK AND PERFORMANCE COMPENSATION PLAN </w:t>
      </w:r>
      <w:r>
        <w:rPr>
          <w:rFonts w:ascii="Times New Roman" w:cs="Times New Roman" w:eastAsia="Times New Roman" w:hAnsi="Times New Roman"/>
          <w:sz w:val="22"/>
          <w:szCs w:val="22"/>
          <w:b w:val="1"/>
          <w:bCs w:val="1"/>
          <w:u w:val="single" w:color="auto"/>
          <w:color w:val="auto"/>
        </w:rPr>
        <w:t>RESTRICTED STOCK AWARD AGREEMENT</w:t>
      </w:r>
    </w:p>
    <w:p>
      <w:pPr>
        <w:spacing w:after="0" w:line="207" w:lineRule="auto"/>
        <w:rPr>
          <w:sz w:val="20"/>
          <w:szCs w:val="20"/>
          <w:color w:val="auto"/>
        </w:rPr>
      </w:pPr>
      <w:r>
        <w:rPr>
          <w:rFonts w:ascii="Times New Roman" w:cs="Times New Roman" w:eastAsia="Times New Roman" w:hAnsi="Times New Roman"/>
          <w:sz w:val="22"/>
          <w:szCs w:val="22"/>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-5715</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-5715</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Number of Restricted Shares subject to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-29210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We are pleased to inform you that, as a director of Cass Information Systems, Inc. (“Cass” or “the Company”) or one of its Subsidiaries, you are granted an Award of Restricted Shares (“Shares”) under the Cass Information Systems, Inc. 2023 Omnibus Stock and Performance Compensation Plan (the “Plan”). Each Share under this Award represents one share of Cass common stock, $0.50 par value per share. This Award Agreement is subject to your acceptance as provided in Section 1 below and the terms and conditions that follow in this Award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date of the Award evidenced by this Award Agreement (the “Date of Grant”) is set forth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terms and conditions of this Award Agreement, including non-standard provisions permitted by the Plan, are set forth below.</w:t>
      </w:r>
    </w:p>
    <w:p>
      <w:pPr>
        <w:spacing w:after="0" w:line="187" w:lineRule="exact"/>
        <w:rPr>
          <w:sz w:val="20"/>
          <w:szCs w:val="20"/>
          <w:color w:val="auto"/>
        </w:rPr>
      </w:pPr>
    </w:p>
    <w:p>
      <w:pPr>
        <w:jc w:val="both"/>
        <w:ind w:left="660" w:hanging="652"/>
        <w:spacing w:after="0" w:line="214" w:lineRule="auto"/>
        <w:tabs>
          <w:tab w:leader="none" w:pos="6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Acceptance of Award. </w:t>
      </w:r>
      <w:r>
        <w:rPr>
          <w:rFonts w:ascii="Times New Roman" w:cs="Times New Roman" w:eastAsia="Times New Roman" w:hAnsi="Times New Roman"/>
          <w:sz w:val="22"/>
          <w:szCs w:val="22"/>
          <w:color w:val="auto"/>
        </w:rPr>
        <w:t>This Award Agreement is to be accepted by signing your name on the signature page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and causing it to be delivered to the Secretary of Cass, 12444 Powerscourt Drive, Suite 550, St. Louis, MO 63131, before 4:30 p.m. Central time on the 30th day after the Date of Grant. If the Secretary does not receive your properly signed copy of this Award Agreement before the time and date specified in the previous sentence, then, despite anything else provided in this Agreement, this Award will be void as if it was never awarded to you and will be of no effect. Your signing and timely delivering of this Award Agreement will evidence your acceptance on the terms and conditions stated in this Award Agreement.</w:t>
      </w:r>
    </w:p>
    <w:p>
      <w:pPr>
        <w:spacing w:after="0" w:line="140"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and Forfeiture of Restricted Stock. </w:t>
      </w:r>
      <w:r>
        <w:rPr>
          <w:rFonts w:ascii="Times New Roman" w:cs="Times New Roman" w:eastAsia="Times New Roman" w:hAnsi="Times New Roman"/>
          <w:sz w:val="22"/>
          <w:szCs w:val="22"/>
          <w:color w:val="auto"/>
        </w:rPr>
        <w:t>Your Award Shares will vest and become immediately transferrable on</w:t>
      </w:r>
    </w:p>
    <w:p>
      <w:pPr>
        <w:jc w:val="both"/>
        <w:ind w:left="660"/>
        <w:spacing w:after="0" w:line="21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______________</w:t>
      </w:r>
      <w:r>
        <w:rPr>
          <w:rFonts w:ascii="Times New Roman" w:cs="Times New Roman" w:eastAsia="Times New Roman" w:hAnsi="Times New Roman"/>
          <w:sz w:val="22"/>
          <w:szCs w:val="22"/>
          <w:color w:val="auto"/>
        </w:rPr>
        <w:t xml:space="preserve"> (“Vesting Date”), which is </w:t>
      </w:r>
      <w:r>
        <w:rPr>
          <w:rFonts w:ascii="Times New Roman" w:cs="Times New Roman" w:eastAsia="Times New Roman" w:hAnsi="Times New Roman"/>
          <w:sz w:val="22"/>
          <w:szCs w:val="22"/>
          <w:u w:val="single" w:color="auto"/>
          <w:color w:val="auto"/>
        </w:rPr>
        <w:t>______________</w:t>
      </w:r>
      <w:r>
        <w:rPr>
          <w:rFonts w:ascii="Times New Roman" w:cs="Times New Roman" w:eastAsia="Times New Roman" w:hAnsi="Times New Roman"/>
          <w:sz w:val="22"/>
          <w:szCs w:val="22"/>
          <w:color w:val="auto"/>
        </w:rPr>
        <w:t xml:space="preserve"> from the date of grant (“Restriction Period”), if you remain in service of Cass through the Vesting Date, the Restriction Period will lapse with respect to the Award Shares and Cass shall deliver the Shares to you effective on the Vesting Date. Cass shall deliver the Shares to you as explained in Section 3 of this Award Agreement.</w:t>
      </w:r>
    </w:p>
    <w:p>
      <w:pPr>
        <w:spacing w:after="0" w:line="149" w:lineRule="exact"/>
        <w:rPr>
          <w:rFonts w:ascii="Times New Roman" w:cs="Times New Roman" w:eastAsia="Times New Roman" w:hAnsi="Times New Roman"/>
          <w:sz w:val="22"/>
          <w:szCs w:val="22"/>
          <w:b w:val="1"/>
          <w:bCs w:val="1"/>
          <w:color w:val="auto"/>
        </w:rPr>
      </w:pPr>
    </w:p>
    <w:p>
      <w:pPr>
        <w:jc w:val="both"/>
        <w:ind w:left="660" w:hanging="652"/>
        <w:spacing w:after="0" w:line="216" w:lineRule="auto"/>
        <w:tabs>
          <w:tab w:leader="none" w:pos="6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Issuance of Restricted Shares. </w:t>
      </w:r>
      <w:r>
        <w:rPr>
          <w:rFonts w:ascii="Times New Roman" w:cs="Times New Roman" w:eastAsia="Times New Roman" w:hAnsi="Times New Roman"/>
          <w:sz w:val="22"/>
          <w:szCs w:val="22"/>
          <w:color w:val="auto"/>
        </w:rPr>
        <w:t>Shares shall be held in book entry form on the books of Cass’s depository (or another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institution specified by Cass) subject to the restrictions of this Award Agreement until such time the Shares have Vested, as explained in Section 2. or vest as a result of your death, Total Disability or a Change in Control, as explained in Section 4. As soon as practicable following the lapse of restriction provisions and subsequent Vesting of Shares, Cass shall give transfer instructions to the institution holding the Shares in book entry form so that the Shares are transferred to you or your designated beneficiary, if applicable, without restriction.</w:t>
      </w:r>
    </w:p>
    <w:p>
      <w:pPr>
        <w:spacing w:after="0" w:line="149" w:lineRule="exact"/>
        <w:rPr>
          <w:rFonts w:ascii="Times New Roman" w:cs="Times New Roman" w:eastAsia="Times New Roman" w:hAnsi="Times New Roman"/>
          <w:sz w:val="22"/>
          <w:szCs w:val="22"/>
          <w:b w:val="1"/>
          <w:bCs w:val="1"/>
          <w:color w:val="auto"/>
        </w:rPr>
      </w:pPr>
    </w:p>
    <w:p>
      <w:pPr>
        <w:jc w:val="both"/>
        <w:ind w:left="660"/>
        <w:spacing w:after="0" w:line="22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hereby (i) acknowledge that Shares may be held in book entry form on the books of Cass’s depository (or another institution specified by Cass), (ii) irrevocably authorize Cass to take such actions as may be necessary or appropriate to effect a transfer or cancellation of the record ownership of any such Unvested Shares that are forfeited in accordance with this Award Agreement, (iii) agree to take such other actions as Cass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25492541_2.docx</w:t>
      </w:r>
    </w:p>
    <w:p>
      <w:pPr>
        <w:sectPr>
          <w:pgSz w:w="11900" w:h="16838" w:orient="portrait"/>
          <w:cols w:equalWidth="0" w:num="1">
            <w:col w:w="11240"/>
          </w:cols>
          <w:pgMar w:left="320" w:top="1391" w:right="339" w:bottom="1440" w:gutter="0" w:footer="0" w:header="0"/>
        </w:sectPr>
      </w:pPr>
    </w:p>
    <w:bookmarkStart w:id="37" w:name="page38"/>
    <w:bookmarkEnd w:id="37"/>
    <w:p>
      <w:pPr>
        <w:jc w:val="both"/>
        <w:ind w:left="652"/>
        <w:spacing w:after="0" w:line="220" w:lineRule="auto"/>
        <w:rPr>
          <w:sz w:val="20"/>
          <w:szCs w:val="20"/>
          <w:color w:val="auto"/>
        </w:rPr>
      </w:pPr>
      <w:r>
        <w:rPr>
          <w:rFonts w:ascii="Times New Roman" w:cs="Times New Roman" w:eastAsia="Times New Roman" w:hAnsi="Times New Roman"/>
          <w:sz w:val="22"/>
          <w:szCs w:val="22"/>
          <w:color w:val="auto"/>
        </w:rPr>
        <w:t>reasonably request to accomplish the forfeiture of any Unvested Shares that are forfeited under this Award Agreement, and (iv) authorize Cass to cause such Shares to be cancelled or transferred in the event they are forfeited pursuant to this Award Agreement. For the purposes of this Award Agreement, “Unvested Shares” shall mean these shares that were not yet vested pursuant to the terms of this Award Agreement.</w:t>
      </w:r>
    </w:p>
    <w:p>
      <w:pPr>
        <w:spacing w:after="0" w:line="148" w:lineRule="exact"/>
        <w:rPr>
          <w:sz w:val="20"/>
          <w:szCs w:val="20"/>
          <w:color w:val="auto"/>
        </w:rPr>
      </w:pPr>
    </w:p>
    <w:p>
      <w:pPr>
        <w:jc w:val="both"/>
        <w:ind w:left="652" w:hanging="652"/>
        <w:spacing w:after="0" w:line="212" w:lineRule="auto"/>
        <w:tabs>
          <w:tab w:leader="none" w:pos="652"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of Death, Total Disability or Change of Control. </w:t>
      </w:r>
      <w:r>
        <w:rPr>
          <w:rFonts w:ascii="Times New Roman" w:cs="Times New Roman" w:eastAsia="Times New Roman" w:hAnsi="Times New Roman"/>
          <w:sz w:val="22"/>
          <w:szCs w:val="22"/>
          <w:color w:val="auto"/>
        </w:rPr>
        <w:t>If you die while in the service of Cass or its Subsidiaries,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 Period will lapse with respect to all outstanding Restricted Shares and Cass shall deliver the Shares subject to this Award Agreement to your Designated Beneficiary or as provided in Section 6 if a Beneficiary has not been designated, has died or cannot be located. Subsequently, such Shares shall not be subject to forfeiture after your death. If you become Totally Disabled or a Change of Control occurs, that results in termination of service, while you are in the service of Cass or its Subsidiaries, the Restriction Period will lapse with respect to all outstanding Restricted Shares and Cass shall deliver the Shares subject to this Award Agreement to you. Subsequently, such Shares shall not be subject to forfeiture after the occurrence of your Total Disability or a Change of Control occurs, that results in termination of service and such shares shall be delivered in the same manner as provided in this Section 2.</w:t>
      </w:r>
    </w:p>
    <w:p>
      <w:pPr>
        <w:spacing w:after="0" w:line="148" w:lineRule="exact"/>
        <w:rPr>
          <w:rFonts w:ascii="Times New Roman" w:cs="Times New Roman" w:eastAsia="Times New Roman" w:hAnsi="Times New Roman"/>
          <w:sz w:val="22"/>
          <w:szCs w:val="22"/>
          <w:b w:val="1"/>
          <w:bCs w:val="1"/>
          <w:color w:val="auto"/>
        </w:rPr>
      </w:pPr>
    </w:p>
    <w:p>
      <w:pPr>
        <w:jc w:val="both"/>
        <w:ind w:left="652" w:hanging="652"/>
        <w:spacing w:after="0" w:line="227" w:lineRule="auto"/>
        <w:tabs>
          <w:tab w:leader="none" w:pos="652"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Service. </w:t>
      </w:r>
      <w:r>
        <w:rPr>
          <w:rFonts w:ascii="Times New Roman" w:cs="Times New Roman" w:eastAsia="Times New Roman" w:hAnsi="Times New Roman"/>
          <w:sz w:val="22"/>
          <w:szCs w:val="22"/>
          <w:color w:val="auto"/>
        </w:rPr>
        <w:t>If your service with Cass or any of its Subsidiaries terminates, as described in Section 7,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vesting of Shares in accordance with Section 2 other than by reason of your death, Total Disability, or after a Change of Control, you shall forfeit all such Shares.</w:t>
      </w:r>
    </w:p>
    <w:p>
      <w:pPr>
        <w:spacing w:after="0" w:line="146" w:lineRule="exact"/>
        <w:rPr>
          <w:rFonts w:ascii="Times New Roman" w:cs="Times New Roman" w:eastAsia="Times New Roman" w:hAnsi="Times New Roman"/>
          <w:sz w:val="22"/>
          <w:szCs w:val="22"/>
          <w:b w:val="1"/>
          <w:bCs w:val="1"/>
          <w:color w:val="auto"/>
        </w:rPr>
      </w:pPr>
    </w:p>
    <w:p>
      <w:pPr>
        <w:ind w:left="652" w:hanging="652"/>
        <w:spacing w:after="0" w:line="238" w:lineRule="auto"/>
        <w:tabs>
          <w:tab w:leader="none" w:pos="652"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w:t>
      </w:r>
      <w:r>
        <w:rPr>
          <w:rFonts w:ascii="Times New Roman" w:cs="Times New Roman" w:eastAsia="Times New Roman" w:hAnsi="Times New Roman"/>
          <w:sz w:val="22"/>
          <w:szCs w:val="22"/>
          <w:color w:val="auto"/>
        </w:rPr>
        <w:t>In association with the other terms of this Agreement and in accordance with the Plan, the Shares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following restrictions:</w:t>
      </w:r>
    </w:p>
    <w:p>
      <w:pPr>
        <w:spacing w:after="0" w:line="150" w:lineRule="exact"/>
        <w:rPr>
          <w:rFonts w:ascii="Times New Roman" w:cs="Times New Roman" w:eastAsia="Times New Roman" w:hAnsi="Times New Roman"/>
          <w:sz w:val="22"/>
          <w:szCs w:val="22"/>
          <w:b w:val="1"/>
          <w:bCs w:val="1"/>
          <w:color w:val="auto"/>
        </w:rPr>
      </w:pPr>
    </w:p>
    <w:p>
      <w:pPr>
        <w:jc w:val="both"/>
        <w:ind w:left="1292" w:hanging="644"/>
        <w:spacing w:after="0" w:line="217" w:lineRule="auto"/>
        <w:tabs>
          <w:tab w:leader="none" w:pos="12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(i) the Shares or any interest in them, (ii) the right to vote the Shares, (iii) the right to receive dividends on the Shares, or (iv) any other rights under this Agreement may be sold, transferred, donated, exchanged, pledged, hypothecated, assigned, or otherwise transferred, alienated or encumbered, by operation of law or otherwise, until (and then only to the extent of) the Shares are delivered to you or, in the event of your death, your Designated Beneficiary or Beneficiaries or testamentary transferee or transferees.</w:t>
      </w:r>
    </w:p>
    <w:p>
      <w:pPr>
        <w:spacing w:after="0" w:line="152" w:lineRule="exact"/>
        <w:rPr>
          <w:rFonts w:ascii="Times New Roman" w:cs="Times New Roman" w:eastAsia="Times New Roman" w:hAnsi="Times New Roman"/>
          <w:sz w:val="22"/>
          <w:szCs w:val="22"/>
          <w:color w:val="auto"/>
        </w:rPr>
      </w:pPr>
    </w:p>
    <w:p>
      <w:pPr>
        <w:jc w:val="both"/>
        <w:ind w:left="1292" w:hanging="644"/>
        <w:spacing w:after="0" w:line="212" w:lineRule="auto"/>
        <w:tabs>
          <w:tab w:leader="none" w:pos="1292"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shall have, with respect to the Restricted Shares, all of the rights of a holder of Shares, including the right to vote such Shares and to earn any cash dividends thereon, except as otherwise provided in the Plan. Additional Shares of Cass common stock resulting from adjustments under Section XII of the Plan with respect to Shares subject to this Agreement shall be treated as additional Shares subject to the same restrictions and other terms of this Award Agreement. Cash dividends accrued on Unvested Shares shall be retained by Cass until the underlying Shares have vested and restrictions lifted and shall be payable subject to fulfillment of the terms and conditions of this Agreement. Such dividends are taxable to you as compensation income, and not dividend income, and are deductible by Cass or its Subsidiaries for income tax purposes as compensation income.</w:t>
      </w:r>
    </w:p>
    <w:p>
      <w:pPr>
        <w:spacing w:after="0" w:line="156" w:lineRule="exact"/>
        <w:rPr>
          <w:rFonts w:ascii="Times New Roman" w:cs="Times New Roman" w:eastAsia="Times New Roman" w:hAnsi="Times New Roman"/>
          <w:sz w:val="22"/>
          <w:szCs w:val="22"/>
          <w:color w:val="auto"/>
        </w:rPr>
      </w:pPr>
    </w:p>
    <w:p>
      <w:pPr>
        <w:jc w:val="both"/>
        <w:ind w:left="1292" w:hanging="644"/>
        <w:spacing w:after="0" w:line="225" w:lineRule="auto"/>
        <w:tabs>
          <w:tab w:leader="none" w:pos="12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your lifetime, Shares shall only be delivered to you. Any Shares transferred in accordance with this Agreement shall continue to be subject to the terms and conditions of this Agreement. Any transfer permitted under this Agreement shall be promptly reported in writing to Cass’s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32"/>
          </w:cols>
          <w:pgMar w:left="328" w:top="1395" w:right="339" w:bottom="1440" w:gutter="0" w:footer="0" w:header="0"/>
        </w:sectPr>
      </w:pPr>
    </w:p>
    <w:bookmarkStart w:id="38" w:name="page39"/>
    <w:bookmarkEnd w:id="38"/>
    <w:p>
      <w:pPr>
        <w:jc w:val="both"/>
        <w:ind w:left="1292" w:hanging="644"/>
        <w:spacing w:after="0" w:line="217" w:lineRule="auto"/>
        <w:tabs>
          <w:tab w:leader="none" w:pos="129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designate a beneficiary or beneficiaries (“Designated Beneficiary or Beneficiaries”) on the Designated Beneficiary form attached to this Agreement to receive Shares which vest on your death. If you do not complete the Beneficiary Designation form or if, after your death, your Designated Beneficiary or Beneficiaries has or have died or cannot be located, Shares which become vested on your death shall be transferred in accordance with your will or, if you have no will, in accordance with the terms of the Plan.</w:t>
      </w:r>
    </w:p>
    <w:p>
      <w:pPr>
        <w:spacing w:after="0" w:line="148" w:lineRule="exact"/>
        <w:rPr>
          <w:rFonts w:ascii="Times New Roman" w:cs="Times New Roman" w:eastAsia="Times New Roman" w:hAnsi="Times New Roman"/>
          <w:sz w:val="22"/>
          <w:szCs w:val="22"/>
          <w:color w:val="auto"/>
        </w:rPr>
      </w:pPr>
    </w:p>
    <w:p>
      <w:pPr>
        <w:jc w:val="both"/>
        <w:ind w:left="652" w:hanging="652"/>
        <w:spacing w:after="0" w:line="227" w:lineRule="auto"/>
        <w:tabs>
          <w:tab w:leader="none" w:pos="652"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of Other Causes of Termination of Service. </w:t>
      </w:r>
      <w:r>
        <w:rPr>
          <w:rFonts w:ascii="Times New Roman" w:cs="Times New Roman" w:eastAsia="Times New Roman" w:hAnsi="Times New Roman"/>
          <w:sz w:val="22"/>
          <w:szCs w:val="22"/>
          <w:color w:val="auto"/>
        </w:rPr>
        <w:t>If your service with Cass or any of its Subsidiaries terminates,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this Section 7, prior to the vesting of Shares in accordance with Section 2, you shall forfeit all such Unvested Shares:</w:t>
      </w:r>
    </w:p>
    <w:p>
      <w:pPr>
        <w:spacing w:after="0" w:line="150" w:lineRule="exact"/>
        <w:rPr>
          <w:rFonts w:ascii="Times New Roman" w:cs="Times New Roman" w:eastAsia="Times New Roman" w:hAnsi="Times New Roman"/>
          <w:sz w:val="22"/>
          <w:szCs w:val="22"/>
          <w:b w:val="1"/>
          <w:bCs w:val="1"/>
          <w:color w:val="auto"/>
        </w:rPr>
      </w:pPr>
    </w:p>
    <w:p>
      <w:pPr>
        <w:ind w:left="1292" w:hanging="644"/>
        <w:spacing w:after="0" w:line="236" w:lineRule="auto"/>
        <w:tabs>
          <w:tab w:leader="none" w:pos="12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service by a Subsidiary of Cass shall be considered terminated on the date that the company for which you serve is no longer a Subsidiary of Cass, for reasons other than a Change in Control.</w:t>
      </w:r>
    </w:p>
    <w:p>
      <w:pPr>
        <w:spacing w:after="0" w:line="150" w:lineRule="exact"/>
        <w:rPr>
          <w:rFonts w:ascii="Times New Roman" w:cs="Times New Roman" w:eastAsia="Times New Roman" w:hAnsi="Times New Roman"/>
          <w:sz w:val="22"/>
          <w:szCs w:val="22"/>
          <w:color w:val="auto"/>
        </w:rPr>
      </w:pPr>
    </w:p>
    <w:p>
      <w:pPr>
        <w:jc w:val="both"/>
        <w:ind w:left="1292" w:hanging="644"/>
        <w:spacing w:after="0" w:line="225" w:lineRule="auto"/>
        <w:tabs>
          <w:tab w:leader="none" w:pos="129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Award Agreement to the contrary, if your service with Cass or a Subsidiary is Terminated for Cause, you shall forfeit all Shares for no consideration, including any Shares that have vested in accordance with Section 2.</w:t>
      </w:r>
    </w:p>
    <w:p>
      <w:pPr>
        <w:spacing w:after="0" w:line="148" w:lineRule="exact"/>
        <w:rPr>
          <w:rFonts w:ascii="Times New Roman" w:cs="Times New Roman" w:eastAsia="Times New Roman" w:hAnsi="Times New Roman"/>
          <w:sz w:val="22"/>
          <w:szCs w:val="22"/>
          <w:color w:val="auto"/>
        </w:rPr>
      </w:pPr>
    </w:p>
    <w:p>
      <w:pPr>
        <w:jc w:val="both"/>
        <w:ind w:left="652" w:hanging="652"/>
        <w:spacing w:after="0" w:line="221" w:lineRule="auto"/>
        <w:tabs>
          <w:tab w:leader="none" w:pos="652"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 of Service; Leave of Absence. </w:t>
      </w:r>
      <w:r>
        <w:rPr>
          <w:rFonts w:ascii="Times New Roman" w:cs="Times New Roman" w:eastAsia="Times New Roman" w:hAnsi="Times New Roman"/>
          <w:sz w:val="22"/>
          <w:szCs w:val="22"/>
          <w:color w:val="auto"/>
        </w:rPr>
        <w:t>A transfer of your service from Cass to a Subsidiary or vice versa, or from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to another, without an intervening period, shall not be deemed a termination of service. If you are granted an authorized leave of absence, you shall be deemed to have remained in the service of the company of which you serve as a director during such leave of absence.</w:t>
      </w:r>
    </w:p>
    <w:p>
      <w:pPr>
        <w:spacing w:after="0" w:line="148"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p>
    <w:p>
      <w:pPr>
        <w:spacing w:after="0" w:line="183" w:lineRule="exact"/>
        <w:rPr>
          <w:rFonts w:ascii="Times New Roman" w:cs="Times New Roman" w:eastAsia="Times New Roman" w:hAnsi="Times New Roman"/>
          <w:sz w:val="22"/>
          <w:szCs w:val="22"/>
          <w:b w:val="1"/>
          <w:bCs w:val="1"/>
          <w:color w:val="auto"/>
        </w:rPr>
      </w:pPr>
    </w:p>
    <w:p>
      <w:pPr>
        <w:jc w:val="both"/>
        <w:ind w:left="1292" w:hanging="644"/>
        <w:spacing w:after="0" w:line="211" w:lineRule="auto"/>
        <w:tabs>
          <w:tab w:leader="none" w:pos="12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Federal Income tax withholding (and state and local income tax withholding, if applicable) may be required with respect to the taxation of income realized when restrictions are removed from the Shares or in the event you make the Section 83(b) election described in Section 21. You agree to deliver to Cass only the amounts the Committee determines should be withheld, provided, however, that you may pay a portion or all of such withholding taxes by electing to have (i) Cass withhold a portion of the Shares that would otherwise be delivered to you or (ii) you can deliver to Cass Shares that you have owned for at least six months, in either case, having a Fair Market Value (as of the date that the amount of taxes is to be withheld) in the sum of the amount to be withheld plus reasonable expenses of selling such Shares, and provided further that your election shall be irrevocable and subject to the approval of the Committee.</w:t>
      </w:r>
    </w:p>
    <w:p>
      <w:pPr>
        <w:spacing w:after="0" w:line="158" w:lineRule="exact"/>
        <w:rPr>
          <w:rFonts w:ascii="Times New Roman" w:cs="Times New Roman" w:eastAsia="Times New Roman" w:hAnsi="Times New Roman"/>
          <w:sz w:val="22"/>
          <w:szCs w:val="22"/>
          <w:color w:val="auto"/>
        </w:rPr>
      </w:pPr>
    </w:p>
    <w:p>
      <w:pPr>
        <w:ind w:left="1292" w:right="20" w:hanging="644"/>
        <w:spacing w:after="0" w:line="236" w:lineRule="auto"/>
        <w:tabs>
          <w:tab w:leader="none" w:pos="129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should consult with your tax advisor regarding the tax consequences of receiving shares and making the Section 83(b) election described in Section 21.</w:t>
      </w:r>
    </w:p>
    <w:p>
      <w:pPr>
        <w:spacing w:after="0" w:line="146" w:lineRule="exact"/>
        <w:rPr>
          <w:rFonts w:ascii="Times New Roman" w:cs="Times New Roman" w:eastAsia="Times New Roman" w:hAnsi="Times New Roman"/>
          <w:sz w:val="22"/>
          <w:szCs w:val="22"/>
          <w:color w:val="auto"/>
        </w:rPr>
      </w:pPr>
    </w:p>
    <w:p>
      <w:pPr>
        <w:jc w:val="both"/>
        <w:ind w:left="652" w:hanging="652"/>
        <w:spacing w:after="0" w:line="227" w:lineRule="auto"/>
        <w:tabs>
          <w:tab w:leader="none" w:pos="652"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Right to Continued Service. </w:t>
      </w:r>
      <w:r>
        <w:rPr>
          <w:rFonts w:ascii="Times New Roman" w:cs="Times New Roman" w:eastAsia="Times New Roman" w:hAnsi="Times New Roman"/>
          <w:sz w:val="22"/>
          <w:szCs w:val="22"/>
          <w:color w:val="auto"/>
        </w:rPr>
        <w:t>Nothing contained in this Award Agreement or the Plan shall confer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in the service of Cass or any of its Subsidiaries or limit in any way the right of Cass or a Subsidiary to change your compensation or other benefits or to terminate your service with or without Cause.</w:t>
      </w:r>
    </w:p>
    <w:p>
      <w:pPr>
        <w:spacing w:after="0" w:line="146" w:lineRule="exact"/>
        <w:rPr>
          <w:rFonts w:ascii="Times New Roman" w:cs="Times New Roman" w:eastAsia="Times New Roman" w:hAnsi="Times New Roman"/>
          <w:sz w:val="22"/>
          <w:szCs w:val="22"/>
          <w:b w:val="1"/>
          <w:bCs w:val="1"/>
          <w:color w:val="auto"/>
        </w:rPr>
      </w:pPr>
    </w:p>
    <w:p>
      <w:pPr>
        <w:jc w:val="both"/>
        <w:ind w:left="652" w:hanging="652"/>
        <w:spacing w:after="0" w:line="227" w:lineRule="auto"/>
        <w:tabs>
          <w:tab w:leader="none" w:pos="64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Listing: Securities Considerations. </w:t>
      </w:r>
      <w:r>
        <w:rPr>
          <w:rFonts w:ascii="Times New Roman" w:cs="Times New Roman" w:eastAsia="Times New Roman" w:hAnsi="Times New Roman"/>
          <w:sz w:val="22"/>
          <w:szCs w:val="22"/>
          <w:color w:val="auto"/>
        </w:rPr>
        <w:t>Despite anything else in this Award Agreement, if at any time the Board determines,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its sole discretion, the listing, registration or qualification (or an updating of any such document) of the Shares issuable under this Agreement is necessary on any securities exchange or under any federal or state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32"/>
          </w:cols>
          <w:pgMar w:left="328" w:top="1395" w:right="339" w:bottom="1440" w:gutter="0" w:footer="0" w:header="0"/>
        </w:sectPr>
      </w:pPr>
    </w:p>
    <w:bookmarkStart w:id="39" w:name="page40"/>
    <w:bookmarkEnd w:id="39"/>
    <w:p>
      <w:pPr>
        <w:jc w:val="both"/>
        <w:ind w:left="652"/>
        <w:spacing w:after="0" w:line="217" w:lineRule="auto"/>
        <w:rPr>
          <w:sz w:val="20"/>
          <w:szCs w:val="20"/>
          <w:color w:val="auto"/>
        </w:rPr>
      </w:pPr>
      <w:r>
        <w:rPr>
          <w:rFonts w:ascii="Times New Roman" w:cs="Times New Roman" w:eastAsia="Times New Roman" w:hAnsi="Times New Roman"/>
          <w:sz w:val="22"/>
          <w:szCs w:val="22"/>
          <w:color w:val="auto"/>
        </w:rPr>
        <w:t>or blue sky law, or that the consent or approval of any governmental regulatory body is necessary or desirable as a condition of, or in connection with the issuance of the Shares, or the removal of any restrictions imposed on such Shares, such Shares shall not be issued, in whole or in part, or the restrictions on the Shares removed, unless such listing, registration, qualifications, consent or approval shall have been effected or obtained free of any conditions not acceptable to Cass.</w:t>
      </w:r>
    </w:p>
    <w:p>
      <w:pPr>
        <w:spacing w:after="0" w:line="148" w:lineRule="exact"/>
        <w:rPr>
          <w:sz w:val="20"/>
          <w:szCs w:val="20"/>
          <w:color w:val="auto"/>
        </w:rPr>
      </w:pPr>
    </w:p>
    <w:p>
      <w:pPr>
        <w:jc w:val="both"/>
        <w:ind w:left="652" w:hanging="652"/>
        <w:spacing w:after="0" w:line="221" w:lineRule="auto"/>
        <w:tabs>
          <w:tab w:leader="none" w:pos="652"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Clawback Policy. </w:t>
      </w:r>
      <w:r>
        <w:rPr>
          <w:rFonts w:ascii="Times New Roman" w:cs="Times New Roman" w:eastAsia="Times New Roman" w:hAnsi="Times New Roman"/>
          <w:sz w:val="22"/>
          <w:szCs w:val="22"/>
          <w:color w:val="auto"/>
        </w:rPr>
        <w:t>Notwithstanding any provision to the contrary, in the event Cass materially restates its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statements, the Compensation Committee shall have the discretion to rescind, revoke, adjust or otherwise modify the award. Such action will be taken consistent with the Compensation Committee’s governing Clawback Policy, a copy of which is available from the Secretary of Cass upon request.</w:t>
      </w:r>
    </w:p>
    <w:p>
      <w:pPr>
        <w:spacing w:after="0" w:line="148" w:lineRule="exact"/>
        <w:rPr>
          <w:rFonts w:ascii="Times New Roman" w:cs="Times New Roman" w:eastAsia="Times New Roman" w:hAnsi="Times New Roman"/>
          <w:sz w:val="22"/>
          <w:szCs w:val="22"/>
          <w:b w:val="1"/>
          <w:bCs w:val="1"/>
          <w:color w:val="auto"/>
        </w:rPr>
      </w:pPr>
    </w:p>
    <w:p>
      <w:pPr>
        <w:jc w:val="both"/>
        <w:ind w:left="652" w:hanging="652"/>
        <w:spacing w:after="0" w:line="216" w:lineRule="auto"/>
        <w:tabs>
          <w:tab w:leader="none" w:pos="652"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Binding Effect. </w:t>
      </w:r>
      <w:r>
        <w:rPr>
          <w:rFonts w:ascii="Times New Roman" w:cs="Times New Roman" w:eastAsia="Times New Roman" w:hAnsi="Times New Roman"/>
          <w:sz w:val="22"/>
          <w:szCs w:val="22"/>
          <w:color w:val="auto"/>
        </w:rPr>
        <w:t>This Agreement shall inure to the benefit of and be binding on the parties to this Agreement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heirs, executors, administrators, legal representatives and successors. Without limiting the generality of the foregoing, whenever the term “you” is used in any provision of this Agreement under circumstances where the provision appropriately applies to the heirs, executors, administrators, or legal representatives to whom Shares may be transferred by the Beneficiary Designation, will or the laws of descent and distribution, the term “you” shall be deemed to include such person or persons.</w:t>
      </w:r>
    </w:p>
    <w:p>
      <w:pPr>
        <w:spacing w:after="0" w:line="145"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Provisions Govern.</w:t>
      </w:r>
    </w:p>
    <w:p>
      <w:pPr>
        <w:spacing w:after="0" w:line="183" w:lineRule="exact"/>
        <w:rPr>
          <w:rFonts w:ascii="Times New Roman" w:cs="Times New Roman" w:eastAsia="Times New Roman" w:hAnsi="Times New Roman"/>
          <w:sz w:val="22"/>
          <w:szCs w:val="22"/>
          <w:b w:val="1"/>
          <w:bCs w:val="1"/>
          <w:color w:val="auto"/>
        </w:rPr>
      </w:pPr>
    </w:p>
    <w:p>
      <w:pPr>
        <w:jc w:val="both"/>
        <w:ind w:left="1292" w:hanging="644"/>
        <w:spacing w:after="0" w:line="225" w:lineRule="auto"/>
        <w:tabs>
          <w:tab w:leader="none" w:pos="12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subject to the terms, conditions, restrictions and other provisions of the Plan as if all those provisions were set forth in their entirety in this Award Agreement. If any provision of this Award Agreement conflicts with a provision of the Plan, the Plan provision shall control.</w:t>
      </w:r>
    </w:p>
    <w:p>
      <w:pPr>
        <w:spacing w:after="0" w:line="152" w:lineRule="exact"/>
        <w:rPr>
          <w:rFonts w:ascii="Times New Roman" w:cs="Times New Roman" w:eastAsia="Times New Roman" w:hAnsi="Times New Roman"/>
          <w:sz w:val="22"/>
          <w:szCs w:val="22"/>
          <w:color w:val="auto"/>
        </w:rPr>
      </w:pPr>
    </w:p>
    <w:p>
      <w:pPr>
        <w:jc w:val="both"/>
        <w:ind w:left="1292" w:hanging="644"/>
        <w:spacing w:after="0" w:line="220" w:lineRule="auto"/>
        <w:tabs>
          <w:tab w:leader="none" w:pos="129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that a copy of the Plan and a prospectus summarizing the Plan was distributed or made available to you and that you were advised to review that material before entering into this Award Agreement. You waive the right to claim that the provisions of the Plan are not binding on you and your heirs, executors, administrators, legal representatives and successors.</w:t>
      </w:r>
    </w:p>
    <w:p>
      <w:pPr>
        <w:spacing w:after="0" w:line="152"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used but not defined in this Award Agreement have the meanings given those terms in the Plan.</w:t>
      </w:r>
    </w:p>
    <w:p>
      <w:pPr>
        <w:spacing w:after="0" w:line="190" w:lineRule="exact"/>
        <w:rPr>
          <w:rFonts w:ascii="Times New Roman" w:cs="Times New Roman" w:eastAsia="Times New Roman" w:hAnsi="Times New Roman"/>
          <w:sz w:val="21"/>
          <w:szCs w:val="21"/>
          <w:color w:val="auto"/>
        </w:rPr>
      </w:pPr>
    </w:p>
    <w:p>
      <w:pPr>
        <w:jc w:val="both"/>
        <w:ind w:left="1292" w:hanging="644"/>
        <w:spacing w:after="0" w:line="217" w:lineRule="auto"/>
        <w:tabs>
          <w:tab w:leader="none" w:pos="129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your signature below, you represent that you are familiar with the terms and provisions of the Plan, and hereby accept this Award Agreement subject to all of the terms and provisions of the Plan. You have reviewed the Plan and this Award Agreement in their entirety and fully understand all provisions of the Plan and this Award Agreement. You agree to accept as binding, conclusive and final all decisions or interpretations of the Committee on any questions arising under the Plan or this Award Agreement.</w:t>
      </w:r>
    </w:p>
    <w:p>
      <w:pPr>
        <w:spacing w:after="0" w:line="148" w:lineRule="exact"/>
        <w:rPr>
          <w:rFonts w:ascii="Times New Roman" w:cs="Times New Roman" w:eastAsia="Times New Roman" w:hAnsi="Times New Roman"/>
          <w:sz w:val="22"/>
          <w:szCs w:val="22"/>
          <w:color w:val="auto"/>
        </w:rPr>
      </w:pPr>
    </w:p>
    <w:p>
      <w:pPr>
        <w:jc w:val="both"/>
        <w:ind w:left="652" w:hanging="652"/>
        <w:spacing w:after="0" w:line="221" w:lineRule="auto"/>
        <w:tabs>
          <w:tab w:leader="none" w:pos="652"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and Venue. </w:t>
      </w:r>
      <w:r>
        <w:rPr>
          <w:rFonts w:ascii="Times New Roman" w:cs="Times New Roman" w:eastAsia="Times New Roman" w:hAnsi="Times New Roman"/>
          <w:sz w:val="22"/>
          <w:szCs w:val="22"/>
          <w:color w:val="auto"/>
        </w:rPr>
        <w:t>This Award Agreement shall be governed by and construed in accordance with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Missouri despite any laws of that state that would apply the laws of a different state. In the event of litigation arising in connection with this Award Agreement and/or the Plan, the parties hereto agree to submit to the jurisdiction of state and Federal courts located in Missouri.</w:t>
      </w:r>
    </w:p>
    <w:p>
      <w:pPr>
        <w:spacing w:after="0" w:line="148" w:lineRule="exact"/>
        <w:rPr>
          <w:rFonts w:ascii="Times New Roman" w:cs="Times New Roman" w:eastAsia="Times New Roman" w:hAnsi="Times New Roman"/>
          <w:sz w:val="22"/>
          <w:szCs w:val="22"/>
          <w:b w:val="1"/>
          <w:bCs w:val="1"/>
          <w:color w:val="auto"/>
        </w:rPr>
      </w:pPr>
    </w:p>
    <w:p>
      <w:pPr>
        <w:ind w:left="652" w:right="20" w:hanging="652"/>
        <w:spacing w:after="0" w:line="238" w:lineRule="auto"/>
        <w:tabs>
          <w:tab w:leader="none" w:pos="652"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If any term or provision of this Award Agreement, or the application of this Award Agreement to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circumstance, shall at any time or to any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32"/>
          </w:cols>
          <w:pgMar w:left="328" w:top="1395" w:right="339" w:bottom="1440" w:gutter="0" w:footer="0" w:header="0"/>
        </w:sectPr>
      </w:pPr>
    </w:p>
    <w:bookmarkStart w:id="40" w:name="page41"/>
    <w:bookmarkEnd w:id="40"/>
    <w:p>
      <w:pPr>
        <w:jc w:val="both"/>
        <w:ind w:left="652"/>
        <w:spacing w:after="0" w:line="225" w:lineRule="auto"/>
        <w:rPr>
          <w:sz w:val="20"/>
          <w:szCs w:val="20"/>
          <w:color w:val="auto"/>
        </w:rPr>
      </w:pPr>
      <w:r>
        <w:rPr>
          <w:rFonts w:ascii="Times New Roman" w:cs="Times New Roman" w:eastAsia="Times New Roman" w:hAnsi="Times New Roman"/>
          <w:sz w:val="21"/>
          <w:szCs w:val="21"/>
          <w:color w:val="auto"/>
        </w:rPr>
        <w:t>be invalid, illegal or unenforceable in any respect as written, both parties intend for any court construing this Award Agreement to modify or limit that provision so as to render it valid and enforceable to the fullest extent allowed by law. Any provision that is not susceptible of reformation shall be ignored so as to not affect any other term or provision of this Award Agreement, and the remainder of this Award Agreement, or the application of that term or provision to persons of circumstances other than those as to which it is held invalid, illegal or unenforceable, shall not be affected thereby and each term and provision of this Award Agreement shall be valid and enforceable to the fullest extent permitted by law.</w:t>
      </w:r>
    </w:p>
    <w:p>
      <w:pPr>
        <w:spacing w:after="0" w:line="150" w:lineRule="exact"/>
        <w:rPr>
          <w:sz w:val="20"/>
          <w:szCs w:val="20"/>
          <w:color w:val="auto"/>
        </w:rPr>
      </w:pPr>
    </w:p>
    <w:p>
      <w:pPr>
        <w:jc w:val="both"/>
        <w:ind w:left="652" w:hanging="652"/>
        <w:spacing w:after="0" w:line="214" w:lineRule="auto"/>
        <w:tabs>
          <w:tab w:leader="none" w:pos="652"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Entire Agreement; Modification. </w:t>
      </w:r>
      <w:r>
        <w:rPr>
          <w:rFonts w:ascii="Times New Roman" w:cs="Times New Roman" w:eastAsia="Times New Roman" w:hAnsi="Times New Roman"/>
          <w:sz w:val="22"/>
          <w:szCs w:val="22"/>
          <w:color w:val="auto"/>
        </w:rPr>
        <w:t>The Plan and this Award Agreement contain the entire agreement between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subject matter contained in this Award Agreement and it may not be modified, except as provided in the Plan, as it may be amended from time to time in the manner provided in the Plan, or in this Award Agreement, as it may be amended from time to time by a written document signed by each of the parties to this Award Agreement. Any oral or written agreements, representations, warranties, written inducements, or other communications with respect to the subject matter contained in this Award Agreement made before the signing of this Award Agreement shall be void and ineffective for all purposes.</w:t>
      </w:r>
    </w:p>
    <w:p>
      <w:pPr>
        <w:spacing w:after="0" w:line="148" w:lineRule="exact"/>
        <w:rPr>
          <w:rFonts w:ascii="Times New Roman" w:cs="Times New Roman" w:eastAsia="Times New Roman" w:hAnsi="Times New Roman"/>
          <w:sz w:val="22"/>
          <w:szCs w:val="22"/>
          <w:b w:val="1"/>
          <w:bCs w:val="1"/>
          <w:color w:val="auto"/>
        </w:rPr>
      </w:pPr>
    </w:p>
    <w:p>
      <w:pPr>
        <w:ind w:left="652" w:right="20" w:hanging="652"/>
        <w:spacing w:after="0" w:line="238" w:lineRule="auto"/>
        <w:tabs>
          <w:tab w:leader="none" w:pos="652"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Award Agreement may be executed simultaneously in two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an original, but all of which taken together shall constitute one and the same Award Agreement.</w:t>
      </w:r>
    </w:p>
    <w:p>
      <w:pPr>
        <w:spacing w:after="0" w:line="146" w:lineRule="exact"/>
        <w:rPr>
          <w:rFonts w:ascii="Times New Roman" w:cs="Times New Roman" w:eastAsia="Times New Roman" w:hAnsi="Times New Roman"/>
          <w:sz w:val="22"/>
          <w:szCs w:val="22"/>
          <w:b w:val="1"/>
          <w:bCs w:val="1"/>
          <w:color w:val="auto"/>
        </w:rPr>
      </w:pPr>
    </w:p>
    <w:p>
      <w:pPr>
        <w:ind w:left="652" w:hanging="652"/>
        <w:spacing w:after="0" w:line="238" w:lineRule="auto"/>
        <w:tabs>
          <w:tab w:leader="none" w:pos="652"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Descriptive Headings. </w:t>
      </w:r>
      <w:r>
        <w:rPr>
          <w:rFonts w:ascii="Times New Roman" w:cs="Times New Roman" w:eastAsia="Times New Roman" w:hAnsi="Times New Roman"/>
          <w:sz w:val="22"/>
          <w:szCs w:val="22"/>
          <w:color w:val="auto"/>
        </w:rPr>
        <w:t>The descriptive headings of this Award Agreement are inserted for convenience only and do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 part of this Award Agreement.</w:t>
      </w:r>
    </w:p>
    <w:p>
      <w:pPr>
        <w:spacing w:after="0" w:line="146" w:lineRule="exact"/>
        <w:rPr>
          <w:rFonts w:ascii="Times New Roman" w:cs="Times New Roman" w:eastAsia="Times New Roman" w:hAnsi="Times New Roman"/>
          <w:sz w:val="22"/>
          <w:szCs w:val="22"/>
          <w:b w:val="1"/>
          <w:bCs w:val="1"/>
          <w:color w:val="auto"/>
        </w:rPr>
      </w:pPr>
    </w:p>
    <w:p>
      <w:pPr>
        <w:jc w:val="both"/>
        <w:ind w:left="652" w:hanging="652"/>
        <w:spacing w:after="0" w:line="218" w:lineRule="auto"/>
        <w:tabs>
          <w:tab w:leader="none" w:pos="652"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Notices; Electronic Delivery. </w:t>
      </w:r>
      <w:r>
        <w:rPr>
          <w:rFonts w:ascii="Times New Roman" w:cs="Times New Roman" w:eastAsia="Times New Roman" w:hAnsi="Times New Roman"/>
          <w:sz w:val="22"/>
          <w:szCs w:val="22"/>
          <w:color w:val="auto"/>
        </w:rPr>
        <w:t>All notices, demands or other communications to be given or delivered under or by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provisions of this Award Agreement shall be in writing and shall be deemed to have been given when delivered personally; mailed by certified or registered mail, return receipt requested and postage prepaid; delivered by a nationally recognized overnight delivery service or sent by facsimile and confirmed by first class mail, to the recipient. Such notices, demands and other communications shall be sent to the parties at the addresses indicated below:</w:t>
      </w:r>
    </w:p>
    <w:p>
      <w:pPr>
        <w:sectPr>
          <w:pgSz w:w="11900" w:h="16838" w:orient="portrait"/>
          <w:cols w:equalWidth="0" w:num="1">
            <w:col w:w="11232"/>
          </w:cols>
          <w:pgMar w:left="328" w:top="1395" w:right="339" w:bottom="1440" w:gutter="0" w:footer="0" w:header="0"/>
        </w:sectPr>
      </w:pPr>
    </w:p>
    <w:p>
      <w:pPr>
        <w:spacing w:after="0" w:line="15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9"/>
          <w:szCs w:val="19"/>
          <w:color w:val="auto"/>
        </w:rPr>
        <w:t>a.</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If to you:</w:t>
      </w:r>
      <w:r>
        <w:rPr>
          <w:sz w:val="20"/>
          <w:szCs w:val="20"/>
          <w:color w:val="auto"/>
        </w:rPr>
        <w:tab/>
      </w:r>
      <w:r>
        <w:rPr>
          <w:rFonts w:ascii="Times New Roman" w:cs="Times New Roman" w:eastAsia="Times New Roman" w:hAnsi="Times New Roman"/>
          <w:sz w:val="21"/>
          <w:szCs w:val="21"/>
          <w:color w:val="auto"/>
        </w:rPr>
        <w:t>_____________________</w:t>
      </w:r>
    </w:p>
    <w:p>
      <w:pPr>
        <w:spacing w:after="0" w:line="204" w:lineRule="auto"/>
        <w:rPr>
          <w:sz w:val="20"/>
          <w:szCs w:val="20"/>
          <w:color w:val="auto"/>
        </w:rPr>
      </w:pPr>
      <w:r>
        <w:rPr>
          <w:rFonts w:ascii="Times New Roman" w:cs="Times New Roman" w:eastAsia="Times New Roman" w:hAnsi="Times New Roman"/>
          <w:sz w:val="22"/>
          <w:szCs w:val="22"/>
          <w:color w:val="auto"/>
        </w:rPr>
        <w:t>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142" w:lineRule="exact"/>
        <w:rPr>
          <w:sz w:val="20"/>
          <w:szCs w:val="20"/>
          <w:color w:val="auto"/>
        </w:rPr>
      </w:pPr>
    </w:p>
    <w:p>
      <w:pPr>
        <w:sectPr>
          <w:pgSz w:w="11900" w:h="16838" w:orient="portrait"/>
          <w:cols w:equalWidth="0" w:num="2">
            <w:col w:w="2512" w:space="720"/>
            <w:col w:w="8000"/>
          </w:cols>
          <w:pgMar w:left="328" w:top="1395" w:right="339" w:bottom="1440" w:gutter="0" w:footer="0" w:header="0"/>
          <w:type w:val="continuous"/>
        </w:sectPr>
      </w:pPr>
    </w:p>
    <w:p>
      <w:pPr>
        <w:spacing w:after="0" w:line="1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1"/>
          <w:szCs w:val="21"/>
          <w:color w:val="auto"/>
        </w:rPr>
        <w:t>b.</w:t>
      </w:r>
    </w:p>
    <w:p>
      <w:pPr>
        <w:spacing w:after="0" w:line="20" w:lineRule="exact"/>
        <w:rPr>
          <w:sz w:val="20"/>
          <w:szCs w:val="20"/>
          <w:color w:val="auto"/>
        </w:rPr>
      </w:pPr>
      <w:r>
        <w:rPr>
          <w:sz w:val="20"/>
          <w:szCs w:val="20"/>
          <w:color w:val="auto"/>
        </w:rPr>
        <w:br w:type="column"/>
      </w:r>
    </w:p>
    <w:p>
      <w:pPr>
        <w:spacing w:after="0"/>
        <w:tabs>
          <w:tab w:leader="none" w:pos="1840" w:val="left"/>
        </w:tabs>
        <w:rPr>
          <w:sz w:val="20"/>
          <w:szCs w:val="20"/>
          <w:color w:val="auto"/>
        </w:rPr>
      </w:pPr>
      <w:r>
        <w:rPr>
          <w:rFonts w:ascii="Times New Roman" w:cs="Times New Roman" w:eastAsia="Times New Roman" w:hAnsi="Times New Roman"/>
          <w:sz w:val="22"/>
          <w:szCs w:val="22"/>
          <w:color w:val="auto"/>
        </w:rPr>
        <w:t>If to the Company:</w:t>
      </w:r>
      <w:r>
        <w:rPr>
          <w:sz w:val="20"/>
          <w:szCs w:val="20"/>
          <w:color w:val="auto"/>
        </w:rPr>
        <w:tab/>
      </w:r>
      <w:r>
        <w:rPr>
          <w:rFonts w:ascii="Times New Roman" w:cs="Times New Roman" w:eastAsia="Times New Roman" w:hAnsi="Times New Roman"/>
          <w:sz w:val="21"/>
          <w:szCs w:val="21"/>
          <w:color w:val="auto"/>
        </w:rPr>
        <w:t>Secretary</w:t>
      </w:r>
    </w:p>
    <w:p>
      <w:pPr>
        <w:spacing w:after="0" w:line="204" w:lineRule="auto"/>
        <w:rPr>
          <w:sz w:val="20"/>
          <w:szCs w:val="20"/>
          <w:color w:val="auto"/>
        </w:rPr>
      </w:pPr>
      <w:r>
        <w:rPr>
          <w:rFonts w:ascii="Times New Roman" w:cs="Times New Roman" w:eastAsia="Times New Roman" w:hAnsi="Times New Roman"/>
          <w:sz w:val="22"/>
          <w:szCs w:val="22"/>
          <w:color w:val="auto"/>
        </w:rPr>
        <w:t>Cass Information Systems, Inc.</w:t>
      </w:r>
    </w:p>
    <w:p>
      <w:pPr>
        <w:spacing w:after="0" w:line="215" w:lineRule="auto"/>
        <w:rPr>
          <w:sz w:val="20"/>
          <w:szCs w:val="20"/>
          <w:color w:val="auto"/>
        </w:rPr>
      </w:pPr>
      <w:r>
        <w:rPr>
          <w:rFonts w:ascii="Times New Roman" w:cs="Times New Roman" w:eastAsia="Times New Roman" w:hAnsi="Times New Roman"/>
          <w:sz w:val="21"/>
          <w:szCs w:val="21"/>
          <w:color w:val="auto"/>
        </w:rPr>
        <w:t>12444 Powerscourt Drive, Suite 550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 Louis, Missouri 63131</w:t>
      </w:r>
    </w:p>
    <w:p>
      <w:pPr>
        <w:spacing w:after="0" w:line="155" w:lineRule="exact"/>
        <w:rPr>
          <w:sz w:val="20"/>
          <w:szCs w:val="20"/>
          <w:color w:val="auto"/>
        </w:rPr>
      </w:pPr>
    </w:p>
    <w:p>
      <w:pPr>
        <w:sectPr>
          <w:pgSz w:w="11900" w:h="16838" w:orient="portrait"/>
          <w:cols w:equalWidth="0" w:num="2">
            <w:col w:w="2512" w:space="720"/>
            <w:col w:w="8000"/>
          </w:cols>
          <w:pgMar w:left="328" w:top="1395" w:right="339" w:bottom="1440" w:gutter="0" w:footer="0" w:header="0"/>
          <w:type w:val="continuous"/>
        </w:sectPr>
      </w:pPr>
    </w:p>
    <w:p>
      <w:pPr>
        <w:jc w:val="both"/>
        <w:ind w:left="652"/>
        <w:spacing w:after="0" w:line="212" w:lineRule="auto"/>
        <w:rPr>
          <w:sz w:val="20"/>
          <w:szCs w:val="20"/>
          <w:color w:val="auto"/>
        </w:rPr>
      </w:pPr>
      <w:r>
        <w:rPr>
          <w:rFonts w:ascii="Times New Roman" w:cs="Times New Roman" w:eastAsia="Times New Roman" w:hAnsi="Times New Roman"/>
          <w:sz w:val="22"/>
          <w:szCs w:val="22"/>
          <w:color w:val="auto"/>
        </w:rPr>
        <w:t>or to such other address or to the attention of such other party as the recipient party has specified by prior written notice to the sending party. You agree during the term of this Award Agreement to keep Cass informed of your current mailing address and of receiving written notice from Cass in accordance with this Section 20. In lieu of receiving documents in paper format, you agree, to the fullest extent permitted by law, to accept electronic delivery of any documents that may be required to be delivered to you (including, but not limited to, prospectuses, prospectus supplements, grant or award notifications and agreements, account statements, annual and quarterly reports, and all other forms of communications) in connection with this and any other award made or offered by Cass. Electronic delivery may be via electronic mail system or by reference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32"/>
          </w:cols>
          <w:pgMar w:left="328" w:top="1395" w:right="339" w:bottom="1440" w:gutter="0" w:footer="0" w:header="0"/>
          <w:type w:val="continuous"/>
        </w:sectPr>
      </w:pPr>
    </w:p>
    <w:bookmarkStart w:id="41" w:name="page42"/>
    <w:bookmarkEnd w:id="41"/>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a location on a Cass intranet to which you have access. You hereby consent to any and all procedures Cass has established or may establish for an electronic signature system for delivery and acceptance of any such documents that may be required to be delivered to you, and agree that your electronic signature is the same as, and shall have the same force and effect as, your manual signature.</w:t>
      </w:r>
    </w:p>
    <w:p>
      <w:pPr>
        <w:spacing w:after="0" w:line="148" w:lineRule="exact"/>
        <w:rPr>
          <w:sz w:val="20"/>
          <w:szCs w:val="20"/>
          <w:color w:val="auto"/>
        </w:rPr>
      </w:pPr>
    </w:p>
    <w:p>
      <w:pPr>
        <w:ind w:left="660" w:hanging="652"/>
        <w:spacing w:after="0" w:line="238" w:lineRule="auto"/>
        <w:tabs>
          <w:tab w:leader="none" w:pos="6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Section 83(b) Election. </w:t>
      </w:r>
      <w:r>
        <w:rPr>
          <w:rFonts w:ascii="Times New Roman" w:cs="Times New Roman" w:eastAsia="Times New Roman" w:hAnsi="Times New Roman"/>
          <w:sz w:val="22"/>
          <w:szCs w:val="22"/>
          <w:color w:val="auto"/>
        </w:rPr>
        <w:t>In the event you make an election under Section 83(b) of the Internal Revenue Code of 1986,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with respect to the Shares, the parties hereto shall cooperate to insure such election is effective.</w:t>
      </w:r>
    </w:p>
    <w:p>
      <w:pPr>
        <w:spacing w:after="0" w:line="146" w:lineRule="exact"/>
        <w:rPr>
          <w:rFonts w:ascii="Times New Roman" w:cs="Times New Roman" w:eastAsia="Times New Roman" w:hAnsi="Times New Roman"/>
          <w:sz w:val="22"/>
          <w:szCs w:val="22"/>
          <w:b w:val="1"/>
          <w:bCs w:val="1"/>
          <w:color w:val="auto"/>
        </w:rPr>
      </w:pPr>
    </w:p>
    <w:p>
      <w:pPr>
        <w:jc w:val="both"/>
        <w:ind w:left="660" w:hanging="652"/>
        <w:spacing w:after="0" w:line="221" w:lineRule="auto"/>
        <w:tabs>
          <w:tab w:leader="none" w:pos="6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Authority to Receive Payments. </w:t>
      </w:r>
      <w:r>
        <w:rPr>
          <w:rFonts w:ascii="Times New Roman" w:cs="Times New Roman" w:eastAsia="Times New Roman" w:hAnsi="Times New Roman"/>
          <w:sz w:val="22"/>
          <w:szCs w:val="22"/>
          <w:color w:val="auto"/>
        </w:rPr>
        <w:t>Any amount payable to or for the benefit of a minor, an incompetent person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incapable of receiving such payment shall be deemed paid when paid to the conservator of such person’s estate or to the party providing or reasonably appearing to provide for the care of such person, and such payment shall fully discharge Cass and Members of the Committee and the Board with respect thereto.</w:t>
      </w:r>
    </w:p>
    <w:p>
      <w:pPr>
        <w:spacing w:after="0" w:line="148" w:lineRule="exact"/>
        <w:rPr>
          <w:rFonts w:ascii="Times New Roman" w:cs="Times New Roman" w:eastAsia="Times New Roman" w:hAnsi="Times New Roman"/>
          <w:sz w:val="22"/>
          <w:szCs w:val="22"/>
          <w:b w:val="1"/>
          <w:bCs w:val="1"/>
          <w:color w:val="auto"/>
        </w:rPr>
      </w:pPr>
    </w:p>
    <w:p>
      <w:pPr>
        <w:jc w:val="both"/>
        <w:ind w:left="660" w:hanging="652"/>
        <w:spacing w:after="0" w:line="209" w:lineRule="auto"/>
        <w:tabs>
          <w:tab w:leader="none" w:pos="6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By executing this Award Agreement and participating in the Plan, you hereby explicitly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unambiguously consent to the collection, use, processing and transfer, in electronic or other form, of personal data by and among, as applicable, administrative agents and Cass and other subsidiaries for the exclusive purpose of implementing, administering and managing your participation in the Plan. You understand that administrative agents, Cass, and other subsidiaries may hold certain personal information about you, including your name, home address and telephone number, date of birth, social security number or other identification number, salary/compensation, nationality, job title, any stock or directorships held in Cass, details of shares awarded, canceled, purchased or outstanding in your favor, for the purpose of managing and administering the Plan. You further understand that some or all related data may be transferred to any third parties assisting Cass in the implementation, administration and management of the Plan. You understand that these recipients may be located in your country of residence, or elsewhere, and that the recipient’s country may have different data privacy laws and protections than your country of residence. You authorize the recipients to receive, possess, use, retain and transfer related data, in electronic or other form, for the purposes of implementing, administering and managing your participation in the Plan. You understand that withdrawing your consent may affect your ability to participate in the Plan.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color w:val="auto"/>
        </w:rPr>
        <w:t>In Witness Whereof, the parties have caused this Agreement to be signed and delivered as of the day and year first above written.</w:t>
      </w:r>
    </w:p>
    <w:p>
      <w:pPr>
        <w:sectPr>
          <w:pgSz w:w="11900" w:h="16838" w:orient="portrait"/>
          <w:cols w:equalWidth="0" w:num="1">
            <w:col w:w="11180"/>
          </w:cols>
          <w:pgMar w:left="320" w:top="1395" w:right="399" w:bottom="1440" w:gutter="0" w:footer="0" w:header="0"/>
        </w:sectPr>
      </w:pPr>
    </w:p>
    <w:p>
      <w:pPr>
        <w:spacing w:after="0" w:line="241"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22"/>
          <w:szCs w:val="22"/>
          <w:b w:val="1"/>
          <w:bCs w:val="1"/>
          <w:color w:val="auto"/>
        </w:rPr>
        <w:t>CASS INFORMATION SYSTEMS, INC.</w:t>
      </w:r>
      <w:r>
        <w:rPr>
          <w:sz w:val="20"/>
          <w:szCs w:val="20"/>
          <w:color w:val="auto"/>
        </w:rPr>
        <w:tab/>
      </w:r>
      <w:r>
        <w:rPr>
          <w:rFonts w:ascii="Times New Roman" w:cs="Times New Roman" w:eastAsia="Times New Roman" w:hAnsi="Times New Roman"/>
          <w:sz w:val="21"/>
          <w:szCs w:val="21"/>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4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Signature</w:t>
            </w:r>
          </w:p>
        </w:tc>
        <w:tc>
          <w:tcPr>
            <w:tcW w:w="5000" w:type="dxa"/>
            <w:vAlign w:val="bottom"/>
          </w:tcPr>
          <w:p>
            <w:pPr>
              <w:ind w:left="4160"/>
              <w:spacing w:after="0"/>
              <w:rPr>
                <w:sz w:val="20"/>
                <w:szCs w:val="20"/>
                <w:color w:val="auto"/>
              </w:rPr>
            </w:pPr>
            <w:r>
              <w:rPr>
                <w:rFonts w:ascii="Times New Roman" w:cs="Times New Roman" w:eastAsia="Times New Roman" w:hAnsi="Times New Roman"/>
                <w:sz w:val="22"/>
                <w:szCs w:val="22"/>
                <w:color w:val="auto"/>
                <w:w w:val="97"/>
              </w:rPr>
              <w:t>Signature</w:t>
            </w:r>
          </w:p>
        </w:tc>
      </w:tr>
      <w:tr>
        <w:trPr>
          <w:trHeight w:val="230"/>
        </w:trPr>
        <w:tc>
          <w:tcPr>
            <w:tcW w:w="1440" w:type="dxa"/>
            <w:vAlign w:val="bottom"/>
            <w:gridSpan w:val="4"/>
          </w:tcPr>
          <w:p>
            <w:pPr>
              <w:ind w:left="60"/>
              <w:spacing w:after="0" w:line="230" w:lineRule="exact"/>
              <w:rPr>
                <w:sz w:val="20"/>
                <w:szCs w:val="20"/>
                <w:color w:val="auto"/>
              </w:rPr>
            </w:pPr>
            <w:r>
              <w:rPr>
                <w:rFonts w:ascii="Times New Roman" w:cs="Times New Roman" w:eastAsia="Times New Roman" w:hAnsi="Times New Roman"/>
                <w:sz w:val="22"/>
                <w:szCs w:val="22"/>
                <w:color w:val="auto"/>
              </w:rPr>
              <w:t>By:  ______</w:t>
            </w:r>
          </w:p>
        </w:tc>
        <w:tc>
          <w:tcPr>
            <w:tcW w:w="5000" w:type="dxa"/>
            <w:vAlign w:val="bottom"/>
          </w:tcPr>
          <w:p>
            <w:pPr>
              <w:ind w:left="4160"/>
              <w:spacing w:after="0" w:line="230" w:lineRule="exact"/>
              <w:rPr>
                <w:sz w:val="20"/>
                <w:szCs w:val="20"/>
                <w:color w:val="auto"/>
              </w:rPr>
            </w:pPr>
            <w:r>
              <w:rPr>
                <w:rFonts w:ascii="Times New Roman" w:cs="Times New Roman" w:eastAsia="Times New Roman" w:hAnsi="Times New Roman"/>
                <w:sz w:val="22"/>
                <w:szCs w:val="22"/>
                <w:color w:val="auto"/>
              </w:rPr>
              <w:t>Date:</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50"/>
        </w:trPr>
        <w:tc>
          <w:tcPr>
            <w:tcW w:w="520" w:type="dxa"/>
            <w:vAlign w:val="bottom"/>
            <w:gridSpan w:val="2"/>
          </w:tcPr>
          <w:p>
            <w:pPr>
              <w:ind w:left="60"/>
              <w:spacing w:after="0" w:line="250" w:lineRule="exact"/>
              <w:rPr>
                <w:sz w:val="20"/>
                <w:szCs w:val="20"/>
                <w:color w:val="auto"/>
              </w:rPr>
            </w:pPr>
            <w:r>
              <w:rPr>
                <w:rFonts w:ascii="Times New Roman" w:cs="Times New Roman" w:eastAsia="Times New Roman" w:hAnsi="Times New Roman"/>
                <w:sz w:val="22"/>
                <w:szCs w:val="22"/>
                <w:color w:val="auto"/>
                <w:w w:val="92"/>
              </w:rPr>
              <w:t>Title:</w:t>
            </w:r>
          </w:p>
        </w:tc>
        <w:tc>
          <w:tcPr>
            <w:tcW w:w="420" w:type="dxa"/>
            <w:vAlign w:val="bottom"/>
            <w:tcBorders>
              <w:bottom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5000" w:type="dxa"/>
            <w:vAlign w:val="bottom"/>
          </w:tcPr>
          <w:p>
            <w:pPr>
              <w:spacing w:after="0"/>
              <w:rPr>
                <w:sz w:val="21"/>
                <w:szCs w:val="21"/>
                <w:color w:val="auto"/>
              </w:rPr>
            </w:pPr>
          </w:p>
        </w:tc>
      </w:tr>
      <w:tr>
        <w:trPr>
          <w:trHeight w:val="302"/>
        </w:trPr>
        <w:tc>
          <w:tcPr>
            <w:tcW w:w="14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Date:</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80"/>
          </w:cols>
          <w:pgMar w:left="320" w:top="1395" w:right="399" w:bottom="144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H. Resch,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2023</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4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2023</w:t>
      </w:r>
    </w:p>
    <w:p>
      <w:pPr>
        <w:spacing w:after="0" w:line="5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4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2023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9, 2023</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92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2023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9, 2023</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bullet"/>
      <w:start w:val="1"/>
    </w:lvl>
  </w:abstractNum>
  <w:abstractNum w:abstractNumId="4">
    <w:nsid w:val="7FDCC233"/>
    <w:multiLevelType w:val="hybridMultilevel"/>
    <w:lvl w:ilvl="0">
      <w:lvlJc w:val="left"/>
      <w:lvlText w:val="2"/>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4"/>
    </w:lvl>
    <w:lvl w:ilvl="1">
      <w:lvlJc w:val="left"/>
      <w:lvlText w:val="%2."/>
      <w:numFmt w:val="lowerLetter"/>
      <w:start w:val="1"/>
    </w:lvl>
  </w:abstractNum>
  <w:abstractNum w:abstractNumId="15">
    <w:nsid w:val="62BBD95A"/>
    <w:multiLevelType w:val="hybridMultilevel"/>
    <w:lvl w:ilvl="0">
      <w:lvlJc w:val="left"/>
      <w:lvlText w:val="%1"/>
      <w:numFmt w:val="decimal"/>
      <w:start w:val="1"/>
    </w:lvl>
    <w:lvl w:ilvl="1">
      <w:lvlJc w:val="left"/>
      <w:lvlText w:val="%2."/>
      <w:numFmt w:val="lowerLetter"/>
      <w:start w:val="4"/>
    </w:lvl>
  </w:abstractNum>
  <w:abstractNum w:abstractNumId="16">
    <w:nsid w:val="436C6125"/>
    <w:multiLevelType w:val="hybridMultilevel"/>
    <w:lvl w:ilvl="0">
      <w:lvlJc w:val="left"/>
      <w:lvlText w:val="%1."/>
      <w:numFmt w:val="decimal"/>
      <w:start w:val="7"/>
    </w:lvl>
    <w:lvl w:ilvl="1">
      <w:lvlJc w:val="left"/>
      <w:lvlText w:val="%2."/>
      <w:numFmt w:val="lowerLetter"/>
      <w:start w:val="1"/>
    </w:lvl>
  </w:abstractNum>
  <w:abstractNum w:abstractNumId="17">
    <w:nsid w:val="628C895D"/>
    <w:multiLevelType w:val="hybridMultilevel"/>
    <w:lvl w:ilvl="0">
      <w:lvlJc w:val="left"/>
      <w:lvlText w:val="%1."/>
      <w:numFmt w:val="decimal"/>
      <w:start w:val="12"/>
    </w:lvl>
    <w:lvl w:ilvl="1">
      <w:lvlJc w:val="left"/>
      <w:lvlText w:val="%2."/>
      <w:numFmt w:val="lowerLetter"/>
      <w:start w:val="1"/>
    </w:lvl>
  </w:abstractNum>
  <w:abstractNum w:abstractNumId="18">
    <w:nsid w:val="333AB105"/>
    <w:multiLevelType w:val="hybridMultilevel"/>
    <w:lvl w:ilvl="0">
      <w:lvlJc w:val="left"/>
      <w:lvlText w:val="%1."/>
      <w:numFmt w:val="decimal"/>
      <w:start w:val="17"/>
    </w:lvl>
  </w:abstractNum>
  <w:abstractNum w:abstractNumId="19">
    <w:nsid w:val="721DA317"/>
    <w:multiLevelType w:val="hybridMultilevel"/>
    <w:lvl w:ilvl="0">
      <w:lvlJc w:val="left"/>
      <w:lvlText w:val="%1."/>
      <w:numFmt w:val="decimal"/>
      <w:start w:val="2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57" Type="http://schemas.openxmlformats.org/officeDocument/2006/relationships/hyperlink" Target="https://www.sec.gov/Archives/edgar/data/708781/000070878123000017/exhibit101-2023omnibusplan.htm" TargetMode="External"/><Relationship Id="rId58" Type="http://schemas.openxmlformats.org/officeDocument/2006/relationships/hyperlink" Target="https://www.sec.gov/Archives/edgar/data/708781/000070878123000017/exhibit102-restrictedsto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2023-05-09T10:11:45Z</dcterms:created>
  <dcterms:modified xsi:type="dcterms:W3CDTF">2023-05-09T10:11:45Z</dcterms:modified>
</cp:coreProperties>
</file>