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ind w:left="5140"/>
        <w:spacing w:after="0" w:line="232" w:lineRule="auto"/>
        <w:rPr>
          <w:sz w:val="20"/>
          <w:szCs w:val="20"/>
          <w:color w:val="auto"/>
        </w:rPr>
      </w:pPr>
      <w:r>
        <w:rPr>
          <w:rFonts w:ascii="Arial" w:cs="Arial" w:eastAsia="Arial" w:hAnsi="Arial"/>
          <w:sz w:val="14"/>
          <w:szCs w:val="14"/>
          <w:b w:val="1"/>
          <w:bCs w:val="1"/>
          <w:color w:val="auto"/>
        </w:rPr>
        <w:t>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ind w:left="200"/>
        <w:spacing w:after="0"/>
        <w:tabs>
          <w:tab w:leader="none" w:pos="28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September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-13970</wp:posOffset>
            </wp:positionV>
            <wp:extent cx="1452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22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02"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w w:val="91"/>
              </w:rPr>
              <w:t>For the transition period from</w:t>
            </w:r>
          </w:p>
        </w:tc>
        <w:tc>
          <w:tcPr>
            <w:tcW w:w="13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760" w:type="dxa"/>
            <w:vAlign w:val="bottom"/>
          </w:tcPr>
          <w:p>
            <w:pPr>
              <w:spacing w:after="0"/>
              <w:rPr>
                <w:sz w:val="17"/>
                <w:szCs w:val="17"/>
                <w:color w:val="auto"/>
              </w:rPr>
            </w:pPr>
          </w:p>
        </w:tc>
      </w:tr>
      <w:tr>
        <w:trPr>
          <w:trHeight w:val="440"/>
        </w:trPr>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2"/>
          </w:tcPr>
          <w:p>
            <w:pPr>
              <w:jc w:val="center"/>
              <w:ind w:right="2912"/>
              <w:spacing w:after="0"/>
              <w:rPr>
                <w:sz w:val="20"/>
                <w:szCs w:val="20"/>
                <w:color w:val="auto"/>
              </w:rPr>
            </w:pPr>
            <w:r>
              <w:rPr>
                <w:rFonts w:ascii="Arial" w:cs="Arial" w:eastAsia="Arial" w:hAnsi="Arial"/>
                <w:sz w:val="18"/>
                <w:szCs w:val="18"/>
                <w:b w:val="1"/>
                <w:bCs w:val="1"/>
                <w:color w:val="auto"/>
                <w:w w:val="87"/>
              </w:rPr>
              <w:t>Commission File No. 000-20827</w:t>
            </w:r>
          </w:p>
        </w:tc>
      </w:tr>
      <w:tr>
        <w:trPr>
          <w:trHeight w:val="134"/>
        </w:trPr>
        <w:tc>
          <w:tcPr>
            <w:tcW w:w="2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80" w:type="dxa"/>
            <w:vAlign w:val="bottom"/>
            <w:gridSpan w:val="2"/>
          </w:tcPr>
          <w:p>
            <w:pPr>
              <w:jc w:val="right"/>
              <w:ind w:right="3612"/>
              <w:spacing w:after="0" w:line="135" w:lineRule="exact"/>
              <w:rPr>
                <w:sz w:val="20"/>
                <w:szCs w:val="20"/>
                <w:color w:val="auto"/>
              </w:rPr>
            </w:pPr>
            <w:r>
              <w:rPr>
                <w:rFonts w:ascii="Arial" w:cs="Arial" w:eastAsia="Arial" w:hAnsi="Arial"/>
                <w:sz w:val="14"/>
                <w:szCs w:val="14"/>
                <w:b w:val="1"/>
                <w:bCs w:val="1"/>
                <w:color w:val="auto"/>
              </w:rPr>
              <w:t>________________</w:t>
            </w:r>
          </w:p>
        </w:tc>
      </w:tr>
      <w:tr>
        <w:trPr>
          <w:trHeight w:val="262"/>
        </w:trPr>
        <w:tc>
          <w:tcPr>
            <w:tcW w:w="2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300" w:type="dxa"/>
            <w:vAlign w:val="bottom"/>
            <w:gridSpan w:val="4"/>
          </w:tcPr>
          <w:p>
            <w:pPr>
              <w:jc w:val="center"/>
              <w:ind w:right="2112"/>
              <w:spacing w:after="0"/>
              <w:rPr>
                <w:sz w:val="20"/>
                <w:szCs w:val="20"/>
                <w:color w:val="auto"/>
              </w:rPr>
            </w:pPr>
            <w:r>
              <w:rPr>
                <w:rFonts w:ascii="Arial" w:cs="Arial" w:eastAsia="Arial" w:hAnsi="Arial"/>
                <w:sz w:val="22"/>
                <w:szCs w:val="22"/>
                <w:b w:val="1"/>
                <w:bCs w:val="1"/>
                <w:color w:val="auto"/>
                <w:w w:val="97"/>
              </w:rPr>
              <w:t>CASS INFORMATION SYSTEMS, INC.</w:t>
            </w:r>
          </w:p>
        </w:tc>
      </w:tr>
      <w:tr>
        <w:trPr>
          <w:trHeight w:val="222"/>
        </w:trPr>
        <w:tc>
          <w:tcPr>
            <w:tcW w:w="2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80" w:type="dxa"/>
            <w:vAlign w:val="bottom"/>
            <w:gridSpan w:val="3"/>
          </w:tcPr>
          <w:p>
            <w:pPr>
              <w:jc w:val="center"/>
              <w:ind w:right="233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3"/>
        </w:trPr>
        <w:tc>
          <w:tcPr>
            <w:tcW w:w="2140" w:type="dxa"/>
            <w:vAlign w:val="bottom"/>
          </w:tcPr>
          <w:p>
            <w:pPr>
              <w:spacing w:after="0"/>
              <w:rPr>
                <w:sz w:val="24"/>
                <w:szCs w:val="24"/>
                <w:color w:val="auto"/>
              </w:rPr>
            </w:pPr>
          </w:p>
        </w:tc>
        <w:tc>
          <w:tcPr>
            <w:tcW w:w="1320" w:type="dxa"/>
            <w:vAlign w:val="bottom"/>
          </w:tcPr>
          <w:p>
            <w:pPr>
              <w:jc w:val="center"/>
              <w:ind w:right="292"/>
              <w:spacing w:after="0"/>
              <w:rPr>
                <w:sz w:val="20"/>
                <w:szCs w:val="20"/>
                <w:color w:val="auto"/>
              </w:rPr>
            </w:pPr>
            <w:r>
              <w:rPr>
                <w:rFonts w:ascii="Arial" w:cs="Arial" w:eastAsia="Arial" w:hAnsi="Arial"/>
                <w:sz w:val="18"/>
                <w:szCs w:val="18"/>
                <w:b w:val="1"/>
                <w:bCs w:val="1"/>
                <w:color w:val="auto"/>
                <w:w w:val="89"/>
              </w:rPr>
              <w:t>Missouri</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2"/>
          </w:tcPr>
          <w:p>
            <w:pPr>
              <w:jc w:val="right"/>
              <w:ind w:right="772"/>
              <w:spacing w:after="0"/>
              <w:rPr>
                <w:sz w:val="20"/>
                <w:szCs w:val="20"/>
                <w:color w:val="auto"/>
              </w:rPr>
            </w:pPr>
            <w:r>
              <w:rPr>
                <w:rFonts w:ascii="Arial" w:cs="Arial" w:eastAsia="Arial" w:hAnsi="Arial"/>
                <w:sz w:val="18"/>
                <w:szCs w:val="18"/>
                <w:b w:val="1"/>
                <w:bCs w:val="1"/>
                <w:color w:val="auto"/>
              </w:rPr>
              <w:t>43-1265338</w:t>
            </w:r>
          </w:p>
        </w:tc>
      </w:tr>
      <w:tr>
        <w:trPr>
          <w:trHeight w:val="216"/>
        </w:trPr>
        <w:tc>
          <w:tcPr>
            <w:tcW w:w="4280" w:type="dxa"/>
            <w:vAlign w:val="bottom"/>
            <w:gridSpan w:val="4"/>
          </w:tcPr>
          <w:p>
            <w:pPr>
              <w:jc w:val="center"/>
              <w:ind w:left="852"/>
              <w:spacing w:after="0"/>
              <w:rPr>
                <w:sz w:val="20"/>
                <w:szCs w:val="20"/>
                <w:color w:val="auto"/>
              </w:rPr>
            </w:pPr>
            <w:r>
              <w:rPr>
                <w:rFonts w:ascii="Arial" w:cs="Arial" w:eastAsia="Arial" w:hAnsi="Arial"/>
                <w:sz w:val="18"/>
                <w:szCs w:val="18"/>
                <w:color w:val="auto"/>
                <w:w w:val="90"/>
              </w:rPr>
              <w:t>(State or other jurisdiction of incorporation or</w:t>
            </w:r>
          </w:p>
        </w:tc>
        <w:tc>
          <w:tcPr>
            <w:tcW w:w="720" w:type="dxa"/>
            <w:vAlign w:val="bottom"/>
          </w:tcPr>
          <w:p>
            <w:pPr>
              <w:spacing w:after="0"/>
              <w:rPr>
                <w:sz w:val="18"/>
                <w:szCs w:val="18"/>
                <w:color w:val="auto"/>
              </w:rPr>
            </w:pPr>
          </w:p>
        </w:tc>
        <w:tc>
          <w:tcPr>
            <w:tcW w:w="4760" w:type="dxa"/>
            <w:vAlign w:val="bottom"/>
          </w:tcPr>
          <w:p>
            <w:pPr>
              <w:jc w:val="center"/>
              <w:ind w:left="2112"/>
              <w:spacing w:after="0"/>
              <w:rPr>
                <w:sz w:val="20"/>
                <w:szCs w:val="20"/>
                <w:color w:val="auto"/>
              </w:rPr>
            </w:pPr>
            <w:r>
              <w:rPr>
                <w:rFonts w:ascii="Arial" w:cs="Arial" w:eastAsia="Arial" w:hAnsi="Arial"/>
                <w:sz w:val="18"/>
                <w:szCs w:val="18"/>
                <w:color w:val="auto"/>
                <w:w w:val="92"/>
              </w:rPr>
              <w:t>(I.R.S. Employer Identification No.)</w:t>
            </w:r>
          </w:p>
        </w:tc>
      </w:tr>
      <w:tr>
        <w:trPr>
          <w:trHeight w:val="210"/>
        </w:trPr>
        <w:tc>
          <w:tcPr>
            <w:tcW w:w="2140" w:type="dxa"/>
            <w:vAlign w:val="bottom"/>
          </w:tcPr>
          <w:p>
            <w:pPr>
              <w:spacing w:after="0"/>
              <w:rPr>
                <w:sz w:val="18"/>
                <w:szCs w:val="18"/>
                <w:color w:val="auto"/>
              </w:rPr>
            </w:pPr>
          </w:p>
        </w:tc>
        <w:tc>
          <w:tcPr>
            <w:tcW w:w="1320" w:type="dxa"/>
            <w:vAlign w:val="bottom"/>
          </w:tcPr>
          <w:p>
            <w:pPr>
              <w:jc w:val="center"/>
              <w:ind w:right="292"/>
              <w:spacing w:after="0"/>
              <w:rPr>
                <w:sz w:val="20"/>
                <w:szCs w:val="20"/>
                <w:color w:val="auto"/>
              </w:rPr>
            </w:pPr>
            <w:r>
              <w:rPr>
                <w:rFonts w:ascii="Arial" w:cs="Arial" w:eastAsia="Arial" w:hAnsi="Arial"/>
                <w:sz w:val="18"/>
                <w:szCs w:val="18"/>
                <w:color w:val="auto"/>
                <w:w w:val="90"/>
              </w:rPr>
              <w:t>organization)</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4280" w:type="dxa"/>
            <w:vAlign w:val="bottom"/>
            <w:gridSpan w:val="4"/>
          </w:tcPr>
          <w:p>
            <w:pPr>
              <w:jc w:val="center"/>
              <w:ind w:left="852"/>
              <w:spacing w:after="0"/>
              <w:rPr>
                <w:sz w:val="20"/>
                <w:szCs w:val="20"/>
                <w:color w:val="auto"/>
              </w:rPr>
            </w:pPr>
            <w:r>
              <w:rPr>
                <w:rFonts w:ascii="Arial" w:cs="Arial" w:eastAsia="Arial" w:hAnsi="Arial"/>
                <w:sz w:val="18"/>
                <w:szCs w:val="18"/>
                <w:b w:val="1"/>
                <w:bCs w:val="1"/>
                <w:color w:val="auto"/>
                <w:w w:val="87"/>
              </w:rPr>
              <w:t>12444 Powerscourt Drive, Suite 550</w:t>
            </w:r>
          </w:p>
        </w:tc>
        <w:tc>
          <w:tcPr>
            <w:tcW w:w="72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22"/>
        </w:trPr>
        <w:tc>
          <w:tcPr>
            <w:tcW w:w="3460" w:type="dxa"/>
            <w:vAlign w:val="bottom"/>
            <w:gridSpan w:val="2"/>
          </w:tcPr>
          <w:p>
            <w:pPr>
              <w:jc w:val="center"/>
              <w:ind w:left="1672"/>
              <w:spacing w:after="0"/>
              <w:rPr>
                <w:sz w:val="20"/>
                <w:szCs w:val="20"/>
                <w:color w:val="auto"/>
              </w:rPr>
            </w:pPr>
            <w:r>
              <w:rPr>
                <w:rFonts w:ascii="Arial" w:cs="Arial" w:eastAsia="Arial" w:hAnsi="Arial"/>
                <w:sz w:val="18"/>
                <w:szCs w:val="18"/>
                <w:b w:val="1"/>
                <w:bCs w:val="1"/>
                <w:color w:val="auto"/>
                <w:w w:val="88"/>
              </w:rPr>
              <w:t>St. Louis, Missouri</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80" w:type="dxa"/>
            <w:vAlign w:val="bottom"/>
            <w:gridSpan w:val="2"/>
          </w:tcPr>
          <w:p>
            <w:pPr>
              <w:jc w:val="right"/>
              <w:ind w:right="972"/>
              <w:spacing w:after="0"/>
              <w:rPr>
                <w:sz w:val="20"/>
                <w:szCs w:val="20"/>
                <w:color w:val="auto"/>
              </w:rPr>
            </w:pPr>
            <w:r>
              <w:rPr>
                <w:rFonts w:ascii="Arial" w:cs="Arial" w:eastAsia="Arial" w:hAnsi="Arial"/>
                <w:sz w:val="18"/>
                <w:szCs w:val="18"/>
                <w:b w:val="1"/>
                <w:bCs w:val="1"/>
                <w:color w:val="auto"/>
              </w:rPr>
              <w:t>63131</w:t>
            </w:r>
          </w:p>
        </w:tc>
      </w:tr>
      <w:tr>
        <w:trPr>
          <w:trHeight w:val="222"/>
        </w:trPr>
        <w:tc>
          <w:tcPr>
            <w:tcW w:w="4280" w:type="dxa"/>
            <w:vAlign w:val="bottom"/>
            <w:gridSpan w:val="4"/>
          </w:tcPr>
          <w:p>
            <w:pPr>
              <w:jc w:val="center"/>
              <w:ind w:left="852"/>
              <w:spacing w:after="0"/>
              <w:rPr>
                <w:sz w:val="20"/>
                <w:szCs w:val="20"/>
                <w:color w:val="auto"/>
              </w:rPr>
            </w:pPr>
            <w:r>
              <w:rPr>
                <w:rFonts w:ascii="Arial" w:cs="Arial" w:eastAsia="Arial" w:hAnsi="Arial"/>
                <w:sz w:val="18"/>
                <w:szCs w:val="18"/>
                <w:color w:val="auto"/>
                <w:w w:val="90"/>
              </w:rPr>
              <w:t>(Address of principal executive offices)</w:t>
            </w:r>
          </w:p>
        </w:tc>
        <w:tc>
          <w:tcPr>
            <w:tcW w:w="720" w:type="dxa"/>
            <w:vAlign w:val="bottom"/>
          </w:tcPr>
          <w:p>
            <w:pPr>
              <w:spacing w:after="0"/>
              <w:rPr>
                <w:sz w:val="19"/>
                <w:szCs w:val="19"/>
                <w:color w:val="auto"/>
              </w:rPr>
            </w:pPr>
          </w:p>
        </w:tc>
        <w:tc>
          <w:tcPr>
            <w:tcW w:w="4760" w:type="dxa"/>
            <w:vAlign w:val="bottom"/>
          </w:tcPr>
          <w:p>
            <w:pPr>
              <w:jc w:val="center"/>
              <w:ind w:left="2112"/>
              <w:spacing w:after="0"/>
              <w:rPr>
                <w:sz w:val="20"/>
                <w:szCs w:val="20"/>
                <w:color w:val="auto"/>
              </w:rPr>
            </w:pPr>
            <w:r>
              <w:rPr>
                <w:rFonts w:ascii="Arial" w:cs="Arial" w:eastAsia="Arial" w:hAnsi="Arial"/>
                <w:sz w:val="18"/>
                <w:szCs w:val="18"/>
                <w:color w:val="auto"/>
                <w:w w:val="89"/>
              </w:rPr>
              <w:t>(Zip Code)</w:t>
            </w:r>
          </w:p>
        </w:tc>
      </w:tr>
      <w:tr>
        <w:trPr>
          <w:trHeight w:val="432"/>
        </w:trPr>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2"/>
          </w:tcPr>
          <w:p>
            <w:pPr>
              <w:jc w:val="right"/>
              <w:ind w:right="3612"/>
              <w:spacing w:after="0"/>
              <w:rPr>
                <w:sz w:val="20"/>
                <w:szCs w:val="20"/>
                <w:color w:val="auto"/>
              </w:rPr>
            </w:pPr>
            <w:r>
              <w:rPr>
                <w:rFonts w:ascii="Arial" w:cs="Arial" w:eastAsia="Arial" w:hAnsi="Arial"/>
                <w:sz w:val="18"/>
                <w:szCs w:val="18"/>
                <w:b w:val="1"/>
                <w:bCs w:val="1"/>
                <w:color w:val="auto"/>
              </w:rPr>
              <w:t>(314) 506-5500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_________________</w:t>
      </w:r>
    </w:p>
    <w:p>
      <w:pPr>
        <w:spacing w:after="0" w:line="197" w:lineRule="exact"/>
        <w:rPr>
          <w:sz w:val="24"/>
          <w:szCs w:val="24"/>
          <w:color w:val="auto"/>
        </w:rPr>
      </w:pPr>
    </w:p>
    <w:p>
      <w:pPr>
        <w:jc w:val="both"/>
        <w:ind w:firstLine="27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5720"/>
        <w:spacing w:after="0"/>
        <w:tabs>
          <w:tab w:leader="none" w:pos="6400" w:val="left"/>
          <w:tab w:leader="none" w:pos="84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5682615</wp:posOffset>
            </wp:positionH>
            <wp:positionV relativeFrom="paragraph">
              <wp:posOffset>19685</wp:posOffset>
            </wp:positionV>
            <wp:extent cx="308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19685</wp:posOffset>
            </wp:positionV>
            <wp:extent cx="308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59" w:lineRule="exact"/>
        <w:rPr>
          <w:sz w:val="24"/>
          <w:szCs w:val="24"/>
          <w:color w:val="auto"/>
        </w:rPr>
      </w:pPr>
    </w:p>
    <w:p>
      <w:pPr>
        <w:jc w:val="both"/>
        <w:ind w:firstLine="198"/>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2" w:lineRule="exact"/>
        <w:rPr>
          <w:sz w:val="24"/>
          <w:szCs w:val="24"/>
          <w:color w:val="auto"/>
        </w:rPr>
      </w:pPr>
    </w:p>
    <w:p>
      <w:pPr>
        <w:ind w:left="5720"/>
        <w:spacing w:after="0"/>
        <w:tabs>
          <w:tab w:leader="none" w:pos="6400" w:val="left"/>
          <w:tab w:leader="none" w:pos="84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5682615</wp:posOffset>
            </wp:positionH>
            <wp:positionV relativeFrom="paragraph">
              <wp:posOffset>19685</wp:posOffset>
            </wp:positionV>
            <wp:extent cx="308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19685</wp:posOffset>
            </wp:positionV>
            <wp:extent cx="308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32" w:lineRule="exact"/>
        <w:rPr>
          <w:sz w:val="24"/>
          <w:szCs w:val="24"/>
          <w:color w:val="auto"/>
        </w:rPr>
      </w:pPr>
    </w:p>
    <w:p>
      <w:pPr>
        <w:jc w:val="both"/>
        <w:ind w:firstLine="198"/>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8"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Large Accelerated Filer  X</w:t>
            </w:r>
          </w:p>
        </w:tc>
        <w:tc>
          <w:tcPr>
            <w:tcW w:w="2260" w:type="dxa"/>
            <w:vAlign w:val="bottom"/>
            <w:gridSpan w:val="3"/>
          </w:tcPr>
          <w:p>
            <w:pPr>
              <w:ind w:left="2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1"/>
        </w:trPr>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80"/>
        </w:trPr>
        <w:tc>
          <w:tcPr>
            <w:tcW w:w="1620" w:type="dxa"/>
            <w:vAlign w:val="bottom"/>
          </w:tcPr>
          <w:p>
            <w:pPr>
              <w:spacing w:after="0"/>
              <w:rPr>
                <w:sz w:val="20"/>
                <w:szCs w:val="20"/>
                <w:color w:val="auto"/>
              </w:rPr>
            </w:pPr>
            <w:r>
              <w:rPr>
                <w:rFonts w:ascii="Arial" w:cs="Arial" w:eastAsia="Arial" w:hAnsi="Arial"/>
                <w:sz w:val="18"/>
                <w:szCs w:val="18"/>
                <w:color w:val="auto"/>
                <w:w w:val="91"/>
              </w:rPr>
              <w:t>Non-Accelerated Filer</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60" w:type="dxa"/>
            <w:vAlign w:val="bottom"/>
            <w:gridSpan w:val="3"/>
          </w:tcPr>
          <w:p>
            <w:pPr>
              <w:ind w:left="180"/>
              <w:spacing w:after="0"/>
              <w:rPr>
                <w:sz w:val="20"/>
                <w:szCs w:val="20"/>
                <w:color w:val="auto"/>
              </w:rPr>
            </w:pPr>
            <w:r>
              <w:rPr>
                <w:rFonts w:ascii="Arial" w:cs="Arial" w:eastAsia="Arial" w:hAnsi="Arial"/>
                <w:sz w:val="18"/>
                <w:szCs w:val="18"/>
                <w:color w:val="auto"/>
                <w:w w:val="91"/>
              </w:rPr>
              <w:t>Smaller Reporting Company</w:t>
            </w:r>
          </w:p>
        </w:tc>
        <w:tc>
          <w:tcPr>
            <w:tcW w:w="480" w:type="dxa"/>
            <w:vAlign w:val="bottom"/>
            <w:tcBorders>
              <w:bottom w:val="single" w:sz="8" w:color="auto"/>
            </w:tcBorders>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w w:val="89"/>
              </w:rPr>
              <w:t>Emerging Growth Company</w:t>
            </w:r>
          </w:p>
        </w:tc>
      </w:tr>
      <w:tr>
        <w:trPr>
          <w:trHeight w:val="222"/>
        </w:trPr>
        <w:tc>
          <w:tcPr>
            <w:tcW w:w="4420" w:type="dxa"/>
            <w:vAlign w:val="bottom"/>
            <w:gridSpan w:val="6"/>
          </w:tcPr>
          <w:p>
            <w:pPr>
              <w:spacing w:after="0"/>
              <w:rPr>
                <w:sz w:val="20"/>
                <w:szCs w:val="20"/>
                <w:color w:val="auto"/>
              </w:rPr>
            </w:pPr>
            <w:r>
              <w:rPr>
                <w:rFonts w:ascii="Arial" w:cs="Arial" w:eastAsia="Arial" w:hAnsi="Arial"/>
                <w:sz w:val="18"/>
                <w:szCs w:val="18"/>
                <w:color w:val="auto"/>
              </w:rPr>
              <w:t>(Do not check if a smaller reporting company)</w:t>
            </w:r>
          </w:p>
        </w:tc>
        <w:tc>
          <w:tcPr>
            <w:tcW w:w="48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4953635</wp:posOffset>
            </wp:positionH>
            <wp:positionV relativeFrom="paragraph">
              <wp:posOffset>-149225</wp:posOffset>
            </wp:positionV>
            <wp:extent cx="308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95" w:lineRule="exact"/>
        <w:rPr>
          <w:sz w:val="24"/>
          <w:szCs w:val="24"/>
          <w:color w:val="auto"/>
        </w:rPr>
      </w:pPr>
    </w:p>
    <w:p>
      <w:pPr>
        <w:ind w:left="20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revised financial accounting standards provided pursuant to Section 13(a) of the Exchange Act. _____</w:t>
      </w:r>
    </w:p>
    <w:p>
      <w:pPr>
        <w:spacing w:after="0" w:line="219"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239" w:right="239" w:bottom="1440" w:gutter="0" w:footer="0" w:header="0"/>
        </w:sectPr>
      </w:pPr>
    </w:p>
    <w:p>
      <w:pPr>
        <w:spacing w:after="0" w:line="23" w:lineRule="exact"/>
        <w:rPr>
          <w:sz w:val="24"/>
          <w:szCs w:val="24"/>
          <w:color w:val="auto"/>
        </w:rPr>
      </w:pPr>
    </w:p>
    <w:p>
      <w:pPr>
        <w:ind w:left="5720"/>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3966845</wp:posOffset>
            </wp:positionH>
            <wp:positionV relativeFrom="paragraph">
              <wp:posOffset>41275</wp:posOffset>
            </wp:positionV>
            <wp:extent cx="308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19685</wp:posOffset>
            </wp:positionV>
            <wp:extent cx="308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7740" w:space="720"/>
            <w:col w:w="220" w:space="440"/>
            <w:col w:w="2300"/>
          </w:cols>
          <w:pgMar w:left="240" w:top="239" w:right="239" w:bottom="1440" w:gutter="0" w:footer="0" w:header="0"/>
          <w:type w:val="continuous"/>
        </w:sectPr>
      </w:pPr>
    </w:p>
    <w:p>
      <w:pPr>
        <w:spacing w:after="0" w:line="52" w:lineRule="exact"/>
        <w:rPr>
          <w:sz w:val="24"/>
          <w:szCs w:val="24"/>
          <w:color w:val="auto"/>
        </w:rPr>
      </w:pPr>
    </w:p>
    <w:p>
      <w:pPr>
        <w:ind w:firstLine="198"/>
        <w:spacing w:after="0" w:line="268" w:lineRule="auto"/>
        <w:rPr>
          <w:sz w:val="20"/>
          <w:szCs w:val="20"/>
          <w:color w:val="auto"/>
        </w:rPr>
      </w:pPr>
      <w:r>
        <w:rPr>
          <w:rFonts w:ascii="Arial" w:cs="Arial" w:eastAsia="Arial" w:hAnsi="Arial"/>
          <w:sz w:val="18"/>
          <w:szCs w:val="18"/>
          <w:color w:val="auto"/>
        </w:rPr>
        <w:t>The number of shares outstanding of the registrant's only class of common stock as of October 30, 2018: Common stock, par value $.50 per share – 12,289,377 shares outstanding.</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60" w:type="dxa"/>
            <w:vAlign w:val="bottom"/>
            <w:vMerge w:val="restart"/>
          </w:tcPr>
          <w:p>
            <w:pPr>
              <w:ind w:left="260"/>
              <w:spacing w:after="0"/>
              <w:rPr>
                <w:sz w:val="20"/>
                <w:szCs w:val="20"/>
                <w:color w:val="auto"/>
              </w:rPr>
            </w:pPr>
            <w:r>
              <w:rPr>
                <w:rFonts w:ascii="Arial" w:cs="Arial" w:eastAsia="Arial" w:hAnsi="Arial"/>
                <w:sz w:val="18"/>
                <w:szCs w:val="18"/>
                <w:color w:val="auto"/>
                <w:w w:val="87"/>
              </w:rPr>
              <w:t>Item 1.</w:t>
            </w:r>
          </w:p>
        </w:tc>
        <w:tc>
          <w:tcPr>
            <w:tcW w:w="10040" w:type="dxa"/>
            <w:vAlign w:val="bottom"/>
            <w:vMerge w:val="restart"/>
          </w:tcPr>
          <w:p>
            <w:pPr>
              <w:ind w:left="220"/>
              <w:spacing w:after="0"/>
              <w:rPr>
                <w:sz w:val="20"/>
                <w:szCs w:val="20"/>
                <w:color w:val="auto"/>
              </w:rPr>
            </w:pPr>
            <w:r>
              <w:rPr>
                <w:rFonts w:ascii="Arial" w:cs="Arial" w:eastAsia="Arial" w:hAnsi="Arial"/>
                <w:sz w:val="18"/>
                <w:szCs w:val="18"/>
                <w:color w:val="auto"/>
              </w:rPr>
              <w:t>FINANCIAL STATEMENTS</w:t>
            </w:r>
          </w:p>
        </w:tc>
        <w:tc>
          <w:tcPr>
            <w:tcW w:w="6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100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Consolidated Balance Sheets</w:t>
            </w:r>
          </w:p>
        </w:tc>
        <w:tc>
          <w:tcPr>
            <w:tcW w:w="6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0040" w:type="dxa"/>
            <w:vAlign w:val="bottom"/>
            <w:shd w:val="clear" w:color="auto" w:fill="C0C0C0"/>
          </w:tcPr>
          <w:p>
            <w:pPr>
              <w:ind w:left="480"/>
              <w:spacing w:after="0"/>
              <w:rPr>
                <w:sz w:val="20"/>
                <w:szCs w:val="20"/>
                <w:color w:val="auto"/>
              </w:rPr>
            </w:pPr>
            <w:r>
              <w:rPr>
                <w:rFonts w:ascii="Arial" w:cs="Arial" w:eastAsia="Arial" w:hAnsi="Arial"/>
                <w:sz w:val="18"/>
                <w:szCs w:val="18"/>
                <w:color w:val="auto"/>
              </w:rPr>
              <w:t>September 30, 2018 (unaudited) and December 31, 2017</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1004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Consolidated Statements of Income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40" w:type="dxa"/>
            <w:vAlign w:val="bottom"/>
          </w:tcPr>
          <w:p>
            <w:pPr>
              <w:ind w:left="480"/>
              <w:spacing w:after="0"/>
              <w:rPr>
                <w:sz w:val="20"/>
                <w:szCs w:val="20"/>
                <w:color w:val="auto"/>
              </w:rPr>
            </w:pPr>
            <w:r>
              <w:rPr>
                <w:rFonts w:ascii="Arial" w:cs="Arial" w:eastAsia="Arial" w:hAnsi="Arial"/>
                <w:sz w:val="18"/>
                <w:szCs w:val="18"/>
                <w:color w:val="auto"/>
              </w:rPr>
              <w:t>Three and nine months ended September 30, 2018 and 2017 (unaudited)</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100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Consolidated Statements of Comprehensive Income</w:t>
            </w:r>
          </w:p>
        </w:tc>
        <w:tc>
          <w:tcPr>
            <w:tcW w:w="6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0040" w:type="dxa"/>
            <w:vAlign w:val="bottom"/>
            <w:shd w:val="clear" w:color="auto" w:fill="C0C0C0"/>
          </w:tcPr>
          <w:p>
            <w:pPr>
              <w:ind w:left="480"/>
              <w:spacing w:after="0"/>
              <w:rPr>
                <w:sz w:val="20"/>
                <w:szCs w:val="20"/>
                <w:color w:val="auto"/>
              </w:rPr>
            </w:pPr>
            <w:r>
              <w:rPr>
                <w:rFonts w:ascii="Arial" w:cs="Arial" w:eastAsia="Arial" w:hAnsi="Arial"/>
                <w:sz w:val="18"/>
                <w:szCs w:val="18"/>
                <w:color w:val="auto"/>
              </w:rPr>
              <w:t>Three and nine months ended September 30, 2018 and 2017 (unaudited)</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1004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Consolidated Statements of Cash Flows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40" w:type="dxa"/>
            <w:vAlign w:val="bottom"/>
          </w:tcPr>
          <w:p>
            <w:pPr>
              <w:ind w:left="480"/>
              <w:spacing w:after="0"/>
              <w:rPr>
                <w:sz w:val="20"/>
                <w:szCs w:val="20"/>
                <w:color w:val="auto"/>
              </w:rPr>
            </w:pPr>
            <w:r>
              <w:rPr>
                <w:rFonts w:ascii="Arial" w:cs="Arial" w:eastAsia="Arial" w:hAnsi="Arial"/>
                <w:sz w:val="18"/>
                <w:szCs w:val="18"/>
                <w:color w:val="auto"/>
              </w:rPr>
              <w:t>Nine months ended September 30, 2018 and 2017 (unaudited)</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100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Notes to Consolidated Financial Statements (unaudited)</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1004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w w:val="87"/>
              </w:rPr>
              <w:t>Item 2.</w:t>
            </w:r>
          </w:p>
        </w:tc>
        <w:tc>
          <w:tcPr>
            <w:tcW w:w="10040" w:type="dxa"/>
            <w:vAlign w:val="bottom"/>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shd w:val="clear" w:color="auto" w:fill="C0C0C0"/>
          </w:tcPr>
          <w:p>
            <w:pPr>
              <w:ind w:left="260"/>
              <w:spacing w:after="0"/>
              <w:rPr>
                <w:sz w:val="20"/>
                <w:szCs w:val="20"/>
                <w:color w:val="auto"/>
              </w:rPr>
            </w:pPr>
            <w:r>
              <w:rPr>
                <w:rFonts w:ascii="Arial" w:cs="Arial" w:eastAsia="Arial" w:hAnsi="Arial"/>
                <w:sz w:val="18"/>
                <w:szCs w:val="18"/>
                <w:color w:val="auto"/>
                <w:w w:val="87"/>
              </w:rPr>
              <w:t>Item 3.</w:t>
            </w:r>
          </w:p>
        </w:tc>
        <w:tc>
          <w:tcPr>
            <w:tcW w:w="100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QUANTITATIVE AND QUALITATIVE DISCLOSURES ABOUT MARKET RISK</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1004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w w:val="87"/>
              </w:rPr>
              <w:t>Item 4.</w:t>
            </w:r>
          </w:p>
        </w:tc>
        <w:tc>
          <w:tcPr>
            <w:tcW w:w="10040" w:type="dxa"/>
            <w:vAlign w:val="bottom"/>
          </w:tcPr>
          <w:p>
            <w:pPr>
              <w:ind w:left="220"/>
              <w:spacing w:after="0"/>
              <w:rPr>
                <w:sz w:val="20"/>
                <w:szCs w:val="20"/>
                <w:color w:val="auto"/>
              </w:rPr>
            </w:pPr>
            <w:r>
              <w:rPr>
                <w:rFonts w:ascii="Arial" w:cs="Arial" w:eastAsia="Arial" w:hAnsi="Arial"/>
                <w:sz w:val="18"/>
                <w:szCs w:val="18"/>
                <w:color w:val="auto"/>
              </w:rPr>
              <w:t>CONTROLS AND PROCEDURES</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10800" w:type="dxa"/>
            <w:vAlign w:val="bottom"/>
            <w:gridSpan w:val="2"/>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080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 xml:space="preserve">PART II – Other Information </w:t>
            </w:r>
            <w:r>
              <w:rPr>
                <w:rFonts w:ascii="Arial" w:cs="Arial" w:eastAsia="Arial" w:hAnsi="Arial"/>
                <w:sz w:val="18"/>
                <w:szCs w:val="18"/>
                <w:color w:val="auto"/>
              </w:rPr>
              <w:t>– Items 1. – 6.</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800" w:type="dxa"/>
            <w:vAlign w:val="bottom"/>
            <w:gridSpan w:val="2"/>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800" w:type="dxa"/>
            <w:vAlign w:val="bottom"/>
            <w:gridSpan w:val="2"/>
          </w:tcPr>
          <w:p>
            <w:pPr>
              <w:ind w:left="260"/>
              <w:spacing w:after="0"/>
              <w:rPr>
                <w:sz w:val="20"/>
                <w:szCs w:val="20"/>
                <w:color w:val="auto"/>
              </w:rPr>
            </w:pPr>
            <w:r>
              <w:rPr>
                <w:rFonts w:ascii="Arial" w:cs="Arial" w:eastAsia="Arial" w:hAnsi="Arial"/>
                <w:sz w:val="18"/>
                <w:szCs w:val="18"/>
                <w:color w:val="auto"/>
              </w:rPr>
              <w:t>SIGNATURES</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46"/>
        </w:trPr>
        <w:tc>
          <w:tcPr>
            <w:tcW w:w="10820" w:type="dxa"/>
            <w:vAlign w:val="bottom"/>
            <w:gridSpan w:val="3"/>
          </w:tcPr>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2017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56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56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20" w:type="dxa"/>
            <w:vAlign w:val="bottom"/>
          </w:tcPr>
          <w:p>
            <w:pPr>
              <w:jc w:val="center"/>
              <w:ind w:left="1232"/>
              <w:spacing w:after="0"/>
              <w:rPr>
                <w:sz w:val="20"/>
                <w:szCs w:val="20"/>
                <w:color w:val="auto"/>
              </w:rPr>
            </w:pPr>
            <w:r>
              <w:rPr>
                <w:rFonts w:ascii="Arial" w:cs="Arial" w:eastAsia="Arial" w:hAnsi="Arial"/>
                <w:sz w:val="18"/>
                <w:szCs w:val="18"/>
                <w:b w:val="1"/>
                <w:bCs w:val="1"/>
                <w:color w:val="auto"/>
                <w:w w:val="97"/>
              </w:rPr>
              <w:t>CASS INFORMATION SYSTEMS, INC. AND SUBSIDIARIES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tcPr>
          <w:p>
            <w:pPr>
              <w:jc w:val="center"/>
              <w:ind w:left="1252"/>
              <w:spacing w:after="0"/>
              <w:rPr>
                <w:sz w:val="20"/>
                <w:szCs w:val="20"/>
                <w:color w:val="auto"/>
              </w:rPr>
            </w:pPr>
            <w:r>
              <w:rPr>
                <w:rFonts w:ascii="Arial" w:cs="Arial" w:eastAsia="Arial" w:hAnsi="Arial"/>
                <w:sz w:val="18"/>
                <w:szCs w:val="18"/>
                <w:b w:val="1"/>
                <w:bCs w:val="1"/>
                <w:color w:val="auto"/>
                <w:w w:val="96"/>
              </w:rPr>
              <w:t>CONSOLIDATED BALANCE SHEETS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tcPr>
          <w:p>
            <w:pPr>
              <w:jc w:val="center"/>
              <w:ind w:left="1252"/>
              <w:spacing w:after="0"/>
              <w:rPr>
                <w:sz w:val="20"/>
                <w:szCs w:val="20"/>
                <w:color w:val="auto"/>
              </w:rPr>
            </w:pPr>
            <w:r>
              <w:rPr>
                <w:rFonts w:ascii="Arial" w:cs="Arial" w:eastAsia="Arial" w:hAnsi="Arial"/>
                <w:sz w:val="18"/>
                <w:szCs w:val="18"/>
                <w:color w:val="auto"/>
                <w:w w:val="86"/>
              </w:rPr>
              <w:t>(Dollars in Thousands except Share and Per Share Data)</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420" w:type="dxa"/>
            <w:vAlign w:val="bottom"/>
            <w:gridSpan w:val="2"/>
          </w:tcPr>
          <w:p>
            <w:pPr>
              <w:jc w:val="center"/>
              <w:ind w:left="192"/>
              <w:spacing w:after="0"/>
              <w:rPr>
                <w:sz w:val="20"/>
                <w:szCs w:val="20"/>
                <w:color w:val="auto"/>
              </w:rPr>
            </w:pPr>
            <w:r>
              <w:rPr>
                <w:rFonts w:ascii="Arial" w:cs="Arial" w:eastAsia="Arial" w:hAnsi="Arial"/>
                <w:sz w:val="18"/>
                <w:szCs w:val="18"/>
                <w:b w:val="1"/>
                <w:bCs w:val="1"/>
                <w:color w:val="auto"/>
                <w:w w:val="86"/>
              </w:rPr>
              <w:t>September 30,</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2018</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0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(Unaudited)</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560" w:type="dxa"/>
            <w:vAlign w:val="bottom"/>
            <w:gridSpan w:val="4"/>
          </w:tcPr>
          <w:p>
            <w:pPr>
              <w:spacing w:after="0"/>
              <w:rPr>
                <w:sz w:val="20"/>
                <w:szCs w:val="20"/>
                <w:color w:val="auto"/>
              </w:rPr>
            </w:pPr>
            <w:r>
              <w:rPr>
                <w:rFonts w:ascii="Arial" w:cs="Arial" w:eastAsia="Arial" w:hAnsi="Arial"/>
                <w:sz w:val="18"/>
                <w:szCs w:val="18"/>
                <w:color w:val="auto"/>
              </w:rPr>
              <w:t>Cash and due from banks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11,835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17,422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145,803</w:t>
            </w: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152,056</w:t>
            </w:r>
          </w:p>
        </w:tc>
        <w:tc>
          <w:tcPr>
            <w:tcW w:w="0" w:type="dxa"/>
            <w:vAlign w:val="bottom"/>
          </w:tcPr>
          <w:p>
            <w:pPr>
              <w:spacing w:after="0"/>
              <w:rPr>
                <w:sz w:val="1"/>
                <w:szCs w:val="1"/>
                <w:color w:val="auto"/>
              </w:rPr>
            </w:pPr>
          </w:p>
        </w:tc>
      </w:tr>
      <w:tr>
        <w:trPr>
          <w:trHeight w:val="237"/>
        </w:trPr>
        <w:tc>
          <w:tcPr>
            <w:tcW w:w="8560" w:type="dxa"/>
            <w:vAlign w:val="bottom"/>
            <w:gridSpan w:val="4"/>
          </w:tcPr>
          <w:p>
            <w:pPr>
              <w:spacing w:after="0"/>
              <w:rPr>
                <w:sz w:val="20"/>
                <w:szCs w:val="20"/>
                <w:color w:val="auto"/>
              </w:rPr>
            </w:pPr>
            <w:r>
              <w:rPr>
                <w:rFonts w:ascii="Arial" w:cs="Arial" w:eastAsia="Arial" w:hAnsi="Arial"/>
                <w:sz w:val="18"/>
                <w:szCs w:val="18"/>
                <w:color w:val="auto"/>
              </w:rPr>
              <w:t>Federal funds sold and other short-term investments</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22,409</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tcBorders>
              <w:top w:val="single" w:sz="8" w:color="C0C0C0"/>
            </w:tcBorders>
            <w:gridSpan w:val="3"/>
            <w:shd w:val="clear" w:color="auto" w:fill="C0C0C0"/>
          </w:tcPr>
          <w:p>
            <w:pPr>
              <w:ind w:left="5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top w:val="single" w:sz="8" w:color="C0C0C0"/>
            </w:tcBorders>
            <w:shd w:val="clear" w:color="auto" w:fill="C0C0C0"/>
          </w:tcPr>
          <w:p>
            <w:pPr>
              <w:spacing w:after="0"/>
              <w:rPr>
                <w:sz w:val="21"/>
                <w:szCs w:val="21"/>
                <w:color w:val="auto"/>
              </w:rPr>
            </w:pPr>
          </w:p>
        </w:tc>
        <w:tc>
          <w:tcPr>
            <w:tcW w:w="10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180,047</w:t>
            </w:r>
          </w:p>
        </w:tc>
        <w:tc>
          <w:tcPr>
            <w:tcW w:w="380" w:type="dxa"/>
            <w:vAlign w:val="bottom"/>
            <w:tcBorders>
              <w:top w:val="single" w:sz="8" w:color="C0C0C0"/>
            </w:tcBorders>
            <w:shd w:val="clear" w:color="auto" w:fill="C0C0C0"/>
          </w:tcPr>
          <w:p>
            <w:pPr>
              <w:spacing w:after="0"/>
              <w:rPr>
                <w:sz w:val="21"/>
                <w:szCs w:val="21"/>
                <w:color w:val="auto"/>
              </w:rPr>
            </w:pPr>
          </w:p>
        </w:tc>
        <w:tc>
          <w:tcPr>
            <w:tcW w:w="10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228,110</w:t>
            </w:r>
          </w:p>
        </w:tc>
        <w:tc>
          <w:tcPr>
            <w:tcW w:w="0" w:type="dxa"/>
            <w:vAlign w:val="bottom"/>
          </w:tcPr>
          <w:p>
            <w:pPr>
              <w:spacing w:after="0"/>
              <w:rPr>
                <w:sz w:val="1"/>
                <w:szCs w:val="1"/>
                <w:color w:val="auto"/>
              </w:rPr>
            </w:pPr>
          </w:p>
        </w:tc>
      </w:tr>
      <w:tr>
        <w:trPr>
          <w:trHeight w:val="221"/>
        </w:trPr>
        <w:tc>
          <w:tcPr>
            <w:tcW w:w="8560" w:type="dxa"/>
            <w:vAlign w:val="bottom"/>
            <w:gridSpan w:val="4"/>
          </w:tcPr>
          <w:p>
            <w:pPr>
              <w:spacing w:after="0"/>
              <w:rPr>
                <w:sz w:val="20"/>
                <w:szCs w:val="20"/>
                <w:color w:val="auto"/>
              </w:rPr>
            </w:pPr>
            <w:r>
              <w:rPr>
                <w:rFonts w:ascii="Arial" w:cs="Arial" w:eastAsia="Arial" w:hAnsi="Arial"/>
                <w:sz w:val="18"/>
                <w:szCs w:val="18"/>
                <w:color w:val="auto"/>
              </w:rPr>
              <w:t>Securities available-for-sale, at fair value</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446,440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470,523</w:t>
            </w:r>
          </w:p>
        </w:tc>
        <w:tc>
          <w:tcPr>
            <w:tcW w:w="0" w:type="dxa"/>
            <w:vAlign w:val="bottom"/>
          </w:tcPr>
          <w:p>
            <w:pPr>
              <w:spacing w:after="0"/>
              <w:rPr>
                <w:sz w:val="1"/>
                <w:szCs w:val="1"/>
                <w:color w:val="auto"/>
              </w:rPr>
            </w:pPr>
          </w:p>
        </w:tc>
      </w:tr>
      <w:tr>
        <w:trPr>
          <w:trHeight w:val="259"/>
        </w:trPr>
        <w:tc>
          <w:tcPr>
            <w:tcW w:w="76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c>
          <w:tcPr>
            <w:tcW w:w="7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Loans</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726,239</w:t>
            </w: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686,231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Borders>
              <w:bottom w:val="single" w:sz="8" w:color="C0C0C0"/>
            </w:tcBorders>
            <w:gridSpan w:val="3"/>
          </w:tcPr>
          <w:p>
            <w:pPr>
              <w:ind w:left="520"/>
              <w:spacing w:after="0"/>
              <w:rPr>
                <w:sz w:val="20"/>
                <w:szCs w:val="20"/>
                <w:color w:val="auto"/>
              </w:rPr>
            </w:pPr>
            <w:r>
              <w:rPr>
                <w:rFonts w:ascii="Arial" w:cs="Arial" w:eastAsia="Arial" w:hAnsi="Arial"/>
                <w:sz w:val="18"/>
                <w:szCs w:val="18"/>
                <w:color w:val="auto"/>
              </w:rPr>
              <w:t>Less: Allowance for loan losses</w:t>
            </w:r>
          </w:p>
        </w:tc>
        <w:tc>
          <w:tcPr>
            <w:tcW w:w="380" w:type="dxa"/>
            <w:vAlign w:val="bottom"/>
            <w:tcBorders>
              <w:bottom w:val="single" w:sz="8" w:color="C0C0C0"/>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w:t>
            </w:r>
          </w:p>
        </w:tc>
        <w:tc>
          <w:tcPr>
            <w:tcW w:w="380" w:type="dxa"/>
            <w:vAlign w:val="bottom"/>
            <w:tcBorders>
              <w:bottom w:val="single" w:sz="8" w:color="C0C0C0"/>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780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Loans, net</w:t>
            </w:r>
          </w:p>
        </w:tc>
        <w:tc>
          <w:tcPr>
            <w:tcW w:w="380" w:type="dxa"/>
            <w:vAlign w:val="bottom"/>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716,019</w:t>
            </w:r>
          </w:p>
        </w:tc>
        <w:tc>
          <w:tcPr>
            <w:tcW w:w="380" w:type="dxa"/>
            <w:vAlign w:val="bottom"/>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676,026</w:t>
            </w:r>
          </w:p>
        </w:tc>
        <w:tc>
          <w:tcPr>
            <w:tcW w:w="0" w:type="dxa"/>
            <w:vAlign w:val="bottom"/>
          </w:tcPr>
          <w:p>
            <w:pPr>
              <w:spacing w:after="0"/>
              <w:rPr>
                <w:sz w:val="1"/>
                <w:szCs w:val="1"/>
                <w:color w:val="auto"/>
              </w:rPr>
            </w:pPr>
          </w:p>
        </w:tc>
      </w:tr>
      <w:tr>
        <w:trPr>
          <w:trHeight w:val="229"/>
        </w:trPr>
        <w:tc>
          <w:tcPr>
            <w:tcW w:w="8560" w:type="dxa"/>
            <w:vAlign w:val="bottom"/>
            <w:gridSpan w:val="4"/>
          </w:tcPr>
          <w:p>
            <w:pPr>
              <w:spacing w:after="0"/>
              <w:rPr>
                <w:sz w:val="20"/>
                <w:szCs w:val="20"/>
                <w:color w:val="auto"/>
              </w:rPr>
            </w:pPr>
            <w:r>
              <w:rPr>
                <w:rFonts w:ascii="Arial" w:cs="Arial" w:eastAsia="Arial" w:hAnsi="Arial"/>
                <w:sz w:val="18"/>
                <w:szCs w:val="18"/>
                <w:color w:val="auto"/>
              </w:rPr>
              <w:t>Premises and equipment,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22,615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Investment in bank-owned life insurance</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17,270</w:t>
            </w: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16,927</w:t>
            </w:r>
          </w:p>
        </w:tc>
        <w:tc>
          <w:tcPr>
            <w:tcW w:w="0" w:type="dxa"/>
            <w:vAlign w:val="bottom"/>
          </w:tcPr>
          <w:p>
            <w:pPr>
              <w:spacing w:after="0"/>
              <w:rPr>
                <w:sz w:val="1"/>
                <w:szCs w:val="1"/>
                <w:color w:val="auto"/>
              </w:rPr>
            </w:pPr>
          </w:p>
        </w:tc>
      </w:tr>
      <w:tr>
        <w:trPr>
          <w:trHeight w:val="235"/>
        </w:trPr>
        <w:tc>
          <w:tcPr>
            <w:tcW w:w="8560" w:type="dxa"/>
            <w:vAlign w:val="bottom"/>
            <w:gridSpan w:val="4"/>
          </w:tcPr>
          <w:p>
            <w:pPr>
              <w:spacing w:after="0"/>
              <w:rPr>
                <w:sz w:val="20"/>
                <w:szCs w:val="20"/>
                <w:color w:val="auto"/>
              </w:rPr>
            </w:pPr>
            <w:r>
              <w:rPr>
                <w:rFonts w:ascii="Arial" w:cs="Arial" w:eastAsia="Arial" w:hAnsi="Arial"/>
                <w:sz w:val="18"/>
                <w:szCs w:val="18"/>
                <w:color w:val="auto"/>
              </w:rPr>
              <w:t>Payments in excess of funding</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161,080</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139,103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35"/>
        </w:trPr>
        <w:tc>
          <w:tcPr>
            <w:tcW w:w="8560" w:type="dxa"/>
            <w:vAlign w:val="bottom"/>
            <w:gridSpan w:val="4"/>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1,664</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120,543</w:t>
            </w:r>
          </w:p>
        </w:tc>
        <w:tc>
          <w:tcPr>
            <w:tcW w:w="380" w:type="dxa"/>
            <w:vAlign w:val="bottom"/>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90,369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40" w:type="dxa"/>
            <w:vAlign w:val="bottom"/>
            <w:gridSpan w:val="3"/>
          </w:tcPr>
          <w:p>
            <w:pPr>
              <w:ind w:left="520"/>
              <w:spacing w:after="0"/>
              <w:rPr>
                <w:sz w:val="20"/>
                <w:szCs w:val="20"/>
                <w:color w:val="auto"/>
              </w:rPr>
            </w:pPr>
            <w:r>
              <w:rPr>
                <w:rFonts w:ascii="Arial" w:cs="Arial" w:eastAsia="Arial" w:hAnsi="Arial"/>
                <w:sz w:val="18"/>
                <w:szCs w:val="18"/>
                <w:color w:val="auto"/>
              </w:rPr>
              <w:t>Total assets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1,678,247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1,657,209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560" w:type="dxa"/>
            <w:vAlign w:val="bottom"/>
            <w:gridSpan w:val="4"/>
          </w:tcPr>
          <w:p>
            <w:pPr>
              <w:spacing w:after="0" w:line="189" w:lineRule="exact"/>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Deposits:</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540" w:type="dxa"/>
            <w:vAlign w:val="bottom"/>
            <w:gridSpan w:val="3"/>
          </w:tcPr>
          <w:p>
            <w:pPr>
              <w:ind w:left="260"/>
              <w:spacing w:after="0"/>
              <w:rPr>
                <w:sz w:val="20"/>
                <w:szCs w:val="20"/>
                <w:color w:val="auto"/>
              </w:rPr>
            </w:pPr>
            <w:r>
              <w:rPr>
                <w:rFonts w:ascii="Arial" w:cs="Arial" w:eastAsia="Arial" w:hAnsi="Arial"/>
                <w:sz w:val="18"/>
                <w:szCs w:val="18"/>
                <w:color w:val="auto"/>
              </w:rPr>
              <w:t>Noninterest-bearing</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270,395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281,541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gridSpan w:val="3"/>
            <w:shd w:val="clear" w:color="auto" w:fill="C0C0C0"/>
          </w:tcPr>
          <w:p>
            <w:pPr>
              <w:ind w:left="260"/>
              <w:spacing w:after="0"/>
              <w:rPr>
                <w:sz w:val="20"/>
                <w:szCs w:val="20"/>
                <w:color w:val="auto"/>
              </w:rPr>
            </w:pPr>
            <w:r>
              <w:rPr>
                <w:rFonts w:ascii="Arial" w:cs="Arial" w:eastAsia="Arial" w:hAnsi="Arial"/>
                <w:sz w:val="18"/>
                <w:szCs w:val="18"/>
                <w:color w:val="auto"/>
              </w:rPr>
              <w:t>Interest-bearing</w:t>
            </w:r>
          </w:p>
        </w:tc>
        <w:tc>
          <w:tcPr>
            <w:tcW w:w="380" w:type="dxa"/>
            <w:vAlign w:val="bottom"/>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364,329</w:t>
            </w:r>
          </w:p>
        </w:tc>
        <w:tc>
          <w:tcPr>
            <w:tcW w:w="380" w:type="dxa"/>
            <w:vAlign w:val="bottom"/>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396,547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Borders>
              <w:bottom w:val="single" w:sz="8" w:color="C0C0C0"/>
            </w:tcBorders>
            <w:gridSpan w:val="3"/>
          </w:tcPr>
          <w:p>
            <w:pPr>
              <w:ind w:left="520"/>
              <w:spacing w:after="0"/>
              <w:rPr>
                <w:sz w:val="20"/>
                <w:szCs w:val="20"/>
                <w:color w:val="auto"/>
              </w:rPr>
            </w:pPr>
            <w:r>
              <w:rPr>
                <w:rFonts w:ascii="Arial" w:cs="Arial" w:eastAsia="Arial" w:hAnsi="Arial"/>
                <w:sz w:val="18"/>
                <w:szCs w:val="18"/>
                <w:color w:val="auto"/>
              </w:rPr>
              <w:t>Total deposits</w:t>
            </w:r>
          </w:p>
        </w:tc>
        <w:tc>
          <w:tcPr>
            <w:tcW w:w="380" w:type="dxa"/>
            <w:vAlign w:val="bottom"/>
            <w:tcBorders>
              <w:bottom w:val="single" w:sz="8" w:color="C0C0C0"/>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634,724</w:t>
            </w:r>
          </w:p>
        </w:tc>
        <w:tc>
          <w:tcPr>
            <w:tcW w:w="380" w:type="dxa"/>
            <w:vAlign w:val="bottom"/>
            <w:tcBorders>
              <w:bottom w:val="single" w:sz="8" w:color="C0C0C0"/>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Accounts and drafts payable</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769,638</w:t>
            </w: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715,888</w:t>
            </w:r>
          </w:p>
        </w:tc>
        <w:tc>
          <w:tcPr>
            <w:tcW w:w="0" w:type="dxa"/>
            <w:vAlign w:val="bottom"/>
          </w:tcPr>
          <w:p>
            <w:pPr>
              <w:spacing w:after="0"/>
              <w:rPr>
                <w:sz w:val="1"/>
                <w:szCs w:val="1"/>
                <w:color w:val="auto"/>
              </w:rPr>
            </w:pPr>
          </w:p>
        </w:tc>
      </w:tr>
      <w:tr>
        <w:trPr>
          <w:trHeight w:val="237"/>
        </w:trPr>
        <w:tc>
          <w:tcPr>
            <w:tcW w:w="856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44,543</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Borders>
              <w:top w:val="single" w:sz="8" w:color="C0C0C0"/>
              <w:bottom w:val="single" w:sz="8" w:color="C0C0C0"/>
            </w:tcBorders>
            <w:gridSpan w:val="3"/>
            <w:shd w:val="clear" w:color="auto" w:fill="C0C0C0"/>
          </w:tcPr>
          <w:p>
            <w:pPr>
              <w:ind w:left="52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C0C0C0"/>
              <w:bottom w:val="single" w:sz="8" w:color="C0C0C0"/>
            </w:tcBorders>
            <w:shd w:val="clear" w:color="auto" w:fill="C0C0C0"/>
          </w:tcPr>
          <w:p>
            <w:pPr>
              <w:spacing w:after="0"/>
              <w:rPr>
                <w:sz w:val="20"/>
                <w:szCs w:val="20"/>
                <w:color w:val="auto"/>
              </w:rPr>
            </w:pPr>
          </w:p>
        </w:tc>
        <w:tc>
          <w:tcPr>
            <w:tcW w:w="10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1,448,905</w:t>
            </w:r>
          </w:p>
        </w:tc>
        <w:tc>
          <w:tcPr>
            <w:tcW w:w="380" w:type="dxa"/>
            <w:vAlign w:val="bottom"/>
            <w:tcBorders>
              <w:top w:val="single" w:sz="8" w:color="C0C0C0"/>
              <w:bottom w:val="single" w:sz="8" w:color="C0C0C0"/>
            </w:tcBorders>
            <w:shd w:val="clear" w:color="auto" w:fill="C0C0C0"/>
          </w:tcPr>
          <w:p>
            <w:pPr>
              <w:spacing w:after="0"/>
              <w:rPr>
                <w:sz w:val="20"/>
                <w:szCs w:val="20"/>
                <w:color w:val="auto"/>
              </w:rPr>
            </w:pPr>
          </w:p>
        </w:tc>
        <w:tc>
          <w:tcPr>
            <w:tcW w:w="10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1,432,121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702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104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560" w:type="dxa"/>
            <w:vAlign w:val="bottom"/>
            <w:gridSpan w:val="4"/>
          </w:tcPr>
          <w:p>
            <w:pPr>
              <w:spacing w:after="0" w:line="189" w:lineRule="exact"/>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560" w:type="dxa"/>
            <w:vAlign w:val="bottom"/>
            <w:gridSpan w:val="4"/>
          </w:tcPr>
          <w:p>
            <w:pPr>
              <w:spacing w:after="0"/>
              <w:rPr>
                <w:sz w:val="20"/>
                <w:szCs w:val="20"/>
                <w:color w:val="auto"/>
              </w:rPr>
            </w:pPr>
            <w:r>
              <w:rPr>
                <w:rFonts w:ascii="Arial" w:cs="Arial" w:eastAsia="Arial" w:hAnsi="Arial"/>
                <w:sz w:val="18"/>
                <w:szCs w:val="18"/>
                <w:color w:val="auto"/>
                <w:w w:val="88"/>
              </w:rPr>
              <w:t>Common stock, par value $.50 per share; 40,000,000 shares authorized and 13,047,997 shares issued at September 30,</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gridSpan w:val="3"/>
          </w:tcPr>
          <w:p>
            <w:pPr>
              <w:ind w:left="260"/>
              <w:spacing w:after="0"/>
              <w:rPr>
                <w:sz w:val="20"/>
                <w:szCs w:val="20"/>
                <w:color w:val="auto"/>
              </w:rPr>
            </w:pPr>
            <w:r>
              <w:rPr>
                <w:rFonts w:ascii="Arial" w:cs="Arial" w:eastAsia="Arial" w:hAnsi="Arial"/>
                <w:sz w:val="18"/>
                <w:szCs w:val="18"/>
                <w:color w:val="auto"/>
              </w:rPr>
              <w:t>2018 and December 31, 2017</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6,524</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204,971</w:t>
            </w: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204,631</w:t>
            </w:r>
          </w:p>
        </w:tc>
        <w:tc>
          <w:tcPr>
            <w:tcW w:w="0" w:type="dxa"/>
            <w:vAlign w:val="bottom"/>
          </w:tcPr>
          <w:p>
            <w:pPr>
              <w:spacing w:after="0"/>
              <w:rPr>
                <w:sz w:val="1"/>
                <w:szCs w:val="1"/>
                <w:color w:val="auto"/>
              </w:rPr>
            </w:pPr>
          </w:p>
        </w:tc>
      </w:tr>
      <w:tr>
        <w:trPr>
          <w:trHeight w:val="235"/>
        </w:trPr>
        <w:tc>
          <w:tcPr>
            <w:tcW w:w="856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73,183</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59,314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40" w:type="dxa"/>
            <w:vAlign w:val="bottom"/>
            <w:gridSpan w:val="3"/>
            <w:shd w:val="clear" w:color="auto" w:fill="C0C0C0"/>
          </w:tcPr>
          <w:p>
            <w:pPr>
              <w:spacing w:after="0"/>
              <w:rPr>
                <w:sz w:val="20"/>
                <w:szCs w:val="20"/>
                <w:color w:val="auto"/>
              </w:rPr>
            </w:pPr>
            <w:r>
              <w:rPr>
                <w:rFonts w:ascii="Arial" w:cs="Arial" w:eastAsia="Arial" w:hAnsi="Arial"/>
                <w:sz w:val="18"/>
                <w:szCs w:val="18"/>
                <w:color w:val="auto"/>
                <w:w w:val="88"/>
              </w:rPr>
              <w:t>Common shares in treasury, at cost (746,260 shares at September 30, 2018 and 760,962 shares at December 31, 2017)</w:t>
            </w:r>
          </w:p>
        </w:tc>
        <w:tc>
          <w:tcPr>
            <w:tcW w:w="38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(32,029)</w:t>
            </w:r>
          </w:p>
        </w:tc>
        <w:tc>
          <w:tcPr>
            <w:tcW w:w="3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(32,061)</w:t>
            </w:r>
          </w:p>
        </w:tc>
        <w:tc>
          <w:tcPr>
            <w:tcW w:w="0" w:type="dxa"/>
            <w:vAlign w:val="bottom"/>
          </w:tcPr>
          <w:p>
            <w:pPr>
              <w:spacing w:after="0"/>
              <w:rPr>
                <w:sz w:val="1"/>
                <w:szCs w:val="1"/>
                <w:color w:val="auto"/>
              </w:rPr>
            </w:pPr>
          </w:p>
        </w:tc>
      </w:tr>
      <w:tr>
        <w:trPr>
          <w:trHeight w:val="237"/>
        </w:trPr>
        <w:tc>
          <w:tcPr>
            <w:tcW w:w="856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(23,307)</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Borders>
              <w:top w:val="single" w:sz="8" w:color="C0C0C0"/>
            </w:tcBorders>
            <w:gridSpan w:val="3"/>
            <w:shd w:val="clear" w:color="auto" w:fill="C0C0C0"/>
          </w:tcPr>
          <w:p>
            <w:pPr>
              <w:ind w:left="52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top w:val="single" w:sz="8" w:color="C0C0C0"/>
            </w:tcBorders>
            <w:shd w:val="clear" w:color="auto" w:fill="C0C0C0"/>
          </w:tcPr>
          <w:p>
            <w:pPr>
              <w:spacing w:after="0"/>
              <w:rPr>
                <w:sz w:val="20"/>
                <w:szCs w:val="20"/>
                <w:color w:val="auto"/>
              </w:rPr>
            </w:pPr>
          </w:p>
        </w:tc>
        <w:tc>
          <w:tcPr>
            <w:tcW w:w="10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229,342</w:t>
            </w:r>
          </w:p>
        </w:tc>
        <w:tc>
          <w:tcPr>
            <w:tcW w:w="380" w:type="dxa"/>
            <w:vAlign w:val="bottom"/>
            <w:tcBorders>
              <w:top w:val="single" w:sz="8" w:color="C0C0C0"/>
            </w:tcBorders>
            <w:shd w:val="clear" w:color="auto" w:fill="C0C0C0"/>
          </w:tcPr>
          <w:p>
            <w:pPr>
              <w:spacing w:after="0"/>
              <w:rPr>
                <w:sz w:val="20"/>
                <w:szCs w:val="20"/>
                <w:color w:val="auto"/>
              </w:rPr>
            </w:pPr>
          </w:p>
        </w:tc>
        <w:tc>
          <w:tcPr>
            <w:tcW w:w="10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225,088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0" w:type="dxa"/>
            <w:vAlign w:val="bottom"/>
            <w:gridSpan w:val="2"/>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1,678,247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1,657,209</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right"/>
              <w:ind w:right="172"/>
              <w:spacing w:after="0"/>
              <w:rPr>
                <w:sz w:val="20"/>
                <w:szCs w:val="20"/>
                <w:color w:val="auto"/>
              </w:rPr>
            </w:pPr>
            <w:r>
              <w:rPr>
                <w:rFonts w:ascii="Arial" w:cs="Arial" w:eastAsia="Arial" w:hAnsi="Arial"/>
                <w:sz w:val="18"/>
                <w:szCs w:val="18"/>
                <w:b w:val="1"/>
                <w:bCs w:val="1"/>
                <w:color w:val="auto"/>
                <w:w w:val="95"/>
              </w:rPr>
              <w:t>Three Months Ended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Fee Revenue and Other Income: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2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26,020</w:t>
            </w:r>
          </w:p>
        </w:tc>
        <w:tc>
          <w:tcPr>
            <w:tcW w:w="1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23,761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76,068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69,332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Bank service fees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994</w:t>
            </w:r>
          </w:p>
        </w:tc>
        <w:tc>
          <w:tcPr>
            <w:tcW w:w="3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5"/>
        </w:trPr>
        <w:tc>
          <w:tcPr>
            <w:tcW w:w="6720" w:type="dxa"/>
            <w:vAlign w:val="bottom"/>
            <w:gridSpan w:val="2"/>
          </w:tcPr>
          <w:p>
            <w:pPr>
              <w:spacing w:after="0"/>
              <w:rPr>
                <w:sz w:val="20"/>
                <w:szCs w:val="20"/>
                <w:color w:val="auto"/>
              </w:rPr>
            </w:pPr>
            <w:r>
              <w:rPr>
                <w:rFonts w:ascii="Arial" w:cs="Arial" w:eastAsia="Arial" w:hAnsi="Arial"/>
                <w:sz w:val="18"/>
                <w:szCs w:val="18"/>
                <w:color w:val="auto"/>
              </w:rPr>
              <w:t>Losses on sales of securities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429</w:t>
            </w:r>
          </w:p>
        </w:tc>
        <w:tc>
          <w:tcPr>
            <w:tcW w:w="3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Total fee revenue and other 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77,449</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Interest Income: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2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23,832</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Interest and dividends on securities: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Taxable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1,428</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00" w:type="dxa"/>
            <w:vAlign w:val="bottom"/>
            <w:shd w:val="clear" w:color="auto" w:fill="C0C0C0"/>
          </w:tcPr>
          <w:p>
            <w:pPr>
              <w:ind w:left="520"/>
              <w:spacing w:after="0"/>
              <w:rPr>
                <w:sz w:val="20"/>
                <w:szCs w:val="20"/>
                <w:color w:val="auto"/>
              </w:rPr>
            </w:pPr>
            <w:r>
              <w:rPr>
                <w:rFonts w:ascii="Arial" w:cs="Arial" w:eastAsia="Arial" w:hAnsi="Arial"/>
                <w:sz w:val="18"/>
                <w:szCs w:val="18"/>
                <w:color w:val="auto"/>
              </w:rPr>
              <w:t>Exempt from federal income taxes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2,111</w:t>
            </w:r>
          </w:p>
        </w:tc>
        <w:tc>
          <w:tcPr>
            <w:tcW w:w="24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2,605</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7,008</w:t>
            </w:r>
          </w:p>
        </w:tc>
        <w:tc>
          <w:tcPr>
            <w:tcW w:w="3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37"/>
        </w:trPr>
        <w:tc>
          <w:tcPr>
            <w:tcW w:w="6720" w:type="dxa"/>
            <w:vAlign w:val="bottom"/>
            <w:gridSpan w:val="2"/>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1,119</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2,748</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interest income</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12,215</w:t>
            </w: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240" w:type="dxa"/>
            <w:vAlign w:val="bottom"/>
            <w:tcBorders>
              <w:top w:val="single" w:sz="8" w:color="C0C0C0"/>
              <w:bottom w:val="single" w:sz="8" w:color="C0C0C0"/>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10,665</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35,016</w:t>
            </w:r>
          </w:p>
        </w:tc>
        <w:tc>
          <w:tcPr>
            <w:tcW w:w="380" w:type="dxa"/>
            <w:vAlign w:val="bottom"/>
            <w:tcBorders>
              <w:top w:val="single" w:sz="8" w:color="C0C0C0"/>
              <w:bottom w:val="single" w:sz="8" w:color="C0C0C0"/>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30,996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Interest on deposits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2,502</w:t>
            </w:r>
          </w:p>
        </w:tc>
        <w:tc>
          <w:tcPr>
            <w:tcW w:w="38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Net interest income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11,186</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32,514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29,475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Provision for loan losses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Net interest income after provision for loan losses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11,186</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10,094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32,514</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top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net revenue</w:t>
            </w:r>
          </w:p>
        </w:tc>
        <w:tc>
          <w:tcPr>
            <w:tcW w:w="28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C0C0C0"/>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37,621</w:t>
            </w:r>
          </w:p>
        </w:tc>
        <w:tc>
          <w:tcPr>
            <w:tcW w:w="140" w:type="dxa"/>
            <w:vAlign w:val="bottom"/>
            <w:tcBorders>
              <w:top w:val="single" w:sz="8" w:color="C0C0C0"/>
            </w:tcBorders>
            <w:shd w:val="clear" w:color="auto" w:fill="C0C0C0"/>
          </w:tcPr>
          <w:p>
            <w:pPr>
              <w:spacing w:after="0"/>
              <w:rPr>
                <w:sz w:val="19"/>
                <w:szCs w:val="19"/>
                <w:color w:val="auto"/>
              </w:rPr>
            </w:pPr>
          </w:p>
        </w:tc>
        <w:tc>
          <w:tcPr>
            <w:tcW w:w="240" w:type="dxa"/>
            <w:vAlign w:val="bottom"/>
            <w:tcBorders>
              <w:top w:val="single" w:sz="8" w:color="C0C0C0"/>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34,301</w:t>
            </w:r>
          </w:p>
        </w:tc>
        <w:tc>
          <w:tcPr>
            <w:tcW w:w="26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C0C0C0"/>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109,963</w:t>
            </w:r>
          </w:p>
        </w:tc>
        <w:tc>
          <w:tcPr>
            <w:tcW w:w="380" w:type="dxa"/>
            <w:vAlign w:val="bottom"/>
            <w:tcBorders>
              <w:top w:val="single" w:sz="8" w:color="C0C0C0"/>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100,253</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67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Personnel</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21,747</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19,423</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63,718</w:t>
            </w:r>
          </w:p>
        </w:tc>
        <w:tc>
          <w:tcPr>
            <w:tcW w:w="3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57,384</w:t>
            </w:r>
          </w:p>
        </w:tc>
        <w:tc>
          <w:tcPr>
            <w:tcW w:w="0" w:type="dxa"/>
            <w:vAlign w:val="bottom"/>
          </w:tcPr>
          <w:p>
            <w:pPr>
              <w:spacing w:after="0"/>
              <w:rPr>
                <w:sz w:val="1"/>
                <w:szCs w:val="1"/>
                <w:color w:val="auto"/>
              </w:rPr>
            </w:pPr>
          </w:p>
        </w:tc>
      </w:tr>
      <w:tr>
        <w:trPr>
          <w:trHeight w:val="235"/>
        </w:trPr>
        <w:tc>
          <w:tcPr>
            <w:tcW w:w="672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2,754</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1,242</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4,150</w:t>
            </w:r>
          </w:p>
        </w:tc>
        <w:tc>
          <w:tcPr>
            <w:tcW w:w="3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35"/>
        </w:trPr>
        <w:tc>
          <w:tcPr>
            <w:tcW w:w="672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Other operating expense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4,264</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3,364</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11,222</w:t>
            </w:r>
          </w:p>
        </w:tc>
        <w:tc>
          <w:tcPr>
            <w:tcW w:w="38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Total operating expense</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28,530</w:t>
            </w: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25,042</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82,175</w:t>
            </w:r>
          </w:p>
        </w:tc>
        <w:tc>
          <w:tcPr>
            <w:tcW w:w="38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shd w:val="clear" w:color="auto" w:fill="C0C0C0"/>
          </w:tcPr>
          <w:p>
            <w:pPr>
              <w:ind w:left="80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9,091</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9,259</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27,788</w:t>
            </w:r>
          </w:p>
        </w:tc>
        <w:tc>
          <w:tcPr>
            <w:tcW w:w="3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25,992</w:t>
            </w:r>
          </w:p>
        </w:tc>
        <w:tc>
          <w:tcPr>
            <w:tcW w:w="0" w:type="dxa"/>
            <w:vAlign w:val="bottom"/>
          </w:tcPr>
          <w:p>
            <w:pPr>
              <w:spacing w:after="0"/>
              <w:rPr>
                <w:sz w:val="1"/>
                <w:szCs w:val="1"/>
                <w:color w:val="auto"/>
              </w:rPr>
            </w:pPr>
          </w:p>
        </w:tc>
      </w:tr>
      <w:tr>
        <w:trPr>
          <w:trHeight w:val="237"/>
        </w:trPr>
        <w:tc>
          <w:tcPr>
            <w:tcW w:w="67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4,577</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00" w:type="dxa"/>
            <w:vAlign w:val="bottom"/>
            <w:tcBorders>
              <w:top w:val="single" w:sz="8" w:color="C0C0C0"/>
              <w:bottom w:val="single" w:sz="8" w:color="C0C0C0"/>
            </w:tcBorders>
            <w:shd w:val="clear" w:color="auto" w:fill="C0C0C0"/>
          </w:tcPr>
          <w:p>
            <w:pPr>
              <w:ind w:left="80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C0C0C0"/>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7,610</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24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6,863</w:t>
            </w:r>
          </w:p>
        </w:tc>
        <w:tc>
          <w:tcPr>
            <w:tcW w:w="360" w:type="dxa"/>
            <w:vAlign w:val="bottom"/>
            <w:tcBorders>
              <w:top w:val="single" w:sz="8" w:color="C0C0C0"/>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23,211</w:t>
            </w:r>
          </w:p>
        </w:tc>
        <w:tc>
          <w:tcPr>
            <w:tcW w:w="38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2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1.87</w:t>
            </w:r>
          </w:p>
        </w:tc>
        <w:tc>
          <w:tcPr>
            <w:tcW w:w="3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66"/>
        </w:trPr>
        <w:tc>
          <w:tcPr>
            <w:tcW w:w="7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7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r>
      <w:tr>
        <w:trPr>
          <w:trHeight w:val="243"/>
        </w:trPr>
        <w:tc>
          <w:tcPr>
            <w:tcW w:w="70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7,610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6,863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23,211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19,683</w:t>
            </w:r>
          </w:p>
        </w:tc>
      </w:tr>
      <w:tr>
        <w:trPr>
          <w:trHeight w:val="251"/>
        </w:trPr>
        <w:tc>
          <w:tcPr>
            <w:tcW w:w="7000" w:type="dxa"/>
            <w:vAlign w:val="bottom"/>
            <w:shd w:val="clear" w:color="auto" w:fill="C0C0C0"/>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7000" w:type="dxa"/>
            <w:vAlign w:val="bottom"/>
          </w:tcPr>
          <w:p>
            <w:pPr>
              <w:ind w:left="280"/>
              <w:spacing w:after="0"/>
              <w:rPr>
                <w:sz w:val="20"/>
                <w:szCs w:val="20"/>
                <w:color w:val="auto"/>
              </w:rPr>
            </w:pPr>
            <w:r>
              <w:rPr>
                <w:rFonts w:ascii="Arial" w:cs="Arial" w:eastAsia="Arial" w:hAnsi="Arial"/>
                <w:sz w:val="18"/>
                <w:szCs w:val="18"/>
                <w:color w:val="auto"/>
              </w:rPr>
              <w:t>Net unrealized (loss) gain on securities available-for-sale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(2,835)</w:t>
            </w:r>
          </w:p>
        </w:tc>
        <w:tc>
          <w:tcPr>
            <w:tcW w:w="2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(13,029)</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8,246</w:t>
            </w:r>
          </w:p>
        </w:tc>
      </w:tr>
      <w:tr>
        <w:trPr>
          <w:trHeight w:val="235"/>
        </w:trPr>
        <w:tc>
          <w:tcPr>
            <w:tcW w:w="70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675</w:t>
            </w:r>
          </w:p>
        </w:tc>
        <w:tc>
          <w:tcPr>
            <w:tcW w:w="24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3,101</w:t>
            </w:r>
          </w:p>
        </w:tc>
        <w:tc>
          <w:tcPr>
            <w:tcW w:w="240" w:type="dxa"/>
            <w:vAlign w:val="bottom"/>
            <w:shd w:val="clear" w:color="auto" w:fill="C0C0C0"/>
          </w:tcPr>
          <w:p>
            <w:pPr>
              <w:spacing w:after="0"/>
              <w:rPr>
                <w:sz w:val="20"/>
                <w:szCs w:val="20"/>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(3,063)</w:t>
            </w:r>
          </w:p>
        </w:tc>
      </w:tr>
      <w:tr>
        <w:trPr>
          <w:trHeight w:val="259"/>
        </w:trPr>
        <w:tc>
          <w:tcPr>
            <w:tcW w:w="70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r>
      <w:tr>
        <w:trPr>
          <w:trHeight w:val="235"/>
        </w:trPr>
        <w:tc>
          <w:tcPr>
            <w:tcW w:w="7000" w:type="dxa"/>
            <w:vAlign w:val="bottom"/>
          </w:tcPr>
          <w:p>
            <w:pPr>
              <w:ind w:left="280"/>
              <w:spacing w:after="0"/>
              <w:rPr>
                <w:sz w:val="20"/>
                <w:szCs w:val="20"/>
                <w:color w:val="auto"/>
              </w:rPr>
            </w:pPr>
            <w:r>
              <w:rPr>
                <w:rFonts w:ascii="Arial" w:cs="Arial" w:eastAsia="Arial" w:hAnsi="Arial"/>
                <w:sz w:val="18"/>
                <w:szCs w:val="18"/>
                <w:color w:val="auto"/>
              </w:rPr>
              <w:t>Reclassification adjustments for losses included in net 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70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0C0C0"/>
          </w:tcPr>
          <w:p>
            <w:pPr>
              <w:spacing w:after="0"/>
              <w:rPr>
                <w:sz w:val="20"/>
                <w:szCs w:val="20"/>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70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r>
      <w:tr>
        <w:trPr>
          <w:trHeight w:val="235"/>
        </w:trPr>
        <w:tc>
          <w:tcPr>
            <w:tcW w:w="70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
        </w:trPr>
        <w:tc>
          <w:tcPr>
            <w:tcW w:w="700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42"/>
        </w:trPr>
        <w:tc>
          <w:tcPr>
            <w:tcW w:w="7000" w:type="dxa"/>
            <w:vAlign w:val="bottom"/>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5,429</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6,842</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13,224</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25,009</w:t>
            </w:r>
          </w:p>
        </w:tc>
      </w:tr>
      <w:tr>
        <w:trPr>
          <w:trHeight w:val="28"/>
        </w:trPr>
        <w:tc>
          <w:tcPr>
            <w:tcW w:w="700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920" w:type="dxa"/>
            <w:vAlign w:val="bottom"/>
          </w:tcPr>
          <w:p>
            <w:pPr>
              <w:ind w:left="4880"/>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tcPr>
          <w:p>
            <w:pPr>
              <w:jc w:val="right"/>
              <w:ind w:right="272"/>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23,211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19,683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8,524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8,361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ind w:left="520"/>
              <w:spacing w:after="0"/>
              <w:rPr>
                <w:sz w:val="20"/>
                <w:szCs w:val="20"/>
                <w:color w:val="auto"/>
              </w:rPr>
            </w:pPr>
            <w:r>
              <w:rPr>
                <w:rFonts w:ascii="Arial" w:cs="Arial" w:eastAsia="Arial" w:hAnsi="Arial"/>
                <w:sz w:val="18"/>
                <w:szCs w:val="18"/>
                <w:color w:val="auto"/>
              </w:rPr>
              <w:t>Net losses on sales of securities</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ind w:left="520"/>
              <w:spacing w:after="0"/>
              <w:rPr>
                <w:sz w:val="20"/>
                <w:szCs w:val="20"/>
                <w:color w:val="auto"/>
              </w:rPr>
            </w:pPr>
            <w:r>
              <w:rPr>
                <w:rFonts w:ascii="Arial" w:cs="Arial" w:eastAsia="Arial" w:hAnsi="Arial"/>
                <w:sz w:val="18"/>
                <w:szCs w:val="18"/>
                <w:color w:val="auto"/>
              </w:rPr>
              <w:t>Increase in income tax liability</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Increase in pension liability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ind w:left="520"/>
              <w:spacing w:after="0"/>
              <w:rPr>
                <w:sz w:val="20"/>
                <w:szCs w:val="20"/>
                <w:color w:val="auto"/>
              </w:rPr>
            </w:pPr>
            <w:r>
              <w:rPr>
                <w:rFonts w:ascii="Arial" w:cs="Arial" w:eastAsia="Arial" w:hAnsi="Arial"/>
                <w:sz w:val="18"/>
                <w:szCs w:val="18"/>
                <w:color w:val="auto"/>
              </w:rPr>
              <w:t>Decrease (increase) in accounts receivable</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4,027</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Other operating activities, net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(3,707)</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8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38,796</w:t>
            </w: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240" w:type="dxa"/>
            <w:vAlign w:val="bottom"/>
            <w:tcBorders>
              <w:top w:val="single" w:sz="8" w:color="C0C0C0"/>
              <w:bottom w:val="single" w:sz="8" w:color="C0C0C0"/>
            </w:tcBorders>
            <w:shd w:val="clear" w:color="auto" w:fill="C0C0C0"/>
          </w:tcPr>
          <w:p>
            <w:pPr>
              <w:spacing w:after="0"/>
              <w:rPr>
                <w:sz w:val="20"/>
                <w:szCs w:val="20"/>
                <w:color w:val="auto"/>
              </w:rPr>
            </w:pPr>
          </w:p>
        </w:tc>
        <w:tc>
          <w:tcPr>
            <w:tcW w:w="8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27,936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Proceeds from sales of securities available-for-sale</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58,520</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26,041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Purchase of securities available-for-sale</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(78,772)</w:t>
            </w: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(97,473)</w:t>
            </w: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Net (increase) decrease in loans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(39,993)</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Net increase in payments in excess of funding</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(21,977)</w:t>
            </w: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(14,455)</w:t>
            </w:r>
          </w:p>
        </w:tc>
        <w:tc>
          <w:tcPr>
            <w:tcW w:w="0" w:type="dxa"/>
            <w:vAlign w:val="bottom"/>
          </w:tcPr>
          <w:p>
            <w:pPr>
              <w:spacing w:after="0"/>
              <w:rPr>
                <w:sz w:val="1"/>
                <w:szCs w:val="1"/>
                <w:color w:val="auto"/>
              </w:rPr>
            </w:pPr>
          </w:p>
        </w:tc>
      </w:tr>
      <w:tr>
        <w:trPr>
          <w:trHeight w:val="237"/>
        </w:trPr>
        <w:tc>
          <w:tcPr>
            <w:tcW w:w="894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(3,956)</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Borders>
              <w:top w:val="single" w:sz="8" w:color="C0C0C0"/>
              <w:bottom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8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(60,137)</w:t>
            </w: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240" w:type="dxa"/>
            <w:vAlign w:val="bottom"/>
            <w:tcBorders>
              <w:top w:val="single" w:sz="8" w:color="C0C0C0"/>
              <w:bottom w:val="single" w:sz="8" w:color="C0C0C0"/>
            </w:tcBorders>
            <w:shd w:val="clear" w:color="auto" w:fill="C0C0C0"/>
          </w:tcPr>
          <w:p>
            <w:pPr>
              <w:spacing w:after="0"/>
              <w:rPr>
                <w:sz w:val="20"/>
                <w:szCs w:val="20"/>
                <w:color w:val="auto"/>
              </w:rPr>
            </w:pPr>
          </w:p>
        </w:tc>
        <w:tc>
          <w:tcPr>
            <w:tcW w:w="8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(74,049)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noninterest-bearing demand deposits</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(11,146)</w:t>
            </w: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Net decrease in interest-bearing demand and savings deposits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(35,988)</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Net increase (decrease) in time deposits</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3,771</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Net increase in accounts and drafts payable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27,849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44,946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Cash dividends paid</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(9,342)</w:t>
            </w: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Purchase of common shares for treasury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(1,409)</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Other financing activities, net</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(26,722)</w:t>
            </w: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(48,063)</w:t>
            </w: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37"/>
        </w:trPr>
        <w:tc>
          <w:tcPr>
            <w:tcW w:w="89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228,110</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266,743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tcBorders>
              <w:top w:val="single" w:sz="8" w:color="C0C0C0"/>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top w:val="single" w:sz="8" w:color="C0C0C0"/>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180,047</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24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242,098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Supplemental information: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Cash paid for interest</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2,459</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60"/>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25"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All share and per share data have been restated to give effect to the 10% stock dividend issued on December 15, 2017. Certain amounts in prior-period financial statements have been reclassified to conform to the current period’s presentation. For further information, refer to the audited consolidated financial statements and related footnotes included in Cass Information System, Inc.’s (the “Company” or “Cass”) Annual Report on Form 10-K for the year ended December 31, 2017</w:t>
      </w:r>
      <w:r>
        <w:rPr>
          <w:rFonts w:ascii="Arial" w:cs="Arial" w:eastAsia="Arial" w:hAnsi="Arial"/>
          <w:sz w:val="12"/>
          <w:szCs w:val="12"/>
          <w:color w:val="auto"/>
        </w:rPr>
        <w:t>.</w:t>
      </w:r>
    </w:p>
    <w:p>
      <w:pPr>
        <w:spacing w:after="0" w:line="172"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On January 1, 2018, the Company adopted Financial Accounting Standards Board (“FASB”) Accounting Standards Codification (“ASC”) 606, Revenue from Contracts with Customers (“FASB ASC 606”), and selected the modified retrospective transition method. The adoption of this new standard did not impact the 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FASB ASC 606 are presented within fee revenue and other income in the Consolidated Statements of Income and are recognized as revenue as the obligation to the customer is satisfied. Services within the scope of FASB ASC 606 include transportation and facility payment and processing fees, bank service fees, and other real estate owned (“OREO”).</w:t>
      </w:r>
    </w:p>
    <w:p>
      <w:pPr>
        <w:spacing w:after="0" w:line="1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Invoice processing and payment fees </w:t>
      </w:r>
      <w:r>
        <w:rPr>
          <w:rFonts w:ascii="Arial" w:cs="Arial" w:eastAsia="Arial" w:hAnsi="Arial"/>
          <w:sz w:val="18"/>
          <w:szCs w:val="18"/>
          <w:color w:val="auto"/>
        </w:rPr>
        <w:t>– The Company earns fees on a per-item basis for the services rendered on behalf of customers. Fees are earned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a month, representing the period over with the performance obligation is satisfied.</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Bank service fees </w:t>
      </w:r>
      <w:r>
        <w:rPr>
          <w:rFonts w:ascii="Arial" w:cs="Arial" w:eastAsia="Arial" w:hAnsi="Arial"/>
          <w:sz w:val="18"/>
          <w:szCs w:val="18"/>
          <w:color w:val="auto"/>
        </w:rPr>
        <w:t>– Revenue from service fees consists of service charges and fees on deposit accounts under depository agreements with customers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deposited funds and, when applicable, pay interest on deposits. Service charges on deposit accounts are primarily all charges that are recognized on a monthly basis representing the period over which the performance obligation is satisfied.</w:t>
      </w:r>
    </w:p>
    <w:p>
      <w:pPr>
        <w:spacing w:after="0" w:line="19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 The Company currently does not have any OREO and has not in recent years. Net gains or losses would be recorded when other real estate is sold to a</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and substantially all of the consideration for the transfer of property is received.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Company accounts for intangible assets in accordance with FASB ASC 350, “Goodwill and Other Intangible Assets,” (“FASB ASC 350”), which requires that intangibles with indefinite useful lives be tested annually for impairment and those with finite useful lives be amortized over their useful lives.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40" w:type="dxa"/>
            <w:vAlign w:val="bottom"/>
            <w:gridSpan w:val="2"/>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b w:val="1"/>
                <w:bCs w:val="1"/>
                <w:color w:val="auto"/>
              </w:rPr>
              <w:t>September 30, 2018</w:t>
            </w: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86"/>
              </w:rPr>
              <w:t>December 31, 2017</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7"/>
              </w:rPr>
              <w:t>Gross Carrying</w:t>
            </w: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Accumulated</w:t>
            </w: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Gross Carrying</w:t>
            </w: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w w:val="86"/>
              </w:rPr>
              <w:t>Accumulated</w:t>
            </w:r>
          </w:p>
        </w:tc>
        <w:tc>
          <w:tcPr>
            <w:tcW w:w="20" w:type="dxa"/>
            <w:vAlign w:val="bottom"/>
          </w:tcPr>
          <w:p>
            <w:pPr>
              <w:spacing w:after="0"/>
              <w:rPr>
                <w:sz w:val="19"/>
                <w:szCs w:val="19"/>
                <w:color w:val="auto"/>
              </w:rPr>
            </w:pPr>
          </w:p>
        </w:tc>
      </w:tr>
      <w:tr>
        <w:trPr>
          <w:trHeight w:val="265"/>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9"/>
              </w:rPr>
              <w:t>Amount</w:t>
            </w: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Amortization</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89"/>
              </w:rPr>
              <w:t>Amortization</w:t>
            </w:r>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6220" w:type="dxa"/>
            <w:vAlign w:val="bottom"/>
            <w:shd w:val="clear" w:color="auto" w:fill="C0C0C0"/>
          </w:tcPr>
          <w:p>
            <w:pPr>
              <w:spacing w:after="0"/>
              <w:rPr>
                <w:sz w:val="20"/>
                <w:szCs w:val="20"/>
                <w:color w:val="auto"/>
              </w:rPr>
            </w:pPr>
            <w:r>
              <w:rPr>
                <w:rFonts w:ascii="Arial" w:cs="Arial" w:eastAsia="Arial" w:hAnsi="Arial"/>
                <w:sz w:val="18"/>
                <w:szCs w:val="18"/>
                <w:color w:val="auto"/>
              </w:rPr>
              <w:t>Assets eligible for amortization:</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Customer lists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(2,979)</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6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(2,702)</w:t>
            </w: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62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Patents</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332</w:t>
            </w:r>
          </w:p>
        </w:tc>
        <w:tc>
          <w:tcPr>
            <w:tcW w:w="4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332</w:t>
            </w:r>
          </w:p>
        </w:tc>
        <w:tc>
          <w:tcPr>
            <w:tcW w:w="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62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4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62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6220" w:type="dxa"/>
            <w:vAlign w:val="bottom"/>
            <w:shd w:val="clear" w:color="auto" w:fill="C0C0C0"/>
          </w:tcPr>
          <w:p>
            <w:pPr>
              <w:spacing w:after="0"/>
              <w:rPr>
                <w:sz w:val="20"/>
                <w:szCs w:val="20"/>
                <w:color w:val="auto"/>
              </w:rPr>
            </w:pPr>
            <w:r>
              <w:rPr>
                <w:rFonts w:ascii="Arial" w:cs="Arial" w:eastAsia="Arial" w:hAnsi="Arial"/>
                <w:sz w:val="18"/>
                <w:szCs w:val="18"/>
                <w:color w:val="auto"/>
              </w:rPr>
              <w:t>Unamortized intangible assets:</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11"/>
        </w:trPr>
        <w:tc>
          <w:tcPr>
            <w:tcW w:w="20" w:type="dxa"/>
            <w:vAlign w:val="bottom"/>
          </w:tcPr>
          <w:p>
            <w:pPr>
              <w:spacing w:after="0"/>
              <w:rPr>
                <w:sz w:val="24"/>
                <w:szCs w:val="24"/>
                <w:color w:val="auto"/>
              </w:rPr>
            </w:pPr>
          </w:p>
        </w:tc>
        <w:tc>
          <w:tcPr>
            <w:tcW w:w="6220" w:type="dxa"/>
            <w:vAlign w:val="bottom"/>
            <w:tcBorders>
              <w:bottom w:val="single" w:sz="8" w:color="auto"/>
            </w:tcBorders>
          </w:tcPr>
          <w:p>
            <w:pPr>
              <w:ind w:left="260"/>
              <w:spacing w:after="0" w:line="310"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12,796</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(227)</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12,796</w:t>
            </w: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auto"/>
            </w:tcBorders>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2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18,222</w:t>
            </w:r>
          </w:p>
        </w:tc>
        <w:tc>
          <w:tcPr>
            <w:tcW w:w="44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(3,989)</w:t>
            </w:r>
          </w:p>
        </w:tc>
        <w:tc>
          <w:tcPr>
            <w:tcW w:w="32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18,222</w:t>
            </w:r>
          </w:p>
        </w:tc>
        <w:tc>
          <w:tcPr>
            <w:tcW w:w="62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7"/>
              </w:rPr>
              <w:t>(3,657)</w:t>
            </w:r>
          </w:p>
        </w:tc>
        <w:tc>
          <w:tcPr>
            <w:tcW w:w="20" w:type="dxa"/>
            <w:vAlign w:val="bottom"/>
          </w:tcPr>
          <w:p>
            <w:pPr>
              <w:spacing w:after="0"/>
              <w:rPr>
                <w:sz w:val="21"/>
                <w:szCs w:val="21"/>
                <w:color w:val="auto"/>
              </w:rPr>
            </w:pPr>
          </w:p>
        </w:tc>
      </w:tr>
      <w:tr>
        <w:trPr>
          <w:trHeight w:val="382"/>
        </w:trPr>
        <w:tc>
          <w:tcPr>
            <w:tcW w:w="2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Arial" w:cs="Arial" w:eastAsia="Arial" w:hAnsi="Arial"/>
                <w:sz w:val="29"/>
                <w:szCs w:val="29"/>
                <w:color w:val="auto"/>
                <w:w w:val="98"/>
                <w:vertAlign w:val="superscript"/>
              </w:rPr>
              <w:t>1</w:t>
            </w:r>
            <w:r>
              <w:rPr>
                <w:rFonts w:ascii="Arial" w:cs="Arial" w:eastAsia="Arial" w:hAnsi="Arial"/>
                <w:sz w:val="18"/>
                <w:szCs w:val="18"/>
                <w:color w:val="auto"/>
                <w:w w:val="98"/>
              </w:rPr>
              <w:t>Amortization through December 31, 2001 prior to adoption of FASB ASC 350</w:t>
            </w:r>
            <w:r>
              <w:rPr>
                <w:rFonts w:ascii="Arial" w:cs="Arial" w:eastAsia="Arial" w:hAnsi="Arial"/>
                <w:sz w:val="13"/>
                <w:szCs w:val="13"/>
                <w:color w:val="auto"/>
                <w:w w:val="98"/>
              </w:rPr>
              <w:t>.</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5"/>
        </w:trPr>
        <w:tc>
          <w:tcPr>
            <w:tcW w:w="6240" w:type="dxa"/>
            <w:vAlign w:val="bottom"/>
            <w:gridSpan w:val="2"/>
          </w:tcPr>
          <w:p>
            <w:pPr>
              <w:jc w:val="right"/>
              <w:ind w:right="332"/>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 w:name="page8"/>
    <w:bookmarkEnd w:id="7"/>
    <w:p>
      <w:pPr>
        <w:jc w:val="both"/>
        <w:spacing w:after="0" w:line="256" w:lineRule="auto"/>
        <w:rPr>
          <w:sz w:val="20"/>
          <w:szCs w:val="20"/>
          <w:color w:val="auto"/>
        </w:rPr>
      </w:pPr>
      <w:r>
        <w:rPr>
          <w:rFonts w:ascii="Arial" w:cs="Arial" w:eastAsia="Arial" w:hAnsi="Arial"/>
          <w:sz w:val="18"/>
          <w:szCs w:val="18"/>
          <w:color w:val="auto"/>
        </w:rPr>
        <w:t>The customer lists are amortized over seven and ten years; the patents over 18 years; the non-compete agreements over two and five years; software over three years; and other intangible assets over 15 years. Amortization of intangible assets amounted to $331,000 and $317,000 for the nine-month periods ended September 30, 2018 and 2017, respectively. Estimated annual amortization of intangibles is as follows: $442,000 in 2018, $412,000 in 2019, $406,000 in each of 2020 and 2021, and $88,000 in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There were no anti-dilutive shares in the three and nine months ended September 30, 2018 and 2017. The calculations of basic and diluted earnings per share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3"/>
          </w:tcPr>
          <w:p>
            <w:pPr>
              <w:jc w:val="right"/>
              <w:ind w:right="512"/>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300" w:type="dxa"/>
            <w:vAlign w:val="bottom"/>
            <w:gridSpan w:val="3"/>
          </w:tcPr>
          <w:p>
            <w:pPr>
              <w:jc w:val="right"/>
              <w:ind w:right="412"/>
              <w:spacing w:after="0"/>
              <w:rPr>
                <w:sz w:val="20"/>
                <w:szCs w:val="20"/>
                <w:color w:val="auto"/>
              </w:rPr>
            </w:pPr>
            <w:r>
              <w:rPr>
                <w:rFonts w:ascii="Arial" w:cs="Arial" w:eastAsia="Arial" w:hAnsi="Arial"/>
                <w:sz w:val="18"/>
                <w:szCs w:val="18"/>
                <w:b w:val="1"/>
                <w:bCs w:val="1"/>
                <w:color w:val="auto"/>
              </w:rPr>
              <w:t>Nine Months Ended</w:t>
            </w:r>
          </w:p>
        </w:tc>
      </w:tr>
      <w:tr>
        <w:trPr>
          <w:trHeight w:val="266"/>
        </w:trPr>
        <w:tc>
          <w:tcPr>
            <w:tcW w:w="6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61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7,610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6,863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23,211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19,683</w:t>
            </w:r>
          </w:p>
        </w:tc>
      </w:tr>
      <w:tr>
        <w:trPr>
          <w:trHeight w:val="244"/>
        </w:trPr>
        <w:tc>
          <w:tcPr>
            <w:tcW w:w="61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7"/>
              </w:rPr>
              <w:t>12,245,975</w:t>
            </w:r>
          </w:p>
        </w:tc>
        <w:tc>
          <w:tcPr>
            <w:tcW w:w="3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9"/>
              </w:rPr>
              <w:t>12,251,084</w:t>
            </w:r>
          </w:p>
        </w:tc>
        <w:tc>
          <w:tcPr>
            <w:tcW w:w="3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7"/>
              </w:rPr>
              <w:t>12,239,678</w:t>
            </w:r>
          </w:p>
        </w:tc>
        <w:tc>
          <w:tcPr>
            <w:tcW w:w="3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12,257,337</w:t>
            </w:r>
          </w:p>
        </w:tc>
      </w:tr>
      <w:tr>
        <w:trPr>
          <w:trHeight w:val="237"/>
        </w:trPr>
        <w:tc>
          <w:tcPr>
            <w:tcW w:w="6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.62</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1.90</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6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61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7,610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6,863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23,211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19,683</w:t>
            </w:r>
          </w:p>
        </w:tc>
      </w:tr>
      <w:tr>
        <w:trPr>
          <w:trHeight w:val="251"/>
        </w:trPr>
        <w:tc>
          <w:tcPr>
            <w:tcW w:w="6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12,245,975</w:t>
            </w:r>
          </w:p>
        </w:tc>
        <w:tc>
          <w:tcPr>
            <w:tcW w:w="34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12,251,084</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12,239,678</w:t>
            </w:r>
          </w:p>
        </w:tc>
        <w:tc>
          <w:tcPr>
            <w:tcW w:w="34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12,257,337</w:t>
            </w:r>
          </w:p>
        </w:tc>
      </w:tr>
      <w:tr>
        <w:trPr>
          <w:trHeight w:val="237"/>
        </w:trPr>
        <w:tc>
          <w:tcPr>
            <w:tcW w:w="6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Effect of dilutive restricted stock and stock appreciation rights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206,388</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176,767</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200,315</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179,029</w:t>
            </w:r>
          </w:p>
        </w:tc>
      </w:tr>
      <w:tr>
        <w:trPr>
          <w:trHeight w:val="228"/>
        </w:trPr>
        <w:tc>
          <w:tcPr>
            <w:tcW w:w="6120" w:type="dxa"/>
            <w:vAlign w:val="bottom"/>
            <w:shd w:val="clear" w:color="auto" w:fill="C0C0C0"/>
          </w:tcPr>
          <w:p>
            <w:pPr>
              <w:ind w:left="280"/>
              <w:spacing w:after="0"/>
              <w:rPr>
                <w:sz w:val="20"/>
                <w:szCs w:val="20"/>
                <w:color w:val="auto"/>
              </w:rPr>
            </w:pPr>
            <w:r>
              <w:rPr>
                <w:rFonts w:ascii="Arial" w:cs="Arial" w:eastAsia="Arial" w:hAnsi="Arial"/>
                <w:sz w:val="18"/>
                <w:szCs w:val="18"/>
                <w:color w:val="auto"/>
                <w:w w:val="96"/>
              </w:rPr>
              <w:t>Weighted-average common shares outstanding assuming dilution assuming</w:t>
            </w:r>
          </w:p>
        </w:tc>
        <w:tc>
          <w:tcPr>
            <w:tcW w:w="220" w:type="dxa"/>
            <w:vAlign w:val="bottom"/>
            <w:shd w:val="clear" w:color="auto" w:fill="C0C0C0"/>
          </w:tcPr>
          <w:p>
            <w:pPr>
              <w:spacing w:after="0"/>
              <w:rPr>
                <w:sz w:val="19"/>
                <w:szCs w:val="19"/>
                <w:color w:val="auto"/>
              </w:rPr>
            </w:pPr>
          </w:p>
        </w:tc>
        <w:tc>
          <w:tcPr>
            <w:tcW w:w="10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0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r>
      <w:tr>
        <w:trPr>
          <w:trHeight w:val="252"/>
        </w:trPr>
        <w:tc>
          <w:tcPr>
            <w:tcW w:w="612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dilution</w:t>
            </w:r>
          </w:p>
        </w:tc>
        <w:tc>
          <w:tcPr>
            <w:tcW w:w="2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7"/>
              </w:rPr>
              <w:t>12,452,363</w:t>
            </w:r>
          </w:p>
        </w:tc>
        <w:tc>
          <w:tcPr>
            <w:tcW w:w="3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9"/>
              </w:rPr>
              <w:t>12,427,851</w:t>
            </w:r>
          </w:p>
        </w:tc>
        <w:tc>
          <w:tcPr>
            <w:tcW w:w="3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7"/>
              </w:rPr>
              <w:t>12,439,993</w:t>
            </w:r>
          </w:p>
        </w:tc>
        <w:tc>
          <w:tcPr>
            <w:tcW w:w="3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12,436,366</w:t>
            </w:r>
          </w:p>
        </w:tc>
      </w:tr>
      <w:tr>
        <w:trPr>
          <w:trHeight w:val="250"/>
        </w:trPr>
        <w:tc>
          <w:tcPr>
            <w:tcW w:w="6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1.87</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a treasury stock buyback program pursuant to which the Board of Directors has authorized the repurchase of up to 500,000 shares of the Company’s common stock. As restored by the Board of Directors on October 24, 2017, the program provides that the Company may repurchase up to an aggregate of 500,000 shares of common stock and has no expiration date. The Company repurchased 0 and 41,846 shares during the three-month periods and 15,547 and 41,846 during the nine-month periods ended September 30, 2018 and 2017, respectively. As of September 30, 2018, 484,453 shares remained available for repurchase under the program. Repurchases may be made in the open market or through negotiated transactions from time to time depending on market conditions.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as well as supporting the banking needs of the Information Services segment.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accounting policies for segments are the same as those described in the summary of significant accounting policies in the Company’s Annual Report on Form 10-K for the year ended December 31, 2017.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line="268"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Funding sources represent average balances and deposits generated by Information Services and Banking Services and there is no allocation methodology used.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Segment interest income is a function of the relative share of average funding sources generated by each segment multiplied by the following rates:</w:t>
      </w:r>
    </w:p>
    <w:p>
      <w:pPr>
        <w:spacing w:after="0" w:line="242" w:lineRule="exact"/>
        <w:rPr>
          <w:sz w:val="20"/>
          <w:szCs w:val="20"/>
          <w:color w:val="auto"/>
        </w:rPr>
      </w:pPr>
    </w:p>
    <w:p>
      <w:pPr>
        <w:ind w:left="540" w:hanging="262"/>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8"/>
          <w:szCs w:val="18"/>
          <w:color w:val="auto"/>
        </w:rPr>
        <w:t>Information Services – one or more fixed rates depending upon the specific characteristics of the funding source, and</w:t>
      </w:r>
    </w:p>
    <w:p>
      <w:pPr>
        <w:spacing w:after="0" w:line="15" w:lineRule="exact"/>
        <w:rPr>
          <w:rFonts w:ascii="Arial" w:cs="Arial" w:eastAsia="Arial" w:hAnsi="Arial"/>
          <w:sz w:val="17"/>
          <w:szCs w:val="17"/>
          <w:color w:val="auto"/>
        </w:rPr>
      </w:pPr>
    </w:p>
    <w:p>
      <w:pPr>
        <w:ind w:left="540" w:hanging="262"/>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8"/>
          <w:szCs w:val="18"/>
          <w:color w:val="auto"/>
        </w:rPr>
        <w:t>Banking Services – a variable rate that is based upon the overall performance of the Company’s earning assets.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Any difference between total segment interest income and overall total Company interest income is included in Corporate, Eliminations, and Other.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Corporate,</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4760" w:type="dxa"/>
            <w:vAlign w:val="bottom"/>
          </w:tcPr>
          <w:p>
            <w:pPr>
              <w:spacing w:after="0"/>
              <w:rPr>
                <w:sz w:val="21"/>
                <w:szCs w:val="21"/>
                <w:color w:val="auto"/>
              </w:rPr>
            </w:pPr>
          </w:p>
        </w:tc>
        <w:tc>
          <w:tcPr>
            <w:tcW w:w="29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Information</w:t>
            </w:r>
          </w:p>
        </w:tc>
        <w:tc>
          <w:tcPr>
            <w:tcW w:w="24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b w:val="1"/>
                <w:bCs w:val="1"/>
                <w:color w:val="auto"/>
                <w:w w:val="90"/>
              </w:rPr>
              <w:t>Banking</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Eliminations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6"/>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9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Services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3"/>
              </w:rPr>
              <w:t>Services</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1"/>
              </w:rPr>
              <w:t>and Other</w:t>
            </w:r>
          </w:p>
        </w:tc>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Total</w:t>
            </w: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Three Months Ended September 30, 2018</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26,263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26,435</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5,703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5,856</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1,219</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12,778</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(467)</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6,525</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2,538</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591</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9,654</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12,433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1,664</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1,664</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903,055</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847,673</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(72,481)</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1,678,247</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Funding Sources</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650,267</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550,594</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1,200,861</w:t>
            </w:r>
          </w:p>
        </w:tc>
      </w:tr>
      <w:tr>
        <w:trPr>
          <w:trHeight w:val="251"/>
        </w:trPr>
        <w:tc>
          <w:tcPr>
            <w:tcW w:w="476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Three Months Ended September 30, 2017</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23,809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24,207</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5,465</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5,894</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725</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12,084</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7,130</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3,179</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10,678</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12,433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2,106</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2,106</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820,596</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738,478</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(2,324)</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1,556,750</w:t>
            </w:r>
          </w:p>
        </w:tc>
      </w:tr>
      <w:tr>
        <w:trPr>
          <w:trHeight w:val="250"/>
        </w:trPr>
        <w:tc>
          <w:tcPr>
            <w:tcW w:w="4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Funding Sources</w:t>
            </w:r>
          </w:p>
        </w:tc>
        <w:tc>
          <w:tcPr>
            <w:tcW w:w="19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631,539</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601,355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1,232,894</w:t>
            </w: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Nine Months Ended September 30, 2018</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76,397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77,449</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16,553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17,342</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2,996</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36,891</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2,502</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1,415</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(1,415)</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19,326</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8,814</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1,523</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29,663</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12,433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1,664</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1,664</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903,055</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847,673</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(72,481)</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1,678,247</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Funding Sources</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637,508</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566,390</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1,203,898</w:t>
            </w:r>
          </w:p>
        </w:tc>
      </w:tr>
      <w:tr>
        <w:trPr>
          <w:trHeight w:val="251"/>
        </w:trPr>
        <w:tc>
          <w:tcPr>
            <w:tcW w:w="476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Nine Months Ended September 30, 2017</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69,453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70,778</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15,237</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17,602</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2,447</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35,286</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1,521</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962</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(962)</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18,946</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9,922</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1,414</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30,282</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12,433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476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19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2,106</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2,106</w:t>
            </w:r>
          </w:p>
        </w:tc>
      </w:tr>
      <w:tr>
        <w:trPr>
          <w:trHeight w:val="251"/>
        </w:trPr>
        <w:tc>
          <w:tcPr>
            <w:tcW w:w="4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19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820,596</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738,478</w:t>
            </w:r>
          </w:p>
        </w:tc>
        <w:tc>
          <w:tcPr>
            <w:tcW w:w="24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(2,324)</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1,556,750</w:t>
            </w:r>
          </w:p>
        </w:tc>
      </w:tr>
      <w:tr>
        <w:trPr>
          <w:trHeight w:val="228"/>
        </w:trPr>
        <w:tc>
          <w:tcPr>
            <w:tcW w:w="4760" w:type="dxa"/>
            <w:vAlign w:val="bottom"/>
          </w:tcPr>
          <w:p>
            <w:pPr>
              <w:ind w:left="280"/>
              <w:spacing w:after="0"/>
              <w:rPr>
                <w:sz w:val="20"/>
                <w:szCs w:val="20"/>
                <w:color w:val="auto"/>
              </w:rPr>
            </w:pPr>
            <w:r>
              <w:rPr>
                <w:rFonts w:ascii="Arial" w:cs="Arial" w:eastAsia="Arial" w:hAnsi="Arial"/>
                <w:sz w:val="18"/>
                <w:szCs w:val="18"/>
                <w:color w:val="auto"/>
              </w:rPr>
              <w:t>Funding Sources</w:t>
            </w:r>
          </w:p>
        </w:tc>
        <w:tc>
          <w:tcPr>
            <w:tcW w:w="198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596,919</w:t>
            </w:r>
          </w:p>
        </w:tc>
        <w:tc>
          <w:tcPr>
            <w:tcW w:w="2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593,709</w:t>
            </w:r>
          </w:p>
        </w:tc>
        <w:tc>
          <w:tcPr>
            <w:tcW w:w="2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1,190,628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firstLine="8"/>
        <w:spacing w:after="0" w:line="239" w:lineRule="auto"/>
        <w:tabs>
          <w:tab w:leader="none" w:pos="101"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Presented on a tax-equivalent basis assuming a tax rate of 21% for 2018 and 35% for 2017. The tax-equivalent adjustment was approximately $564,000 and $1,419,000 for the Three Months Ended 2018 and 2017, respectively, and $1,875,000 and $4,290,000 for the Nine Months Ended 2018 and 2017,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Note 6 – Loans by Type</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A summary of loan categories is as follows: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2"/>
              </w:rPr>
              <w:t>December 31,</w:t>
            </w:r>
          </w:p>
        </w:tc>
      </w:tr>
      <w:tr>
        <w:trPr>
          <w:trHeight w:val="266"/>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3"/>
                <w:szCs w:val="23"/>
                <w:color w:val="auto"/>
              </w:rPr>
            </w:pPr>
          </w:p>
        </w:tc>
      </w:tr>
      <w:tr>
        <w:trPr>
          <w:trHeight w:val="243"/>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270,854</w:t>
            </w: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236,394</w:t>
            </w:r>
          </w:p>
        </w:tc>
        <w:tc>
          <w:tcPr>
            <w:tcW w:w="20" w:type="dxa"/>
            <w:vAlign w:val="bottom"/>
          </w:tcPr>
          <w:p>
            <w:pPr>
              <w:spacing w:after="0"/>
              <w:rPr>
                <w:sz w:val="21"/>
                <w:szCs w:val="21"/>
                <w:color w:val="auto"/>
              </w:rPr>
            </w:pPr>
          </w:p>
        </w:tc>
      </w:tr>
      <w:tr>
        <w:trPr>
          <w:trHeight w:val="235"/>
        </w:trPr>
        <w:tc>
          <w:tcPr>
            <w:tcW w:w="526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5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2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92,972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94,675</w:t>
            </w:r>
          </w:p>
        </w:tc>
      </w:tr>
      <w:tr>
        <w:trPr>
          <w:trHeight w:val="251"/>
        </w:trPr>
        <w:tc>
          <w:tcPr>
            <w:tcW w:w="52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22,883</w:t>
            </w: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9,359</w:t>
            </w:r>
          </w:p>
        </w:tc>
        <w:tc>
          <w:tcPr>
            <w:tcW w:w="20" w:type="dxa"/>
            <w:vAlign w:val="bottom"/>
          </w:tcPr>
          <w:p>
            <w:pPr>
              <w:spacing w:after="0"/>
              <w:rPr>
                <w:sz w:val="21"/>
                <w:szCs w:val="21"/>
                <w:color w:val="auto"/>
              </w:rPr>
            </w:pPr>
          </w:p>
        </w:tc>
      </w:tr>
      <w:tr>
        <w:trPr>
          <w:trHeight w:val="235"/>
        </w:trPr>
        <w:tc>
          <w:tcPr>
            <w:tcW w:w="526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52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307,679</w:t>
            </w: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316,073</w:t>
            </w:r>
          </w:p>
        </w:tc>
        <w:tc>
          <w:tcPr>
            <w:tcW w:w="20" w:type="dxa"/>
            <w:vAlign w:val="bottom"/>
          </w:tcPr>
          <w:p>
            <w:pPr>
              <w:spacing w:after="0"/>
              <w:rPr>
                <w:sz w:val="21"/>
                <w:szCs w:val="21"/>
                <w:color w:val="auto"/>
              </w:rPr>
            </w:pPr>
          </w:p>
        </w:tc>
      </w:tr>
      <w:tr>
        <w:trPr>
          <w:trHeight w:val="235"/>
        </w:trPr>
        <w:tc>
          <w:tcPr>
            <w:tcW w:w="52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30,838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25,948</w:t>
            </w:r>
          </w:p>
        </w:tc>
      </w:tr>
      <w:tr>
        <w:trPr>
          <w:trHeight w:val="251"/>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921</w:t>
            </w: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r>
      <w:tr>
        <w:trPr>
          <w:trHeight w:val="250"/>
        </w:trPr>
        <w:tc>
          <w:tcPr>
            <w:tcW w:w="526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auto"/>
              <w:bottom w:val="single" w:sz="8" w:color="auto"/>
            </w:tcBorders>
            <w:shd w:val="clear" w:color="auto" w:fill="C0C0C0"/>
          </w:tcPr>
          <w:p>
            <w:pPr>
              <w:spacing w:after="0"/>
              <w:rPr>
                <w:sz w:val="21"/>
                <w:szCs w:val="21"/>
                <w:color w:val="auto"/>
              </w:rPr>
            </w:pPr>
          </w:p>
        </w:tc>
        <w:tc>
          <w:tcPr>
            <w:tcW w:w="840" w:type="dxa"/>
            <w:vAlign w:val="bottom"/>
            <w:tcBorders>
              <w:top w:val="single" w:sz="8" w:color="auto"/>
              <w:bottom w:val="single" w:sz="8" w:color="auto"/>
            </w:tcBorders>
            <w:shd w:val="clear" w:color="auto" w:fill="C0C0C0"/>
          </w:tcPr>
          <w:p>
            <w:pPr>
              <w:spacing w:after="0"/>
              <w:rPr>
                <w:sz w:val="21"/>
                <w:szCs w:val="21"/>
                <w:color w:val="auto"/>
              </w:rPr>
            </w:pPr>
          </w:p>
        </w:tc>
        <w:tc>
          <w:tcPr>
            <w:tcW w:w="340" w:type="dxa"/>
            <w:vAlign w:val="bottom"/>
            <w:tcBorders>
              <w:top w:val="single" w:sz="8" w:color="auto"/>
              <w:bottom w:val="single" w:sz="8" w:color="auto"/>
            </w:tcBorders>
            <w:shd w:val="clear" w:color="auto" w:fill="C0C0C0"/>
          </w:tcPr>
          <w:p>
            <w:pPr>
              <w:spacing w:after="0"/>
              <w:rPr>
                <w:sz w:val="21"/>
                <w:szCs w:val="21"/>
                <w:color w:val="auto"/>
              </w:rPr>
            </w:pPr>
          </w:p>
        </w:tc>
        <w:tc>
          <w:tcPr>
            <w:tcW w:w="760" w:type="dxa"/>
            <w:vAlign w:val="bottom"/>
            <w:tcBorders>
              <w:top w:val="single" w:sz="8" w:color="auto"/>
              <w:bottom w:val="single" w:sz="8" w:color="auto"/>
            </w:tcBorders>
            <w:shd w:val="clear" w:color="auto" w:fill="C0C0C0"/>
          </w:tcPr>
          <w:p>
            <w:pPr>
              <w:spacing w:after="0"/>
              <w:rPr>
                <w:sz w:val="21"/>
                <w:szCs w:val="21"/>
                <w:color w:val="auto"/>
              </w:rPr>
            </w:pPr>
          </w:p>
        </w:tc>
        <w:tc>
          <w:tcPr>
            <w:tcW w:w="720" w:type="dxa"/>
            <w:vAlign w:val="bottom"/>
            <w:tcBorders>
              <w:top w:val="single" w:sz="8" w:color="auto"/>
              <w:bottom w:val="single" w:sz="8" w:color="auto"/>
            </w:tcBorders>
            <w:shd w:val="clear" w:color="auto" w:fill="C0C0C0"/>
          </w:tcPr>
          <w:p>
            <w:pPr>
              <w:spacing w:after="0"/>
              <w:rPr>
                <w:sz w:val="21"/>
                <w:szCs w:val="21"/>
                <w:color w:val="auto"/>
              </w:rPr>
            </w:pPr>
          </w:p>
        </w:tc>
        <w:tc>
          <w:tcPr>
            <w:tcW w:w="160" w:type="dxa"/>
            <w:vAlign w:val="bottom"/>
            <w:tcBorders>
              <w:top w:val="single" w:sz="8" w:color="auto"/>
              <w:bottom w:val="single" w:sz="8" w:color="auto"/>
            </w:tcBorders>
            <w:shd w:val="clear" w:color="auto" w:fill="C0C0C0"/>
          </w:tcPr>
          <w:p>
            <w:pPr>
              <w:spacing w:after="0"/>
              <w:rPr>
                <w:sz w:val="21"/>
                <w:szCs w:val="21"/>
                <w:color w:val="auto"/>
              </w:rPr>
            </w:pPr>
          </w:p>
        </w:tc>
        <w:tc>
          <w:tcPr>
            <w:tcW w:w="140" w:type="dxa"/>
            <w:vAlign w:val="bottom"/>
            <w:tcBorders>
              <w:top w:val="single" w:sz="8" w:color="auto"/>
              <w:bottom w:val="single" w:sz="8" w:color="auto"/>
            </w:tcBorders>
            <w:shd w:val="clear" w:color="auto" w:fill="C0C0C0"/>
          </w:tcPr>
          <w:p>
            <w:pPr>
              <w:spacing w:after="0"/>
              <w:rPr>
                <w:sz w:val="21"/>
                <w:szCs w:val="21"/>
                <w:color w:val="auto"/>
              </w:rPr>
            </w:pPr>
          </w:p>
        </w:tc>
        <w:tc>
          <w:tcPr>
            <w:tcW w:w="140" w:type="dxa"/>
            <w:vAlign w:val="bottom"/>
            <w:tcBorders>
              <w:top w:val="single" w:sz="8" w:color="auto"/>
              <w:bottom w:val="single" w:sz="8" w:color="auto"/>
            </w:tcBorders>
            <w:shd w:val="clear" w:color="auto" w:fill="C0C0C0"/>
          </w:tcPr>
          <w:p>
            <w:pPr>
              <w:spacing w:after="0"/>
              <w:rPr>
                <w:sz w:val="21"/>
                <w:szCs w:val="21"/>
                <w:color w:val="auto"/>
              </w:rPr>
            </w:pPr>
          </w:p>
        </w:tc>
        <w:tc>
          <w:tcPr>
            <w:tcW w:w="140" w:type="dxa"/>
            <w:vAlign w:val="bottom"/>
            <w:tcBorders>
              <w:top w:val="single" w:sz="8" w:color="auto"/>
              <w:bottom w:val="single" w:sz="8" w:color="auto"/>
            </w:tcBorders>
            <w:shd w:val="clear" w:color="auto" w:fill="C0C0C0"/>
          </w:tcPr>
          <w:p>
            <w:pPr>
              <w:spacing w:after="0"/>
              <w:rPr>
                <w:sz w:val="21"/>
                <w:szCs w:val="21"/>
                <w:color w:val="auto"/>
              </w:rPr>
            </w:pPr>
          </w:p>
        </w:tc>
        <w:tc>
          <w:tcPr>
            <w:tcW w:w="640" w:type="dxa"/>
            <w:vAlign w:val="bottom"/>
            <w:tcBorders>
              <w:top w:val="single" w:sz="8" w:color="auto"/>
              <w:bottom w:val="single" w:sz="8" w:color="auto"/>
            </w:tcBorders>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726,239</w:t>
            </w:r>
          </w:p>
        </w:tc>
        <w:tc>
          <w:tcPr>
            <w:tcW w:w="180" w:type="dxa"/>
            <w:vAlign w:val="bottom"/>
            <w:tcBorders>
              <w:top w:val="single" w:sz="8" w:color="auto"/>
              <w:bottom w:val="single" w:sz="8" w:color="auto"/>
            </w:tcBorders>
            <w:shd w:val="clear" w:color="auto" w:fill="C0C0C0"/>
          </w:tcPr>
          <w:p>
            <w:pPr>
              <w:spacing w:after="0"/>
              <w:rPr>
                <w:sz w:val="21"/>
                <w:szCs w:val="21"/>
                <w:color w:val="auto"/>
              </w:rPr>
            </w:pPr>
          </w:p>
        </w:tc>
        <w:tc>
          <w:tcPr>
            <w:tcW w:w="20" w:type="dxa"/>
            <w:vAlign w:val="bottom"/>
            <w:tcBorders>
              <w:top w:val="single" w:sz="8" w:color="auto"/>
              <w:bottom w:val="single" w:sz="8" w:color="auto"/>
            </w:tcBorders>
            <w:shd w:val="clear" w:color="auto" w:fill="C0C0C0"/>
          </w:tcPr>
          <w:p>
            <w:pPr>
              <w:spacing w:after="0"/>
              <w:rPr>
                <w:sz w:val="21"/>
                <w:szCs w:val="21"/>
                <w:color w:val="auto"/>
              </w:rPr>
            </w:pPr>
          </w:p>
        </w:tc>
        <w:tc>
          <w:tcPr>
            <w:tcW w:w="380" w:type="dxa"/>
            <w:vAlign w:val="bottom"/>
            <w:tcBorders>
              <w:top w:val="single" w:sz="8" w:color="auto"/>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686,231</w:t>
            </w:r>
          </w:p>
        </w:tc>
        <w:tc>
          <w:tcPr>
            <w:tcW w:w="20" w:type="dxa"/>
            <w:vAlign w:val="bottom"/>
          </w:tcPr>
          <w:p>
            <w:pPr>
              <w:spacing w:after="0"/>
              <w:rPr>
                <w:sz w:val="21"/>
                <w:szCs w:val="21"/>
                <w:color w:val="auto"/>
              </w:rPr>
            </w:pPr>
          </w:p>
        </w:tc>
      </w:tr>
      <w:tr>
        <w:trPr>
          <w:trHeight w:val="430"/>
        </w:trPr>
        <w:tc>
          <w:tcPr>
            <w:tcW w:w="8040" w:type="dxa"/>
            <w:vAlign w:val="bottom"/>
            <w:gridSpan w:val="6"/>
          </w:tcPr>
          <w:p>
            <w:pPr>
              <w:spacing w:after="0"/>
              <w:rPr>
                <w:sz w:val="20"/>
                <w:szCs w:val="20"/>
                <w:color w:val="auto"/>
              </w:rPr>
            </w:pPr>
            <w:r>
              <w:rPr>
                <w:rFonts w:ascii="Arial" w:cs="Arial" w:eastAsia="Arial" w:hAnsi="Arial"/>
                <w:sz w:val="18"/>
                <w:szCs w:val="18"/>
                <w:color w:val="auto"/>
                <w:w w:val="87"/>
              </w:rPr>
              <w:t>The following table presents the aging of loans by loan categories at September 30, 2018 and December 31, 2017: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5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Performing</w:t>
            </w: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8"/>
              </w:rPr>
              <w:t>Nonperforming</w:t>
            </w: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90 Days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30-59</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60-89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and</w:t>
            </w:r>
          </w:p>
        </w:tc>
        <w:tc>
          <w:tcPr>
            <w:tcW w:w="820" w:type="dxa"/>
            <w:vAlign w:val="bottom"/>
          </w:tcPr>
          <w:p>
            <w:pPr>
              <w:jc w:val="center"/>
              <w:ind w:left="332"/>
              <w:spacing w:after="0"/>
              <w:rPr>
                <w:sz w:val="20"/>
                <w:szCs w:val="20"/>
                <w:color w:val="auto"/>
              </w:rPr>
            </w:pPr>
            <w:r>
              <w:rPr>
                <w:rFonts w:ascii="Arial" w:cs="Arial" w:eastAsia="Arial" w:hAnsi="Arial"/>
                <w:sz w:val="18"/>
                <w:szCs w:val="18"/>
                <w:b w:val="1"/>
                <w:bCs w:val="1"/>
                <w:color w:val="auto"/>
                <w:w w:val="87"/>
              </w:rPr>
              <w:t>Non-</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266"/>
        </w:trPr>
        <w:tc>
          <w:tcPr>
            <w:tcW w:w="52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23"/>
                <w:szCs w:val="23"/>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b w:val="1"/>
                <w:bCs w:val="1"/>
                <w:color w:val="auto"/>
                <w:w w:val="95"/>
              </w:rPr>
              <w:t>Current</w:t>
            </w:r>
          </w:p>
        </w:tc>
        <w:tc>
          <w:tcPr>
            <w:tcW w:w="340" w:type="dxa"/>
            <w:vAlign w:val="bottom"/>
          </w:tcPr>
          <w:p>
            <w:pPr>
              <w:spacing w:after="0"/>
              <w:rPr>
                <w:sz w:val="23"/>
                <w:szCs w:val="23"/>
                <w:color w:val="auto"/>
              </w:rPr>
            </w:pP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Days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Days</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92"/>
              <w:spacing w:after="0"/>
              <w:rPr>
                <w:sz w:val="20"/>
                <w:szCs w:val="20"/>
                <w:color w:val="auto"/>
              </w:rPr>
            </w:pPr>
            <w:r>
              <w:rPr>
                <w:rFonts w:ascii="Arial" w:cs="Arial" w:eastAsia="Arial" w:hAnsi="Arial"/>
                <w:sz w:val="18"/>
                <w:szCs w:val="18"/>
                <w:b w:val="1"/>
                <w:bCs w:val="1"/>
                <w:color w:val="auto"/>
                <w:w w:val="92"/>
              </w:rPr>
              <w:t>Over</w:t>
            </w:r>
          </w:p>
        </w:tc>
        <w:tc>
          <w:tcPr>
            <w:tcW w:w="1020" w:type="dxa"/>
            <w:vAlign w:val="bottom"/>
            <w:gridSpan w:val="3"/>
          </w:tcPr>
          <w:p>
            <w:pPr>
              <w:jc w:val="center"/>
              <w:ind w:left="132"/>
              <w:spacing w:after="0"/>
              <w:rPr>
                <w:sz w:val="20"/>
                <w:szCs w:val="20"/>
                <w:color w:val="auto"/>
              </w:rPr>
            </w:pPr>
            <w:r>
              <w:rPr>
                <w:rFonts w:ascii="Arial" w:cs="Arial" w:eastAsia="Arial" w:hAnsi="Arial"/>
                <w:sz w:val="18"/>
                <w:szCs w:val="18"/>
                <w:b w:val="1"/>
                <w:bCs w:val="1"/>
                <w:color w:val="auto"/>
                <w:w w:val="88"/>
              </w:rPr>
              <w:t>accrual</w:t>
            </w:r>
          </w:p>
        </w:tc>
        <w:tc>
          <w:tcPr>
            <w:tcW w:w="3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Loans</w:t>
            </w:r>
          </w:p>
        </w:tc>
      </w:tr>
      <w:tr>
        <w:trPr>
          <w:trHeight w:val="243"/>
        </w:trPr>
        <w:tc>
          <w:tcPr>
            <w:tcW w:w="52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September 30, 2018</w:t>
            </w:r>
          </w:p>
        </w:tc>
        <w:tc>
          <w:tcPr>
            <w:tcW w:w="12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20" w:type="dxa"/>
            <w:vAlign w:val="bottom"/>
            <w:tcBorders>
              <w:top w:val="single" w:sz="8" w:color="auto"/>
            </w:tcBorders>
            <w:shd w:val="clear" w:color="auto" w:fill="C0C0C0"/>
          </w:tcPr>
          <w:p>
            <w:pPr>
              <w:spacing w:after="0"/>
              <w:rPr>
                <w:sz w:val="21"/>
                <w:szCs w:val="21"/>
                <w:color w:val="auto"/>
              </w:rPr>
            </w:pPr>
          </w:p>
        </w:tc>
        <w:tc>
          <w:tcPr>
            <w:tcW w:w="38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2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270,854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270,854</w:t>
            </w:r>
          </w:p>
        </w:tc>
      </w:tr>
      <w:tr>
        <w:trPr>
          <w:trHeight w:val="251"/>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26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52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92,972</w:t>
            </w: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spacing w:after="0"/>
              <w:rPr>
                <w:sz w:val="21"/>
                <w:szCs w:val="21"/>
                <w:color w:val="auto"/>
              </w:rPr>
            </w:pPr>
          </w:p>
        </w:tc>
        <w:tc>
          <w:tcPr>
            <w:tcW w:w="3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0C0C0"/>
          </w:tcPr>
          <w:p>
            <w:pPr>
              <w:spacing w:after="0"/>
              <w:rPr>
                <w:sz w:val="21"/>
                <w:szCs w:val="21"/>
                <w:color w:val="auto"/>
              </w:rPr>
            </w:pPr>
          </w:p>
        </w:tc>
        <w:tc>
          <w:tcPr>
            <w:tcW w:w="20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92,972</w:t>
            </w:r>
          </w:p>
        </w:tc>
        <w:tc>
          <w:tcPr>
            <w:tcW w:w="20" w:type="dxa"/>
            <w:vAlign w:val="bottom"/>
          </w:tcPr>
          <w:p>
            <w:pPr>
              <w:spacing w:after="0"/>
              <w:rPr>
                <w:sz w:val="21"/>
                <w:szCs w:val="21"/>
                <w:color w:val="auto"/>
              </w:rPr>
            </w:pPr>
          </w:p>
        </w:tc>
      </w:tr>
      <w:tr>
        <w:trPr>
          <w:trHeight w:val="235"/>
        </w:trPr>
        <w:tc>
          <w:tcPr>
            <w:tcW w:w="52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22,883</w:t>
            </w:r>
          </w:p>
        </w:tc>
        <w:tc>
          <w:tcPr>
            <w:tcW w:w="3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22,883</w:t>
            </w:r>
          </w:p>
        </w:tc>
      </w:tr>
      <w:tr>
        <w:trPr>
          <w:trHeight w:val="251"/>
        </w:trPr>
        <w:tc>
          <w:tcPr>
            <w:tcW w:w="5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Faith-based:</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2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307,679</w:t>
            </w:r>
          </w:p>
        </w:tc>
        <w:tc>
          <w:tcPr>
            <w:tcW w:w="3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307,679</w:t>
            </w:r>
          </w:p>
        </w:tc>
      </w:tr>
      <w:tr>
        <w:trPr>
          <w:trHeight w:val="251"/>
        </w:trPr>
        <w:tc>
          <w:tcPr>
            <w:tcW w:w="52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30,838</w:t>
            </w: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spacing w:after="0"/>
              <w:rPr>
                <w:sz w:val="21"/>
                <w:szCs w:val="21"/>
                <w:color w:val="auto"/>
              </w:rPr>
            </w:pPr>
          </w:p>
        </w:tc>
        <w:tc>
          <w:tcPr>
            <w:tcW w:w="3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0C0C0"/>
          </w:tcPr>
          <w:p>
            <w:pPr>
              <w:spacing w:after="0"/>
              <w:rPr>
                <w:sz w:val="21"/>
                <w:szCs w:val="21"/>
                <w:color w:val="auto"/>
              </w:rPr>
            </w:pPr>
          </w:p>
        </w:tc>
        <w:tc>
          <w:tcPr>
            <w:tcW w:w="20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30,838</w:t>
            </w:r>
          </w:p>
        </w:tc>
        <w:tc>
          <w:tcPr>
            <w:tcW w:w="20" w:type="dxa"/>
            <w:vAlign w:val="bottom"/>
          </w:tcPr>
          <w:p>
            <w:pPr>
              <w:spacing w:after="0"/>
              <w:rPr>
                <w:sz w:val="21"/>
                <w:szCs w:val="21"/>
                <w:color w:val="auto"/>
              </w:rPr>
            </w:pPr>
          </w:p>
        </w:tc>
      </w:tr>
      <w:tr>
        <w:trPr>
          <w:trHeight w:val="235"/>
        </w:trPr>
        <w:tc>
          <w:tcPr>
            <w:tcW w:w="526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921</w:t>
            </w:r>
          </w:p>
        </w:tc>
        <w:tc>
          <w:tcPr>
            <w:tcW w:w="3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r>
      <w:tr>
        <w:trPr>
          <w:trHeight w:val="244"/>
        </w:trPr>
        <w:tc>
          <w:tcPr>
            <w:tcW w:w="52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w:t>
            </w:r>
          </w:p>
        </w:tc>
        <w:tc>
          <w:tcPr>
            <w:tcW w:w="3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spacing w:after="0"/>
              <w:rPr>
                <w:sz w:val="21"/>
                <w:szCs w:val="21"/>
                <w:color w:val="auto"/>
              </w:rPr>
            </w:pPr>
          </w:p>
        </w:tc>
        <w:tc>
          <w:tcPr>
            <w:tcW w:w="30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726,239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726,239</w:t>
            </w:r>
          </w:p>
        </w:tc>
      </w:tr>
      <w:tr>
        <w:trPr>
          <w:trHeight w:val="243"/>
        </w:trPr>
        <w:tc>
          <w:tcPr>
            <w:tcW w:w="52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December 31, 2017</w:t>
            </w:r>
          </w:p>
        </w:tc>
        <w:tc>
          <w:tcPr>
            <w:tcW w:w="12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20" w:type="dxa"/>
            <w:vAlign w:val="bottom"/>
            <w:tcBorders>
              <w:top w:val="single" w:sz="8" w:color="auto"/>
            </w:tcBorders>
            <w:shd w:val="clear" w:color="auto" w:fill="C0C0C0"/>
          </w:tcPr>
          <w:p>
            <w:pPr>
              <w:spacing w:after="0"/>
              <w:rPr>
                <w:sz w:val="21"/>
                <w:szCs w:val="21"/>
                <w:color w:val="auto"/>
              </w:rPr>
            </w:pPr>
          </w:p>
        </w:tc>
        <w:tc>
          <w:tcPr>
            <w:tcW w:w="38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2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236,394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236,394</w:t>
            </w:r>
          </w:p>
        </w:tc>
      </w:tr>
      <w:tr>
        <w:trPr>
          <w:trHeight w:val="251"/>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26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52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94,675</w:t>
            </w: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spacing w:after="0"/>
              <w:rPr>
                <w:sz w:val="21"/>
                <w:szCs w:val="21"/>
                <w:color w:val="auto"/>
              </w:rPr>
            </w:pPr>
          </w:p>
        </w:tc>
        <w:tc>
          <w:tcPr>
            <w:tcW w:w="3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0C0C0"/>
          </w:tcPr>
          <w:p>
            <w:pPr>
              <w:spacing w:after="0"/>
              <w:rPr>
                <w:sz w:val="21"/>
                <w:szCs w:val="21"/>
                <w:color w:val="auto"/>
              </w:rPr>
            </w:pPr>
          </w:p>
        </w:tc>
        <w:tc>
          <w:tcPr>
            <w:tcW w:w="20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94,675</w:t>
            </w:r>
          </w:p>
        </w:tc>
        <w:tc>
          <w:tcPr>
            <w:tcW w:w="20" w:type="dxa"/>
            <w:vAlign w:val="bottom"/>
          </w:tcPr>
          <w:p>
            <w:pPr>
              <w:spacing w:after="0"/>
              <w:rPr>
                <w:sz w:val="21"/>
                <w:szCs w:val="21"/>
                <w:color w:val="auto"/>
              </w:rPr>
            </w:pPr>
          </w:p>
        </w:tc>
      </w:tr>
      <w:tr>
        <w:trPr>
          <w:trHeight w:val="235"/>
        </w:trPr>
        <w:tc>
          <w:tcPr>
            <w:tcW w:w="52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9,359</w:t>
            </w:r>
          </w:p>
        </w:tc>
        <w:tc>
          <w:tcPr>
            <w:tcW w:w="3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9,359</w:t>
            </w:r>
          </w:p>
        </w:tc>
      </w:tr>
      <w:tr>
        <w:trPr>
          <w:trHeight w:val="251"/>
        </w:trPr>
        <w:tc>
          <w:tcPr>
            <w:tcW w:w="5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Faith-based:</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2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316,073</w:t>
            </w:r>
          </w:p>
        </w:tc>
        <w:tc>
          <w:tcPr>
            <w:tcW w:w="3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316,073</w:t>
            </w:r>
          </w:p>
        </w:tc>
      </w:tr>
      <w:tr>
        <w:trPr>
          <w:trHeight w:val="251"/>
        </w:trPr>
        <w:tc>
          <w:tcPr>
            <w:tcW w:w="52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25,948</w:t>
            </w:r>
          </w:p>
        </w:tc>
        <w:tc>
          <w:tcPr>
            <w:tcW w:w="340" w:type="dxa"/>
            <w:vAlign w:val="bottom"/>
            <w:shd w:val="clear" w:color="auto" w:fill="C0C0C0"/>
          </w:tcPr>
          <w:p>
            <w:pPr>
              <w:spacing w:after="0"/>
              <w:rPr>
                <w:sz w:val="21"/>
                <w:szCs w:val="21"/>
                <w:color w:val="auto"/>
              </w:rPr>
            </w:pPr>
          </w:p>
        </w:tc>
        <w:tc>
          <w:tcPr>
            <w:tcW w:w="76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spacing w:after="0"/>
              <w:rPr>
                <w:sz w:val="21"/>
                <w:szCs w:val="21"/>
                <w:color w:val="auto"/>
              </w:rPr>
            </w:pPr>
          </w:p>
        </w:tc>
        <w:tc>
          <w:tcPr>
            <w:tcW w:w="3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0C0C0"/>
          </w:tcPr>
          <w:p>
            <w:pPr>
              <w:spacing w:after="0"/>
              <w:rPr>
                <w:sz w:val="21"/>
                <w:szCs w:val="21"/>
                <w:color w:val="auto"/>
              </w:rPr>
            </w:pPr>
          </w:p>
        </w:tc>
        <w:tc>
          <w:tcPr>
            <w:tcW w:w="20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25,948</w:t>
            </w:r>
          </w:p>
        </w:tc>
        <w:tc>
          <w:tcPr>
            <w:tcW w:w="20" w:type="dxa"/>
            <w:vAlign w:val="bottom"/>
          </w:tcPr>
          <w:p>
            <w:pPr>
              <w:spacing w:after="0"/>
              <w:rPr>
                <w:sz w:val="21"/>
                <w:szCs w:val="21"/>
                <w:color w:val="auto"/>
              </w:rPr>
            </w:pPr>
          </w:p>
        </w:tc>
      </w:tr>
      <w:tr>
        <w:trPr>
          <w:trHeight w:val="235"/>
        </w:trPr>
        <w:tc>
          <w:tcPr>
            <w:tcW w:w="526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3,374</w:t>
            </w:r>
          </w:p>
        </w:tc>
        <w:tc>
          <w:tcPr>
            <w:tcW w:w="34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3,374</w:t>
            </w:r>
          </w:p>
        </w:tc>
      </w:tr>
      <w:tr>
        <w:trPr>
          <w:trHeight w:val="244"/>
        </w:trPr>
        <w:tc>
          <w:tcPr>
            <w:tcW w:w="52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408</w:t>
            </w:r>
          </w:p>
        </w:tc>
        <w:tc>
          <w:tcPr>
            <w:tcW w:w="3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spacing w:after="0"/>
              <w:rPr>
                <w:sz w:val="21"/>
                <w:szCs w:val="21"/>
                <w:color w:val="auto"/>
              </w:rPr>
            </w:pPr>
          </w:p>
        </w:tc>
        <w:tc>
          <w:tcPr>
            <w:tcW w:w="30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21"/>
                <w:szCs w:val="2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686,231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686,231</w:t>
            </w:r>
          </w:p>
        </w:tc>
      </w:tr>
      <w:tr>
        <w:trPr>
          <w:trHeight w:val="430"/>
        </w:trPr>
        <w:tc>
          <w:tcPr>
            <w:tcW w:w="5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credit exposure of the loan portfolio as of September 30, 2018 and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20" w:type="dxa"/>
            <w:vAlign w:val="bottom"/>
          </w:tcPr>
          <w:p>
            <w:pPr>
              <w:jc w:val="center"/>
              <w:ind w:right="152"/>
              <w:spacing w:after="0"/>
              <w:rPr>
                <w:sz w:val="20"/>
                <w:szCs w:val="20"/>
                <w:color w:val="auto"/>
              </w:rPr>
            </w:pPr>
            <w:r>
              <w:rPr>
                <w:rFonts w:ascii="Arial" w:cs="Arial" w:eastAsia="Arial" w:hAnsi="Arial"/>
                <w:sz w:val="18"/>
                <w:szCs w:val="18"/>
                <w:b w:val="1"/>
                <w:bCs w:val="1"/>
                <w:color w:val="auto"/>
                <w:w w:val="86"/>
              </w:rPr>
              <w:t>Loans</w:t>
            </w:r>
          </w:p>
        </w:tc>
        <w:tc>
          <w:tcPr>
            <w:tcW w:w="260" w:type="dxa"/>
            <w:vAlign w:val="bottom"/>
          </w:tcPr>
          <w:p>
            <w:pPr>
              <w:spacing w:after="0"/>
              <w:rPr>
                <w:sz w:val="19"/>
                <w:szCs w:val="19"/>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Performing</w:t>
            </w: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Nonperforming</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40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2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Subject to</w:t>
            </w: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w w:val="95"/>
              </w:rPr>
              <w:t>Loans Subject to</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Loans Subject</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40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20" w:type="dxa"/>
            <w:vAlign w:val="bottom"/>
          </w:tcPr>
          <w:p>
            <w:pPr>
              <w:jc w:val="center"/>
              <w:ind w:right="152"/>
              <w:spacing w:after="0"/>
              <w:rPr>
                <w:sz w:val="20"/>
                <w:szCs w:val="20"/>
                <w:color w:val="auto"/>
              </w:rPr>
            </w:pPr>
            <w:r>
              <w:rPr>
                <w:rFonts w:ascii="Arial" w:cs="Arial" w:eastAsia="Arial" w:hAnsi="Arial"/>
                <w:sz w:val="18"/>
                <w:szCs w:val="18"/>
                <w:b w:val="1"/>
                <w:bCs w:val="1"/>
                <w:color w:val="auto"/>
                <w:w w:val="93"/>
              </w:rPr>
              <w:t>Normal</w:t>
            </w:r>
          </w:p>
        </w:tc>
        <w:tc>
          <w:tcPr>
            <w:tcW w:w="260" w:type="dxa"/>
            <w:vAlign w:val="bottom"/>
          </w:tcPr>
          <w:p>
            <w:pPr>
              <w:spacing w:after="0"/>
              <w:rPr>
                <w:sz w:val="21"/>
                <w:szCs w:val="21"/>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5"/>
              </w:rPr>
              <w:t>Special</w:t>
            </w:r>
          </w:p>
        </w:tc>
        <w:tc>
          <w:tcPr>
            <w:tcW w:w="240" w:type="dxa"/>
            <w:vAlign w:val="bottom"/>
          </w:tcPr>
          <w:p>
            <w:pPr>
              <w:spacing w:after="0"/>
              <w:rPr>
                <w:sz w:val="21"/>
                <w:szCs w:val="21"/>
                <w:color w:val="auto"/>
              </w:rPr>
            </w:pPr>
          </w:p>
        </w:tc>
        <w:tc>
          <w:tcPr>
            <w:tcW w:w="122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to Special</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33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20" w:type="dxa"/>
            <w:vAlign w:val="bottom"/>
            <w:tcBorders>
              <w:bottom w:val="single" w:sz="8" w:color="auto"/>
            </w:tcBorders>
            <w:gridSpan w:val="2"/>
          </w:tcPr>
          <w:p>
            <w:pPr>
              <w:jc w:val="center"/>
              <w:ind w:left="197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1</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5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85"/>
              </w:rPr>
              <w:t>Total Loans</w:t>
            </w:r>
          </w:p>
        </w:tc>
      </w:tr>
      <w:tr>
        <w:trPr>
          <w:trHeight w:val="243"/>
        </w:trPr>
        <w:tc>
          <w:tcPr>
            <w:tcW w:w="408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September 30, 2018</w:t>
            </w:r>
          </w:p>
        </w:tc>
        <w:tc>
          <w:tcPr>
            <w:tcW w:w="23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0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267,696</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3,158</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270,854</w:t>
            </w:r>
          </w:p>
        </w:tc>
      </w:tr>
      <w:tr>
        <w:trPr>
          <w:trHeight w:val="251"/>
        </w:trPr>
        <w:tc>
          <w:tcPr>
            <w:tcW w:w="408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3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08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0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3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91,998</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974</w:t>
            </w: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92,972</w:t>
            </w:r>
          </w:p>
        </w:tc>
      </w:tr>
      <w:tr>
        <w:trPr>
          <w:trHeight w:val="235"/>
        </w:trPr>
        <w:tc>
          <w:tcPr>
            <w:tcW w:w="408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3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22,883</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22,883</w:t>
            </w:r>
          </w:p>
        </w:tc>
      </w:tr>
      <w:tr>
        <w:trPr>
          <w:trHeight w:val="251"/>
        </w:trPr>
        <w:tc>
          <w:tcPr>
            <w:tcW w:w="40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Faith-based:</w:t>
            </w:r>
          </w:p>
        </w:tc>
        <w:tc>
          <w:tcPr>
            <w:tcW w:w="23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08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3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307,596</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307,679</w:t>
            </w:r>
          </w:p>
        </w:tc>
      </w:tr>
      <w:tr>
        <w:trPr>
          <w:trHeight w:val="251"/>
        </w:trPr>
        <w:tc>
          <w:tcPr>
            <w:tcW w:w="40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3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30,838</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30,838</w:t>
            </w:r>
          </w:p>
        </w:tc>
      </w:tr>
      <w:tr>
        <w:trPr>
          <w:trHeight w:val="235"/>
        </w:trPr>
        <w:tc>
          <w:tcPr>
            <w:tcW w:w="408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3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921</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44"/>
        </w:trPr>
        <w:tc>
          <w:tcPr>
            <w:tcW w:w="40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722,024</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4,215</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726,239</w:t>
            </w:r>
          </w:p>
        </w:tc>
      </w:tr>
      <w:tr>
        <w:trPr>
          <w:trHeight w:val="243"/>
        </w:trPr>
        <w:tc>
          <w:tcPr>
            <w:tcW w:w="408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December 31, 2017</w:t>
            </w:r>
          </w:p>
        </w:tc>
        <w:tc>
          <w:tcPr>
            <w:tcW w:w="23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0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234,271</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2,123</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236,394</w:t>
            </w:r>
          </w:p>
        </w:tc>
      </w:tr>
      <w:tr>
        <w:trPr>
          <w:trHeight w:val="251"/>
        </w:trPr>
        <w:tc>
          <w:tcPr>
            <w:tcW w:w="408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3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08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0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3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93,788</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887</w:t>
            </w: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94,675</w:t>
            </w:r>
          </w:p>
        </w:tc>
      </w:tr>
      <w:tr>
        <w:trPr>
          <w:trHeight w:val="235"/>
        </w:trPr>
        <w:tc>
          <w:tcPr>
            <w:tcW w:w="408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3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9,359</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9,359</w:t>
            </w:r>
          </w:p>
        </w:tc>
      </w:tr>
      <w:tr>
        <w:trPr>
          <w:trHeight w:val="251"/>
        </w:trPr>
        <w:tc>
          <w:tcPr>
            <w:tcW w:w="40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Faith-based:</w:t>
            </w:r>
          </w:p>
        </w:tc>
        <w:tc>
          <w:tcPr>
            <w:tcW w:w="23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08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3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316,042</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316,073</w:t>
            </w:r>
          </w:p>
        </w:tc>
      </w:tr>
      <w:tr>
        <w:trPr>
          <w:trHeight w:val="251"/>
        </w:trPr>
        <w:tc>
          <w:tcPr>
            <w:tcW w:w="40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3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25,948</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25,948</w:t>
            </w:r>
          </w:p>
        </w:tc>
      </w:tr>
      <w:tr>
        <w:trPr>
          <w:trHeight w:val="235"/>
        </w:trPr>
        <w:tc>
          <w:tcPr>
            <w:tcW w:w="408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3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3,374</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3,374</w:t>
            </w:r>
          </w:p>
        </w:tc>
      </w:tr>
      <w:tr>
        <w:trPr>
          <w:trHeight w:val="244"/>
        </w:trPr>
        <w:tc>
          <w:tcPr>
            <w:tcW w:w="40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408</w:t>
            </w:r>
          </w:p>
        </w:tc>
        <w:tc>
          <w:tcPr>
            <w:tcW w:w="26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408</w:t>
            </w:r>
          </w:p>
        </w:tc>
      </w:tr>
      <w:tr>
        <w:trPr>
          <w:trHeight w:val="228"/>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683,190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3,041</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686,231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20" w:hanging="212"/>
        <w:spacing w:after="0" w:line="183" w:lineRule="auto"/>
        <w:tabs>
          <w:tab w:leader="none" w:pos="220" w:val="left"/>
        </w:tabs>
        <w:numPr>
          <w:ilvl w:val="0"/>
          <w:numId w:val="5"/>
        </w:numPr>
        <w:rPr>
          <w:rFonts w:ascii="Arial" w:cs="Arial" w:eastAsia="Arial" w:hAnsi="Arial"/>
          <w:sz w:val="25"/>
          <w:szCs w:val="25"/>
          <w:color w:val="auto"/>
          <w:vertAlign w:val="superscript"/>
        </w:rPr>
      </w:pPr>
      <w:r>
        <w:rPr>
          <w:rFonts w:ascii="Arial" w:cs="Arial" w:eastAsia="Arial" w:hAnsi="Arial"/>
          <w:sz w:val="13"/>
          <w:szCs w:val="13"/>
          <w:color w:val="auto"/>
        </w:rPr>
        <w:t>Loans subject to normal monitoring involve borrowers of acceptable-to-strong credit quality and risk, who have the apparent ability to satisfy their loan obligations.</w:t>
      </w:r>
    </w:p>
    <w:p>
      <w:pPr>
        <w:ind w:left="220" w:hanging="212"/>
        <w:spacing w:after="0" w:line="186" w:lineRule="auto"/>
        <w:tabs>
          <w:tab w:leader="none" w:pos="220" w:val="left"/>
        </w:tabs>
        <w:numPr>
          <w:ilvl w:val="0"/>
          <w:numId w:val="6"/>
        </w:numPr>
        <w:rPr>
          <w:rFonts w:ascii="Arial" w:cs="Arial" w:eastAsia="Arial" w:hAnsi="Arial"/>
          <w:sz w:val="21"/>
          <w:szCs w:val="21"/>
          <w:color w:val="auto"/>
          <w:vertAlign w:val="superscript"/>
        </w:rPr>
      </w:pPr>
      <w:r>
        <w:rPr>
          <w:rFonts w:ascii="Arial" w:cs="Arial" w:eastAsia="Arial" w:hAnsi="Arial"/>
          <w:sz w:val="11"/>
          <w:szCs w:val="11"/>
          <w:color w:val="auto"/>
        </w:rPr>
        <w:t>Loans subject to special monitoring possess some credit deficiency or potential weakness which requires a high level of management attention.</w:t>
      </w:r>
    </w:p>
    <w:p>
      <w:pPr>
        <w:spacing w:after="0" w:line="19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“Allowance for Credit Losses.” There were no impaired loans, loans delinquent 90 days or more and still accruing, or loans classified as troubled debt restructuring at September 30, 2018 and December 31,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foreclosed loans recorded as other real estate owned as of September 30, 2018 and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from December 31, 2017 to September 30, 2018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31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December 31,</w:t>
            </w: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Charge-</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September 30,</w:t>
            </w:r>
          </w:p>
        </w:tc>
      </w:tr>
      <w:tr>
        <w:trPr>
          <w:trHeight w:val="26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4"/>
              </w:rPr>
              <w:t>2017</w:t>
            </w: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Offs</w:t>
            </w:r>
          </w:p>
        </w:tc>
        <w:tc>
          <w:tcPr>
            <w:tcW w:w="12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Recoveries</w:t>
            </w:r>
          </w:p>
        </w:tc>
        <w:tc>
          <w:tcPr>
            <w:tcW w:w="11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Provision</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3"/>
                <w:szCs w:val="23"/>
                <w:color w:val="auto"/>
              </w:rPr>
            </w:pPr>
          </w:p>
        </w:tc>
      </w:tr>
      <w:tr>
        <w:trPr>
          <w:trHeight w:val="243"/>
        </w:trPr>
        <w:tc>
          <w:tcPr>
            <w:tcW w:w="372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2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3,652</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535</w:t>
            </w:r>
          </w:p>
        </w:tc>
        <w:tc>
          <w:tcPr>
            <w:tcW w:w="3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4,202</w:t>
            </w:r>
          </w:p>
        </w:tc>
        <w:tc>
          <w:tcPr>
            <w:tcW w:w="20" w:type="dxa"/>
            <w:vAlign w:val="bottom"/>
          </w:tcPr>
          <w:p>
            <w:pPr>
              <w:spacing w:after="0"/>
              <w:rPr>
                <w:sz w:val="21"/>
                <w:szCs w:val="21"/>
                <w:color w:val="auto"/>
              </w:rPr>
            </w:pPr>
          </w:p>
        </w:tc>
      </w:tr>
      <w:tr>
        <w:trPr>
          <w:trHeight w:val="235"/>
        </w:trPr>
        <w:tc>
          <w:tcPr>
            <w:tcW w:w="3720" w:type="dxa"/>
            <w:vAlign w:val="bottom"/>
          </w:tcPr>
          <w:p>
            <w:pPr>
              <w:spacing w:after="0"/>
              <w:rPr>
                <w:sz w:val="20"/>
                <w:szCs w:val="20"/>
                <w:color w:val="auto"/>
              </w:rPr>
            </w:pPr>
            <w:r>
              <w:rPr>
                <w:rFonts w:ascii="Arial" w:cs="Arial" w:eastAsia="Arial" w:hAnsi="Arial"/>
                <w:sz w:val="18"/>
                <w:szCs w:val="18"/>
                <w:color w:val="auto"/>
              </w:rPr>
              <w:t>Real estate:</w:t>
            </w: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2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2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2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1,394</w:t>
            </w:r>
          </w:p>
        </w:tc>
        <w:tc>
          <w:tcPr>
            <w:tcW w:w="30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1,385</w:t>
            </w:r>
          </w:p>
        </w:tc>
      </w:tr>
      <w:tr>
        <w:trPr>
          <w:trHeight w:val="251"/>
        </w:trPr>
        <w:tc>
          <w:tcPr>
            <w:tcW w:w="37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2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r>
      <w:tr>
        <w:trPr>
          <w:trHeight w:val="235"/>
        </w:trPr>
        <w:tc>
          <w:tcPr>
            <w:tcW w:w="372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2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3,962</w:t>
            </w: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3,857</w:t>
            </w:r>
          </w:p>
        </w:tc>
        <w:tc>
          <w:tcPr>
            <w:tcW w:w="20" w:type="dxa"/>
            <w:vAlign w:val="bottom"/>
          </w:tcPr>
          <w:p>
            <w:pPr>
              <w:spacing w:after="0"/>
              <w:rPr>
                <w:sz w:val="21"/>
                <w:szCs w:val="21"/>
                <w:color w:val="auto"/>
              </w:rPr>
            </w:pPr>
          </w:p>
        </w:tc>
      </w:tr>
      <w:tr>
        <w:trPr>
          <w:trHeight w:val="235"/>
        </w:trPr>
        <w:tc>
          <w:tcPr>
            <w:tcW w:w="372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2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251"/>
        </w:trPr>
        <w:tc>
          <w:tcPr>
            <w:tcW w:w="372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2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879</w:t>
            </w:r>
          </w:p>
        </w:tc>
        <w:tc>
          <w:tcPr>
            <w:tcW w:w="30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(517)</w:t>
            </w:r>
          </w:p>
        </w:tc>
        <w:tc>
          <w:tcPr>
            <w:tcW w:w="3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r>
      <w:tr>
        <w:trPr>
          <w:trHeight w:val="250"/>
        </w:trPr>
        <w:tc>
          <w:tcPr>
            <w:tcW w:w="372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auto"/>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10,205</w:t>
            </w:r>
          </w:p>
        </w:tc>
        <w:tc>
          <w:tcPr>
            <w:tcW w:w="3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15</w:t>
            </w:r>
          </w:p>
        </w:tc>
        <w:tc>
          <w:tcPr>
            <w:tcW w:w="400" w:type="dxa"/>
            <w:vAlign w:val="bottom"/>
            <w:tcBorders>
              <w:top w:val="single" w:sz="8" w:color="auto"/>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10,220</w:t>
            </w:r>
          </w:p>
        </w:tc>
        <w:tc>
          <w:tcPr>
            <w:tcW w:w="20" w:type="dxa"/>
            <w:vAlign w:val="bottom"/>
          </w:tcPr>
          <w:p>
            <w:pPr>
              <w:spacing w:after="0"/>
              <w:rPr>
                <w:sz w:val="21"/>
                <w:szCs w:val="21"/>
                <w:color w:val="auto"/>
              </w:rPr>
            </w:pPr>
          </w:p>
        </w:tc>
      </w:tr>
      <w:tr>
        <w:trPr>
          <w:trHeight w:val="430"/>
        </w:trPr>
        <w:tc>
          <w:tcPr>
            <w:tcW w:w="37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 summary of the activity in the allowance for loan losses from December 31, 2016 to September 30, 2017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3280" w:type="dxa"/>
            <w:vAlign w:val="bottom"/>
            <w:gridSpan w:val="2"/>
          </w:tcPr>
          <w:p>
            <w:pPr>
              <w:ind w:left="2120"/>
              <w:spacing w:after="0"/>
              <w:rPr>
                <w:sz w:val="20"/>
                <w:szCs w:val="20"/>
                <w:color w:val="auto"/>
              </w:rPr>
            </w:pPr>
            <w:r>
              <w:rPr>
                <w:rFonts w:ascii="Arial" w:cs="Arial" w:eastAsia="Arial" w:hAnsi="Arial"/>
                <w:sz w:val="18"/>
                <w:szCs w:val="18"/>
                <w:b w:val="1"/>
                <w:bCs w:val="1"/>
                <w:color w:val="auto"/>
                <w:w w:val="97"/>
              </w:rPr>
              <w:t>December 31,</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Charge-</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w w:val="86"/>
              </w:rPr>
              <w:t>September 30,</w:t>
            </w:r>
          </w:p>
        </w:tc>
      </w:tr>
      <w:tr>
        <w:trPr>
          <w:trHeight w:val="26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Offs</w:t>
            </w:r>
          </w:p>
        </w:tc>
        <w:tc>
          <w:tcPr>
            <w:tcW w:w="10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5"/>
              </w:rPr>
              <w:t>Recoveries</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9"/>
              </w:rPr>
              <w:t>Provision</w:t>
            </w: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r>
      <w:tr>
        <w:trPr>
          <w:trHeight w:val="243"/>
        </w:trPr>
        <w:tc>
          <w:tcPr>
            <w:tcW w:w="400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320" w:type="dxa"/>
            <w:vAlign w:val="bottom"/>
            <w:shd w:val="clear" w:color="auto" w:fill="C0C0C0"/>
          </w:tcPr>
          <w:p>
            <w:pPr>
              <w:ind w:left="2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3,261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3,227</w:t>
            </w: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Real estate:</w:t>
            </w:r>
          </w:p>
        </w:tc>
        <w:tc>
          <w:tcPr>
            <w:tcW w:w="2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40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3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35"/>
        </w:trPr>
        <w:tc>
          <w:tcPr>
            <w:tcW w:w="400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32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1,662</w:t>
            </w:r>
          </w:p>
        </w:tc>
        <w:tc>
          <w:tcPr>
            <w:tcW w:w="2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51"/>
        </w:trPr>
        <w:tc>
          <w:tcPr>
            <w:tcW w:w="40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w:t>
            </w:r>
          </w:p>
        </w:tc>
      </w:tr>
      <w:tr>
        <w:trPr>
          <w:trHeight w:val="235"/>
        </w:trPr>
        <w:tc>
          <w:tcPr>
            <w:tcW w:w="400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2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40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4,027</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4,047</w:t>
            </w:r>
          </w:p>
        </w:tc>
      </w:tr>
      <w:tr>
        <w:trPr>
          <w:trHeight w:val="235"/>
        </w:trPr>
        <w:tc>
          <w:tcPr>
            <w:tcW w:w="400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32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51"/>
        </w:trPr>
        <w:tc>
          <w:tcPr>
            <w:tcW w:w="400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992</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210</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r>
      <w:tr>
        <w:trPr>
          <w:trHeight w:val="250"/>
        </w:trPr>
        <w:tc>
          <w:tcPr>
            <w:tcW w:w="40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shd w:val="clear" w:color="auto" w:fill="C0C0C0"/>
          </w:tcPr>
          <w:p>
            <w:pPr>
              <w:ind w:left="2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10,175</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10,202</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7 – Commitments and Contingencies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September 30, 2018 and December 31, 2017, no amounts have been accrued for any estimated losses for these instruments.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September 30, 2018, the balance of unused loan commitments, standby and commercial letters of credit were $73,830,000, $12,917,000, and $3,740,000,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contractual cash obligations of the Company related to operating lease commitments and time deposits at September 30, 2018: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5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Amount of Commitment Expiration per Period</w:t>
            </w:r>
          </w:p>
        </w:tc>
        <w:tc>
          <w:tcPr>
            <w:tcW w:w="6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Less than</w:t>
            </w:r>
          </w:p>
        </w:tc>
        <w:tc>
          <w:tcPr>
            <w:tcW w:w="260" w:type="dxa"/>
            <w:vAlign w:val="bottom"/>
          </w:tcPr>
          <w:p>
            <w:pPr>
              <w:spacing w:after="0"/>
              <w:rPr>
                <w:sz w:val="19"/>
                <w:szCs w:val="19"/>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9"/>
                <w:szCs w:val="19"/>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b w:val="1"/>
                <w:bCs w:val="1"/>
                <w:color w:val="auto"/>
                <w:w w:val="89"/>
              </w:rPr>
              <w:t>Over 5</w:t>
            </w:r>
          </w:p>
        </w:tc>
        <w:tc>
          <w:tcPr>
            <w:tcW w:w="20" w:type="dxa"/>
            <w:vAlign w:val="bottom"/>
          </w:tcPr>
          <w:p>
            <w:pPr>
              <w:spacing w:after="0"/>
              <w:rPr>
                <w:sz w:val="19"/>
                <w:szCs w:val="19"/>
                <w:color w:val="auto"/>
              </w:rPr>
            </w:pPr>
          </w:p>
        </w:tc>
      </w:tr>
      <w:tr>
        <w:trPr>
          <w:trHeight w:val="265"/>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23"/>
                <w:szCs w:val="23"/>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b w:val="1"/>
                <w:bCs w:val="1"/>
                <w:color w:val="auto"/>
                <w:w w:val="97"/>
              </w:rPr>
              <w:t>Total</w:t>
            </w:r>
          </w:p>
        </w:tc>
        <w:tc>
          <w:tcPr>
            <w:tcW w:w="260" w:type="dxa"/>
            <w:vAlign w:val="bottom"/>
          </w:tcPr>
          <w:p>
            <w:pPr>
              <w:spacing w:after="0"/>
              <w:rPr>
                <w:sz w:val="23"/>
                <w:szCs w:val="23"/>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92"/>
              </w:rPr>
              <w:t>1 Year</w:t>
            </w:r>
          </w:p>
        </w:tc>
        <w:tc>
          <w:tcPr>
            <w:tcW w:w="260" w:type="dxa"/>
            <w:vAlign w:val="bottom"/>
          </w:tcPr>
          <w:p>
            <w:pPr>
              <w:spacing w:after="0"/>
              <w:rPr>
                <w:sz w:val="23"/>
                <w:szCs w:val="23"/>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w w:val="93"/>
              </w:rPr>
              <w:t>Years</w:t>
            </w:r>
          </w:p>
        </w:tc>
        <w:tc>
          <w:tcPr>
            <w:tcW w:w="260" w:type="dxa"/>
            <w:vAlign w:val="bottom"/>
          </w:tcPr>
          <w:p>
            <w:pPr>
              <w:spacing w:after="0"/>
              <w:rPr>
                <w:sz w:val="23"/>
                <w:szCs w:val="23"/>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Years</w:t>
            </w:r>
          </w:p>
        </w:tc>
      </w:tr>
      <w:tr>
        <w:trPr>
          <w:trHeight w:val="243"/>
        </w:trPr>
        <w:tc>
          <w:tcPr>
            <w:tcW w:w="65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Operating lease commitments</w:t>
            </w:r>
          </w:p>
        </w:tc>
        <w:tc>
          <w:tcPr>
            <w:tcW w:w="1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10,075</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1,614</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3,570</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2,431</w:t>
            </w:r>
          </w:p>
        </w:tc>
        <w:tc>
          <w:tcPr>
            <w:tcW w:w="2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2,460</w:t>
            </w:r>
          </w:p>
        </w:tc>
        <w:tc>
          <w:tcPr>
            <w:tcW w:w="20" w:type="dxa"/>
            <w:vAlign w:val="bottom"/>
          </w:tcPr>
          <w:p>
            <w:pPr>
              <w:spacing w:after="0"/>
              <w:rPr>
                <w:sz w:val="21"/>
                <w:szCs w:val="2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56,269</w:t>
            </w:r>
          </w:p>
        </w:tc>
        <w:tc>
          <w:tcPr>
            <w:tcW w:w="2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43,033</w:t>
            </w:r>
          </w:p>
        </w:tc>
        <w:tc>
          <w:tcPr>
            <w:tcW w:w="26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10,769</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2,467</w:t>
            </w: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652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66,344</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44,647</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14,339</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4,898</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2,460</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 8 – Stock-Based Compensation</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may issue shares out of treasury stock for these awards. During the nine months ended September 30, 2018, 28,527 restricted shares, 29,278 performance-based restricted shares, and 0 SARs were granted under the Omnibus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Beginning on April 16, 2013, restricted shares granted to Company employees are amortized to expense over a three-year vesting period whereas restricted shares granted to members of the Board of Directors are amortized to expense over a one-year service period, with the exception of those shares granted in lieu of cash payments for retainer fees which are expensed in the period earned. Beginning on February 2, 2017, restricted shares granted to Company employees are amortized to expense over the three-year cliff vesting period. As of September 30, 2018, the total unrecognized compensation expense related to non-vested restricted shares was $1,750,000, and the related weighted-average period over which it is expected to be recognized is approximately 0.92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Following is a summary of the activity of the restricted stock:</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7360" w:type="dxa"/>
            <w:vAlign w:val="bottom"/>
          </w:tcPr>
          <w:p>
            <w:pPr>
              <w:spacing w:after="0"/>
              <w:rPr>
                <w:sz w:val="24"/>
                <w:szCs w:val="24"/>
                <w:color w:val="auto"/>
              </w:rPr>
            </w:pPr>
          </w:p>
        </w:tc>
        <w:tc>
          <w:tcPr>
            <w:tcW w:w="180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Nine Months Ended</w:t>
            </w:r>
          </w:p>
        </w:tc>
      </w:tr>
      <w:tr>
        <w:trPr>
          <w:trHeight w:val="266"/>
        </w:trPr>
        <w:tc>
          <w:tcPr>
            <w:tcW w:w="7360" w:type="dxa"/>
            <w:vAlign w:val="bottom"/>
          </w:tcPr>
          <w:p>
            <w:pPr>
              <w:spacing w:after="0"/>
              <w:rPr>
                <w:sz w:val="23"/>
                <w:szCs w:val="23"/>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6"/>
              </w:rPr>
              <w:t>September 30, 2018</w:t>
            </w:r>
          </w:p>
        </w:tc>
      </w:tr>
      <w:tr>
        <w:trPr>
          <w:trHeight w:val="250"/>
        </w:trPr>
        <w:tc>
          <w:tcPr>
            <w:tcW w:w="7360" w:type="dxa"/>
            <w:vAlign w:val="bottom"/>
            <w:tcBorders>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Shares</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7360" w:type="dxa"/>
            <w:vAlign w:val="bottom"/>
            <w:shd w:val="clear" w:color="auto" w:fill="C0C0C0"/>
          </w:tcPr>
          <w:p>
            <w:pPr>
              <w:spacing w:after="0"/>
              <w:rPr>
                <w:sz w:val="20"/>
                <w:szCs w:val="20"/>
                <w:color w:val="auto"/>
              </w:rPr>
            </w:pPr>
            <w:r>
              <w:rPr>
                <w:rFonts w:ascii="Arial" w:cs="Arial" w:eastAsia="Arial" w:hAnsi="Arial"/>
                <w:sz w:val="18"/>
                <w:szCs w:val="18"/>
                <w:color w:val="auto"/>
              </w:rPr>
              <w:t>Balance at December 31, 2017</w:t>
            </w: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78,166</w:t>
            </w:r>
          </w:p>
        </w:tc>
        <w:tc>
          <w:tcPr>
            <w:tcW w:w="4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21"/>
                <w:szCs w:val="21"/>
                <w:color w:val="auto"/>
              </w:rPr>
            </w:pPr>
          </w:p>
        </w:tc>
      </w:tr>
      <w:tr>
        <w:trPr>
          <w:trHeight w:val="235"/>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28,527</w:t>
            </w:r>
          </w:p>
        </w:tc>
        <w:tc>
          <w:tcPr>
            <w:tcW w:w="4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59.69</w:t>
            </w:r>
          </w:p>
        </w:tc>
      </w:tr>
      <w:tr>
        <w:trPr>
          <w:trHeight w:val="244"/>
        </w:trPr>
        <w:tc>
          <w:tcPr>
            <w:tcW w:w="73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Vested</w:t>
            </w:r>
          </w:p>
        </w:tc>
        <w:tc>
          <w:tcPr>
            <w:tcW w:w="7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86"/>
              </w:rPr>
              <w:t>(23,758)</w:t>
            </w:r>
          </w:p>
        </w:tc>
        <w:tc>
          <w:tcPr>
            <w:tcW w:w="44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46.83</w:t>
            </w:r>
          </w:p>
        </w:tc>
        <w:tc>
          <w:tcPr>
            <w:tcW w:w="20" w:type="dxa"/>
            <w:vAlign w:val="bottom"/>
          </w:tcPr>
          <w:p>
            <w:pPr>
              <w:spacing w:after="0"/>
              <w:rPr>
                <w:sz w:val="21"/>
                <w:szCs w:val="21"/>
                <w:color w:val="auto"/>
              </w:rPr>
            </w:pPr>
          </w:p>
        </w:tc>
      </w:tr>
      <w:tr>
        <w:trPr>
          <w:trHeight w:val="250"/>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September 30, 2018</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82,935</w:t>
            </w: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54.52</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of 2017, the Company granted three-year performance based restricted stock (“PBRS”) awards which are contingent upon the Company’s achievement of pre-established financial goals over the period from January 1, 2017 through December 31, 2019. The PBRS awards cliff vest on the three year anniversary of their grant date at levels ranging from 0% to 150% of the target opportunity based on the actual achievement of financial goals for the three-year performance period. The aggregate target number of PBRS shares granted was 25,342 with an average grant date fair value of $59.20 per share. The 2018 expense related to these grants is currently estimated to be $690,000 and is based on the grant date fair value of the awards and the Company’s achievement of 132% of the target financial goals. The estimated expense for 2018 and each future period through the vesting date is subject to prospective adjustment based upon changes in the expected achievement of the financial goals.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and July of 2018, the Company granted three-year PBRS awards which are contingent upon the Company’s achievement of pre-established financial goals over the period from January 1, 2018 through December 31, 2020. The PBRS awards cliff vest on the three year anniversary of their grant date at levels ranging from 0% to 150% of the target opportunity based on the actual achievement of financial goals for the three-year performance period. The aggregate target number of PBRS shares granted was 29,278 with an average grant date fair value of $58.70 per share. The 2018 expense related to these grants is currently estimated to be $741,000 and is based on the grant date fair value of the awards and the Company’s achievement of 144% of the target financial goals. The estimated expense for 2018 and each future period through the vesting date is subject to prospective adjustment based upon changes in the expected achievement of the financial goals.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SARs granted and no expense recognized during the nine months ended September 30, 2018. Following is a summary of the activity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SARs program for the nine-month period ended September 30,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Average</w:t>
            </w:r>
          </w:p>
        </w:tc>
        <w:tc>
          <w:tcPr>
            <w:tcW w:w="280" w:type="dxa"/>
            <w:vAlign w:val="bottom"/>
          </w:tcPr>
          <w:p>
            <w:pPr>
              <w:spacing w:after="0"/>
              <w:rPr>
                <w:sz w:val="19"/>
                <w:szCs w:val="19"/>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6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center"/>
              <w:ind w:right="172"/>
              <w:spacing w:after="0"/>
              <w:rPr>
                <w:sz w:val="20"/>
                <w:szCs w:val="20"/>
                <w:color w:val="auto"/>
              </w:rPr>
            </w:pPr>
            <w:r>
              <w:rPr>
                <w:rFonts w:ascii="Arial" w:cs="Arial" w:eastAsia="Arial" w:hAnsi="Arial"/>
                <w:sz w:val="18"/>
                <w:szCs w:val="18"/>
                <w:b w:val="1"/>
                <w:bCs w:val="1"/>
                <w:color w:val="auto"/>
                <w:w w:val="87"/>
              </w:rPr>
              <w:t>Average</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Remaining</w:t>
            </w:r>
          </w:p>
        </w:tc>
        <w:tc>
          <w:tcPr>
            <w:tcW w:w="280" w:type="dxa"/>
            <w:vAlign w:val="bottom"/>
          </w:tcPr>
          <w:p>
            <w:pPr>
              <w:spacing w:after="0"/>
              <w:rPr>
                <w:sz w:val="21"/>
                <w:szCs w:val="21"/>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Intrinsic</w:t>
            </w:r>
          </w:p>
        </w:tc>
      </w:tr>
      <w:tr>
        <w:trPr>
          <w:trHeight w:val="243"/>
        </w:trPr>
        <w:tc>
          <w:tcPr>
            <w:tcW w:w="6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center"/>
              <w:ind w:right="152"/>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Contractual</w:t>
            </w:r>
          </w:p>
        </w:tc>
        <w:tc>
          <w:tcPr>
            <w:tcW w:w="280" w:type="dxa"/>
            <w:vAlign w:val="bottom"/>
          </w:tcPr>
          <w:p>
            <w:pPr>
              <w:spacing w:after="0"/>
              <w:rPr>
                <w:sz w:val="21"/>
                <w:szCs w:val="21"/>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Value</w:t>
            </w:r>
          </w:p>
        </w:tc>
      </w:tr>
      <w:tr>
        <w:trPr>
          <w:trHeight w:val="266"/>
        </w:trPr>
        <w:tc>
          <w:tcPr>
            <w:tcW w:w="68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6"/>
              </w:rPr>
              <w:t>Price</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Term Years</w:t>
            </w:r>
          </w:p>
        </w:tc>
        <w:tc>
          <w:tcPr>
            <w:tcW w:w="1260" w:type="dxa"/>
            <w:vAlign w:val="bottom"/>
            <w:tcBorders>
              <w:bottom w:val="single" w:sz="8" w:color="auto"/>
            </w:tcBorders>
            <w:gridSpan w:val="2"/>
          </w:tcPr>
          <w:p>
            <w:pPr>
              <w:jc w:val="center"/>
              <w:ind w:left="52"/>
              <w:spacing w:after="0"/>
              <w:rPr>
                <w:sz w:val="20"/>
                <w:szCs w:val="20"/>
                <w:color w:val="auto"/>
              </w:rPr>
            </w:pPr>
            <w:r>
              <w:rPr>
                <w:rFonts w:ascii="Arial" w:cs="Arial" w:eastAsia="Arial" w:hAnsi="Arial"/>
                <w:sz w:val="18"/>
                <w:szCs w:val="18"/>
                <w:b w:val="1"/>
                <w:bCs w:val="1"/>
                <w:i w:val="1"/>
                <w:iCs w:val="1"/>
                <w:color w:val="auto"/>
                <w:w w:val="87"/>
              </w:rPr>
              <w:t>(In thousands)</w:t>
            </w:r>
          </w:p>
        </w:tc>
      </w:tr>
      <w:tr>
        <w:trPr>
          <w:trHeight w:val="243"/>
        </w:trPr>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234,236</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34.97</w:t>
            </w:r>
          </w:p>
        </w:tc>
        <w:tc>
          <w:tcPr>
            <w:tcW w:w="11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7,291</w:t>
            </w:r>
          </w:p>
        </w:tc>
      </w:tr>
      <w:tr>
        <w:trPr>
          <w:trHeight w:val="237"/>
        </w:trPr>
        <w:tc>
          <w:tcPr>
            <w:tcW w:w="68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(36,624)</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30.31</w:t>
            </w: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43"/>
        </w:trPr>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September 30, 2018</w:t>
            </w:r>
          </w:p>
        </w:tc>
        <w:tc>
          <w:tcPr>
            <w:tcW w:w="10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197,612</w:t>
            </w:r>
          </w:p>
        </w:tc>
        <w:tc>
          <w:tcPr>
            <w:tcW w:w="2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35.84</w:t>
            </w:r>
          </w:p>
        </w:tc>
        <w:tc>
          <w:tcPr>
            <w:tcW w:w="11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3.75</w:t>
            </w:r>
          </w:p>
        </w:tc>
        <w:tc>
          <w:tcPr>
            <w:tcW w:w="28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5,787</w:t>
            </w:r>
          </w:p>
        </w:tc>
      </w:tr>
      <w:tr>
        <w:trPr>
          <w:trHeight w:val="244"/>
        </w:trPr>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at September 30, 2018</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197,612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35.84</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non-vested SARs at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a noncontributory defined-benefit pension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41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Actual</w:t>
            </w:r>
          </w:p>
        </w:tc>
      </w:tr>
      <w:tr>
        <w:trPr>
          <w:trHeight w:val="266"/>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2018</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r>
      <w:tr>
        <w:trPr>
          <w:trHeight w:val="243"/>
        </w:trPr>
        <w:tc>
          <w:tcPr>
            <w:tcW w:w="636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4,294</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3,733</w:t>
            </w:r>
          </w:p>
        </w:tc>
      </w:tr>
      <w:tr>
        <w:trPr>
          <w:trHeight w:val="235"/>
        </w:trPr>
        <w:tc>
          <w:tcPr>
            <w:tcW w:w="636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330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3,655</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3,621</w:t>
            </w:r>
          </w:p>
        </w:tc>
      </w:tr>
      <w:tr>
        <w:trPr>
          <w:trHeight w:val="251"/>
        </w:trPr>
        <w:tc>
          <w:tcPr>
            <w:tcW w:w="636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33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(5,206)</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(4,681)</w:t>
            </w:r>
          </w:p>
        </w:tc>
      </w:tr>
      <w:tr>
        <w:trPr>
          <w:trHeight w:val="237"/>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 and deferral</w:t>
            </w:r>
          </w:p>
        </w:tc>
        <w:tc>
          <w:tcPr>
            <w:tcW w:w="3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1,409</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r>
      <w:tr>
        <w:trPr>
          <w:trHeight w:val="250"/>
        </w:trPr>
        <w:tc>
          <w:tcPr>
            <w:tcW w:w="636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Net periodic pension cost</w:t>
            </w:r>
          </w:p>
        </w:tc>
        <w:tc>
          <w:tcPr>
            <w:tcW w:w="3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4,152</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4,055</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Pension costs recorded to expense were $1,049,000 and $1,033,000 for the three-month periods ended September 30, 2018 and 2017, respectively, and totaled $3,147,000 and $3,070,000 for the nine-month periods ended September 30, 2018 and 2017, respectively. Pension costs increased in 2018 primarily due to a decrease in the discount rate. The Company made no contribution to the plan during the nine-month period ended September 30, 2018 and is evaluating the amount of additional contributions, if any, in the remainder of 2018.</w:t>
      </w:r>
    </w:p>
    <w:p>
      <w:pPr>
        <w:spacing w:after="0" w:line="19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2017 and an estimate for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20" w:type="dxa"/>
            <w:vAlign w:val="bottom"/>
          </w:tcPr>
          <w:p>
            <w:pPr>
              <w:spacing w:after="0"/>
              <w:rPr>
                <w:sz w:val="19"/>
                <w:szCs w:val="19"/>
                <w:color w:val="auto"/>
              </w:rPr>
            </w:pPr>
          </w:p>
        </w:tc>
        <w:tc>
          <w:tcPr>
            <w:tcW w:w="42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Estimated</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Actual</w:t>
            </w:r>
          </w:p>
        </w:tc>
      </w:tr>
      <w:tr>
        <w:trPr>
          <w:trHeight w:val="266"/>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2017</w:t>
            </w:r>
          </w:p>
        </w:tc>
      </w:tr>
      <w:tr>
        <w:trPr>
          <w:trHeight w:val="243"/>
        </w:trPr>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w:t>
            </w:r>
          </w:p>
        </w:tc>
      </w:tr>
      <w:tr>
        <w:trPr>
          <w:trHeight w:val="235"/>
        </w:trPr>
        <w:tc>
          <w:tcPr>
            <w:tcW w:w="64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3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44"/>
        </w:trPr>
        <w:tc>
          <w:tcPr>
            <w:tcW w:w="64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amortization</w:t>
            </w:r>
          </w:p>
        </w:tc>
        <w:tc>
          <w:tcPr>
            <w:tcW w:w="33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581</w:t>
            </w:r>
          </w:p>
        </w:tc>
        <w:tc>
          <w:tcPr>
            <w:tcW w:w="24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324</w:t>
            </w:r>
          </w:p>
        </w:tc>
      </w:tr>
      <w:tr>
        <w:trPr>
          <w:trHeight w:val="250"/>
        </w:trPr>
        <w:tc>
          <w:tcPr>
            <w:tcW w:w="6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Net periodic pension cost</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Pension costs recorded to expense were $255,000 and $210,000 for the three-month periods ended September 30, 2018 and 2017, respectively, and were $766,000 and $628,000 for the nine-month periods ended September 30, 2018 and 2017,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 10 – Income Taxes</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September 30, 2018, the Company’s unrecognized tax benefits were approximately $1,822,000, of which $1,652,000 would, if recognized, affect the Company’s effective tax rate. As of December 31, 2017, the Company’s unrecognized tax benefits were approximately $1,632,000, of which $1,464,000 would, if recognized, affect the Company’s effective tax rate. During the next 12 months, the Company may realize a reduction of its unrecognized tax benefits of approximately $315,000 due to the lapse of federal and state statutes of limitations.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The Company had $191,000 and $139,000 of gross interest accrued as of September 30, 2018 and December 31, 2017, respectively. There were no penalties for unrecognized tax benefits accrued at September 30, 2018 and December 31, 2017.</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is subject to income tax in the U.S. federal jurisdiction and numerous state jurisdictions. U.S. federal income tax returns for tax years 2014 through 2017 remain subject to examination by the Internal Revenue Service. In addition, the Company is subject to state tax examinations for the tax years 2013 through 2017.</w:t>
      </w:r>
    </w:p>
    <w:p>
      <w:pPr>
        <w:spacing w:after="0" w:line="194"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On December 22, 2017, the Tax Cuts and Jobs Act (“TCJA”) was enacted. Among other things, the new law (i) establishes a new, flat corporate federal statutory income tax rate of 21% beginning January 1, 2018; (ii) eliminates the corporate alternative minimum tax and allows the use of any such carryforwards to offset regular tax liability for any taxable year; (iii) limits the deduction for net interest expense incurred by U.S. corporations; (iv) allows businesses to immediately expense, for tax purposes, the cost of new investments in certain qualified depreciable assets; (v) eliminates or reduces certain deductions related to meals and entertainment expenses; (vi) modifies the limitation on excessive employee remuneration to eliminate the exception for performance-based compensation and clarifies the definition of a covered employee; and (vii) limits the deductibility of deposit insurance premiums. The TCJA also significantly changes U.S. tax law related to foreign operations, though, such changes do not currently impact the Company on a significant level.</w:t>
      </w:r>
    </w:p>
    <w:p>
      <w:pPr>
        <w:spacing w:after="0" w:line="17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December 22, 2017, the SEC issued Staff Accounting Bulletin No. 118, "Income Tax Accounting Implications of the Tax Cuts and Jobs Act ("SAB 118"), providing guidance on accounting for the Tax Act. The Company has not completed the accounting for the income tax effects of the Tax Act. In accordance with SAB 118, a provisional charge was recorded in December 2017 based on reasonable estimates of certain effects of the Tax Act. The Company expects to finalize its provisional amounts by the fourth quarter of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w w:val="95"/>
              </w:rPr>
              <w:t>September 30, 2018</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38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9"/>
                <w:szCs w:val="19"/>
                <w:color w:val="auto"/>
              </w:rPr>
            </w:pPr>
          </w:p>
        </w:tc>
        <w:tc>
          <w:tcPr>
            <w:tcW w:w="90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38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04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90"/>
              </w:rPr>
              <w:t>Amortized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6"/>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center"/>
              <w:ind w:right="232"/>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Pr>
          <w:p>
            <w:pPr>
              <w:spacing w:after="0"/>
              <w:rPr>
                <w:sz w:val="23"/>
                <w:szCs w:val="23"/>
                <w:color w:val="auto"/>
              </w:rPr>
            </w:pPr>
          </w:p>
        </w:tc>
        <w:tc>
          <w:tcPr>
            <w:tcW w:w="880" w:type="dxa"/>
            <w:vAlign w:val="bottom"/>
          </w:tcPr>
          <w:p>
            <w:pPr>
              <w:jc w:val="center"/>
              <w:ind w:right="192"/>
              <w:spacing w:after="0"/>
              <w:rPr>
                <w:sz w:val="20"/>
                <w:szCs w:val="20"/>
                <w:color w:val="auto"/>
              </w:rPr>
            </w:pPr>
            <w:r>
              <w:rPr>
                <w:rFonts w:ascii="Arial" w:cs="Arial" w:eastAsia="Arial" w:hAnsi="Arial"/>
                <w:sz w:val="18"/>
                <w:szCs w:val="18"/>
                <w:b w:val="1"/>
                <w:bCs w:val="1"/>
                <w:color w:val="auto"/>
                <w:w w:val="87"/>
              </w:rPr>
              <w:t>Gains</w:t>
            </w:r>
          </w:p>
        </w:tc>
        <w:tc>
          <w:tcPr>
            <w:tcW w:w="280" w:type="dxa"/>
            <w:vAlign w:val="bottom"/>
          </w:tcPr>
          <w:p>
            <w:pPr>
              <w:spacing w:after="0"/>
              <w:rPr>
                <w:sz w:val="23"/>
                <w:szCs w:val="23"/>
                <w:color w:val="auto"/>
              </w:rPr>
            </w:pPr>
          </w:p>
        </w:tc>
        <w:tc>
          <w:tcPr>
            <w:tcW w:w="900" w:type="dxa"/>
            <w:vAlign w:val="bottom"/>
          </w:tcPr>
          <w:p>
            <w:pPr>
              <w:jc w:val="center"/>
              <w:ind w:right="192"/>
              <w:spacing w:after="0"/>
              <w:rPr>
                <w:sz w:val="20"/>
                <w:szCs w:val="20"/>
                <w:color w:val="auto"/>
              </w:rPr>
            </w:pPr>
            <w:r>
              <w:rPr>
                <w:rFonts w:ascii="Arial" w:cs="Arial" w:eastAsia="Arial" w:hAnsi="Arial"/>
                <w:sz w:val="18"/>
                <w:szCs w:val="18"/>
                <w:b w:val="1"/>
                <w:bCs w:val="1"/>
                <w:color w:val="auto"/>
                <w:w w:val="80"/>
              </w:rPr>
              <w:t>Losses</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38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3300" w:type="dxa"/>
            <w:vAlign w:val="bottom"/>
            <w:tcBorders>
              <w:top w:val="single" w:sz="8" w:color="auto"/>
            </w:tcBorders>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337,378</w:t>
            </w:r>
          </w:p>
        </w:tc>
        <w:tc>
          <w:tcPr>
            <w:tcW w:w="2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2,187</w:t>
            </w:r>
          </w:p>
        </w:tc>
        <w:tc>
          <w:tcPr>
            <w:tcW w:w="2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4,691</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334,874</w:t>
            </w:r>
          </w:p>
        </w:tc>
        <w:tc>
          <w:tcPr>
            <w:tcW w:w="20" w:type="dxa"/>
            <w:vAlign w:val="bottom"/>
          </w:tcPr>
          <w:p>
            <w:pPr>
              <w:spacing w:after="0"/>
              <w:rPr>
                <w:sz w:val="21"/>
                <w:szCs w:val="21"/>
                <w:color w:val="auto"/>
              </w:rPr>
            </w:pPr>
          </w:p>
        </w:tc>
      </w:tr>
      <w:tr>
        <w:trPr>
          <w:trHeight w:val="235"/>
        </w:trPr>
        <w:tc>
          <w:tcPr>
            <w:tcW w:w="38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108,158</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2,337</w:t>
            </w:r>
          </w:p>
        </w:tc>
        <w:tc>
          <w:tcPr>
            <w:tcW w:w="3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105,821</w:t>
            </w:r>
          </w:p>
        </w:tc>
      </w:tr>
      <w:tr>
        <w:trPr>
          <w:trHeight w:val="244"/>
        </w:trPr>
        <w:tc>
          <w:tcPr>
            <w:tcW w:w="38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312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5,745</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5,745</w:t>
            </w:r>
          </w:p>
        </w:tc>
        <w:tc>
          <w:tcPr>
            <w:tcW w:w="20" w:type="dxa"/>
            <w:vAlign w:val="bottom"/>
          </w:tcPr>
          <w:p>
            <w:pPr>
              <w:spacing w:after="0"/>
              <w:rPr>
                <w:sz w:val="21"/>
                <w:szCs w:val="21"/>
                <w:color w:val="auto"/>
              </w:rPr>
            </w:pPr>
          </w:p>
        </w:tc>
      </w:tr>
      <w:tr>
        <w:trPr>
          <w:trHeight w:val="250"/>
        </w:trPr>
        <w:tc>
          <w:tcPr>
            <w:tcW w:w="3880" w:type="dxa"/>
            <w:vAlign w:val="bottom"/>
          </w:tcPr>
          <w:p>
            <w:pPr>
              <w:ind w:left="280"/>
              <w:spacing w:after="0"/>
              <w:rPr>
                <w:sz w:val="20"/>
                <w:szCs w:val="20"/>
                <w:color w:val="auto"/>
              </w:rPr>
            </w:pPr>
            <w:r>
              <w:rPr>
                <w:rFonts w:ascii="Arial" w:cs="Arial" w:eastAsia="Arial" w:hAnsi="Arial"/>
                <w:sz w:val="18"/>
                <w:szCs w:val="18"/>
                <w:color w:val="auto"/>
              </w:rPr>
              <w:t>Total</w:t>
            </w:r>
          </w:p>
        </w:tc>
        <w:tc>
          <w:tcPr>
            <w:tcW w:w="3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451,281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7,028</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446,440</w:t>
            </w:r>
          </w:p>
        </w:tc>
      </w:tr>
      <w:tr>
        <w:trPr>
          <w:trHeight w:val="493"/>
        </w:trPr>
        <w:tc>
          <w:tcPr>
            <w:tcW w:w="388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w w:val="97"/>
              </w:rPr>
              <w:t>December 31, 2017</w:t>
            </w:r>
          </w:p>
        </w:tc>
        <w:tc>
          <w:tcPr>
            <w:tcW w:w="3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8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9"/>
                <w:szCs w:val="19"/>
                <w:color w:val="auto"/>
              </w:rPr>
            </w:pPr>
          </w:p>
        </w:tc>
        <w:tc>
          <w:tcPr>
            <w:tcW w:w="90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38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04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90"/>
              </w:rPr>
              <w:t>Amortized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6"/>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center"/>
              <w:ind w:right="232"/>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Pr>
          <w:p>
            <w:pPr>
              <w:spacing w:after="0"/>
              <w:rPr>
                <w:sz w:val="23"/>
                <w:szCs w:val="23"/>
                <w:color w:val="auto"/>
              </w:rPr>
            </w:pPr>
          </w:p>
        </w:tc>
        <w:tc>
          <w:tcPr>
            <w:tcW w:w="880" w:type="dxa"/>
            <w:vAlign w:val="bottom"/>
          </w:tcPr>
          <w:p>
            <w:pPr>
              <w:jc w:val="center"/>
              <w:ind w:right="192"/>
              <w:spacing w:after="0"/>
              <w:rPr>
                <w:sz w:val="20"/>
                <w:szCs w:val="20"/>
                <w:color w:val="auto"/>
              </w:rPr>
            </w:pPr>
            <w:r>
              <w:rPr>
                <w:rFonts w:ascii="Arial" w:cs="Arial" w:eastAsia="Arial" w:hAnsi="Arial"/>
                <w:sz w:val="18"/>
                <w:szCs w:val="18"/>
                <w:b w:val="1"/>
                <w:bCs w:val="1"/>
                <w:color w:val="auto"/>
                <w:w w:val="87"/>
              </w:rPr>
              <w:t>Gains</w:t>
            </w:r>
          </w:p>
        </w:tc>
        <w:tc>
          <w:tcPr>
            <w:tcW w:w="280" w:type="dxa"/>
            <w:vAlign w:val="bottom"/>
          </w:tcPr>
          <w:p>
            <w:pPr>
              <w:spacing w:after="0"/>
              <w:rPr>
                <w:sz w:val="23"/>
                <w:szCs w:val="23"/>
                <w:color w:val="auto"/>
              </w:rPr>
            </w:pPr>
          </w:p>
        </w:tc>
        <w:tc>
          <w:tcPr>
            <w:tcW w:w="900" w:type="dxa"/>
            <w:vAlign w:val="bottom"/>
          </w:tcPr>
          <w:p>
            <w:pPr>
              <w:jc w:val="center"/>
              <w:ind w:right="192"/>
              <w:spacing w:after="0"/>
              <w:rPr>
                <w:sz w:val="20"/>
                <w:szCs w:val="20"/>
                <w:color w:val="auto"/>
              </w:rPr>
            </w:pPr>
            <w:r>
              <w:rPr>
                <w:rFonts w:ascii="Arial" w:cs="Arial" w:eastAsia="Arial" w:hAnsi="Arial"/>
                <w:sz w:val="18"/>
                <w:szCs w:val="18"/>
                <w:b w:val="1"/>
                <w:bCs w:val="1"/>
                <w:color w:val="auto"/>
                <w:w w:val="80"/>
              </w:rPr>
              <w:t>Losses</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38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3300" w:type="dxa"/>
            <w:vAlign w:val="bottom"/>
            <w:tcBorders>
              <w:top w:val="single" w:sz="8" w:color="auto"/>
            </w:tcBorders>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408,165</w:t>
            </w:r>
          </w:p>
        </w:tc>
        <w:tc>
          <w:tcPr>
            <w:tcW w:w="2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9,528</w:t>
            </w:r>
          </w:p>
        </w:tc>
        <w:tc>
          <w:tcPr>
            <w:tcW w:w="2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661</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417,032</w:t>
            </w:r>
          </w:p>
        </w:tc>
        <w:tc>
          <w:tcPr>
            <w:tcW w:w="20" w:type="dxa"/>
            <w:vAlign w:val="bottom"/>
          </w:tcPr>
          <w:p>
            <w:pPr>
              <w:spacing w:after="0"/>
              <w:rPr>
                <w:sz w:val="21"/>
                <w:szCs w:val="21"/>
                <w:color w:val="auto"/>
              </w:rPr>
            </w:pPr>
          </w:p>
        </w:tc>
      </w:tr>
      <w:tr>
        <w:trPr>
          <w:trHeight w:val="235"/>
        </w:trPr>
        <w:tc>
          <w:tcPr>
            <w:tcW w:w="38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46,222</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722</w:t>
            </w:r>
          </w:p>
        </w:tc>
        <w:tc>
          <w:tcPr>
            <w:tcW w:w="3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45,500</w:t>
            </w:r>
          </w:p>
        </w:tc>
      </w:tr>
      <w:tr>
        <w:trPr>
          <w:trHeight w:val="244"/>
        </w:trPr>
        <w:tc>
          <w:tcPr>
            <w:tcW w:w="38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312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7,991</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7,991</w:t>
            </w:r>
          </w:p>
        </w:tc>
        <w:tc>
          <w:tcPr>
            <w:tcW w:w="20" w:type="dxa"/>
            <w:vAlign w:val="bottom"/>
          </w:tcPr>
          <w:p>
            <w:pPr>
              <w:spacing w:after="0"/>
              <w:rPr>
                <w:sz w:val="21"/>
                <w:szCs w:val="21"/>
                <w:color w:val="auto"/>
              </w:rPr>
            </w:pPr>
          </w:p>
        </w:tc>
      </w:tr>
      <w:tr>
        <w:trPr>
          <w:trHeight w:val="250"/>
        </w:trPr>
        <w:tc>
          <w:tcPr>
            <w:tcW w:w="3880" w:type="dxa"/>
            <w:vAlign w:val="bottom"/>
          </w:tcPr>
          <w:p>
            <w:pPr>
              <w:ind w:left="280"/>
              <w:spacing w:after="0"/>
              <w:rPr>
                <w:sz w:val="20"/>
                <w:szCs w:val="20"/>
                <w:color w:val="auto"/>
              </w:rPr>
            </w:pPr>
            <w:r>
              <w:rPr>
                <w:rFonts w:ascii="Arial" w:cs="Arial" w:eastAsia="Arial" w:hAnsi="Arial"/>
                <w:sz w:val="18"/>
                <w:szCs w:val="18"/>
                <w:color w:val="auto"/>
              </w:rPr>
              <w:t>Total</w:t>
            </w:r>
          </w:p>
        </w:tc>
        <w:tc>
          <w:tcPr>
            <w:tcW w:w="3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462,378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9,528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1,383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470,523</w:t>
            </w:r>
          </w:p>
        </w:tc>
      </w:tr>
      <w:tr>
        <w:trPr>
          <w:trHeight w:val="430"/>
        </w:trPr>
        <w:tc>
          <w:tcPr>
            <w:tcW w:w="388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tcPr>
          <w:p>
            <w:pPr>
              <w:jc w:val="right"/>
              <w:ind w:right="1052"/>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8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2"/>
        </w:trPr>
        <w:tc>
          <w:tcPr>
            <w:tcW w:w="5180" w:type="dxa"/>
            <w:vAlign w:val="bottom"/>
          </w:tcPr>
          <w:p>
            <w:pPr>
              <w:spacing w:after="0"/>
              <w:rPr>
                <w:sz w:val="20"/>
                <w:szCs w:val="20"/>
                <w:color w:val="auto"/>
              </w:rPr>
            </w:pPr>
            <w:r>
              <w:rPr>
                <w:rFonts w:ascii="Arial" w:cs="Arial" w:eastAsia="Arial" w:hAnsi="Arial"/>
                <w:sz w:val="18"/>
                <w:szCs w:val="18"/>
                <w:color w:val="auto"/>
                <w:w w:val="99"/>
              </w:rPr>
              <w:t>The fair values of securities with unrealized losses are as follows: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5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b w:val="1"/>
                <w:bCs w:val="1"/>
                <w:color w:val="auto"/>
                <w:w w:val="89"/>
              </w:rPr>
              <w:t>September 30, 2018</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Less than 12 months</w:t>
            </w: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w w:val="90"/>
              </w:rPr>
              <w:t>12 months or more</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518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Estimated</w:t>
            </w: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65"/>
        </w:trPr>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Losses</w:t>
            </w: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Losses</w:t>
            </w: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0"/>
              </w:rPr>
              <w:t>Losses</w:t>
            </w:r>
          </w:p>
        </w:tc>
      </w:tr>
      <w:tr>
        <w:trPr>
          <w:trHeight w:val="243"/>
        </w:trPr>
        <w:tc>
          <w:tcPr>
            <w:tcW w:w="51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178,137</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2,905</w:t>
            </w:r>
          </w:p>
        </w:tc>
        <w:tc>
          <w:tcPr>
            <w:tcW w:w="28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36,804</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1,786</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8"/>
              </w:rPr>
              <w:t>214,941</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4,691</w:t>
            </w:r>
          </w:p>
        </w:tc>
        <w:tc>
          <w:tcPr>
            <w:tcW w:w="20" w:type="dxa"/>
            <w:vAlign w:val="bottom"/>
          </w:tcPr>
          <w:p>
            <w:pPr>
              <w:spacing w:after="0"/>
              <w:rPr>
                <w:sz w:val="21"/>
                <w:szCs w:val="2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79,513</w:t>
            </w:r>
          </w:p>
        </w:tc>
        <w:tc>
          <w:tcPr>
            <w:tcW w:w="26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26,308</w:t>
            </w:r>
          </w:p>
        </w:tc>
        <w:tc>
          <w:tcPr>
            <w:tcW w:w="26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1,363</w:t>
            </w:r>
          </w:p>
        </w:tc>
        <w:tc>
          <w:tcPr>
            <w:tcW w:w="30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105,821</w:t>
            </w:r>
          </w:p>
        </w:tc>
        <w:tc>
          <w:tcPr>
            <w:tcW w:w="2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2,337</w:t>
            </w:r>
          </w:p>
        </w:tc>
      </w:tr>
      <w:tr>
        <w:trPr>
          <w:trHeight w:val="250"/>
        </w:trPr>
        <w:tc>
          <w:tcPr>
            <w:tcW w:w="518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257,650</w:t>
            </w:r>
          </w:p>
        </w:tc>
        <w:tc>
          <w:tcPr>
            <w:tcW w:w="26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3,879</w:t>
            </w:r>
          </w:p>
        </w:tc>
        <w:tc>
          <w:tcPr>
            <w:tcW w:w="28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63,112</w:t>
            </w:r>
          </w:p>
        </w:tc>
        <w:tc>
          <w:tcPr>
            <w:tcW w:w="26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3,149</w:t>
            </w:r>
          </w:p>
        </w:tc>
        <w:tc>
          <w:tcPr>
            <w:tcW w:w="3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8"/>
              </w:rPr>
              <w:t>320,762</w:t>
            </w:r>
          </w:p>
        </w:tc>
        <w:tc>
          <w:tcPr>
            <w:tcW w:w="26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7,028</w:t>
            </w:r>
          </w:p>
        </w:tc>
        <w:tc>
          <w:tcPr>
            <w:tcW w:w="20" w:type="dxa"/>
            <w:vAlign w:val="bottom"/>
          </w:tcPr>
          <w:p>
            <w:pPr>
              <w:spacing w:after="0"/>
              <w:rPr>
                <w:sz w:val="21"/>
                <w:szCs w:val="21"/>
                <w:color w:val="auto"/>
              </w:rPr>
            </w:pPr>
          </w:p>
        </w:tc>
      </w:tr>
      <w:tr>
        <w:trPr>
          <w:trHeight w:val="493"/>
        </w:trPr>
        <w:tc>
          <w:tcPr>
            <w:tcW w:w="5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w w:val="90"/>
              </w:rPr>
              <w:t>December 31, 2017</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Less than 12 months</w:t>
            </w: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w w:val="90"/>
              </w:rPr>
              <w:t>12 months or more</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518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Estimated</w:t>
            </w: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65"/>
        </w:trPr>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Losses</w:t>
            </w: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Losses</w:t>
            </w: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0"/>
              </w:rPr>
              <w:t>Losses</w:t>
            </w:r>
          </w:p>
        </w:tc>
      </w:tr>
      <w:tr>
        <w:trPr>
          <w:trHeight w:val="243"/>
        </w:trPr>
        <w:tc>
          <w:tcPr>
            <w:tcW w:w="51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34,755</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123</w:t>
            </w:r>
          </w:p>
        </w:tc>
        <w:tc>
          <w:tcPr>
            <w:tcW w:w="28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31,251</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538</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66,006</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21"/>
                <w:szCs w:val="2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34,183</w:t>
            </w:r>
          </w:p>
        </w:tc>
        <w:tc>
          <w:tcPr>
            <w:tcW w:w="260" w:type="dxa"/>
            <w:vAlign w:val="bottom"/>
          </w:tcPr>
          <w:p>
            <w:pPr>
              <w:spacing w:after="0"/>
              <w:rPr>
                <w:sz w:val="20"/>
                <w:szCs w:val="20"/>
                <w:color w:val="auto"/>
              </w:rPr>
            </w:pPr>
          </w:p>
        </w:tc>
        <w:tc>
          <w:tcPr>
            <w:tcW w:w="820" w:type="dxa"/>
            <w:vAlign w:val="bottom"/>
          </w:tcPr>
          <w:p>
            <w:pPr>
              <w:ind w:left="280"/>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11,317</w:t>
            </w:r>
          </w:p>
        </w:tc>
        <w:tc>
          <w:tcPr>
            <w:tcW w:w="26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45,500</w:t>
            </w:r>
          </w:p>
        </w:tc>
        <w:tc>
          <w:tcPr>
            <w:tcW w:w="2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r>
      <w:tr>
        <w:trPr>
          <w:trHeight w:val="250"/>
        </w:trPr>
        <w:tc>
          <w:tcPr>
            <w:tcW w:w="518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68,938</w:t>
            </w:r>
          </w:p>
        </w:tc>
        <w:tc>
          <w:tcPr>
            <w:tcW w:w="26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499</w:t>
            </w:r>
          </w:p>
        </w:tc>
        <w:tc>
          <w:tcPr>
            <w:tcW w:w="28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42,568</w:t>
            </w:r>
          </w:p>
        </w:tc>
        <w:tc>
          <w:tcPr>
            <w:tcW w:w="26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884</w:t>
            </w:r>
          </w:p>
        </w:tc>
        <w:tc>
          <w:tcPr>
            <w:tcW w:w="3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8"/>
              </w:rPr>
              <w:t>111,506</w:t>
            </w:r>
          </w:p>
        </w:tc>
        <w:tc>
          <w:tcPr>
            <w:tcW w:w="26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There were 197 securities, or 61% of the total (35 greater than 12 months), in an unrealized loss position as of September 30, 2018. There were 64 securities, or 17% of the total (24 greater than 12 months), in an unrealized loss position as of December 31, 2017. All unrealized losses were reviewed to determine whether the losses were other than temporary. Management believes that all unrealized losses are temporary since they were market driven, and it is more likely than not that the Company will not be required to sell prior to recovery of the amortized basis.</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8"/>
              </w:rPr>
              <w:t>September 30, 2018</w:t>
            </w:r>
          </w:p>
        </w:tc>
      </w:tr>
      <w:tr>
        <w:trPr>
          <w:trHeight w:val="250"/>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3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Amortized Cost</w:t>
            </w: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2"/>
              </w:rPr>
              <w:t>Fair Value</w:t>
            </w:r>
          </w:p>
        </w:tc>
        <w:tc>
          <w:tcPr>
            <w:tcW w:w="20" w:type="dxa"/>
            <w:vAlign w:val="bottom"/>
          </w:tcPr>
          <w:p>
            <w:pPr>
              <w:spacing w:after="0"/>
              <w:rPr>
                <w:sz w:val="21"/>
                <w:szCs w:val="21"/>
                <w:color w:val="auto"/>
              </w:rPr>
            </w:pP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Due in 1 year or less</w:t>
            </w:r>
          </w:p>
        </w:tc>
        <w:tc>
          <w:tcPr>
            <w:tcW w:w="3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13,741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13,782</w:t>
            </w:r>
          </w:p>
        </w:tc>
        <w:tc>
          <w:tcPr>
            <w:tcW w:w="20" w:type="dxa"/>
            <w:vAlign w:val="bottom"/>
          </w:tcPr>
          <w:p>
            <w:pPr>
              <w:spacing w:after="0"/>
              <w:rPr>
                <w:sz w:val="21"/>
                <w:szCs w:val="21"/>
                <w:color w:val="auto"/>
              </w:rPr>
            </w:pPr>
          </w:p>
        </w:tc>
      </w:tr>
      <w:tr>
        <w:trPr>
          <w:trHeight w:val="235"/>
        </w:trPr>
        <w:tc>
          <w:tcPr>
            <w:tcW w:w="894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3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121,838</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121,626</w:t>
            </w:r>
          </w:p>
        </w:tc>
      </w:tr>
      <w:tr>
        <w:trPr>
          <w:trHeight w:val="251"/>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Due after 5 years through 10 years</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232,821</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231,333</w:t>
            </w:r>
          </w:p>
        </w:tc>
        <w:tc>
          <w:tcPr>
            <w:tcW w:w="20" w:type="dxa"/>
            <w:vAlign w:val="bottom"/>
          </w:tcPr>
          <w:p>
            <w:pPr>
              <w:spacing w:after="0"/>
              <w:rPr>
                <w:sz w:val="21"/>
                <w:szCs w:val="21"/>
                <w:color w:val="auto"/>
              </w:rPr>
            </w:pPr>
          </w:p>
        </w:tc>
      </w:tr>
      <w:tr>
        <w:trPr>
          <w:trHeight w:val="237"/>
        </w:trPr>
        <w:tc>
          <w:tcPr>
            <w:tcW w:w="8940" w:type="dxa"/>
            <w:vAlign w:val="bottom"/>
          </w:tcPr>
          <w:p>
            <w:pPr>
              <w:spacing w:after="0"/>
              <w:rPr>
                <w:sz w:val="20"/>
                <w:szCs w:val="20"/>
                <w:color w:val="auto"/>
              </w:rPr>
            </w:pPr>
            <w:r>
              <w:rPr>
                <w:rFonts w:ascii="Arial" w:cs="Arial" w:eastAsia="Arial" w:hAnsi="Arial"/>
                <w:sz w:val="18"/>
                <w:szCs w:val="18"/>
                <w:color w:val="auto"/>
              </w:rPr>
              <w:t>Due after 10 years</w:t>
            </w:r>
          </w:p>
        </w:tc>
        <w:tc>
          <w:tcPr>
            <w:tcW w:w="3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82,881</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79,699</w:t>
            </w:r>
          </w:p>
        </w:tc>
      </w:tr>
      <w:tr>
        <w:trPr>
          <w:trHeight w:val="250"/>
        </w:trPr>
        <w:tc>
          <w:tcPr>
            <w:tcW w:w="894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451,281</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446,440</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There were no sales of investment securities classified as available for sale for the three months ended September 30, 2018 or 2017. Proceeds from sales of investment securities classified as available for sale were $58,520,000 and $0 for the nine months ended September 30, 2018 and 2017, respectively. There were no gross realized gains for the three months ended September 30, 2018 or 2017. Gross realized losses were $42,000 and $0 for the nine months ended September 30, 2018 and 2017, respectively. There was one security totaling $3,750,000 pledged to secure public deposits and for other purposes at September 30,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Note 12 – 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carrying amounts and fair values of the Company’s financial instruments: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9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December 31, 2017</w:t>
            </w:r>
          </w:p>
        </w:tc>
      </w:tr>
      <w:tr>
        <w:trPr>
          <w:trHeight w:val="228"/>
        </w:trPr>
        <w:tc>
          <w:tcPr>
            <w:tcW w:w="39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39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Fair Value</w:t>
            </w:r>
          </w:p>
        </w:tc>
      </w:tr>
      <w:tr>
        <w:trPr>
          <w:trHeight w:val="243"/>
        </w:trPr>
        <w:tc>
          <w:tcPr>
            <w:tcW w:w="39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sheet assets:</w:t>
            </w:r>
          </w:p>
        </w:tc>
        <w:tc>
          <w:tcPr>
            <w:tcW w:w="254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04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04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180,047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180,047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228,110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228,110</w:t>
            </w:r>
          </w:p>
        </w:tc>
      </w:tr>
      <w:tr>
        <w:trPr>
          <w:trHeight w:val="251"/>
        </w:trPr>
        <w:tc>
          <w:tcPr>
            <w:tcW w:w="39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2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446,440</w:t>
            </w:r>
          </w:p>
        </w:tc>
        <w:tc>
          <w:tcPr>
            <w:tcW w:w="24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446,440</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470,523</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470,523</w:t>
            </w:r>
          </w:p>
        </w:tc>
        <w:tc>
          <w:tcPr>
            <w:tcW w:w="20" w:type="dxa"/>
            <w:vAlign w:val="bottom"/>
          </w:tcPr>
          <w:p>
            <w:pPr>
              <w:spacing w:after="0"/>
              <w:rPr>
                <w:sz w:val="21"/>
                <w:szCs w:val="21"/>
                <w:color w:val="auto"/>
              </w:rPr>
            </w:pPr>
          </w:p>
        </w:tc>
      </w:tr>
      <w:tr>
        <w:trPr>
          <w:trHeight w:val="235"/>
        </w:trPr>
        <w:tc>
          <w:tcPr>
            <w:tcW w:w="3920" w:type="dxa"/>
            <w:vAlign w:val="bottom"/>
          </w:tcPr>
          <w:p>
            <w:pPr>
              <w:ind w:left="280"/>
              <w:spacing w:after="0"/>
              <w:rPr>
                <w:sz w:val="20"/>
                <w:szCs w:val="20"/>
                <w:color w:val="auto"/>
              </w:rPr>
            </w:pPr>
            <w:r>
              <w:rPr>
                <w:rFonts w:ascii="Arial" w:cs="Arial" w:eastAsia="Arial" w:hAnsi="Arial"/>
                <w:sz w:val="18"/>
                <w:szCs w:val="18"/>
                <w:color w:val="auto"/>
              </w:rPr>
              <w:t>Loans, net</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716,019</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709,807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676,026</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675,020</w:t>
            </w:r>
          </w:p>
        </w:tc>
      </w:tr>
      <w:tr>
        <w:trPr>
          <w:trHeight w:val="244"/>
        </w:trPr>
        <w:tc>
          <w:tcPr>
            <w:tcW w:w="39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Accrued interest receivable</w:t>
            </w:r>
          </w:p>
        </w:tc>
        <w:tc>
          <w:tcPr>
            <w:tcW w:w="25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6,323</w:t>
            </w:r>
          </w:p>
        </w:tc>
        <w:tc>
          <w:tcPr>
            <w:tcW w:w="24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6,323</w:t>
            </w:r>
          </w:p>
        </w:tc>
        <w:tc>
          <w:tcPr>
            <w:tcW w:w="1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7,413</w:t>
            </w:r>
          </w:p>
        </w:tc>
        <w:tc>
          <w:tcPr>
            <w:tcW w:w="2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7,413</w:t>
            </w:r>
          </w:p>
        </w:tc>
        <w:tc>
          <w:tcPr>
            <w:tcW w:w="20" w:type="dxa"/>
            <w:vAlign w:val="bottom"/>
          </w:tcPr>
          <w:p>
            <w:pPr>
              <w:spacing w:after="0"/>
              <w:rPr>
                <w:sz w:val="21"/>
                <w:szCs w:val="21"/>
                <w:color w:val="auto"/>
              </w:rPr>
            </w:pPr>
          </w:p>
        </w:tc>
      </w:tr>
      <w:tr>
        <w:trPr>
          <w:trHeight w:val="237"/>
        </w:trPr>
        <w:tc>
          <w:tcPr>
            <w:tcW w:w="3920" w:type="dxa"/>
            <w:vAlign w:val="bottom"/>
          </w:tcPr>
          <w:p>
            <w:pPr>
              <w:ind w:left="540"/>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1,348,829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1,342,617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1,382,072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1,381,066</w:t>
            </w:r>
          </w:p>
        </w:tc>
      </w:tr>
      <w:tr>
        <w:trPr>
          <w:trHeight w:val="243"/>
        </w:trPr>
        <w:tc>
          <w:tcPr>
            <w:tcW w:w="39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sheet liabilities:</w:t>
            </w:r>
          </w:p>
        </w:tc>
        <w:tc>
          <w:tcPr>
            <w:tcW w:w="254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04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04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20" w:type="dxa"/>
            <w:vAlign w:val="bottom"/>
          </w:tcPr>
          <w:p>
            <w:pPr>
              <w:ind w:left="280"/>
              <w:spacing w:after="0"/>
              <w:rPr>
                <w:sz w:val="20"/>
                <w:szCs w:val="20"/>
                <w:color w:val="auto"/>
              </w:rPr>
            </w:pPr>
            <w:r>
              <w:rPr>
                <w:rFonts w:ascii="Arial" w:cs="Arial" w:eastAsia="Arial" w:hAnsi="Arial"/>
                <w:sz w:val="18"/>
                <w:szCs w:val="18"/>
                <w:color w:val="auto"/>
              </w:rPr>
              <w:t>Deposits</w:t>
            </w:r>
          </w:p>
        </w:tc>
        <w:tc>
          <w:tcPr>
            <w:tcW w:w="2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634,724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632,162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678,088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678,346</w:t>
            </w:r>
          </w:p>
        </w:tc>
      </w:tr>
      <w:tr>
        <w:trPr>
          <w:trHeight w:val="251"/>
        </w:trPr>
        <w:tc>
          <w:tcPr>
            <w:tcW w:w="39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Accounts and drafts payable</w:t>
            </w:r>
          </w:p>
        </w:tc>
        <w:tc>
          <w:tcPr>
            <w:tcW w:w="2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769,638</w:t>
            </w:r>
          </w:p>
        </w:tc>
        <w:tc>
          <w:tcPr>
            <w:tcW w:w="24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769,638</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661,888</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661,888</w:t>
            </w:r>
          </w:p>
        </w:tc>
        <w:tc>
          <w:tcPr>
            <w:tcW w:w="20" w:type="dxa"/>
            <w:vAlign w:val="bottom"/>
          </w:tcPr>
          <w:p>
            <w:pPr>
              <w:spacing w:after="0"/>
              <w:rPr>
                <w:sz w:val="21"/>
                <w:szCs w:val="21"/>
                <w:color w:val="auto"/>
              </w:rPr>
            </w:pP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Accrued interest payable</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50"/>
        </w:trPr>
        <w:tc>
          <w:tcPr>
            <w:tcW w:w="3920" w:type="dxa"/>
            <w:vAlign w:val="bottom"/>
            <w:tcBorders>
              <w:top w:val="single" w:sz="8" w:color="auto"/>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Total</w:t>
            </w:r>
          </w:p>
        </w:tc>
        <w:tc>
          <w:tcPr>
            <w:tcW w:w="2660" w:type="dxa"/>
            <w:vAlign w:val="bottom"/>
            <w:tcBorders>
              <w:top w:val="single" w:sz="8" w:color="auto"/>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1,404,461</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1,401,899</w:t>
            </w:r>
          </w:p>
        </w:tc>
        <w:tc>
          <w:tcPr>
            <w:tcW w:w="260" w:type="dxa"/>
            <w:vAlign w:val="bottom"/>
            <w:tcBorders>
              <w:top w:val="single" w:sz="8" w:color="auto"/>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1,340,031</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1,340,289</w:t>
            </w:r>
          </w:p>
        </w:tc>
        <w:tc>
          <w:tcPr>
            <w:tcW w:w="20" w:type="dxa"/>
            <w:vAlign w:val="bottom"/>
          </w:tcPr>
          <w:p>
            <w:pPr>
              <w:spacing w:after="0"/>
              <w:rPr>
                <w:sz w:val="21"/>
                <w:szCs w:val="21"/>
                <w:color w:val="auto"/>
              </w:rPr>
            </w:pPr>
          </w:p>
        </w:tc>
      </w:tr>
      <w:tr>
        <w:trPr>
          <w:trHeight w:val="430"/>
        </w:trPr>
        <w:tc>
          <w:tcPr>
            <w:tcW w:w="3920" w:type="dxa"/>
            <w:vAlign w:val="bottom"/>
          </w:tcPr>
          <w:p>
            <w:pPr>
              <w:spacing w:after="0"/>
              <w:rPr>
                <w:sz w:val="24"/>
                <w:szCs w:val="24"/>
                <w:color w:val="auto"/>
              </w:rPr>
            </w:pPr>
          </w:p>
        </w:tc>
        <w:tc>
          <w:tcPr>
            <w:tcW w:w="2540" w:type="dxa"/>
            <w:vAlign w:val="bottom"/>
          </w:tcPr>
          <w:p>
            <w:pPr>
              <w:jc w:val="right"/>
              <w:ind w:right="5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92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Investment in Securities – </w:t>
      </w:r>
      <w:r>
        <w:rPr>
          <w:rFonts w:ascii="Arial" w:cs="Arial" w:eastAsia="Arial" w:hAnsi="Arial"/>
          <w:sz w:val="18"/>
          <w:szCs w:val="18"/>
          <w:color w:val="auto"/>
        </w:rPr>
        <w:t>The fair value is measured on a recurring basis using Level 2 valuations. Refer to Note 11, “Investment in Securities,” for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and unrealized gains and losses by investment type.</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Loans – </w:t>
      </w:r>
      <w:r>
        <w:rPr>
          <w:rFonts w:ascii="Arial" w:cs="Arial" w:eastAsia="Arial" w:hAnsi="Arial"/>
          <w:sz w:val="18"/>
          <w:szCs w:val="18"/>
          <w:color w:val="auto"/>
        </w:rPr>
        <w:t>The fair value is estimated using present values of future cash flows discounted at risk-adjusted interest rates for each loan category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 in a fair valuation. The estimated fair values of loans disclosed above as of September 30, 2018 follow the guidance in Accounting Standards Update 2016-01 which prescribes an exit price approach in estimating and disclosing fair value.</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Impaired loans are valued using the fair value of the collateral which is based upon an observable market price or a current appraised value and therefore, the fair value is a nonrecurring Level 3 valuation.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Interest Receivable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Deposits – </w:t>
      </w:r>
      <w:r>
        <w:rPr>
          <w:rFonts w:ascii="Arial" w:cs="Arial" w:eastAsia="Arial" w:hAnsi="Arial"/>
          <w:sz w:val="16"/>
          <w:szCs w:val="16"/>
          <w:color w:val="auto"/>
        </w:rPr>
        <w:t>The fair value of demand deposits, savings deposits and certain money market deposits is the amount payable on demand at the reporting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Accounts and Drafts Payable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Interest – </w:t>
      </w:r>
      <w:r>
        <w:rPr>
          <w:rFonts w:ascii="Arial" w:cs="Arial" w:eastAsia="Arial" w:hAnsi="Arial"/>
          <w:sz w:val="18"/>
          <w:szCs w:val="18"/>
          <w:color w:val="auto"/>
        </w:rPr>
        <w:t>The carrying amount approximates fair value.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transfers between Levels 1 and 2 of the fair value hierarchy for the nine months ended September 30, 2018 and 2017. No financial instruments are measured using Level 3 inputs for the nine months ended September 30, 2018 and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13 – Subsequent Events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23, 2018, the Company’s Board of Directors declared a 20% common stock dividend payable on December 14, 2018 to shareholders of record on December 4, 2018. Shareholders will receive one additional share of Cass common stock for each five shares of common stock owned. No fractional shares will be issued. Shareholders will receive cash for any fractional shares owned based on the share price reported by the Nasdaq Stock Market at the close of trading on December 4, 2018.</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on October 23, 2018, the Company’s Board of Directors declared a fourth quarter cash dividend of $0.26 per share payable on December 14, 2018 to shareholders of record on December 4, 2018. The cash dividend will apply to all shares of common stock held after the 20% common stock dividend is completed.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voted to restore the capacity of the Company’s stock repurchase program to 500,000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The Company also, through Cass Commercial Bank, its St. Louis, Missouri-based bank subsidiary provides banking services in the St. Louis metropolitan area, Orange County, California, Colorado Springs, Colorado, and other selected cities in the United States. In addition to supporting the Company’s payment operations, the Bank provides banking services to its target markets, which include privately-owned businesses and faith-based ministries.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2017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Certain accounting policies that require significant management estimates and are deemed critical to the Company’s results of operations or financial position have been discussed with the Audit Committee of the Board of Directors and are described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The Company performs periodic and systematic detailed reviews of its loan portfolio to assess overall collectability. The level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paragraphs more fully discuss the results of operations and changes in financial condition for the three-month period ended September 30, 2018 (“Third Quarter of 2018”) compared to the three-month period ended September 30, 2017 (“Third Quarter of 2017”) and the nine-month period ended September 30, 2018 (“Nine Months Ended 2018”) compared to the nine-month period ended September 30, 2017 (“Nine Months Ended 2017”). The following discussion and analysis should be read in conjunction with the unaudited consolidated financial statements and related notes and with the statistical information and financial data appearing in this report, as well as in the Company’s 2017 Annual Report on Form 10-K. Results of operations for the Third Quarter of 2018 are not necessarily indicative of the results to be attained for any other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32"/>
        </w:trPr>
        <w:tc>
          <w:tcPr>
            <w:tcW w:w="4940" w:type="dxa"/>
            <w:vAlign w:val="bottom"/>
          </w:tcPr>
          <w:p>
            <w:pPr>
              <w:spacing w:after="0"/>
              <w:rPr>
                <w:sz w:val="20"/>
                <w:szCs w:val="20"/>
                <w:color w:val="auto"/>
              </w:rPr>
            </w:pPr>
            <w:r>
              <w:rPr>
                <w:rFonts w:ascii="Arial" w:cs="Arial" w:eastAsia="Arial" w:hAnsi="Arial"/>
                <w:sz w:val="18"/>
                <w:szCs w:val="18"/>
                <w:color w:val="auto"/>
                <w:w w:val="94"/>
              </w:rPr>
              <w:t>The following table summarizes the Company’s operating results</w:t>
            </w:r>
            <w:r>
              <w:rPr>
                <w:rFonts w:ascii="Arial" w:cs="Arial" w:eastAsia="Arial" w:hAnsi="Arial"/>
                <w:sz w:val="13"/>
                <w:szCs w:val="13"/>
                <w:color w:val="auto"/>
                <w:w w:val="94"/>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68"/>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Third Quarter of</w:t>
            </w:r>
          </w:p>
        </w:tc>
        <w:tc>
          <w:tcPr>
            <w:tcW w:w="6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Nine Months Ended</w:t>
            </w:r>
          </w:p>
        </w:tc>
        <w:tc>
          <w:tcPr>
            <w:tcW w:w="660" w:type="dxa"/>
            <w:vAlign w:val="bottom"/>
            <w:tcBorders>
              <w:bottom w:val="single" w:sz="8" w:color="auto"/>
            </w:tcBorders>
          </w:tcPr>
          <w:p>
            <w:pPr>
              <w:spacing w:after="0"/>
              <w:rPr>
                <w:sz w:val="24"/>
                <w:szCs w:val="24"/>
                <w:color w:val="auto"/>
              </w:rPr>
            </w:pPr>
          </w:p>
        </w:tc>
      </w:tr>
      <w:tr>
        <w:trPr>
          <w:trHeight w:val="228"/>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r>
      <w:tr>
        <w:trPr>
          <w:trHeight w:val="265"/>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3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Change</w:t>
            </w:r>
          </w:p>
        </w:tc>
      </w:tr>
      <w:tr>
        <w:trPr>
          <w:trHeight w:val="243"/>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7,610</w:t>
            </w:r>
          </w:p>
        </w:tc>
        <w:tc>
          <w:tcPr>
            <w:tcW w:w="3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6,863</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23,211</w:t>
            </w:r>
          </w:p>
        </w:tc>
        <w:tc>
          <w:tcPr>
            <w:tcW w:w="3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19,683</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w:t>
            </w:r>
          </w:p>
        </w:tc>
      </w:tr>
      <w:tr>
        <w:trPr>
          <w:trHeight w:val="235"/>
        </w:trPr>
        <w:tc>
          <w:tcPr>
            <w:tcW w:w="49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.61</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.55</w:t>
            </w: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1.87</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1.58</w:t>
            </w:r>
          </w:p>
        </w:tc>
        <w:tc>
          <w:tcPr>
            <w:tcW w:w="6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51"/>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Return on average assets</w:t>
            </w:r>
          </w:p>
        </w:tc>
        <w:tc>
          <w:tcPr>
            <w:tcW w:w="3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1.70%</w:t>
            </w: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1.70%</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on average equity</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13.31%</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12.34%</w:t>
            </w: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13.96%</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12.27%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r>
        <w:rPr>
          <w:rFonts w:ascii="Arial" w:cs="Arial" w:eastAsia="Arial" w:hAnsi="Arial"/>
          <w:sz w:val="12"/>
          <w:szCs w:val="12"/>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Third Quarter of</w:t>
            </w:r>
          </w:p>
        </w:tc>
        <w:tc>
          <w:tcPr>
            <w:tcW w:w="7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rPr>
              <w:t>Nine Months Ended</w:t>
            </w:r>
          </w:p>
        </w:tc>
        <w:tc>
          <w:tcPr>
            <w:tcW w:w="720" w:type="dxa"/>
            <w:vAlign w:val="bottom"/>
            <w:tcBorders>
              <w:bottom w:val="single" w:sz="8" w:color="auto"/>
            </w:tcBorders>
          </w:tcPr>
          <w:p>
            <w:pPr>
              <w:spacing w:after="0"/>
              <w:rPr>
                <w:sz w:val="21"/>
                <w:szCs w:val="21"/>
                <w:color w:val="auto"/>
              </w:rPr>
            </w:pP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r>
      <w:tr>
        <w:trPr>
          <w:trHeight w:val="26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Transportation invoice volume</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9,530</w:t>
            </w: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8,962</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28,349</w:t>
            </w:r>
          </w:p>
        </w:tc>
        <w:tc>
          <w:tcPr>
            <w:tcW w:w="3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26,585</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w:t>
            </w: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7,264,898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6,162,957</w:t>
            </w:r>
          </w:p>
        </w:tc>
        <w:tc>
          <w:tcPr>
            <w:tcW w:w="74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21,227,816</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18,271,178</w:t>
            </w:r>
          </w:p>
        </w:tc>
        <w:tc>
          <w:tcPr>
            <w:tcW w:w="7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64"/>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Expense management transaction volume</w:t>
            </w:r>
            <w:r>
              <w:rPr>
                <w:rFonts w:ascii="Arial" w:cs="Arial" w:eastAsia="Arial" w:hAnsi="Arial"/>
                <w:sz w:val="13"/>
                <w:szCs w:val="13"/>
                <w:color w:val="auto"/>
              </w:rPr>
              <w:t>*</w:t>
            </w:r>
          </w:p>
        </w:tc>
        <w:tc>
          <w:tcPr>
            <w:tcW w:w="22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7,124</w:t>
            </w:r>
          </w:p>
        </w:tc>
        <w:tc>
          <w:tcPr>
            <w:tcW w:w="32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6,935</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21,414</w:t>
            </w:r>
          </w:p>
        </w:tc>
        <w:tc>
          <w:tcPr>
            <w:tcW w:w="32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20,477</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w:t>
            </w:r>
          </w:p>
        </w:tc>
      </w:tr>
      <w:tr>
        <w:trPr>
          <w:trHeight w:val="249"/>
        </w:trPr>
        <w:tc>
          <w:tcPr>
            <w:tcW w:w="4740" w:type="dxa"/>
            <w:vAlign w:val="bottom"/>
          </w:tcPr>
          <w:p>
            <w:pPr>
              <w:spacing w:after="0"/>
              <w:rPr>
                <w:sz w:val="20"/>
                <w:szCs w:val="20"/>
                <w:color w:val="auto"/>
              </w:rPr>
            </w:pPr>
            <w:r>
              <w:rPr>
                <w:rFonts w:ascii="Arial" w:cs="Arial" w:eastAsia="Arial" w:hAnsi="Arial"/>
                <w:sz w:val="18"/>
                <w:szCs w:val="18"/>
                <w:color w:val="auto"/>
              </w:rPr>
              <w:t>Expense management dollar volume</w:t>
            </w:r>
            <w:r>
              <w:rPr>
                <w:rFonts w:ascii="Arial" w:cs="Arial" w:eastAsia="Arial" w:hAnsi="Arial"/>
                <w:sz w:val="13"/>
                <w:szCs w:val="13"/>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3,667,007</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3,391,672</w:t>
            </w: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10,338,979</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9,647,573</w:t>
            </w: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8"/>
        </w:trPr>
        <w:tc>
          <w:tcPr>
            <w:tcW w:w="47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Payment and processing revenue</w:t>
            </w:r>
          </w:p>
        </w:tc>
        <w:tc>
          <w:tcPr>
            <w:tcW w:w="2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26,020</w:t>
            </w:r>
          </w:p>
        </w:tc>
        <w:tc>
          <w:tcPr>
            <w:tcW w:w="3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23,761</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shd w:val="clear" w:color="auto" w:fill="C0C0C0"/>
          </w:tcPr>
          <w:p>
            <w:pPr>
              <w:spacing w:after="0"/>
              <w:rPr>
                <w:sz w:val="22"/>
                <w:szCs w:val="22"/>
                <w:color w:val="auto"/>
              </w:rPr>
            </w:pPr>
          </w:p>
        </w:tc>
        <w:tc>
          <w:tcPr>
            <w:tcW w:w="200" w:type="dxa"/>
            <w:vAlign w:val="bottom"/>
            <w:tcBorders>
              <w:bottom w:val="single" w:sz="8" w:color="auto"/>
            </w:tcBorders>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76,068</w:t>
            </w:r>
          </w:p>
        </w:tc>
        <w:tc>
          <w:tcPr>
            <w:tcW w:w="3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69,332</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9.7%</w:t>
            </w:r>
          </w:p>
        </w:tc>
      </w:tr>
    </w:tbl>
    <w:p>
      <w:pPr>
        <w:spacing w:after="0"/>
        <w:rPr>
          <w:sz w:val="20"/>
          <w:szCs w:val="20"/>
          <w:color w:val="auto"/>
        </w:rPr>
      </w:pPr>
      <w:r>
        <w:rPr>
          <w:rFonts w:ascii="Arial" w:cs="Arial" w:eastAsia="Arial" w:hAnsi="Arial"/>
          <w:sz w:val="14"/>
          <w:szCs w:val="14"/>
          <w:color w:val="auto"/>
        </w:rPr>
        <w:t>*Includes energy, telecom and waste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2018 compared to Third Quarter of 2017:</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Payment and processing fee revenue increased 10%. Highlighting third quarter performance was an 18% increase in transportation dollar volume. Higher carrier and fuel prices, in concert with higher volume from current accounts, produced the positive result. Transportation invoice volume for the period was up 6%. Facility-related (electricity, gas, waste and telecom expense management) dollar volume was up 3% with facility related expense transaction volume up 8%. New customer wins plus increased volume from current accounts generated the favorable outcome.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gains on sales of securities in either the Third Quarter of 2018 or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Nine Months Ended 2018 compared to Nine Months Ended 2017:</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Transportation invoice and dollar volumes, as well as expense management transaction and dollar volumes, increased for the same reasons as the Third Quarter.</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Losses of $42,000 on the sales of securities were recognized in the Nine Months Ended 2018, compared to $0 in the Nine Months Ended 2017. These sales were part of an effort to right size the investment security portfolio given recent changes in both interest rates, which have increased, and tax rates, which have declined.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6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1"/>
              </w:rPr>
              <w:t>Third Quarter of</w:t>
            </w: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Nine Months Ended</w:t>
            </w:r>
          </w:p>
        </w:tc>
        <w:tc>
          <w:tcPr>
            <w:tcW w:w="760" w:type="dxa"/>
            <w:vAlign w:val="bottom"/>
            <w:tcBorders>
              <w:bottom w:val="single" w:sz="8" w:color="auto"/>
            </w:tcBorders>
          </w:tcPr>
          <w:p>
            <w:pPr>
              <w:spacing w:after="0"/>
              <w:rPr>
                <w:sz w:val="21"/>
                <w:szCs w:val="21"/>
                <w:color w:val="auto"/>
              </w:rPr>
            </w:pPr>
          </w:p>
        </w:tc>
      </w:tr>
      <w:tr>
        <w:trPr>
          <w:trHeight w:val="228"/>
        </w:trPr>
        <w:tc>
          <w:tcPr>
            <w:tcW w:w="4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r>
      <w:tr>
        <w:trPr>
          <w:trHeight w:val="26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15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13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4460" w:type="dxa"/>
            <w:vAlign w:val="bottom"/>
            <w:shd w:val="clear" w:color="auto" w:fill="C0C0C0"/>
          </w:tcPr>
          <w:p>
            <w:pPr>
              <w:spacing w:after="0"/>
              <w:rPr>
                <w:sz w:val="20"/>
                <w:szCs w:val="20"/>
                <w:color w:val="auto"/>
              </w:rPr>
            </w:pPr>
            <w:r>
              <w:rPr>
                <w:rFonts w:ascii="Arial" w:cs="Arial" w:eastAsia="Arial" w:hAnsi="Arial"/>
                <w:sz w:val="18"/>
                <w:szCs w:val="18"/>
                <w:color w:val="auto"/>
              </w:rPr>
              <w:t>Average earnings assets</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   1,397,477</w:t>
            </w:r>
          </w:p>
        </w:tc>
        <w:tc>
          <w:tcPr>
            <w:tcW w:w="15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   1,395,025</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7"/>
              </w:rPr>
              <w:t>$   1,385,488</w:t>
            </w:r>
          </w:p>
        </w:tc>
        <w:tc>
          <w:tcPr>
            <w:tcW w:w="13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   1,348,253</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w:t>
            </w:r>
          </w:p>
        </w:tc>
      </w:tr>
      <w:tr>
        <w:trPr>
          <w:trHeight w:val="235"/>
        </w:trPr>
        <w:tc>
          <w:tcPr>
            <w:tcW w:w="4460" w:type="dxa"/>
            <w:vAlign w:val="bottom"/>
          </w:tcPr>
          <w:p>
            <w:pPr>
              <w:spacing w:after="0"/>
              <w:rPr>
                <w:sz w:val="20"/>
                <w:szCs w:val="20"/>
                <w:color w:val="auto"/>
              </w:rPr>
            </w:pPr>
            <w:r>
              <w:rPr>
                <w:rFonts w:ascii="Arial" w:cs="Arial" w:eastAsia="Arial" w:hAnsi="Arial"/>
                <w:sz w:val="18"/>
                <w:szCs w:val="18"/>
                <w:color w:val="auto"/>
              </w:rPr>
              <w:t>Average interest-bearing liabilities</w:t>
            </w:r>
          </w:p>
        </w:tc>
        <w:tc>
          <w:tcPr>
            <w:tcW w:w="1040" w:type="dxa"/>
            <w:vAlign w:val="bottom"/>
          </w:tcPr>
          <w:p>
            <w:pPr>
              <w:jc w:val="right"/>
              <w:spacing w:after="0"/>
              <w:rPr>
                <w:sz w:val="20"/>
                <w:szCs w:val="20"/>
                <w:color w:val="auto"/>
              </w:rPr>
            </w:pPr>
            <w:r>
              <w:rPr>
                <w:rFonts w:ascii="Arial" w:cs="Arial" w:eastAsia="Arial" w:hAnsi="Arial"/>
                <w:sz w:val="18"/>
                <w:szCs w:val="18"/>
                <w:color w:val="auto"/>
              </w:rPr>
              <w:t>359,793</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393,262</w:t>
            </w: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0"/>
                <w:szCs w:val="20"/>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369,016</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388,693</w:t>
            </w: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446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r>
              <w:rPr>
                <w:rFonts w:ascii="Arial" w:cs="Arial" w:eastAsia="Arial" w:hAnsi="Arial"/>
                <w:sz w:val="13"/>
                <w:szCs w:val="13"/>
                <w:color w:val="auto"/>
              </w:rPr>
              <w:t>*</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11,749</w:t>
            </w:r>
          </w:p>
        </w:tc>
        <w:tc>
          <w:tcPr>
            <w:tcW w:w="15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11,513</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0C0C0"/>
          </w:tcPr>
          <w:p>
            <w:pPr>
              <w:spacing w:after="0"/>
              <w:rPr>
                <w:sz w:val="22"/>
                <w:szCs w:val="22"/>
                <w:color w:val="auto"/>
              </w:rPr>
            </w:pPr>
          </w:p>
        </w:tc>
        <w:tc>
          <w:tcPr>
            <w:tcW w:w="12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34,389</w:t>
            </w:r>
          </w:p>
        </w:tc>
        <w:tc>
          <w:tcPr>
            <w:tcW w:w="13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33,765</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80" w:type="dxa"/>
            <w:vAlign w:val="bottom"/>
          </w:tcPr>
          <w:p>
            <w:pPr>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13"/>
                <w:szCs w:val="13"/>
                <w:color w:val="auto"/>
              </w:rPr>
              <w:t>*</w:t>
            </w:r>
          </w:p>
        </w:tc>
        <w:tc>
          <w:tcPr>
            <w:tcW w:w="2300" w:type="dxa"/>
            <w:vAlign w:val="bottom"/>
          </w:tcPr>
          <w:p>
            <w:pPr>
              <w:jc w:val="right"/>
              <w:ind w:right="352"/>
              <w:spacing w:after="0"/>
              <w:rPr>
                <w:sz w:val="20"/>
                <w:szCs w:val="20"/>
                <w:color w:val="auto"/>
              </w:rPr>
            </w:pPr>
            <w:r>
              <w:rPr>
                <w:rFonts w:ascii="Arial" w:cs="Arial" w:eastAsia="Arial" w:hAnsi="Arial"/>
                <w:sz w:val="18"/>
                <w:szCs w:val="18"/>
                <w:color w:val="auto"/>
              </w:rPr>
              <w:t>3.34%</w:t>
            </w:r>
          </w:p>
        </w:tc>
        <w:tc>
          <w:tcPr>
            <w:tcW w:w="1820" w:type="dxa"/>
            <w:vAlign w:val="bottom"/>
          </w:tcPr>
          <w:p>
            <w:pPr>
              <w:jc w:val="right"/>
              <w:ind w:right="832"/>
              <w:spacing w:after="0"/>
              <w:rPr>
                <w:sz w:val="20"/>
                <w:szCs w:val="20"/>
                <w:color w:val="auto"/>
              </w:rPr>
            </w:pPr>
            <w:r>
              <w:rPr>
                <w:rFonts w:ascii="Arial" w:cs="Arial" w:eastAsia="Arial" w:hAnsi="Arial"/>
                <w:sz w:val="18"/>
                <w:szCs w:val="18"/>
                <w:color w:val="auto"/>
              </w:rPr>
              <w:t>3.27%</w:t>
            </w:r>
          </w:p>
        </w:tc>
        <w:tc>
          <w:tcPr>
            <w:tcW w:w="1820" w:type="dxa"/>
            <w:vAlign w:val="bottom"/>
          </w:tcPr>
          <w:p>
            <w:pPr>
              <w:jc w:val="right"/>
              <w:ind w:right="352"/>
              <w:spacing w:after="0"/>
              <w:rPr>
                <w:sz w:val="20"/>
                <w:szCs w:val="20"/>
                <w:color w:val="auto"/>
              </w:rPr>
            </w:pPr>
            <w:r>
              <w:rPr>
                <w:rFonts w:ascii="Arial" w:cs="Arial" w:eastAsia="Arial" w:hAnsi="Arial"/>
                <w:sz w:val="18"/>
                <w:szCs w:val="18"/>
                <w:color w:val="auto"/>
              </w:rPr>
              <w:t>3.32%</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3.35%</w:t>
            </w:r>
          </w:p>
        </w:tc>
      </w:tr>
      <w:tr>
        <w:trPr>
          <w:trHeight w:val="264"/>
        </w:trPr>
        <w:tc>
          <w:tcPr>
            <w:tcW w:w="3780" w:type="dxa"/>
            <w:vAlign w:val="bottom"/>
            <w:shd w:val="clear" w:color="auto" w:fill="C0C0C0"/>
          </w:tcPr>
          <w:p>
            <w:pPr>
              <w:spacing w:after="0"/>
              <w:rPr>
                <w:sz w:val="20"/>
                <w:szCs w:val="20"/>
                <w:color w:val="auto"/>
              </w:rPr>
            </w:pPr>
            <w:r>
              <w:rPr>
                <w:rFonts w:ascii="Arial" w:cs="Arial" w:eastAsia="Arial" w:hAnsi="Arial"/>
                <w:sz w:val="18"/>
                <w:szCs w:val="18"/>
                <w:color w:val="auto"/>
              </w:rPr>
              <w:t>Yield on earning assets</w:t>
            </w:r>
            <w:r>
              <w:rPr>
                <w:rFonts w:ascii="Arial" w:cs="Arial" w:eastAsia="Arial" w:hAnsi="Arial"/>
                <w:sz w:val="13"/>
                <w:szCs w:val="13"/>
                <w:color w:val="auto"/>
              </w:rPr>
              <w:t>*</w:t>
            </w:r>
          </w:p>
        </w:tc>
        <w:tc>
          <w:tcPr>
            <w:tcW w:w="230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3.63%</w:t>
            </w:r>
          </w:p>
        </w:tc>
        <w:tc>
          <w:tcPr>
            <w:tcW w:w="1820" w:type="dxa"/>
            <w:vAlign w:val="bottom"/>
            <w:shd w:val="clear" w:color="auto" w:fill="C0C0C0"/>
          </w:tcPr>
          <w:p>
            <w:pPr>
              <w:jc w:val="right"/>
              <w:ind w:right="832"/>
              <w:spacing w:after="0"/>
              <w:rPr>
                <w:sz w:val="20"/>
                <w:szCs w:val="20"/>
                <w:color w:val="auto"/>
              </w:rPr>
            </w:pPr>
            <w:r>
              <w:rPr>
                <w:rFonts w:ascii="Arial" w:cs="Arial" w:eastAsia="Arial" w:hAnsi="Arial"/>
                <w:sz w:val="18"/>
                <w:szCs w:val="18"/>
                <w:color w:val="auto"/>
              </w:rPr>
              <w:t>3.44%</w:t>
            </w:r>
          </w:p>
        </w:tc>
        <w:tc>
          <w:tcPr>
            <w:tcW w:w="182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3.56%</w:t>
            </w:r>
          </w:p>
        </w:tc>
        <w:tc>
          <w:tcPr>
            <w:tcW w:w="1700" w:type="dxa"/>
            <w:vAlign w:val="bottom"/>
            <w:shd w:val="clear" w:color="auto" w:fill="C0C0C0"/>
          </w:tcPr>
          <w:p>
            <w:pPr>
              <w:jc w:val="right"/>
              <w:ind w:right="712"/>
              <w:spacing w:after="0"/>
              <w:rPr>
                <w:sz w:val="20"/>
                <w:szCs w:val="20"/>
                <w:color w:val="auto"/>
              </w:rPr>
            </w:pPr>
            <w:r>
              <w:rPr>
                <w:rFonts w:ascii="Arial" w:cs="Arial" w:eastAsia="Arial" w:hAnsi="Arial"/>
                <w:sz w:val="18"/>
                <w:szCs w:val="18"/>
                <w:color w:val="auto"/>
              </w:rPr>
              <w:t>3.50%</w:t>
            </w:r>
          </w:p>
        </w:tc>
      </w:tr>
      <w:tr>
        <w:trPr>
          <w:trHeight w:val="228"/>
        </w:trPr>
        <w:tc>
          <w:tcPr>
            <w:tcW w:w="3780" w:type="dxa"/>
            <w:vAlign w:val="bottom"/>
          </w:tcPr>
          <w:p>
            <w:pPr>
              <w:spacing w:after="0"/>
              <w:rPr>
                <w:sz w:val="20"/>
                <w:szCs w:val="20"/>
                <w:color w:val="auto"/>
              </w:rPr>
            </w:pPr>
            <w:r>
              <w:rPr>
                <w:rFonts w:ascii="Arial" w:cs="Arial" w:eastAsia="Arial" w:hAnsi="Arial"/>
                <w:sz w:val="18"/>
                <w:szCs w:val="18"/>
                <w:color w:val="auto"/>
              </w:rPr>
              <w:t>Rate on interest-bearing liabilities</w:t>
            </w:r>
          </w:p>
        </w:tc>
        <w:tc>
          <w:tcPr>
            <w:tcW w:w="2300" w:type="dxa"/>
            <w:vAlign w:val="bottom"/>
          </w:tcPr>
          <w:p>
            <w:pPr>
              <w:jc w:val="right"/>
              <w:ind w:right="352"/>
              <w:spacing w:after="0"/>
              <w:rPr>
                <w:sz w:val="20"/>
                <w:szCs w:val="20"/>
                <w:color w:val="auto"/>
              </w:rPr>
            </w:pPr>
            <w:r>
              <w:rPr>
                <w:rFonts w:ascii="Arial" w:cs="Arial" w:eastAsia="Arial" w:hAnsi="Arial"/>
                <w:sz w:val="18"/>
                <w:szCs w:val="18"/>
                <w:color w:val="auto"/>
              </w:rPr>
              <w:t>1.13%</w:t>
            </w:r>
          </w:p>
        </w:tc>
        <w:tc>
          <w:tcPr>
            <w:tcW w:w="1820" w:type="dxa"/>
            <w:vAlign w:val="bottom"/>
          </w:tcPr>
          <w:p>
            <w:pPr>
              <w:jc w:val="right"/>
              <w:ind w:right="832"/>
              <w:spacing w:after="0"/>
              <w:rPr>
                <w:sz w:val="20"/>
                <w:szCs w:val="20"/>
                <w:color w:val="auto"/>
              </w:rPr>
            </w:pPr>
            <w:r>
              <w:rPr>
                <w:rFonts w:ascii="Arial" w:cs="Arial" w:eastAsia="Arial" w:hAnsi="Arial"/>
                <w:sz w:val="18"/>
                <w:szCs w:val="18"/>
                <w:color w:val="auto"/>
              </w:rPr>
              <w:t>.58%</w:t>
            </w:r>
          </w:p>
        </w:tc>
        <w:tc>
          <w:tcPr>
            <w:tcW w:w="1820" w:type="dxa"/>
            <w:vAlign w:val="bottom"/>
          </w:tcPr>
          <w:p>
            <w:pPr>
              <w:jc w:val="right"/>
              <w:ind w:right="352"/>
              <w:spacing w:after="0"/>
              <w:rPr>
                <w:sz w:val="20"/>
                <w:szCs w:val="20"/>
                <w:color w:val="auto"/>
              </w:rPr>
            </w:pPr>
            <w:r>
              <w:rPr>
                <w:rFonts w:ascii="Arial" w:cs="Arial" w:eastAsia="Arial" w:hAnsi="Arial"/>
                <w:sz w:val="18"/>
                <w:szCs w:val="18"/>
                <w:color w:val="auto"/>
              </w:rPr>
              <w:t>.91%</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*Presented on a tax-equivalent basis assuming a tax rate of 21% for 2018 and 35% for 2017. The TCJA reduced the net interest margin and yield on earning assets by approximately 20 basis points in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2018 compared to Third Quarter of 2017:</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Third Quarter of 2018 average earning assets increased $2,452,000, or 0.2%, compared to the same period in the prior year. Interest-bearing deposits in other financial institutions increased $60,831,000, or 59.5%, loans increased $57,857,000, or 8.8%, and average investment securities increased $14,454,000, or 3.4%. These were partially offset by a decrease in average federal funds sold and other short-term investments of $130,634,000, or 65.3%, in the Third Quarter of 2018 compared to the Third Quarter of 2017.</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average interest-bearing liabilities for the Third Quarter of 2018 decreased $33,469,000, or 8.5%, compared to the Third Quarter of 2017 for a variety of reasons, including some customers that shifted excess balances to higher yielding investments. Average accounts and drafts payable increased $16,404,000, or 2.2%, in the Third Quarter of 2018 compared to the Third Quarter of 2017.</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Third Quarter of 2018 tax-equivalized net interest income increased $236,000, or 2.0%, compared to the same period in the prior year as a result of the increase in average earning assets and the improving rate environment. However, the lower tax-equivalent adjustment as a result of the federal tax rate decrease in 2018 from the enactment of TCJA in December 2017 negatively impacted the comparison to the Third Quarter of 2017. The federal tax rate decrease also negatively impacted net interest margin and yield on earning assets for the Third Quarter of 2018 compared to the Third Quarter of 2017.</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changes to the interest rate environment also led to an increase in the rate on interest-bearing liabilities in the Third Quarter of 2018 compared to the Third Quarter of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2018 compared to Nine Months Ended 2017:</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Nine Months Ended 2018 average earning assets increased $37,235,000, or 2.8%, compared to the same period in the prior year. Loans increased $43,953,000, or 6.6%, average investment securities increased $32,840,000, or 7.9%, and interest-bearing deposits in other financial institutions increased $17,602,000, or 17.7%. These were partially offset by a decrease in average federal funds sold and other short-term investments of $57,702,000, or 35.4%, for the Nine Months Ended 2018 as compared to the Nine Months Ended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both"/>
        <w:ind w:right="20"/>
        <w:spacing w:after="0" w:line="306" w:lineRule="auto"/>
        <w:rPr>
          <w:sz w:val="20"/>
          <w:szCs w:val="20"/>
          <w:color w:val="auto"/>
        </w:rPr>
      </w:pPr>
      <w:r>
        <w:rPr>
          <w:rFonts w:ascii="Arial" w:cs="Arial" w:eastAsia="Arial" w:hAnsi="Arial"/>
          <w:sz w:val="16"/>
          <w:szCs w:val="16"/>
          <w:color w:val="auto"/>
        </w:rPr>
        <w:t>Average accounts and drafts payable balances for the Nine Months Ended 2018 increased $33,171,000, or 4.7%, and non-interest bearing liabilities increased $39,704,000, or 19.3%, as compared to the Nine Months Ended 2017. These were partially offset by a decrease in average total interest bearing deposits of $19,677,000, or 5.1%. This decreased for a variety of reasons, including some customers that shifted excess balances to higher yielding investments.</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Nine Months Ended 2018 tax-equivalized net interest income increased $624,000, or 1.8%, compared to the same period in the prior year as a result of the increase in average earning assets and the improving rate environment. However, the lower tax-equivalent adjustment as a result of the federal tax rate decrease in 2018 from the enactment of TCJA in December 2017 negatively impacted the comparison to the Nine Months Ended 2017. The federal tax rate decrease also negatively impacted net interest margin and yield on earning assets for the Nine Months Ended 2018 compared to the Nine Months Ended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the interest rate environment increased for the same reasons as the Third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changes in net interest income, please refer to the tables that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Third Quarter of 2018</w:t>
            </w:r>
          </w:p>
        </w:tc>
        <w:tc>
          <w:tcPr>
            <w:tcW w:w="5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Third Quarter of 2017</w:t>
            </w:r>
          </w:p>
        </w:tc>
        <w:tc>
          <w:tcPr>
            <w:tcW w:w="520" w:type="dxa"/>
            <w:vAlign w:val="bottom"/>
            <w:tcBorders>
              <w:bottom w:val="single" w:sz="8" w:color="auto"/>
            </w:tcBorders>
          </w:tcPr>
          <w:p>
            <w:pPr>
              <w:spacing w:after="0"/>
              <w:rPr>
                <w:sz w:val="21"/>
                <w:szCs w:val="21"/>
                <w:color w:val="auto"/>
              </w:rPr>
            </w:pPr>
          </w:p>
        </w:tc>
      </w:tr>
      <w:tr>
        <w:trPr>
          <w:trHeight w:val="228"/>
        </w:trPr>
        <w:tc>
          <w:tcPr>
            <w:tcW w:w="4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520" w:type="dxa"/>
            <w:vAlign w:val="bottom"/>
          </w:tcPr>
          <w:p>
            <w:pPr>
              <w:spacing w:after="0"/>
              <w:rPr>
                <w:sz w:val="19"/>
                <w:szCs w:val="19"/>
                <w:color w:val="auto"/>
              </w:rPr>
            </w:pPr>
          </w:p>
        </w:tc>
      </w:tr>
      <w:tr>
        <w:trPr>
          <w:trHeight w:val="242"/>
        </w:trPr>
        <w:tc>
          <w:tcPr>
            <w:tcW w:w="4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520" w:type="dxa"/>
            <w:vAlign w:val="bottom"/>
          </w:tcPr>
          <w:p>
            <w:pPr>
              <w:ind w:left="40"/>
              <w:spacing w:after="0"/>
              <w:rPr>
                <w:sz w:val="20"/>
                <w:szCs w:val="20"/>
                <w:color w:val="auto"/>
              </w:rPr>
            </w:pPr>
            <w:r>
              <w:rPr>
                <w:rFonts w:ascii="Arial" w:cs="Arial" w:eastAsia="Arial" w:hAnsi="Arial"/>
                <w:sz w:val="18"/>
                <w:szCs w:val="18"/>
                <w:b w:val="1"/>
                <w:bCs w:val="1"/>
                <w:color w:val="auto"/>
                <w:w w:val="95"/>
              </w:rPr>
              <w:t>Yield/</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w w:val="92"/>
              </w:rPr>
              <w:t>Average</w:t>
            </w:r>
          </w:p>
        </w:tc>
        <w:tc>
          <w:tcPr>
            <w:tcW w:w="22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9"/>
              </w:rPr>
              <w:t>Yield/</w:t>
            </w:r>
          </w:p>
        </w:tc>
      </w:tr>
      <w:tr>
        <w:trPr>
          <w:trHeight w:val="279"/>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2"/>
              </w:rPr>
              <w:t>Balance</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Rate</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2"/>
              </w:rPr>
              <w:t>Balance</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Rate</w:t>
            </w:r>
          </w:p>
        </w:tc>
      </w:tr>
      <w:tr>
        <w:trPr>
          <w:trHeight w:val="311"/>
        </w:trPr>
        <w:tc>
          <w:tcPr>
            <w:tcW w:w="464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8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0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96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2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94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Earning assets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18"/>
        </w:trPr>
        <w:tc>
          <w:tcPr>
            <w:tcW w:w="464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2, 3</w:t>
            </w:r>
            <w:r>
              <w:rPr>
                <w:rFonts w:ascii="Arial" w:cs="Arial" w:eastAsia="Arial" w:hAnsi="Arial"/>
                <w:sz w:val="18"/>
                <w:szCs w:val="18"/>
                <w:color w:val="auto"/>
              </w:rPr>
              <w:t>:</w:t>
            </w:r>
          </w:p>
        </w:tc>
        <w:tc>
          <w:tcPr>
            <w:tcW w:w="8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0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96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2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94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r>
      <w:tr>
        <w:trPr>
          <w:trHeight w:val="235"/>
        </w:trPr>
        <w:tc>
          <w:tcPr>
            <w:tcW w:w="4640" w:type="dxa"/>
            <w:vAlign w:val="bottom"/>
          </w:tcPr>
          <w:p>
            <w:pPr>
              <w:ind w:left="280"/>
              <w:spacing w:after="0"/>
              <w:rPr>
                <w:sz w:val="20"/>
                <w:szCs w:val="20"/>
                <w:color w:val="auto"/>
              </w:rPr>
            </w:pPr>
            <w:r>
              <w:rPr>
                <w:rFonts w:ascii="Arial" w:cs="Arial" w:eastAsia="Arial" w:hAnsi="Arial"/>
                <w:sz w:val="18"/>
                <w:szCs w:val="18"/>
                <w:color w:val="auto"/>
              </w:rPr>
              <w:t>Taxable</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716,849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8,356</w:t>
            </w:r>
          </w:p>
        </w:tc>
        <w:tc>
          <w:tcPr>
            <w:tcW w:w="520" w:type="dxa"/>
            <w:vAlign w:val="bottom"/>
          </w:tcPr>
          <w:p>
            <w:pPr>
              <w:ind w:left="60"/>
              <w:spacing w:after="0"/>
              <w:rPr>
                <w:sz w:val="20"/>
                <w:szCs w:val="20"/>
                <w:color w:val="auto"/>
              </w:rPr>
            </w:pPr>
            <w:r>
              <w:rPr>
                <w:rFonts w:ascii="Arial" w:cs="Arial" w:eastAsia="Arial" w:hAnsi="Arial"/>
                <w:sz w:val="18"/>
                <w:szCs w:val="18"/>
                <w:color w:val="auto"/>
                <w:w w:val="86"/>
              </w:rPr>
              <w:t>4.62%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655,723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7,178</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4.34%</w:t>
            </w:r>
          </w:p>
        </w:tc>
      </w:tr>
      <w:tr>
        <w:trPr>
          <w:trHeight w:val="318"/>
        </w:trPr>
        <w:tc>
          <w:tcPr>
            <w:tcW w:w="464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8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0C0C0"/>
          </w:tcPr>
          <w:p>
            <w:pPr>
              <w:spacing w:after="0"/>
              <w:rPr>
                <w:sz w:val="24"/>
                <w:szCs w:val="24"/>
                <w:color w:val="auto"/>
              </w:rPr>
            </w:pP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0C0C0"/>
          </w:tcPr>
          <w:p>
            <w:pPr>
              <w:ind w:left="60"/>
              <w:spacing w:after="0"/>
              <w:rPr>
                <w:sz w:val="20"/>
                <w:szCs w:val="20"/>
                <w:color w:val="auto"/>
              </w:rPr>
            </w:pPr>
            <w:r>
              <w:rPr>
                <w:rFonts w:ascii="Arial" w:cs="Arial" w:eastAsia="Arial" w:hAnsi="Arial"/>
                <w:sz w:val="18"/>
                <w:szCs w:val="18"/>
                <w:color w:val="auto"/>
              </w:rPr>
              <w:t>4.31</w:t>
            </w:r>
          </w:p>
        </w:tc>
        <w:tc>
          <w:tcPr>
            <w:tcW w:w="2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4,466</w:t>
            </w:r>
          </w:p>
        </w:tc>
        <w:tc>
          <w:tcPr>
            <w:tcW w:w="220" w:type="dxa"/>
            <w:vAlign w:val="bottom"/>
            <w:shd w:val="clear" w:color="auto" w:fill="C0C0C0"/>
          </w:tcPr>
          <w:p>
            <w:pPr>
              <w:spacing w:after="0"/>
              <w:rPr>
                <w:sz w:val="24"/>
                <w:szCs w:val="24"/>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4.18</w:t>
            </w:r>
          </w:p>
        </w:tc>
      </w:tr>
      <w:tr>
        <w:trPr>
          <w:trHeight w:val="311"/>
        </w:trPr>
        <w:tc>
          <w:tcPr>
            <w:tcW w:w="4640" w:type="dxa"/>
            <w:vAlign w:val="bottom"/>
          </w:tcPr>
          <w:p>
            <w:pPr>
              <w:spacing w:after="0" w:line="31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3"/>
        </w:trPr>
        <w:tc>
          <w:tcPr>
            <w:tcW w:w="4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100,530</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593</w:t>
            </w:r>
          </w:p>
        </w:tc>
        <w:tc>
          <w:tcPr>
            <w:tcW w:w="520" w:type="dxa"/>
            <w:vAlign w:val="bottom"/>
            <w:shd w:val="clear" w:color="auto" w:fill="C0C0C0"/>
          </w:tcPr>
          <w:p>
            <w:pPr>
              <w:ind w:left="60"/>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19,703</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94</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1.89</w:t>
            </w:r>
          </w:p>
        </w:tc>
      </w:tr>
      <w:tr>
        <w:trPr>
          <w:trHeight w:val="311"/>
        </w:trPr>
        <w:tc>
          <w:tcPr>
            <w:tcW w:w="4640" w:type="dxa"/>
            <w:vAlign w:val="bottom"/>
          </w:tcPr>
          <w:p>
            <w:pPr>
              <w:ind w:left="28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339,758</w:t>
            </w:r>
          </w:p>
        </w:tc>
        <w:tc>
          <w:tcPr>
            <w:tcW w:w="220" w:type="dxa"/>
            <w:vAlign w:val="bottom"/>
          </w:tcPr>
          <w:p>
            <w:pPr>
              <w:spacing w:after="0"/>
              <w:rPr>
                <w:sz w:val="24"/>
                <w:szCs w:val="24"/>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2,671</w:t>
            </w:r>
          </w:p>
        </w:tc>
        <w:tc>
          <w:tcPr>
            <w:tcW w:w="520" w:type="dxa"/>
            <w:vAlign w:val="bottom"/>
          </w:tcPr>
          <w:p>
            <w:pPr>
              <w:ind w:left="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406,131</w:t>
            </w:r>
          </w:p>
        </w:tc>
        <w:tc>
          <w:tcPr>
            <w:tcW w:w="22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4,007</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3.91</w:t>
            </w:r>
          </w:p>
        </w:tc>
      </w:tr>
      <w:tr>
        <w:trPr>
          <w:trHeight w:val="243"/>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6,707</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0C0C0"/>
          </w:tcPr>
          <w:p>
            <w:pPr>
              <w:ind w:left="6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6,763</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.82</w:t>
            </w: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163,034</w:t>
            </w:r>
          </w:p>
        </w:tc>
        <w:tc>
          <w:tcPr>
            <w:tcW w:w="22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794</w:t>
            </w:r>
          </w:p>
        </w:tc>
        <w:tc>
          <w:tcPr>
            <w:tcW w:w="520" w:type="dxa"/>
            <w:vAlign w:val="bottom"/>
          </w:tcPr>
          <w:p>
            <w:pPr>
              <w:ind w:left="6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102,203</w:t>
            </w:r>
          </w:p>
        </w:tc>
        <w:tc>
          <w:tcPr>
            <w:tcW w:w="22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300</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1.16</w:t>
            </w:r>
          </w:p>
        </w:tc>
      </w:tr>
      <w:tr>
        <w:trPr>
          <w:trHeight w:val="244"/>
        </w:trPr>
        <w:tc>
          <w:tcPr>
            <w:tcW w:w="46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Federal funds sold and other short-term investments</w:t>
            </w:r>
          </w:p>
        </w:tc>
        <w:tc>
          <w:tcPr>
            <w:tcW w:w="8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69,402</w:t>
            </w:r>
          </w:p>
        </w:tc>
        <w:tc>
          <w:tcPr>
            <w:tcW w:w="2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325</w:t>
            </w:r>
          </w:p>
        </w:tc>
        <w:tc>
          <w:tcPr>
            <w:tcW w:w="520" w:type="dxa"/>
            <w:vAlign w:val="bottom"/>
            <w:tcBorders>
              <w:bottom w:val="single" w:sz="8" w:color="auto"/>
            </w:tcBorders>
            <w:shd w:val="clear" w:color="auto" w:fill="C0C0C0"/>
          </w:tcPr>
          <w:p>
            <w:pPr>
              <w:ind w:left="60"/>
              <w:spacing w:after="0"/>
              <w:rPr>
                <w:sz w:val="20"/>
                <w:szCs w:val="20"/>
                <w:color w:val="auto"/>
              </w:rPr>
            </w:pPr>
            <w:r>
              <w:rPr>
                <w:rFonts w:ascii="Arial" w:cs="Arial" w:eastAsia="Arial" w:hAnsi="Arial"/>
                <w:sz w:val="18"/>
                <w:szCs w:val="18"/>
                <w:color w:val="auto"/>
              </w:rPr>
              <w:t>1.86</w:t>
            </w:r>
          </w:p>
        </w:tc>
        <w:tc>
          <w:tcPr>
            <w:tcW w:w="26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200,036</w:t>
            </w:r>
          </w:p>
        </w:tc>
        <w:tc>
          <w:tcPr>
            <w:tcW w:w="2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444</w:t>
            </w:r>
          </w:p>
        </w:tc>
        <w:tc>
          <w:tcPr>
            <w:tcW w:w="5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.88</w:t>
            </w: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Total earning assets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1,397,477</w:t>
            </w:r>
          </w:p>
        </w:tc>
        <w:tc>
          <w:tcPr>
            <w:tcW w:w="22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12,778</w:t>
            </w:r>
          </w:p>
        </w:tc>
        <w:tc>
          <w:tcPr>
            <w:tcW w:w="520" w:type="dxa"/>
            <w:vAlign w:val="bottom"/>
          </w:tcPr>
          <w:p>
            <w:pPr>
              <w:ind w:left="60"/>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1,395,025</w:t>
            </w:r>
          </w:p>
        </w:tc>
        <w:tc>
          <w:tcPr>
            <w:tcW w:w="22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12,084</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3.44</w:t>
            </w:r>
          </w:p>
        </w:tc>
      </w:tr>
      <w:tr>
        <w:trPr>
          <w:trHeight w:val="251"/>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Non-earning assets:</w:t>
            </w: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r>
      <w:tr>
        <w:trPr>
          <w:trHeight w:val="235"/>
        </w:trPr>
        <w:tc>
          <w:tcPr>
            <w:tcW w:w="464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13,398</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12,704</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1"/>
        </w:trPr>
        <w:tc>
          <w:tcPr>
            <w:tcW w:w="4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Premises and equipment, net</w:t>
            </w: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22,583</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21,256</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r>
      <w:tr>
        <w:trPr>
          <w:trHeight w:val="235"/>
        </w:trPr>
        <w:tc>
          <w:tcPr>
            <w:tcW w:w="4640" w:type="dxa"/>
            <w:vAlign w:val="bottom"/>
          </w:tcPr>
          <w:p>
            <w:pPr>
              <w:ind w:left="280"/>
              <w:spacing w:after="0"/>
              <w:rPr>
                <w:sz w:val="20"/>
                <w:szCs w:val="20"/>
                <w:color w:val="auto"/>
              </w:rPr>
            </w:pPr>
            <w:r>
              <w:rPr>
                <w:rFonts w:ascii="Arial" w:cs="Arial" w:eastAsia="Arial" w:hAnsi="Arial"/>
                <w:sz w:val="18"/>
                <w:szCs w:val="18"/>
                <w:color w:val="auto"/>
              </w:rPr>
              <w:t>Bank-owned life insurance</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17,197</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16,738</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1"/>
        </w:trPr>
        <w:tc>
          <w:tcPr>
            <w:tcW w:w="4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 and other intangibles</w:t>
            </w: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14,300</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14,742</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r>
      <w:tr>
        <w:trPr>
          <w:trHeight w:val="235"/>
        </w:trPr>
        <w:tc>
          <w:tcPr>
            <w:tcW w:w="46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182,565</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149,266</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4"/>
        </w:trPr>
        <w:tc>
          <w:tcPr>
            <w:tcW w:w="46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Allowance for loan losses</w:t>
            </w:r>
          </w:p>
        </w:tc>
        <w:tc>
          <w:tcPr>
            <w:tcW w:w="8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(10,218)</w:t>
            </w:r>
          </w:p>
        </w:tc>
        <w:tc>
          <w:tcPr>
            <w:tcW w:w="2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(10,199)</w:t>
            </w:r>
          </w:p>
        </w:tc>
        <w:tc>
          <w:tcPr>
            <w:tcW w:w="2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r>
      <w:tr>
        <w:trPr>
          <w:trHeight w:val="237"/>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1,637,302</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1,599,532</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311"/>
        </w:trPr>
        <w:tc>
          <w:tcPr>
            <w:tcW w:w="464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Liabilities and Shareholders’ Equity</w:t>
            </w:r>
            <w:r>
              <w:rPr>
                <w:rFonts w:ascii="Arial" w:cs="Arial" w:eastAsia="Arial" w:hAnsi="Arial"/>
                <w:sz w:val="29"/>
                <w:szCs w:val="29"/>
                <w:b w:val="1"/>
                <w:bCs w:val="1"/>
                <w:color w:val="auto"/>
                <w:vertAlign w:val="superscript"/>
              </w:rPr>
              <w:t>1</w:t>
            </w:r>
          </w:p>
        </w:tc>
        <w:tc>
          <w:tcPr>
            <w:tcW w:w="8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0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96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2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94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1"/>
        </w:trPr>
        <w:tc>
          <w:tcPr>
            <w:tcW w:w="4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98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292,038</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802</w:t>
            </w:r>
          </w:p>
        </w:tc>
        <w:tc>
          <w:tcPr>
            <w:tcW w:w="520" w:type="dxa"/>
            <w:vAlign w:val="bottom"/>
            <w:shd w:val="clear" w:color="auto" w:fill="C0C0C0"/>
          </w:tcPr>
          <w:p>
            <w:pPr>
              <w:ind w:left="60"/>
              <w:spacing w:after="0"/>
              <w:rPr>
                <w:sz w:val="20"/>
                <w:szCs w:val="20"/>
                <w:color w:val="auto"/>
              </w:rPr>
            </w:pPr>
            <w:r>
              <w:rPr>
                <w:rFonts w:ascii="Arial" w:cs="Arial" w:eastAsia="Arial" w:hAnsi="Arial"/>
                <w:sz w:val="18"/>
                <w:szCs w:val="18"/>
                <w:color w:val="auto"/>
                <w:w w:val="86"/>
              </w:rPr>
              <w:t>1.09%</w:t>
            </w:r>
          </w:p>
        </w:tc>
        <w:tc>
          <w:tcPr>
            <w:tcW w:w="4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327,997</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434</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w:t>
            </w:r>
          </w:p>
        </w:tc>
      </w:tr>
      <w:tr>
        <w:trPr>
          <w:trHeight w:val="235"/>
        </w:trPr>
        <w:tc>
          <w:tcPr>
            <w:tcW w:w="464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11,129</w:t>
            </w:r>
          </w:p>
        </w:tc>
        <w:tc>
          <w:tcPr>
            <w:tcW w:w="22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520" w:type="dxa"/>
            <w:vAlign w:val="bottom"/>
          </w:tcPr>
          <w:p>
            <w:pPr>
              <w:ind w:left="6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12,493</w:t>
            </w:r>
          </w:p>
        </w:tc>
        <w:tc>
          <w:tcPr>
            <w:tcW w:w="22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.54</w:t>
            </w:r>
          </w:p>
        </w:tc>
      </w:tr>
      <w:tr>
        <w:trPr>
          <w:trHeight w:val="251"/>
        </w:trPr>
        <w:tc>
          <w:tcPr>
            <w:tcW w:w="4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 $100</w:t>
            </w: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24,718</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0C0C0"/>
          </w:tcPr>
          <w:p>
            <w:pPr>
              <w:ind w:left="60"/>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23,486</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68</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1.15</w:t>
            </w:r>
          </w:p>
        </w:tc>
      </w:tr>
      <w:tr>
        <w:trPr>
          <w:trHeight w:val="237"/>
        </w:trPr>
        <w:tc>
          <w:tcPr>
            <w:tcW w:w="46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time deposits</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31,908</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102</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1.27</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29,286</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52</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w:t>
            </w:r>
          </w:p>
        </w:tc>
      </w:tr>
      <w:tr>
        <w:trPr>
          <w:trHeight w:val="243"/>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liabilities</w:t>
            </w: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359,793</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1,029</w:t>
            </w:r>
          </w:p>
        </w:tc>
        <w:tc>
          <w:tcPr>
            <w:tcW w:w="520" w:type="dxa"/>
            <w:vAlign w:val="bottom"/>
            <w:shd w:val="clear" w:color="auto" w:fill="C0C0C0"/>
          </w:tcPr>
          <w:p>
            <w:pPr>
              <w:ind w:left="6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393,262</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571</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.58</w:t>
            </w: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1"/>
        </w:trPr>
        <w:tc>
          <w:tcPr>
            <w:tcW w:w="4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Demand deposits</w:t>
            </w: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250,389</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208,932</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r>
      <w:tr>
        <w:trPr>
          <w:trHeight w:val="235"/>
        </w:trPr>
        <w:tc>
          <w:tcPr>
            <w:tcW w:w="4640" w:type="dxa"/>
            <w:vAlign w:val="bottom"/>
          </w:tcPr>
          <w:p>
            <w:pPr>
              <w:ind w:left="280"/>
              <w:spacing w:after="0"/>
              <w:rPr>
                <w:sz w:val="20"/>
                <w:szCs w:val="20"/>
                <w:color w:val="auto"/>
              </w:rPr>
            </w:pPr>
            <w:r>
              <w:rPr>
                <w:rFonts w:ascii="Arial" w:cs="Arial" w:eastAsia="Arial" w:hAnsi="Arial"/>
                <w:sz w:val="18"/>
                <w:szCs w:val="18"/>
                <w:color w:val="auto"/>
              </w:rPr>
              <w:t>Accounts and drafts payable</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755,697</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739,293</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4"/>
        </w:trPr>
        <w:tc>
          <w:tcPr>
            <w:tcW w:w="46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 liabilities</w:t>
            </w:r>
          </w:p>
        </w:tc>
        <w:tc>
          <w:tcPr>
            <w:tcW w:w="8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44,652</w:t>
            </w:r>
          </w:p>
        </w:tc>
        <w:tc>
          <w:tcPr>
            <w:tcW w:w="2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37,317</w:t>
            </w:r>
          </w:p>
        </w:tc>
        <w:tc>
          <w:tcPr>
            <w:tcW w:w="2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Total liabilities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1,410,531</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1,378,804</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4"/>
        </w:trPr>
        <w:tc>
          <w:tcPr>
            <w:tcW w:w="46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226,771</w:t>
            </w:r>
          </w:p>
        </w:tc>
        <w:tc>
          <w:tcPr>
            <w:tcW w:w="2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220,728</w:t>
            </w:r>
          </w:p>
        </w:tc>
        <w:tc>
          <w:tcPr>
            <w:tcW w:w="2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r>
      <w:tr>
        <w:trPr>
          <w:trHeight w:val="237"/>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1,637,302</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1,599,532</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243"/>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11,749</w:t>
            </w:r>
          </w:p>
        </w:tc>
        <w:tc>
          <w:tcPr>
            <w:tcW w:w="5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11,513</w:t>
            </w:r>
          </w:p>
        </w:tc>
        <w:tc>
          <w:tcPr>
            <w:tcW w:w="520" w:type="dxa"/>
            <w:vAlign w:val="bottom"/>
            <w:shd w:val="clear" w:color="auto" w:fill="C0C0C0"/>
          </w:tcPr>
          <w:p>
            <w:pPr>
              <w:spacing w:after="0"/>
              <w:rPr>
                <w:sz w:val="21"/>
                <w:szCs w:val="2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Net interest margin</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w w:val="86"/>
              </w:rPr>
              <w:t>3.34%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3.27%</w:t>
            </w:r>
          </w:p>
        </w:tc>
      </w:tr>
      <w:tr>
        <w:trPr>
          <w:trHeight w:val="258"/>
        </w:trPr>
        <w:tc>
          <w:tcPr>
            <w:tcW w:w="46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Interest spread</w:t>
            </w:r>
          </w:p>
        </w:tc>
        <w:tc>
          <w:tcPr>
            <w:tcW w:w="840" w:type="dxa"/>
            <w:vAlign w:val="bottom"/>
            <w:tcBorders>
              <w:bottom w:val="single" w:sz="8" w:color="auto"/>
            </w:tcBorders>
            <w:shd w:val="clear" w:color="auto" w:fill="C0C0C0"/>
          </w:tcPr>
          <w:p>
            <w:pPr>
              <w:spacing w:after="0"/>
              <w:rPr>
                <w:sz w:val="22"/>
                <w:szCs w:val="22"/>
                <w:color w:val="auto"/>
              </w:rPr>
            </w:pPr>
          </w:p>
        </w:tc>
        <w:tc>
          <w:tcPr>
            <w:tcW w:w="140" w:type="dxa"/>
            <w:vAlign w:val="bottom"/>
            <w:tcBorders>
              <w:bottom w:val="single" w:sz="8" w:color="auto"/>
            </w:tcBorders>
            <w:shd w:val="clear" w:color="auto" w:fill="C0C0C0"/>
          </w:tcPr>
          <w:p>
            <w:pPr>
              <w:spacing w:after="0"/>
              <w:rPr>
                <w:sz w:val="22"/>
                <w:szCs w:val="22"/>
                <w:color w:val="auto"/>
              </w:rPr>
            </w:pPr>
          </w:p>
        </w:tc>
        <w:tc>
          <w:tcPr>
            <w:tcW w:w="1000" w:type="dxa"/>
            <w:vAlign w:val="bottom"/>
            <w:tcBorders>
              <w:bottom w:val="single" w:sz="8" w:color="auto"/>
            </w:tcBorders>
            <w:shd w:val="clear" w:color="auto" w:fill="C0C0C0"/>
          </w:tcPr>
          <w:p>
            <w:pPr>
              <w:spacing w:after="0"/>
              <w:rPr>
                <w:sz w:val="22"/>
                <w:szCs w:val="22"/>
                <w:color w:val="auto"/>
              </w:rPr>
            </w:pPr>
          </w:p>
        </w:tc>
        <w:tc>
          <w:tcPr>
            <w:tcW w:w="220" w:type="dxa"/>
            <w:vAlign w:val="bottom"/>
            <w:tcBorders>
              <w:bottom w:val="single" w:sz="8" w:color="auto"/>
            </w:tcBorders>
            <w:shd w:val="clear" w:color="auto" w:fill="C0C0C0"/>
          </w:tcPr>
          <w:p>
            <w:pPr>
              <w:spacing w:after="0"/>
              <w:rPr>
                <w:sz w:val="22"/>
                <w:szCs w:val="22"/>
                <w:color w:val="auto"/>
              </w:rPr>
            </w:pPr>
          </w:p>
        </w:tc>
        <w:tc>
          <w:tcPr>
            <w:tcW w:w="960" w:type="dxa"/>
            <w:vAlign w:val="bottom"/>
            <w:tcBorders>
              <w:bottom w:val="single" w:sz="8" w:color="auto"/>
            </w:tcBorders>
            <w:shd w:val="clear" w:color="auto" w:fill="C0C0C0"/>
          </w:tcPr>
          <w:p>
            <w:pPr>
              <w:spacing w:after="0"/>
              <w:rPr>
                <w:sz w:val="22"/>
                <w:szCs w:val="22"/>
                <w:color w:val="auto"/>
              </w:rPr>
            </w:pPr>
          </w:p>
        </w:tc>
        <w:tc>
          <w:tcPr>
            <w:tcW w:w="520" w:type="dxa"/>
            <w:vAlign w:val="bottom"/>
            <w:tcBorders>
              <w:bottom w:val="single" w:sz="8" w:color="auto"/>
            </w:tcBorders>
            <w:shd w:val="clear" w:color="auto" w:fill="C0C0C0"/>
          </w:tcPr>
          <w:p>
            <w:pPr>
              <w:ind w:left="60"/>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auto"/>
            </w:tcBorders>
            <w:shd w:val="clear" w:color="auto" w:fill="C0C0C0"/>
          </w:tcPr>
          <w:p>
            <w:pPr>
              <w:spacing w:after="0"/>
              <w:rPr>
                <w:sz w:val="22"/>
                <w:szCs w:val="22"/>
                <w:color w:val="auto"/>
              </w:rPr>
            </w:pPr>
          </w:p>
        </w:tc>
        <w:tc>
          <w:tcPr>
            <w:tcW w:w="140" w:type="dxa"/>
            <w:vAlign w:val="bottom"/>
            <w:tcBorders>
              <w:bottom w:val="single" w:sz="8" w:color="auto"/>
            </w:tcBorders>
            <w:shd w:val="clear" w:color="auto" w:fill="C0C0C0"/>
          </w:tcPr>
          <w:p>
            <w:pPr>
              <w:spacing w:after="0"/>
              <w:rPr>
                <w:sz w:val="22"/>
                <w:szCs w:val="22"/>
                <w:color w:val="auto"/>
              </w:rPr>
            </w:pPr>
          </w:p>
        </w:tc>
        <w:tc>
          <w:tcPr>
            <w:tcW w:w="1020" w:type="dxa"/>
            <w:vAlign w:val="bottom"/>
            <w:tcBorders>
              <w:bottom w:val="single" w:sz="8" w:color="auto"/>
            </w:tcBorders>
            <w:shd w:val="clear" w:color="auto" w:fill="C0C0C0"/>
          </w:tcPr>
          <w:p>
            <w:pPr>
              <w:spacing w:after="0"/>
              <w:rPr>
                <w:sz w:val="22"/>
                <w:szCs w:val="22"/>
                <w:color w:val="auto"/>
              </w:rPr>
            </w:pPr>
          </w:p>
        </w:tc>
        <w:tc>
          <w:tcPr>
            <w:tcW w:w="220" w:type="dxa"/>
            <w:vAlign w:val="bottom"/>
            <w:tcBorders>
              <w:bottom w:val="single" w:sz="8" w:color="auto"/>
            </w:tcBorders>
            <w:shd w:val="clear" w:color="auto" w:fill="C0C0C0"/>
          </w:tcPr>
          <w:p>
            <w:pPr>
              <w:spacing w:after="0"/>
              <w:rPr>
                <w:sz w:val="22"/>
                <w:szCs w:val="22"/>
                <w:color w:val="auto"/>
              </w:rPr>
            </w:pPr>
          </w:p>
        </w:tc>
        <w:tc>
          <w:tcPr>
            <w:tcW w:w="940" w:type="dxa"/>
            <w:vAlign w:val="bottom"/>
            <w:tcBorders>
              <w:bottom w:val="single" w:sz="8" w:color="auto"/>
            </w:tcBorders>
            <w:shd w:val="clear" w:color="auto" w:fill="C0C0C0"/>
          </w:tcPr>
          <w:p>
            <w:pPr>
              <w:spacing w:after="0"/>
              <w:rPr>
                <w:sz w:val="22"/>
                <w:szCs w:val="22"/>
                <w:color w:val="auto"/>
              </w:rPr>
            </w:pPr>
          </w:p>
        </w:tc>
        <w:tc>
          <w:tcPr>
            <w:tcW w:w="5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2.86</w:t>
            </w:r>
          </w:p>
        </w:tc>
      </w:tr>
    </w:tbl>
    <w:p>
      <w:pPr>
        <w:ind w:left="260" w:hanging="252"/>
        <w:spacing w:after="0" w:line="223"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260" w:hanging="252"/>
        <w:spacing w:after="0" w:line="22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these computations, nonaccrual loans are included in the average loan amounts outstanding. Interest on nonaccrual loans is recorded when received as discussed further in Note 1 to the Company’s 2017 consolidated financial statements, filed with the Company’s 2017 Annual Report on Form 10-K.</w:t>
      </w:r>
    </w:p>
    <w:p>
      <w:pPr>
        <w:ind w:left="260" w:hanging="252"/>
        <w:spacing w:after="0" w:line="22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$98,000 for the Third Quarter of 2018 and $76,000 for the Third Quarter of 2017.</w:t>
      </w:r>
    </w:p>
    <w:p>
      <w:pPr>
        <w:ind w:left="260" w:hanging="252"/>
        <w:spacing w:after="0" w:line="22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2018 figures assume a tax rate of 21% and 2017 figures assume a tax rate of 35%. The tax-equivalent adjustment was approximately $564,000 and $1,419,000 for the Third Quarter of 2018 and 2017, respectively. The TCJA reduced the yield/rate by approximately 70 basis points in 2018.</w:t>
      </w: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51"/>
        </w:trPr>
        <w:tc>
          <w:tcPr>
            <w:tcW w:w="5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2018</w:t>
            </w:r>
          </w:p>
        </w:tc>
        <w:tc>
          <w:tcPr>
            <w:tcW w:w="5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2017</w:t>
            </w:r>
          </w:p>
        </w:tc>
        <w:tc>
          <w:tcPr>
            <w:tcW w:w="520" w:type="dxa"/>
            <w:vAlign w:val="bottom"/>
            <w:tcBorders>
              <w:bottom w:val="single" w:sz="8" w:color="auto"/>
            </w:tcBorders>
          </w:tcPr>
          <w:p>
            <w:pPr>
              <w:spacing w:after="0"/>
              <w:rPr>
                <w:sz w:val="21"/>
                <w:szCs w:val="21"/>
                <w:color w:val="auto"/>
              </w:rPr>
            </w:pPr>
          </w:p>
        </w:tc>
      </w:tr>
      <w:tr>
        <w:trPr>
          <w:trHeight w:val="228"/>
        </w:trPr>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Interest</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520" w:type="dxa"/>
            <w:vAlign w:val="bottom"/>
          </w:tcPr>
          <w:p>
            <w:pPr>
              <w:spacing w:after="0"/>
              <w:rPr>
                <w:sz w:val="19"/>
                <w:szCs w:val="19"/>
                <w:color w:val="auto"/>
              </w:rPr>
            </w:pPr>
          </w:p>
        </w:tc>
      </w:tr>
      <w:tr>
        <w:trPr>
          <w:trHeight w:val="242"/>
        </w:trPr>
        <w:tc>
          <w:tcPr>
            <w:tcW w:w="5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w w:val="92"/>
              </w:rPr>
              <w:t>Average</w:t>
            </w:r>
          </w:p>
        </w:tc>
        <w:tc>
          <w:tcPr>
            <w:tcW w:w="24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Yield/</w:t>
            </w:r>
          </w:p>
        </w:tc>
        <w:tc>
          <w:tcPr>
            <w:tcW w:w="140" w:type="dxa"/>
            <w:vAlign w:val="bottom"/>
          </w:tcPr>
          <w:p>
            <w:pPr>
              <w:spacing w:after="0"/>
              <w:rPr>
                <w:sz w:val="21"/>
                <w:szCs w:val="21"/>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w w:val="92"/>
              </w:rPr>
              <w:t>Average</w:t>
            </w:r>
          </w:p>
        </w:tc>
        <w:tc>
          <w:tcPr>
            <w:tcW w:w="24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1"/>
              </w:rPr>
              <w:t>Yield/</w:t>
            </w:r>
          </w:p>
        </w:tc>
      </w:tr>
      <w:tr>
        <w:trPr>
          <w:trHeight w:val="266"/>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2"/>
              </w:rPr>
              <w:t>Balance</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w:t>
            </w:r>
          </w:p>
        </w:tc>
        <w:tc>
          <w:tcPr>
            <w:tcW w:w="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7"/>
              </w:rPr>
              <w:t>Rate</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Rate</w:t>
            </w:r>
          </w:p>
        </w:tc>
      </w:tr>
      <w:tr>
        <w:trPr>
          <w:trHeight w:val="311"/>
        </w:trPr>
        <w:tc>
          <w:tcPr>
            <w:tcW w:w="518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160" w:type="dxa"/>
            <w:vAlign w:val="bottom"/>
            <w:shd w:val="clear" w:color="auto" w:fill="C0C0C0"/>
          </w:tcPr>
          <w:p>
            <w:pPr>
              <w:spacing w:after="0"/>
              <w:rPr>
                <w:sz w:val="24"/>
                <w:szCs w:val="24"/>
                <w:color w:val="auto"/>
              </w:rPr>
            </w:pPr>
          </w:p>
        </w:tc>
        <w:tc>
          <w:tcPr>
            <w:tcW w:w="102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Earning assets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18"/>
        </w:trPr>
        <w:tc>
          <w:tcPr>
            <w:tcW w:w="518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2, 3</w:t>
            </w:r>
            <w:r>
              <w:rPr>
                <w:rFonts w:ascii="Arial" w:cs="Arial" w:eastAsia="Arial" w:hAnsi="Arial"/>
                <w:sz w:val="18"/>
                <w:szCs w:val="18"/>
                <w:color w:val="auto"/>
              </w:rPr>
              <w:t>:</w:t>
            </w:r>
          </w:p>
        </w:tc>
        <w:tc>
          <w:tcPr>
            <w:tcW w:w="160" w:type="dxa"/>
            <w:vAlign w:val="bottom"/>
            <w:shd w:val="clear" w:color="auto" w:fill="C0C0C0"/>
          </w:tcPr>
          <w:p>
            <w:pPr>
              <w:spacing w:after="0"/>
              <w:rPr>
                <w:sz w:val="24"/>
                <w:szCs w:val="24"/>
                <w:color w:val="auto"/>
              </w:rPr>
            </w:pPr>
          </w:p>
        </w:tc>
        <w:tc>
          <w:tcPr>
            <w:tcW w:w="102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r>
      <w:tr>
        <w:trPr>
          <w:trHeight w:val="235"/>
        </w:trPr>
        <w:tc>
          <w:tcPr>
            <w:tcW w:w="5180" w:type="dxa"/>
            <w:vAlign w:val="bottom"/>
          </w:tcPr>
          <w:p>
            <w:pPr>
              <w:ind w:left="280"/>
              <w:spacing w:after="0"/>
              <w:rPr>
                <w:sz w:val="20"/>
                <w:szCs w:val="20"/>
                <w:color w:val="auto"/>
              </w:rPr>
            </w:pPr>
            <w:r>
              <w:rPr>
                <w:rFonts w:ascii="Arial" w:cs="Arial" w:eastAsia="Arial" w:hAnsi="Arial"/>
                <w:sz w:val="18"/>
                <w:szCs w:val="18"/>
                <w:color w:val="auto"/>
              </w:rPr>
              <w:t>Taxable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703,535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23,786</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4.52%</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656,314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21,164</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4.31%</w:t>
            </w:r>
          </w:p>
        </w:tc>
      </w:tr>
      <w:tr>
        <w:trPr>
          <w:trHeight w:val="318"/>
        </w:trPr>
        <w:tc>
          <w:tcPr>
            <w:tcW w:w="518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60" w:type="dxa"/>
            <w:vAlign w:val="bottom"/>
            <w:shd w:val="clear" w:color="auto" w:fill="C0C0C0"/>
          </w:tcPr>
          <w:p>
            <w:pPr>
              <w:spacing w:after="0"/>
              <w:rPr>
                <w:sz w:val="24"/>
                <w:szCs w:val="24"/>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5,274</w:t>
            </w:r>
          </w:p>
        </w:tc>
        <w:tc>
          <w:tcPr>
            <w:tcW w:w="24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157</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3.98</w:t>
            </w:r>
          </w:p>
        </w:tc>
      </w:tr>
      <w:tr>
        <w:trPr>
          <w:trHeight w:val="311"/>
        </w:trPr>
        <w:tc>
          <w:tcPr>
            <w:tcW w:w="5180" w:type="dxa"/>
            <w:vAlign w:val="bottom"/>
          </w:tcPr>
          <w:p>
            <w:pPr>
              <w:spacing w:after="0" w:line="31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3"/>
        </w:trPr>
        <w:tc>
          <w:tcPr>
            <w:tcW w:w="5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1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78,609</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1,348</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15,905</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232</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1.95</w:t>
            </w:r>
          </w:p>
        </w:tc>
      </w:tr>
      <w:tr>
        <w:trPr>
          <w:trHeight w:val="311"/>
        </w:trPr>
        <w:tc>
          <w:tcPr>
            <w:tcW w:w="5180" w:type="dxa"/>
            <w:vAlign w:val="bottom"/>
          </w:tcPr>
          <w:p>
            <w:pPr>
              <w:ind w:left="28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372,039</w:t>
            </w:r>
          </w:p>
        </w:tc>
        <w:tc>
          <w:tcPr>
            <w:tcW w:w="24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8,872</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401,903</w:t>
            </w:r>
          </w:p>
        </w:tc>
        <w:tc>
          <w:tcPr>
            <w:tcW w:w="24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12,100</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4.03</w:t>
            </w:r>
          </w:p>
        </w:tc>
      </w:tr>
      <w:tr>
        <w:trPr>
          <w:trHeight w:val="243"/>
        </w:trPr>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7,134</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6,592</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.73</w:t>
            </w: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116,808</w:t>
            </w:r>
          </w:p>
        </w:tc>
        <w:tc>
          <w:tcPr>
            <w:tcW w:w="240" w:type="dxa"/>
            <w:vAlign w:val="bottom"/>
          </w:tcPr>
          <w:p>
            <w:pPr>
              <w:spacing w:after="0"/>
              <w:rPr>
                <w:sz w:val="20"/>
                <w:szCs w:val="20"/>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1,539</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99,206</w:t>
            </w:r>
          </w:p>
        </w:tc>
        <w:tc>
          <w:tcPr>
            <w:tcW w:w="240" w:type="dxa"/>
            <w:vAlign w:val="bottom"/>
          </w:tcPr>
          <w:p>
            <w:pPr>
              <w:spacing w:after="0"/>
              <w:rPr>
                <w:sz w:val="20"/>
                <w:szCs w:val="20"/>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703</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.95</w:t>
            </w:r>
          </w:p>
        </w:tc>
      </w:tr>
      <w:tr>
        <w:trPr>
          <w:trHeight w:val="244"/>
        </w:trPr>
        <w:tc>
          <w:tcPr>
            <w:tcW w:w="5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Federal funds sold and other short-term investments</w:t>
            </w:r>
          </w:p>
        </w:tc>
        <w:tc>
          <w:tcPr>
            <w:tcW w:w="16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105,357</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1,209</w:t>
            </w:r>
          </w:p>
        </w:tc>
        <w:tc>
          <w:tcPr>
            <w:tcW w:w="5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1.53</w:t>
            </w:r>
          </w:p>
        </w:tc>
        <w:tc>
          <w:tcPr>
            <w:tcW w:w="28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163,059</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894</w:t>
            </w:r>
          </w:p>
        </w:tc>
        <w:tc>
          <w:tcPr>
            <w:tcW w:w="5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.73</w:t>
            </w: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Total earning assets</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1,385,488</w:t>
            </w:r>
          </w:p>
        </w:tc>
        <w:tc>
          <w:tcPr>
            <w:tcW w:w="240" w:type="dxa"/>
            <w:vAlign w:val="bottom"/>
          </w:tcPr>
          <w:p>
            <w:pPr>
              <w:spacing w:after="0"/>
              <w:rPr>
                <w:sz w:val="20"/>
                <w:szCs w:val="20"/>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36,891</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1,348,253</w:t>
            </w:r>
          </w:p>
        </w:tc>
        <w:tc>
          <w:tcPr>
            <w:tcW w:w="240" w:type="dxa"/>
            <w:vAlign w:val="bottom"/>
          </w:tcPr>
          <w:p>
            <w:pPr>
              <w:spacing w:after="0"/>
              <w:rPr>
                <w:sz w:val="20"/>
                <w:szCs w:val="20"/>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35,286</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3.50</w:t>
            </w:r>
          </w:p>
        </w:tc>
      </w:tr>
      <w:tr>
        <w:trPr>
          <w:trHeight w:val="251"/>
        </w:trPr>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Non-earning assets:</w:t>
            </w:r>
          </w:p>
        </w:tc>
        <w:tc>
          <w:tcPr>
            <w:tcW w:w="1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r>
      <w:tr>
        <w:trPr>
          <w:trHeight w:val="235"/>
        </w:trPr>
        <w:tc>
          <w:tcPr>
            <w:tcW w:w="518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13,472</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12,729</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1"/>
        </w:trPr>
        <w:tc>
          <w:tcPr>
            <w:tcW w:w="5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Premises and equipment, net</w:t>
            </w:r>
          </w:p>
        </w:tc>
        <w:tc>
          <w:tcPr>
            <w:tcW w:w="1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22,322</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21,225</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r>
      <w:tr>
        <w:trPr>
          <w:trHeight w:val="235"/>
        </w:trPr>
        <w:tc>
          <w:tcPr>
            <w:tcW w:w="5180" w:type="dxa"/>
            <w:vAlign w:val="bottom"/>
          </w:tcPr>
          <w:p>
            <w:pPr>
              <w:ind w:left="2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17,084</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16,615</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1"/>
        </w:trPr>
        <w:tc>
          <w:tcPr>
            <w:tcW w:w="5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 and other intangibles</w:t>
            </w:r>
          </w:p>
        </w:tc>
        <w:tc>
          <w:tcPr>
            <w:tcW w:w="1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14,409</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14,408</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r>
      <w:tr>
        <w:trPr>
          <w:trHeight w:val="235"/>
        </w:trPr>
        <w:tc>
          <w:tcPr>
            <w:tcW w:w="51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173,833</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144,086</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4"/>
        </w:trPr>
        <w:tc>
          <w:tcPr>
            <w:tcW w:w="51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Allowance for loan losses</w:t>
            </w:r>
          </w:p>
        </w:tc>
        <w:tc>
          <w:tcPr>
            <w:tcW w:w="16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(10,213)</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(10,190)</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r>
      <w:tr>
        <w:trPr>
          <w:trHeight w:val="237"/>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1,616,395</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1,547,126</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311"/>
        </w:trPr>
        <w:tc>
          <w:tcPr>
            <w:tcW w:w="518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Liabilities and Shareholders’ Equity</w:t>
            </w:r>
            <w:r>
              <w:rPr>
                <w:rFonts w:ascii="Arial" w:cs="Arial" w:eastAsia="Arial" w:hAnsi="Arial"/>
                <w:sz w:val="29"/>
                <w:szCs w:val="29"/>
                <w:b w:val="1"/>
                <w:bCs w:val="1"/>
                <w:color w:val="auto"/>
                <w:vertAlign w:val="superscript"/>
              </w:rPr>
              <w:t>1</w:t>
            </w:r>
          </w:p>
        </w:tc>
        <w:tc>
          <w:tcPr>
            <w:tcW w:w="160" w:type="dxa"/>
            <w:vAlign w:val="bottom"/>
            <w:shd w:val="clear" w:color="auto" w:fill="C0C0C0"/>
          </w:tcPr>
          <w:p>
            <w:pPr>
              <w:spacing w:after="0"/>
              <w:rPr>
                <w:sz w:val="24"/>
                <w:szCs w:val="24"/>
                <w:color w:val="auto"/>
              </w:rPr>
            </w:pPr>
          </w:p>
        </w:tc>
        <w:tc>
          <w:tcPr>
            <w:tcW w:w="102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520" w:type="dxa"/>
            <w:vAlign w:val="bottom"/>
            <w:shd w:val="clear" w:color="auto" w:fill="C0C0C0"/>
          </w:tcPr>
          <w:p>
            <w:pPr>
              <w:spacing w:after="0"/>
              <w:rPr>
                <w:sz w:val="24"/>
                <w:szCs w:val="24"/>
                <w:color w:val="auto"/>
              </w:rPr>
            </w:pP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1"/>
        </w:trPr>
        <w:tc>
          <w:tcPr>
            <w:tcW w:w="5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303,976</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1,932</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317,046</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1,090</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w:t>
            </w:r>
          </w:p>
        </w:tc>
      </w:tr>
      <w:tr>
        <w:trPr>
          <w:trHeight w:val="235"/>
        </w:trPr>
        <w:tc>
          <w:tcPr>
            <w:tcW w:w="518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11,230</w:t>
            </w:r>
          </w:p>
        </w:tc>
        <w:tc>
          <w:tcPr>
            <w:tcW w:w="240" w:type="dxa"/>
            <w:vAlign w:val="bottom"/>
          </w:tcPr>
          <w:p>
            <w:pPr>
              <w:spacing w:after="0"/>
              <w:rPr>
                <w:sz w:val="20"/>
                <w:szCs w:val="20"/>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76</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17,007</w:t>
            </w:r>
          </w:p>
        </w:tc>
        <w:tc>
          <w:tcPr>
            <w:tcW w:w="240" w:type="dxa"/>
            <w:vAlign w:val="bottom"/>
          </w:tcPr>
          <w:p>
            <w:pPr>
              <w:spacing w:after="0"/>
              <w:rPr>
                <w:sz w:val="20"/>
                <w:szCs w:val="20"/>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62</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.49</w:t>
            </w:r>
          </w:p>
        </w:tc>
      </w:tr>
      <w:tr>
        <w:trPr>
          <w:trHeight w:val="251"/>
        </w:trPr>
        <w:tc>
          <w:tcPr>
            <w:tcW w:w="5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 $100</w:t>
            </w:r>
          </w:p>
        </w:tc>
        <w:tc>
          <w:tcPr>
            <w:tcW w:w="1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23,764</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257</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23,238</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195</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1.12</w:t>
            </w:r>
          </w:p>
        </w:tc>
      </w:tr>
      <w:tr>
        <w:trPr>
          <w:trHeight w:val="237"/>
        </w:trPr>
        <w:tc>
          <w:tcPr>
            <w:tcW w:w="5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time deposits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30,046</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237</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31,402</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174</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.74</w:t>
            </w:r>
          </w:p>
        </w:tc>
      </w:tr>
      <w:tr>
        <w:trPr>
          <w:trHeight w:val="243"/>
        </w:trPr>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369,016</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2,502</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388,693</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1,521</w:t>
            </w: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w:t>
            </w: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1"/>
        </w:trPr>
        <w:tc>
          <w:tcPr>
            <w:tcW w:w="5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Demand deposits</w:t>
            </w:r>
          </w:p>
        </w:tc>
        <w:tc>
          <w:tcPr>
            <w:tcW w:w="1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245,002</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205,298</w:t>
            </w:r>
          </w:p>
        </w:tc>
        <w:tc>
          <w:tcPr>
            <w:tcW w:w="2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r>
      <w:tr>
        <w:trPr>
          <w:trHeight w:val="235"/>
        </w:trPr>
        <w:tc>
          <w:tcPr>
            <w:tcW w:w="5180" w:type="dxa"/>
            <w:vAlign w:val="bottom"/>
          </w:tcPr>
          <w:p>
            <w:pPr>
              <w:ind w:left="280"/>
              <w:spacing w:after="0"/>
              <w:rPr>
                <w:sz w:val="20"/>
                <w:szCs w:val="20"/>
                <w:color w:val="auto"/>
              </w:rPr>
            </w:pPr>
            <w:r>
              <w:rPr>
                <w:rFonts w:ascii="Arial" w:cs="Arial" w:eastAsia="Arial" w:hAnsi="Arial"/>
                <w:sz w:val="18"/>
                <w:szCs w:val="18"/>
                <w:color w:val="auto"/>
              </w:rPr>
              <w:t>Accounts and drafts payable</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737,083</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703,912</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4"/>
        </w:trPr>
        <w:tc>
          <w:tcPr>
            <w:tcW w:w="51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42,955</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34,821</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1,394,056</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1,332,724</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4"/>
        </w:trPr>
        <w:tc>
          <w:tcPr>
            <w:tcW w:w="5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222,339</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214,402</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r>
      <w:tr>
        <w:trPr>
          <w:trHeight w:val="237"/>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1,616,395</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1,547,126</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243"/>
        </w:trPr>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34,389</w:t>
            </w:r>
          </w:p>
        </w:tc>
        <w:tc>
          <w:tcPr>
            <w:tcW w:w="5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33,765</w:t>
            </w:r>
          </w:p>
        </w:tc>
        <w:tc>
          <w:tcPr>
            <w:tcW w:w="520" w:type="dxa"/>
            <w:vAlign w:val="bottom"/>
            <w:shd w:val="clear" w:color="auto" w:fill="C0C0C0"/>
          </w:tcPr>
          <w:p>
            <w:pPr>
              <w:spacing w:after="0"/>
              <w:rPr>
                <w:sz w:val="21"/>
                <w:szCs w:val="21"/>
                <w:color w:val="auto"/>
              </w:rPr>
            </w:pPr>
          </w:p>
        </w:tc>
      </w:tr>
      <w:tr>
        <w:trPr>
          <w:trHeight w:val="235"/>
        </w:trPr>
        <w:tc>
          <w:tcPr>
            <w:tcW w:w="5180" w:type="dxa"/>
            <w:vAlign w:val="bottom"/>
          </w:tcPr>
          <w:p>
            <w:pPr>
              <w:spacing w:after="0"/>
              <w:rPr>
                <w:sz w:val="20"/>
                <w:szCs w:val="20"/>
                <w:color w:val="auto"/>
              </w:rPr>
            </w:pPr>
            <w:r>
              <w:rPr>
                <w:rFonts w:ascii="Arial" w:cs="Arial" w:eastAsia="Arial" w:hAnsi="Arial"/>
                <w:sz w:val="18"/>
                <w:szCs w:val="18"/>
                <w:color w:val="auto"/>
              </w:rPr>
              <w:t>Net interest margin</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3.32%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3.35%</w:t>
            </w:r>
          </w:p>
        </w:tc>
      </w:tr>
      <w:tr>
        <w:trPr>
          <w:trHeight w:val="258"/>
        </w:trPr>
        <w:tc>
          <w:tcPr>
            <w:tcW w:w="5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Interest spread</w:t>
            </w:r>
          </w:p>
        </w:tc>
        <w:tc>
          <w:tcPr>
            <w:tcW w:w="160" w:type="dxa"/>
            <w:vAlign w:val="bottom"/>
            <w:tcBorders>
              <w:bottom w:val="single" w:sz="8" w:color="auto"/>
            </w:tcBorders>
            <w:shd w:val="clear" w:color="auto" w:fill="C0C0C0"/>
          </w:tcPr>
          <w:p>
            <w:pPr>
              <w:spacing w:after="0"/>
              <w:rPr>
                <w:sz w:val="22"/>
                <w:szCs w:val="22"/>
                <w:color w:val="auto"/>
              </w:rPr>
            </w:pPr>
          </w:p>
        </w:tc>
        <w:tc>
          <w:tcPr>
            <w:tcW w:w="102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spacing w:after="0"/>
              <w:rPr>
                <w:sz w:val="22"/>
                <w:szCs w:val="22"/>
                <w:color w:val="auto"/>
              </w:rPr>
            </w:pPr>
          </w:p>
        </w:tc>
        <w:tc>
          <w:tcPr>
            <w:tcW w:w="5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2.65</w:t>
            </w:r>
          </w:p>
        </w:tc>
        <w:tc>
          <w:tcPr>
            <w:tcW w:w="280" w:type="dxa"/>
            <w:vAlign w:val="bottom"/>
            <w:tcBorders>
              <w:bottom w:val="single" w:sz="8" w:color="auto"/>
            </w:tcBorders>
            <w:shd w:val="clear" w:color="auto" w:fill="C0C0C0"/>
          </w:tcPr>
          <w:p>
            <w:pPr>
              <w:spacing w:after="0"/>
              <w:rPr>
                <w:sz w:val="22"/>
                <w:szCs w:val="22"/>
                <w:color w:val="auto"/>
              </w:rPr>
            </w:pPr>
          </w:p>
        </w:tc>
        <w:tc>
          <w:tcPr>
            <w:tcW w:w="14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spacing w:after="0"/>
              <w:rPr>
                <w:sz w:val="22"/>
                <w:szCs w:val="22"/>
                <w:color w:val="auto"/>
              </w:rPr>
            </w:pPr>
          </w:p>
        </w:tc>
        <w:tc>
          <w:tcPr>
            <w:tcW w:w="5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2.98</w:t>
            </w:r>
          </w:p>
        </w:tc>
      </w:tr>
    </w:tbl>
    <w:p>
      <w:pPr>
        <w:ind w:left="260" w:hanging="252"/>
        <w:spacing w:after="0" w:line="22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260" w:hanging="252"/>
        <w:spacing w:after="0" w:line="221"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purposes of these computations, nonaccrual loans are included in the average loan amounts outstanding. Interest on nonaccrual loans is recorded when received as discussed further in Note 1 to the Company’s 2017 consolidated financial statements, filed with the Company’s 2017 Annual Report on Form 10-K.</w:t>
      </w:r>
    </w:p>
    <w:p>
      <w:pPr>
        <w:ind w:left="260" w:hanging="252"/>
        <w:spacing w:after="0" w:line="221"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$289,000 and $319,000 for the Nine Months Ended 2018 and 2017, respectively.</w:t>
      </w:r>
    </w:p>
    <w:p>
      <w:pPr>
        <w:ind w:left="260" w:hanging="252"/>
        <w:spacing w:after="0" w:line="221"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2018 figures assume a tax rate of 21% and 2017 figures assume a tax rate of 35%. The tax-equivalent adjustment was approximately $1,875,000 and $4,290,000 for the Nine Months Ended 2018 and 2017, respectively. The TCJA reduced the yield/rate by approximately 70 basis points in 2018.</w:t>
      </w:r>
    </w:p>
    <w:p>
      <w:pPr>
        <w:ind w:left="260" w:hanging="252"/>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6"/>
              </w:rPr>
              <w:t>Third Quarter of 2018 Over</w:t>
            </w:r>
          </w:p>
        </w:tc>
      </w:tr>
      <w:tr>
        <w:trPr>
          <w:trHeight w:val="266"/>
        </w:trPr>
        <w:tc>
          <w:tcPr>
            <w:tcW w:w="8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Third Quarter of 2017</w:t>
            </w:r>
          </w:p>
        </w:tc>
      </w:tr>
      <w:tr>
        <w:trPr>
          <w:trHeight w:val="250"/>
        </w:trPr>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20" w:type="dxa"/>
            <w:vAlign w:val="bottom"/>
            <w:tcBorders>
              <w:top w:val="single" w:sz="8" w:color="auto"/>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w w:val="92"/>
              </w:rPr>
              <w:t>Volume</w:t>
            </w:r>
          </w:p>
        </w:tc>
        <w:tc>
          <w:tcPr>
            <w:tcW w:w="2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7"/>
              </w:rPr>
              <w:t>Rate</w:t>
            </w:r>
          </w:p>
        </w:tc>
        <w:tc>
          <w:tcPr>
            <w:tcW w:w="3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21"/>
                <w:szCs w:val="21"/>
                <w:color w:val="auto"/>
              </w:rPr>
            </w:pPr>
          </w:p>
        </w:tc>
      </w:tr>
      <w:tr>
        <w:trPr>
          <w:trHeight w:val="243"/>
        </w:trPr>
        <w:tc>
          <w:tcPr>
            <w:tcW w:w="866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11"/>
        </w:trPr>
        <w:tc>
          <w:tcPr>
            <w:tcW w:w="8660" w:type="dxa"/>
            <w:vAlign w:val="bottom"/>
          </w:tcPr>
          <w:p>
            <w:pPr>
              <w:ind w:left="280"/>
              <w:spacing w:after="0" w:line="31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1, 2</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86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Taxable</w:t>
            </w:r>
          </w:p>
        </w:tc>
        <w:tc>
          <w:tcPr>
            <w:tcW w:w="200" w:type="dxa"/>
            <w:vAlign w:val="bottom"/>
            <w:shd w:val="clear" w:color="auto" w:fill="C0C0C0"/>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695</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1,178</w:t>
            </w:r>
          </w:p>
        </w:tc>
        <w:tc>
          <w:tcPr>
            <w:tcW w:w="20" w:type="dxa"/>
            <w:vAlign w:val="bottom"/>
          </w:tcPr>
          <w:p>
            <w:pPr>
              <w:spacing w:after="0"/>
              <w:rPr>
                <w:sz w:val="21"/>
                <w:szCs w:val="21"/>
                <w:color w:val="auto"/>
              </w:rPr>
            </w:pPr>
          </w:p>
        </w:tc>
      </w:tr>
      <w:tr>
        <w:trPr>
          <w:trHeight w:val="311"/>
        </w:trPr>
        <w:tc>
          <w:tcPr>
            <w:tcW w:w="8660" w:type="dxa"/>
            <w:vAlign w:val="bottom"/>
          </w:tcPr>
          <w:p>
            <w:pPr>
              <w:ind w:left="54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20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43"/>
        </w:trPr>
        <w:tc>
          <w:tcPr>
            <w:tcW w:w="86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660" w:type="dxa"/>
            <w:vAlign w:val="bottom"/>
          </w:tcPr>
          <w:p>
            <w:pPr>
              <w:ind w:left="540"/>
              <w:spacing w:after="0"/>
              <w:rPr>
                <w:sz w:val="20"/>
                <w:szCs w:val="20"/>
                <w:color w:val="auto"/>
              </w:rPr>
            </w:pPr>
            <w:r>
              <w:rPr>
                <w:rFonts w:ascii="Arial" w:cs="Arial" w:eastAsia="Arial" w:hAnsi="Arial"/>
                <w:sz w:val="18"/>
                <w:szCs w:val="18"/>
                <w:color w:val="auto"/>
              </w:rPr>
              <w:t>Taxable</w:t>
            </w:r>
          </w:p>
        </w:tc>
        <w:tc>
          <w:tcPr>
            <w:tcW w:w="20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472</w:t>
            </w:r>
          </w:p>
        </w:tc>
        <w:tc>
          <w:tcPr>
            <w:tcW w:w="2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r>
      <w:tr>
        <w:trPr>
          <w:trHeight w:val="318"/>
        </w:trPr>
        <w:tc>
          <w:tcPr>
            <w:tcW w:w="8660" w:type="dxa"/>
            <w:vAlign w:val="bottom"/>
            <w:shd w:val="clear" w:color="auto" w:fill="C0C0C0"/>
          </w:tcPr>
          <w:p>
            <w:pPr>
              <w:ind w:left="54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200" w:type="dxa"/>
            <w:vAlign w:val="bottom"/>
            <w:shd w:val="clear" w:color="auto" w:fill="C0C0C0"/>
          </w:tcPr>
          <w:p>
            <w:pPr>
              <w:spacing w:after="0"/>
              <w:rPr>
                <w:sz w:val="24"/>
                <w:szCs w:val="24"/>
                <w:color w:val="auto"/>
              </w:rPr>
            </w:pPr>
          </w:p>
        </w:tc>
        <w:tc>
          <w:tcPr>
            <w:tcW w:w="6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(596)</w:t>
            </w:r>
          </w:p>
        </w:tc>
        <w:tc>
          <w:tcPr>
            <w:tcW w:w="280" w:type="dxa"/>
            <w:vAlign w:val="bottom"/>
            <w:shd w:val="clear" w:color="auto" w:fill="C0C0C0"/>
          </w:tcPr>
          <w:p>
            <w:pPr>
              <w:spacing w:after="0"/>
              <w:rPr>
                <w:sz w:val="24"/>
                <w:szCs w:val="24"/>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0C0C0"/>
          </w:tcPr>
          <w:p>
            <w:pPr>
              <w:spacing w:after="0"/>
              <w:rPr>
                <w:sz w:val="24"/>
                <w:szCs w:val="24"/>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(1,336)</w:t>
            </w:r>
          </w:p>
        </w:tc>
        <w:tc>
          <w:tcPr>
            <w:tcW w:w="20" w:type="dxa"/>
            <w:vAlign w:val="bottom"/>
          </w:tcPr>
          <w:p>
            <w:pPr>
              <w:spacing w:after="0"/>
              <w:rPr>
                <w:sz w:val="24"/>
                <w:szCs w:val="24"/>
                <w:color w:val="auto"/>
              </w:rPr>
            </w:pPr>
          </w:p>
        </w:tc>
      </w:tr>
      <w:tr>
        <w:trPr>
          <w:trHeight w:val="235"/>
        </w:trPr>
        <w:tc>
          <w:tcPr>
            <w:tcW w:w="866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51"/>
        </w:trPr>
        <w:tc>
          <w:tcPr>
            <w:tcW w:w="86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deposits in other financial institutions</w:t>
            </w: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21"/>
                <w:szCs w:val="2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8"/>
                <w:szCs w:val="18"/>
                <w:color w:val="auto"/>
              </w:rPr>
              <w:t>Federal funds sold and other short-term investments</w:t>
            </w:r>
          </w:p>
        </w:tc>
        <w:tc>
          <w:tcPr>
            <w:tcW w:w="20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37"/>
        </w:trPr>
        <w:tc>
          <w:tcPr>
            <w:tcW w:w="8660" w:type="dxa"/>
            <w:vAlign w:val="bottom"/>
            <w:tcBorders>
              <w:top w:val="single" w:sz="8" w:color="C0C0C0"/>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62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361</w:t>
            </w:r>
          </w:p>
        </w:tc>
        <w:tc>
          <w:tcPr>
            <w:tcW w:w="280" w:type="dxa"/>
            <w:vAlign w:val="bottom"/>
            <w:tcBorders>
              <w:top w:val="single" w:sz="8" w:color="auto"/>
              <w:bottom w:val="single" w:sz="8" w:color="auto"/>
            </w:tcBorders>
            <w:shd w:val="clear" w:color="auto" w:fill="C0C0C0"/>
          </w:tcPr>
          <w:p>
            <w:pPr>
              <w:spacing w:after="0"/>
              <w:rPr>
                <w:sz w:val="20"/>
                <w:szCs w:val="20"/>
                <w:color w:val="auto"/>
              </w:rPr>
            </w:pPr>
          </w:p>
        </w:tc>
        <w:tc>
          <w:tcPr>
            <w:tcW w:w="7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333</w:t>
            </w: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20"/>
                <w:szCs w:val="20"/>
                <w:color w:val="auto"/>
              </w:rPr>
            </w:pPr>
          </w:p>
        </w:tc>
      </w:tr>
      <w:tr>
        <w:trPr>
          <w:trHeight w:val="235"/>
        </w:trPr>
        <w:tc>
          <w:tcPr>
            <w:tcW w:w="8660" w:type="dxa"/>
            <w:vAlign w:val="bottom"/>
          </w:tcPr>
          <w:p>
            <w:pPr>
              <w:spacing w:after="0"/>
              <w:rPr>
                <w:sz w:val="20"/>
                <w:szCs w:val="20"/>
                <w:color w:val="auto"/>
              </w:rPr>
            </w:pPr>
            <w:r>
              <w:rPr>
                <w:rFonts w:ascii="Arial" w:cs="Arial" w:eastAsia="Arial" w:hAnsi="Arial"/>
                <w:sz w:val="18"/>
                <w:szCs w:val="18"/>
                <w:color w:val="auto"/>
              </w:rPr>
              <w:t>Interest expense on:</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86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21"/>
                <w:szCs w:val="21"/>
                <w:color w:val="auto"/>
              </w:rPr>
            </w:pPr>
          </w:p>
        </w:tc>
      </w:tr>
      <w:tr>
        <w:trPr>
          <w:trHeight w:val="235"/>
        </w:trPr>
        <w:tc>
          <w:tcPr>
            <w:tcW w:w="866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51"/>
        </w:trPr>
        <w:tc>
          <w:tcPr>
            <w:tcW w:w="86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&gt;=$100</w:t>
            </w: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8"/>
                <w:szCs w:val="18"/>
                <w:color w:val="auto"/>
              </w:rPr>
              <w:t>Other time deposits</w:t>
            </w:r>
          </w:p>
        </w:tc>
        <w:tc>
          <w:tcPr>
            <w:tcW w:w="20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37"/>
        </w:trPr>
        <w:tc>
          <w:tcPr>
            <w:tcW w:w="8660" w:type="dxa"/>
            <w:vAlign w:val="bottom"/>
            <w:tcBorders>
              <w:top w:val="single" w:sz="8" w:color="C0C0C0"/>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62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(45)</w:t>
            </w:r>
          </w:p>
        </w:tc>
        <w:tc>
          <w:tcPr>
            <w:tcW w:w="280" w:type="dxa"/>
            <w:vAlign w:val="bottom"/>
            <w:tcBorders>
              <w:top w:val="single" w:sz="8" w:color="auto"/>
              <w:bottom w:val="single" w:sz="8" w:color="auto"/>
            </w:tcBorders>
            <w:shd w:val="clear" w:color="auto" w:fill="C0C0C0"/>
          </w:tcPr>
          <w:p>
            <w:pPr>
              <w:spacing w:after="0"/>
              <w:rPr>
                <w:sz w:val="20"/>
                <w:szCs w:val="20"/>
                <w:color w:val="auto"/>
              </w:rPr>
            </w:pPr>
          </w:p>
        </w:tc>
        <w:tc>
          <w:tcPr>
            <w:tcW w:w="7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503</w:t>
            </w: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20"/>
                <w:szCs w:val="20"/>
                <w:color w:val="auto"/>
              </w:rPr>
            </w:pPr>
          </w:p>
        </w:tc>
      </w:tr>
      <w:tr>
        <w:trPr>
          <w:trHeight w:val="228"/>
        </w:trPr>
        <w:tc>
          <w:tcPr>
            <w:tcW w:w="8660" w:type="dxa"/>
            <w:vAlign w:val="bottom"/>
          </w:tcPr>
          <w:p>
            <w:pPr>
              <w:spacing w:after="0"/>
              <w:rPr>
                <w:sz w:val="20"/>
                <w:szCs w:val="20"/>
                <w:color w:val="auto"/>
              </w:rPr>
            </w:pPr>
            <w:r>
              <w:rPr>
                <w:rFonts w:ascii="Arial" w:cs="Arial" w:eastAsia="Arial" w:hAnsi="Arial"/>
                <w:sz w:val="18"/>
                <w:szCs w:val="18"/>
                <w:color w:val="auto"/>
              </w:rPr>
              <w:t>Net interest income</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balances include nonaccrual loans.</w:t>
      </w:r>
    </w:p>
    <w:p>
      <w:pPr>
        <w:ind w:left="260" w:hanging="252"/>
        <w:spacing w:after="0" w:line="221"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Third Quarter of 2018 and a tax rate of 35% for the Third Quarter of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Nine Months Ended 2018 Over</w:t>
            </w:r>
          </w:p>
        </w:tc>
      </w:tr>
      <w:tr>
        <w:trPr>
          <w:trHeight w:val="266"/>
        </w:trPr>
        <w:tc>
          <w:tcPr>
            <w:tcW w:w="8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 2017</w:t>
            </w:r>
          </w:p>
        </w:tc>
      </w:tr>
      <w:tr>
        <w:trPr>
          <w:trHeight w:val="250"/>
        </w:trPr>
        <w:tc>
          <w:tcPr>
            <w:tcW w:w="8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40" w:type="dxa"/>
            <w:vAlign w:val="bottom"/>
            <w:tcBorders>
              <w:top w:val="single" w:sz="8" w:color="auto"/>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w w:val="95"/>
              </w:rPr>
              <w:t>Volume</w:t>
            </w:r>
          </w:p>
        </w:tc>
        <w:tc>
          <w:tcPr>
            <w:tcW w:w="3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Rate</w:t>
            </w:r>
          </w:p>
        </w:tc>
        <w:tc>
          <w:tcPr>
            <w:tcW w:w="3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21"/>
                <w:szCs w:val="21"/>
                <w:color w:val="auto"/>
              </w:rPr>
            </w:pPr>
          </w:p>
        </w:tc>
      </w:tr>
      <w:tr>
        <w:trPr>
          <w:trHeight w:val="243"/>
        </w:trPr>
        <w:tc>
          <w:tcPr>
            <w:tcW w:w="852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18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11"/>
        </w:trPr>
        <w:tc>
          <w:tcPr>
            <w:tcW w:w="8520" w:type="dxa"/>
            <w:vAlign w:val="bottom"/>
          </w:tcPr>
          <w:p>
            <w:pPr>
              <w:ind w:left="280"/>
              <w:spacing w:after="0" w:line="31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1, 2</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85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Taxable</w:t>
            </w:r>
          </w:p>
        </w:tc>
        <w:tc>
          <w:tcPr>
            <w:tcW w:w="180" w:type="dxa"/>
            <w:vAlign w:val="bottom"/>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1,567</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1,055</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2,622</w:t>
            </w:r>
          </w:p>
        </w:tc>
        <w:tc>
          <w:tcPr>
            <w:tcW w:w="20" w:type="dxa"/>
            <w:vAlign w:val="bottom"/>
          </w:tcPr>
          <w:p>
            <w:pPr>
              <w:spacing w:after="0"/>
              <w:rPr>
                <w:sz w:val="21"/>
                <w:szCs w:val="21"/>
                <w:color w:val="auto"/>
              </w:rPr>
            </w:pPr>
          </w:p>
        </w:tc>
      </w:tr>
      <w:tr>
        <w:trPr>
          <w:trHeight w:val="311"/>
        </w:trPr>
        <w:tc>
          <w:tcPr>
            <w:tcW w:w="8520" w:type="dxa"/>
            <w:vAlign w:val="bottom"/>
          </w:tcPr>
          <w:p>
            <w:pPr>
              <w:ind w:left="54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8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43"/>
        </w:trPr>
        <w:tc>
          <w:tcPr>
            <w:tcW w:w="8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18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520" w:type="dxa"/>
            <w:vAlign w:val="bottom"/>
          </w:tcPr>
          <w:p>
            <w:pPr>
              <w:ind w:left="540"/>
              <w:spacing w:after="0"/>
              <w:rPr>
                <w:sz w:val="20"/>
                <w:szCs w:val="20"/>
                <w:color w:val="auto"/>
              </w:rPr>
            </w:pPr>
            <w:r>
              <w:rPr>
                <w:rFonts w:ascii="Arial" w:cs="Arial" w:eastAsia="Arial" w:hAnsi="Arial"/>
                <w:sz w:val="18"/>
                <w:szCs w:val="18"/>
                <w:color w:val="auto"/>
              </w:rPr>
              <w:t>Taxable</w:t>
            </w:r>
          </w:p>
        </w:tc>
        <w:tc>
          <w:tcPr>
            <w:tcW w:w="18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1,068</w:t>
            </w:r>
          </w:p>
        </w:tc>
        <w:tc>
          <w:tcPr>
            <w:tcW w:w="30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1,116</w:t>
            </w:r>
          </w:p>
        </w:tc>
      </w:tr>
      <w:tr>
        <w:trPr>
          <w:trHeight w:val="318"/>
        </w:trPr>
        <w:tc>
          <w:tcPr>
            <w:tcW w:w="8520" w:type="dxa"/>
            <w:vAlign w:val="bottom"/>
            <w:shd w:val="clear" w:color="auto" w:fill="C0C0C0"/>
          </w:tcPr>
          <w:p>
            <w:pPr>
              <w:ind w:left="54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80" w:type="dxa"/>
            <w:vAlign w:val="bottom"/>
            <w:shd w:val="clear" w:color="auto" w:fill="C0C0C0"/>
          </w:tcPr>
          <w:p>
            <w:pPr>
              <w:spacing w:after="0"/>
              <w:rPr>
                <w:sz w:val="24"/>
                <w:szCs w:val="24"/>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0C0C0"/>
          </w:tcPr>
          <w:p>
            <w:pPr>
              <w:spacing w:after="0"/>
              <w:rPr>
                <w:sz w:val="24"/>
                <w:szCs w:val="24"/>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(2,378)</w:t>
            </w:r>
          </w:p>
        </w:tc>
        <w:tc>
          <w:tcPr>
            <w:tcW w:w="300" w:type="dxa"/>
            <w:vAlign w:val="bottom"/>
            <w:shd w:val="clear" w:color="auto" w:fill="C0C0C0"/>
          </w:tcPr>
          <w:p>
            <w:pPr>
              <w:spacing w:after="0"/>
              <w:rPr>
                <w:sz w:val="24"/>
                <w:szCs w:val="24"/>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(3,228)</w:t>
            </w:r>
          </w:p>
        </w:tc>
        <w:tc>
          <w:tcPr>
            <w:tcW w:w="20" w:type="dxa"/>
            <w:vAlign w:val="bottom"/>
          </w:tcPr>
          <w:p>
            <w:pPr>
              <w:spacing w:after="0"/>
              <w:rPr>
                <w:sz w:val="24"/>
                <w:szCs w:val="24"/>
                <w:color w:val="auto"/>
              </w:rPr>
            </w:pPr>
          </w:p>
        </w:tc>
      </w:tr>
      <w:tr>
        <w:trPr>
          <w:trHeight w:val="235"/>
        </w:trPr>
        <w:tc>
          <w:tcPr>
            <w:tcW w:w="85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51"/>
        </w:trPr>
        <w:tc>
          <w:tcPr>
            <w:tcW w:w="8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deposits in other financial institutions</w:t>
            </w:r>
          </w:p>
        </w:tc>
        <w:tc>
          <w:tcPr>
            <w:tcW w:w="18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693</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21"/>
                <w:szCs w:val="21"/>
                <w:color w:val="auto"/>
              </w:rPr>
            </w:pPr>
          </w:p>
        </w:tc>
      </w:tr>
      <w:tr>
        <w:trPr>
          <w:trHeight w:val="237"/>
        </w:trPr>
        <w:tc>
          <w:tcPr>
            <w:tcW w:w="8520" w:type="dxa"/>
            <w:vAlign w:val="bottom"/>
          </w:tcPr>
          <w:p>
            <w:pPr>
              <w:ind w:left="280"/>
              <w:spacing w:after="0"/>
              <w:rPr>
                <w:sz w:val="20"/>
                <w:szCs w:val="20"/>
                <w:color w:val="auto"/>
              </w:rPr>
            </w:pPr>
            <w:r>
              <w:rPr>
                <w:rFonts w:ascii="Arial" w:cs="Arial" w:eastAsia="Arial" w:hAnsi="Arial"/>
                <w:sz w:val="18"/>
                <w:szCs w:val="18"/>
                <w:color w:val="auto"/>
              </w:rPr>
              <w:t>Federal funds sold and other short-term investments</w:t>
            </w:r>
          </w:p>
        </w:tc>
        <w:tc>
          <w:tcPr>
            <w:tcW w:w="18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r>
      <w:tr>
        <w:trPr>
          <w:trHeight w:val="237"/>
        </w:trPr>
        <w:tc>
          <w:tcPr>
            <w:tcW w:w="8520" w:type="dxa"/>
            <w:vAlign w:val="bottom"/>
            <w:tcBorders>
              <w:top w:val="single" w:sz="8" w:color="C0C0C0"/>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18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1,438</w:t>
            </w: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167</w:t>
            </w: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20"/>
                <w:szCs w:val="20"/>
                <w:color w:val="auto"/>
              </w:rPr>
            </w:pPr>
          </w:p>
        </w:tc>
      </w:tr>
      <w:tr>
        <w:trPr>
          <w:trHeight w:val="235"/>
        </w:trPr>
        <w:tc>
          <w:tcPr>
            <w:tcW w:w="8520" w:type="dxa"/>
            <w:vAlign w:val="bottom"/>
          </w:tcPr>
          <w:p>
            <w:pPr>
              <w:spacing w:after="0"/>
              <w:rPr>
                <w:sz w:val="20"/>
                <w:szCs w:val="20"/>
                <w:color w:val="auto"/>
              </w:rPr>
            </w:pPr>
            <w:r>
              <w:rPr>
                <w:rFonts w:ascii="Arial" w:cs="Arial" w:eastAsia="Arial" w:hAnsi="Arial"/>
                <w:sz w:val="18"/>
                <w:szCs w:val="18"/>
                <w:color w:val="auto"/>
              </w:rPr>
              <w:t>Interest expense on:</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8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8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889</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21"/>
                <w:szCs w:val="21"/>
                <w:color w:val="auto"/>
              </w:rPr>
            </w:pPr>
          </w:p>
        </w:tc>
      </w:tr>
      <w:tr>
        <w:trPr>
          <w:trHeight w:val="235"/>
        </w:trPr>
        <w:tc>
          <w:tcPr>
            <w:tcW w:w="852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8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51"/>
        </w:trPr>
        <w:tc>
          <w:tcPr>
            <w:tcW w:w="8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&gt;=$100</w:t>
            </w:r>
          </w:p>
        </w:tc>
        <w:tc>
          <w:tcPr>
            <w:tcW w:w="18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w:t>
            </w:r>
          </w:p>
        </w:tc>
        <w:tc>
          <w:tcPr>
            <w:tcW w:w="3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r>
      <w:tr>
        <w:trPr>
          <w:trHeight w:val="237"/>
        </w:trPr>
        <w:tc>
          <w:tcPr>
            <w:tcW w:w="8520" w:type="dxa"/>
            <w:vAlign w:val="bottom"/>
          </w:tcPr>
          <w:p>
            <w:pPr>
              <w:ind w:left="280"/>
              <w:spacing w:after="0"/>
              <w:rPr>
                <w:sz w:val="20"/>
                <w:szCs w:val="20"/>
                <w:color w:val="auto"/>
              </w:rPr>
            </w:pPr>
            <w:r>
              <w:rPr>
                <w:rFonts w:ascii="Arial" w:cs="Arial" w:eastAsia="Arial" w:hAnsi="Arial"/>
                <w:sz w:val="18"/>
                <w:szCs w:val="18"/>
                <w:color w:val="auto"/>
              </w:rPr>
              <w:t>Other time deposits</w:t>
            </w:r>
          </w:p>
        </w:tc>
        <w:tc>
          <w:tcPr>
            <w:tcW w:w="18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37"/>
        </w:trPr>
        <w:tc>
          <w:tcPr>
            <w:tcW w:w="8520" w:type="dxa"/>
            <w:vAlign w:val="bottom"/>
            <w:tcBorders>
              <w:top w:val="single" w:sz="8" w:color="C0C0C0"/>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(76)</w:t>
            </w: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1,057</w:t>
            </w: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20"/>
                <w:szCs w:val="20"/>
                <w:color w:val="auto"/>
              </w:rPr>
            </w:pPr>
          </w:p>
        </w:tc>
      </w:tr>
      <w:tr>
        <w:trPr>
          <w:trHeight w:val="228"/>
        </w:trPr>
        <w:tc>
          <w:tcPr>
            <w:tcW w:w="8520" w:type="dxa"/>
            <w:vAlign w:val="bottom"/>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1,514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(890)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Average balances include nonaccrual loans.</w:t>
      </w:r>
    </w:p>
    <w:p>
      <w:pPr>
        <w:ind w:left="260" w:hanging="252"/>
        <w:spacing w:after="0" w:line="221"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Nine Months Ended 2018 and a tax rate of 35% for the Nine Months Ended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determinant of the Company’s operating results can be the provision for loan losses. There was no provision for loan loss recorded during the Third Quarter of 2018 or the Third Quarter of 2017. There was no loan loss provision recorded during the Nine Months Ended 2018 or the Nine Months Ended 2017. As discussed below, the Company continually analyzes the outstanding loan portfolio based on the performance, financial condition and collateralization of the credits. Net loan recoveries were $5,000 in the Third Quarter of 2018 and $6,000 in the Third Quarter of 2017. Net loan recoveries were $15,000 in the Nine Months Ended 2018 and $27,000 during the Nine Months Ended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674" w:gutter="0" w:footer="0" w:header="0"/>
        </w:sectPr>
      </w:pPr>
    </w:p>
    <w:bookmarkStart w:id="25" w:name="page26"/>
    <w:bookmarkEnd w:id="25"/>
    <w:p>
      <w:pPr>
        <w:jc w:val="both"/>
        <w:spacing w:after="0" w:line="332" w:lineRule="auto"/>
        <w:rPr>
          <w:sz w:val="20"/>
          <w:szCs w:val="20"/>
          <w:color w:val="auto"/>
        </w:rPr>
      </w:pPr>
      <w:r>
        <w:rPr>
          <w:rFonts w:ascii="Arial" w:cs="Arial" w:eastAsia="Arial" w:hAnsi="Arial"/>
          <w:sz w:val="16"/>
          <w:szCs w:val="16"/>
          <w:color w:val="auto"/>
        </w:rPr>
        <w:t>The ALLL at September 30, 2018 was $10,220,000 and at December 31, 2017 was $10,205,000. The ratio of ALLL to total loans outstanding at September 30, 2018 was 1.41% compared to 1.49% at December 31, 2017. There were no nonperforming loans at September 30, 2018 or December 31, 2017.</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“Allowance for Credit Losses,” and 2) estimated credit losses inherent in the remainder of the loan portfolio in accordance with FASB ASC 450, “Contingencies.” Estimated credit losses is an estimate of the current amount of loans that is probable the Company will be unable to collect according to the original terms.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Asset Quality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provision for loan losses and analysis of the ALLL:</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8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8"/>
                <w:szCs w:val="18"/>
                <w:b w:val="1"/>
                <w:bCs w:val="1"/>
                <w:color w:val="auto"/>
              </w:rPr>
              <w:t>Third Quarter of</w:t>
            </w:r>
          </w:p>
        </w:tc>
        <w:tc>
          <w:tcPr>
            <w:tcW w:w="3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rPr>
              <w:t>Nine Months Ended</w:t>
            </w:r>
          </w:p>
        </w:tc>
      </w:tr>
      <w:tr>
        <w:trPr>
          <w:trHeight w:val="250"/>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r>
      <w:tr>
        <w:trPr>
          <w:trHeight w:val="243"/>
        </w:trPr>
        <w:tc>
          <w:tcPr>
            <w:tcW w:w="4860" w:type="dxa"/>
            <w:vAlign w:val="bottom"/>
            <w:shd w:val="clear" w:color="auto" w:fill="C0C0C0"/>
          </w:tcPr>
          <w:p>
            <w:pPr>
              <w:spacing w:after="0"/>
              <w:rPr>
                <w:sz w:val="20"/>
                <w:szCs w:val="20"/>
                <w:color w:val="auto"/>
              </w:rPr>
            </w:pPr>
            <w:r>
              <w:rPr>
                <w:rFonts w:ascii="Arial" w:cs="Arial" w:eastAsia="Arial" w:hAnsi="Arial"/>
                <w:sz w:val="18"/>
                <w:szCs w:val="18"/>
                <w:color w:val="auto"/>
              </w:rPr>
              <w:t>Allowance at beginning of period</w:t>
            </w:r>
          </w:p>
        </w:tc>
        <w:tc>
          <w:tcPr>
            <w:tcW w:w="17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10,215</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10,196</w:t>
            </w:r>
          </w:p>
        </w:tc>
        <w:tc>
          <w:tcPr>
            <w:tcW w:w="3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10,205</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10,175</w:t>
            </w:r>
          </w:p>
        </w:tc>
      </w:tr>
      <w:tr>
        <w:trPr>
          <w:trHeight w:val="235"/>
        </w:trPr>
        <w:tc>
          <w:tcPr>
            <w:tcW w:w="486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51"/>
        </w:trPr>
        <w:tc>
          <w:tcPr>
            <w:tcW w:w="48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Loans charged off</w:t>
            </w:r>
          </w:p>
        </w:tc>
        <w:tc>
          <w:tcPr>
            <w:tcW w:w="1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48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Recoveries on loans previously charged off</w:t>
            </w:r>
          </w:p>
        </w:tc>
        <w:tc>
          <w:tcPr>
            <w:tcW w:w="1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w:t>
            </w:r>
          </w:p>
        </w:tc>
      </w:tr>
      <w:tr>
        <w:trPr>
          <w:trHeight w:val="243"/>
        </w:trPr>
        <w:tc>
          <w:tcPr>
            <w:tcW w:w="4860" w:type="dxa"/>
            <w:vAlign w:val="bottom"/>
            <w:shd w:val="clear" w:color="auto" w:fill="C0C0C0"/>
          </w:tcPr>
          <w:p>
            <w:pPr>
              <w:spacing w:after="0"/>
              <w:rPr>
                <w:sz w:val="20"/>
                <w:szCs w:val="20"/>
                <w:color w:val="auto"/>
              </w:rPr>
            </w:pPr>
            <w:r>
              <w:rPr>
                <w:rFonts w:ascii="Arial" w:cs="Arial" w:eastAsia="Arial" w:hAnsi="Arial"/>
                <w:sz w:val="18"/>
                <w:szCs w:val="18"/>
                <w:color w:val="auto"/>
              </w:rPr>
              <w:t>Net recoveries</w:t>
            </w:r>
          </w:p>
        </w:tc>
        <w:tc>
          <w:tcPr>
            <w:tcW w:w="1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5</w:t>
            </w:r>
          </w:p>
        </w:tc>
        <w:tc>
          <w:tcPr>
            <w:tcW w:w="3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w:t>
            </w:r>
          </w:p>
        </w:tc>
        <w:tc>
          <w:tcPr>
            <w:tcW w:w="3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27</w:t>
            </w:r>
          </w:p>
        </w:tc>
      </w:tr>
      <w:tr>
        <w:trPr>
          <w:trHeight w:val="237"/>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at end of period</w:t>
            </w:r>
          </w:p>
        </w:tc>
        <w:tc>
          <w:tcPr>
            <w:tcW w:w="1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10,220</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10,202</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10,220</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10,202</w:t>
            </w:r>
          </w:p>
        </w:tc>
      </w:tr>
      <w:tr>
        <w:trPr>
          <w:trHeight w:val="243"/>
        </w:trPr>
        <w:tc>
          <w:tcPr>
            <w:tcW w:w="4860" w:type="dxa"/>
            <w:vAlign w:val="bottom"/>
            <w:shd w:val="clear" w:color="auto" w:fill="C0C0C0"/>
          </w:tcPr>
          <w:p>
            <w:pPr>
              <w:spacing w:after="0"/>
              <w:rPr>
                <w:sz w:val="20"/>
                <w:szCs w:val="20"/>
                <w:color w:val="auto"/>
              </w:rPr>
            </w:pPr>
            <w:r>
              <w:rPr>
                <w:rFonts w:ascii="Arial" w:cs="Arial" w:eastAsia="Arial" w:hAnsi="Arial"/>
                <w:sz w:val="18"/>
                <w:szCs w:val="18"/>
                <w:color w:val="auto"/>
              </w:rPr>
              <w:t>Loans outstanding:</w:t>
            </w:r>
          </w:p>
        </w:tc>
        <w:tc>
          <w:tcPr>
            <w:tcW w:w="1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860" w:type="dxa"/>
            <w:vAlign w:val="bottom"/>
          </w:tcPr>
          <w:p>
            <w:pPr>
              <w:ind w:left="280"/>
              <w:spacing w:after="0"/>
              <w:rPr>
                <w:sz w:val="20"/>
                <w:szCs w:val="20"/>
                <w:color w:val="auto"/>
              </w:rPr>
            </w:pPr>
            <w:r>
              <w:rPr>
                <w:rFonts w:ascii="Arial" w:cs="Arial" w:eastAsia="Arial" w:hAnsi="Arial"/>
                <w:sz w:val="18"/>
                <w:szCs w:val="18"/>
                <w:color w:val="auto"/>
              </w:rPr>
              <w:t>Average</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778,046</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660,189</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705,541</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661,588</w:t>
            </w:r>
          </w:p>
        </w:tc>
      </w:tr>
      <w:tr>
        <w:trPr>
          <w:trHeight w:val="251"/>
        </w:trPr>
        <w:tc>
          <w:tcPr>
            <w:tcW w:w="48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September 30</w:t>
            </w:r>
          </w:p>
        </w:tc>
        <w:tc>
          <w:tcPr>
            <w:tcW w:w="1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726,239</w:t>
            </w:r>
          </w:p>
        </w:tc>
        <w:tc>
          <w:tcPr>
            <w:tcW w:w="3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658,090</w:t>
            </w:r>
          </w:p>
        </w:tc>
        <w:tc>
          <w:tcPr>
            <w:tcW w:w="3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726,239</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658,090</w:t>
            </w:r>
          </w:p>
        </w:tc>
      </w:tr>
      <w:tr>
        <w:trPr>
          <w:trHeight w:val="235"/>
        </w:trPr>
        <w:tc>
          <w:tcPr>
            <w:tcW w:w="4860" w:type="dxa"/>
            <w:vAlign w:val="bottom"/>
          </w:tcPr>
          <w:p>
            <w:pPr>
              <w:spacing w:after="0"/>
              <w:rPr>
                <w:sz w:val="20"/>
                <w:szCs w:val="20"/>
                <w:color w:val="auto"/>
              </w:rPr>
            </w:pPr>
            <w:r>
              <w:rPr>
                <w:rFonts w:ascii="Arial" w:cs="Arial" w:eastAsia="Arial" w:hAnsi="Arial"/>
                <w:sz w:val="18"/>
                <w:szCs w:val="18"/>
                <w:color w:val="auto"/>
              </w:rPr>
              <w:t>Ratio of ALLL to loans outstanding:</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48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Average</w:t>
            </w:r>
          </w:p>
        </w:tc>
        <w:tc>
          <w:tcPr>
            <w:tcW w:w="1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w:t>
            </w:r>
          </w:p>
        </w:tc>
      </w:tr>
      <w:tr>
        <w:trPr>
          <w:trHeight w:val="235"/>
        </w:trPr>
        <w:tc>
          <w:tcPr>
            <w:tcW w:w="4860" w:type="dxa"/>
            <w:vAlign w:val="bottom"/>
          </w:tcPr>
          <w:p>
            <w:pPr>
              <w:ind w:left="280"/>
              <w:spacing w:after="0"/>
              <w:rPr>
                <w:sz w:val="20"/>
                <w:szCs w:val="20"/>
                <w:color w:val="auto"/>
              </w:rPr>
            </w:pPr>
            <w:r>
              <w:rPr>
                <w:rFonts w:ascii="Arial" w:cs="Arial" w:eastAsia="Arial" w:hAnsi="Arial"/>
                <w:sz w:val="18"/>
                <w:szCs w:val="18"/>
                <w:color w:val="auto"/>
              </w:rPr>
              <w:t>September 30</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51"/>
        </w:trPr>
        <w:tc>
          <w:tcPr>
            <w:tcW w:w="4860" w:type="dxa"/>
            <w:vAlign w:val="bottom"/>
            <w:shd w:val="clear" w:color="auto" w:fill="C0C0C0"/>
          </w:tcPr>
          <w:p>
            <w:pPr>
              <w:spacing w:after="0"/>
              <w:rPr>
                <w:sz w:val="20"/>
                <w:szCs w:val="20"/>
                <w:color w:val="auto"/>
              </w:rPr>
            </w:pPr>
            <w:r>
              <w:rPr>
                <w:rFonts w:ascii="Arial" w:cs="Arial" w:eastAsia="Arial" w:hAnsi="Arial"/>
                <w:sz w:val="18"/>
                <w:szCs w:val="18"/>
                <w:color w:val="auto"/>
              </w:rPr>
              <w:t>Impaired loans:</w:t>
            </w:r>
          </w:p>
        </w:tc>
        <w:tc>
          <w:tcPr>
            <w:tcW w:w="1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860" w:type="dxa"/>
            <w:vAlign w:val="bottom"/>
          </w:tcPr>
          <w:p>
            <w:pPr>
              <w:ind w:left="280"/>
              <w:spacing w:after="0"/>
              <w:rPr>
                <w:sz w:val="20"/>
                <w:szCs w:val="20"/>
                <w:color w:val="auto"/>
              </w:rPr>
            </w:pPr>
            <w:r>
              <w:rPr>
                <w:rFonts w:ascii="Arial" w:cs="Arial" w:eastAsia="Arial" w:hAnsi="Arial"/>
                <w:sz w:val="18"/>
                <w:szCs w:val="18"/>
                <w:color w:val="auto"/>
              </w:rPr>
              <w:t>Nonaccrual loans</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215</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215</w:t>
            </w:r>
          </w:p>
        </w:tc>
      </w:tr>
      <w:tr>
        <w:trPr>
          <w:trHeight w:val="251"/>
        </w:trPr>
        <w:tc>
          <w:tcPr>
            <w:tcW w:w="48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Loans past due 90 days or more</w:t>
            </w:r>
          </w:p>
        </w:tc>
        <w:tc>
          <w:tcPr>
            <w:tcW w:w="1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48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Troubled debt restructurings</w:t>
            </w:r>
          </w:p>
        </w:tc>
        <w:tc>
          <w:tcPr>
            <w:tcW w:w="1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impaired loans</w:t>
            </w:r>
          </w:p>
        </w:tc>
        <w:tc>
          <w:tcPr>
            <w:tcW w:w="17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215</w:t>
            </w:r>
          </w:p>
        </w:tc>
        <w:tc>
          <w:tcPr>
            <w:tcW w:w="3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215</w:t>
            </w:r>
          </w:p>
        </w:tc>
      </w:tr>
      <w:tr>
        <w:trPr>
          <w:trHeight w:val="237"/>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Foreclosed assets</w:t>
            </w:r>
          </w:p>
        </w:tc>
        <w:tc>
          <w:tcPr>
            <w:tcW w:w="1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50"/>
        </w:trPr>
        <w:tc>
          <w:tcPr>
            <w:tcW w:w="48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Impaired loans as percentage of average loans</w:t>
            </w:r>
          </w:p>
        </w:tc>
        <w:tc>
          <w:tcPr>
            <w:tcW w:w="154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Bank had no property carried as other real estate owned as of September 30, 2018 or September 30, 2017.</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operating expenses for the Third Quarter of 2018 were up 13.9%, or $3,488,000, compared to the Third Quarter of 2017 and were up 10.7%, or $7,914,000, for the Nine Months Ended 2018 compared to the Nine Months Ended 2017.</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Personnel expense for the Third Quarter of 2018 increased $2,324,000 compared to the Third Quarter of 2017 and increased $6,334,000 to $63,718,000 for the Nine Months Ended 2018 compared to the Nine Months Ended 2017 due mainly to on-going strategic investment in technology and staff required to win new business and support services growth with existing clients, address increasing cybersecurity risk, annual salary merit increases, and increased retirement plan costs.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Equipment expense for the Third Quarter of 2018 increased $192,000, or 15.5%, compared to the Third Quarter of 2017 and $404,000, or 10.8%, for the Nine Months Ended 2018 from the Nine Months Ended 2017. Outside service expense for the Third Quarter of 2018 increased $151,000, or 8.6%, compared to the Third Quarter of 2017 and $372,000, or 7.1%, for the Nine Months Ended 2018 from the Nine Months Ended 2017. These increases were the result of the continued strategic investment in technology.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assets at September 30, 2018 were $1,678,247,000, an increase of $21,038,000, or 1.3%, from December 31, 2017. The most significant changes in asset balances during this period were increases in loans of $40,008,000, other information services related assets of $25,901,000, and payments in excess of funding of $21,977,000. This was partially offset by a decrease of $48,063,000 in cash and cash equivalents and a decrease of $24,083,000 in investment securities. Changes in cash and cash equivalents reflect the Company’s daily liquidity position and are affected by the changes in the other asset balances and changes in deposit and accounts and drafts payable balances.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liabilities at September 30, 2018 were $1,448,905,000, an increase of $16,784,000, or 1.2%, from December 31, 2017. Accounts and drafts payable at September 30, 2018 were $769,638,000, an increase of $53,750,000, or 7.5%, from December 31, 2017. Total deposits decreased $43,364,000, or 6.4%, from December 31, 2017. Total shareholders’ equity at September 30, 2018 was $229,342,000, a $4,254,000, or 1.9%, increase from December 31, 2017. Total shareholders’ equity increased as a result of net income of $23,211,000. This was offset by the change in accumulated other comprehensive loss of $9,987,000 and dividends paid of $9,342,000.</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balance of liquid assets consists of cash and cash equivalents, which include cash and due from banks, interest-bearing deposits in other financial institutions, federal funds sold and other short-term investments, was $180,047,000 at September 30, 2018, a decrease of $48,063,000, or 21.1%, from December 31, 2017. At September 30, 2018, these assets represented 10.7% of total assets. These funds are the Company’s and its subsidiaries’ primary source of liquidity to meet future expected and unexpected loan demand, depositor withdrawals or reductions in accounts and drafts payable.</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Secondary sources of liquidity include the investment portfolio and borrowing lines. Total investment in securities was $446,440,000 at September 30, 2018, a decrease of $24,083,000 from December 31, 2017. These assets represented 26.6% of total assets at September 30, 2018. Of this total, 75% were state and political subdivision securities. Of the total portfolio, 3.1% mature in one year or less, 27.2% mature in one to five years, and 69.7% mature in five or more years</w:t>
      </w:r>
      <w:r>
        <w:rPr>
          <w:rFonts w:ascii="Arial" w:cs="Arial" w:eastAsia="Arial" w:hAnsi="Arial"/>
          <w:sz w:val="16"/>
          <w:szCs w:val="16"/>
          <w:i w:val="1"/>
          <w:iCs w:val="1"/>
          <w:color w:val="auto"/>
        </w:rPr>
        <w:t>.</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Bank has unsecured lines of credit at correspondent banks to purchase federal funds up to a maximum of $83,000,000 at the following banks: US Bank, $20,000,000; Wells Fargo Bank, $15,000,000; Frost National Bank, $10,000,000; PNC Bank, $12,000,000; UMB Bank, $20,000,000; and JPM Chase Bank, $6,000,000. The Bank also has secured lines of credit with the Federal Home Loan Bank of $189,918,000 collateralized by commercial mortgage loans. The Company also has secured lines of credit with UMB Bank of $50,000,000 and First Tennessee Bank of $50,000,000 collateralized by state and political subdivision securities. There were no amounts outstanding under any line of credit as of September 30, 2018 or December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t>The deposits of the Company’s banking subsidiary have historically been stable, consisting of a sizable volume of core deposits related to customers that utilize other commercial products of the Bank. However, an increasingly competitive interest rate environment has resulted in deposit outflow. The accounts and drafts payable generated by the Company has also historically been a stable source of funds. The Company is part of the Certificate of Deposit Account Registry Service (“CDARS”) and Insured Cash Sweep (“ICS”) deposit placement programs. Time deposits include $32,000,000 of CDARS deposits and interest-bearing demand deposits include $73,562,000 of ICS deposits. These programs offer the Bank’s customers the ability to maximize Federal Deposit Insurance Corporation (“FDIC”) insurance coverage. The Company uses these programs to retain or attract deposits from existing customers.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flows provided by operating activities were $38,796,000 for the Nine Months Ended 2018 compared with $27,936,000 for the Nine Months ended 2017, an increase of $10,860,000.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2018, which are estimated to range from $6 million to $9 million.</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establishing the minimum regulatory capital requirements, the Basel III Capital Rules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capital conservation buffer requirement is being phased in beginning January 1, 2016 at 0.625% of risk-weighted assets and increasing each year until fully implemented at 2.5% on January 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w w:val="92"/>
              </w:rPr>
              <w:t>September 30, 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w w:val="94"/>
              </w:rPr>
              <w:t>December 31, 2017</w:t>
            </w:r>
          </w:p>
        </w:tc>
      </w:tr>
      <w:tr>
        <w:trPr>
          <w:trHeight w:val="250"/>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1"/>
              </w:rPr>
              <w:t>Amount</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Ratio</w:t>
            </w: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1"/>
              </w:rPr>
              <w:t>Amount</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Ratio</w:t>
            </w:r>
          </w:p>
        </w:tc>
      </w:tr>
      <w:tr>
        <w:trPr>
          <w:trHeight w:val="243"/>
        </w:trPr>
        <w:tc>
          <w:tcPr>
            <w:tcW w:w="7260" w:type="dxa"/>
            <w:vAlign w:val="bottom"/>
            <w:shd w:val="clear" w:color="auto" w:fill="C0C0C0"/>
          </w:tcPr>
          <w:p>
            <w:pPr>
              <w:spacing w:after="0"/>
              <w:rPr>
                <w:sz w:val="20"/>
                <w:szCs w:val="20"/>
                <w:color w:val="auto"/>
              </w:rPr>
            </w:pPr>
            <w:r>
              <w:rPr>
                <w:rFonts w:ascii="Arial" w:cs="Arial" w:eastAsia="Arial" w:hAnsi="Arial"/>
                <w:sz w:val="18"/>
                <w:szCs w:val="18"/>
                <w:color w:val="auto"/>
              </w:rPr>
              <w:t>Total capital (to risk-weighted assets):</w:t>
            </w: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726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248,488</w:t>
            </w:r>
          </w:p>
        </w:tc>
        <w:tc>
          <w:tcPr>
            <w:tcW w:w="800" w:type="dxa"/>
            <w:vAlign w:val="bottom"/>
          </w:tcPr>
          <w:p>
            <w:pPr>
              <w:jc w:val="right"/>
              <w:spacing w:after="0"/>
              <w:rPr>
                <w:sz w:val="20"/>
                <w:szCs w:val="20"/>
                <w:color w:val="auto"/>
              </w:rPr>
            </w:pPr>
            <w:r>
              <w:rPr>
                <w:rFonts w:ascii="Arial" w:cs="Arial" w:eastAsia="Arial" w:hAnsi="Arial"/>
                <w:sz w:val="18"/>
                <w:szCs w:val="18"/>
                <w:color w:val="auto"/>
              </w:rPr>
              <w:t>21,42%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234,389</w:t>
            </w:r>
          </w:p>
        </w:tc>
        <w:tc>
          <w:tcPr>
            <w:tcW w:w="820" w:type="dxa"/>
            <w:vAlign w:val="bottom"/>
          </w:tcPr>
          <w:p>
            <w:pPr>
              <w:jc w:val="right"/>
              <w:spacing w:after="0"/>
              <w:rPr>
                <w:sz w:val="20"/>
                <w:szCs w:val="20"/>
                <w:color w:val="auto"/>
              </w:rPr>
            </w:pPr>
            <w:r>
              <w:rPr>
                <w:rFonts w:ascii="Arial" w:cs="Arial" w:eastAsia="Arial" w:hAnsi="Arial"/>
                <w:sz w:val="18"/>
                <w:szCs w:val="18"/>
                <w:color w:val="auto"/>
              </w:rPr>
              <w:t>22.53%</w:t>
            </w:r>
          </w:p>
        </w:tc>
      </w:tr>
      <w:tr>
        <w:trPr>
          <w:trHeight w:val="251"/>
        </w:trPr>
        <w:tc>
          <w:tcPr>
            <w:tcW w:w="7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133,916</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18.23%</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122,440</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17.01%</w:t>
            </w:r>
          </w:p>
        </w:tc>
      </w:tr>
      <w:tr>
        <w:trPr>
          <w:trHeight w:val="235"/>
        </w:trPr>
        <w:tc>
          <w:tcPr>
            <w:tcW w:w="7260" w:type="dxa"/>
            <w:vAlign w:val="bottom"/>
          </w:tcPr>
          <w:p>
            <w:pPr>
              <w:spacing w:after="0"/>
              <w:rPr>
                <w:sz w:val="20"/>
                <w:szCs w:val="20"/>
                <w:color w:val="auto"/>
              </w:rPr>
            </w:pPr>
            <w:r>
              <w:rPr>
                <w:rFonts w:ascii="Arial" w:cs="Arial" w:eastAsia="Arial" w:hAnsi="Arial"/>
                <w:sz w:val="18"/>
                <w:szCs w:val="18"/>
                <w:color w:val="auto"/>
              </w:rPr>
              <w:t>Common Equity Tier I Capital (to risk-weighted assets):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7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238,267</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20.54%</w:t>
            </w:r>
          </w:p>
        </w:tc>
        <w:tc>
          <w:tcPr>
            <w:tcW w:w="4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224,184</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21.55%</w:t>
            </w:r>
          </w:p>
        </w:tc>
      </w:tr>
      <w:tr>
        <w:trPr>
          <w:trHeight w:val="235"/>
        </w:trPr>
        <w:tc>
          <w:tcPr>
            <w:tcW w:w="7260" w:type="dxa"/>
            <w:vAlign w:val="bottom"/>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tcPr>
          <w:p>
            <w:pPr>
              <w:spacing w:after="0"/>
              <w:rPr>
                <w:sz w:val="20"/>
                <w:szCs w:val="20"/>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126,063</w:t>
            </w:r>
          </w:p>
        </w:tc>
        <w:tc>
          <w:tcPr>
            <w:tcW w:w="800" w:type="dxa"/>
            <w:vAlign w:val="bottom"/>
          </w:tcPr>
          <w:p>
            <w:pPr>
              <w:jc w:val="right"/>
              <w:spacing w:after="0"/>
              <w:rPr>
                <w:sz w:val="20"/>
                <w:szCs w:val="20"/>
                <w:color w:val="auto"/>
              </w:rPr>
            </w:pPr>
            <w:r>
              <w:rPr>
                <w:rFonts w:ascii="Arial" w:cs="Arial" w:eastAsia="Arial" w:hAnsi="Arial"/>
                <w:sz w:val="18"/>
                <w:szCs w:val="18"/>
                <w:color w:val="auto"/>
              </w:rPr>
              <w:t>17.16%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114,603</w:t>
            </w:r>
          </w:p>
        </w:tc>
        <w:tc>
          <w:tcPr>
            <w:tcW w:w="82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51"/>
        </w:trPr>
        <w:tc>
          <w:tcPr>
            <w:tcW w:w="726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risk-weighted assets):</w:t>
            </w: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726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238,267</w:t>
            </w:r>
          </w:p>
        </w:tc>
        <w:tc>
          <w:tcPr>
            <w:tcW w:w="800" w:type="dxa"/>
            <w:vAlign w:val="bottom"/>
          </w:tcPr>
          <w:p>
            <w:pPr>
              <w:jc w:val="right"/>
              <w:spacing w:after="0"/>
              <w:rPr>
                <w:sz w:val="20"/>
                <w:szCs w:val="20"/>
                <w:color w:val="auto"/>
              </w:rPr>
            </w:pPr>
            <w:r>
              <w:rPr>
                <w:rFonts w:ascii="Arial" w:cs="Arial" w:eastAsia="Arial" w:hAnsi="Arial"/>
                <w:sz w:val="18"/>
                <w:szCs w:val="18"/>
                <w:color w:val="auto"/>
              </w:rPr>
              <w:t>20.54%</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224,184</w:t>
            </w:r>
          </w:p>
        </w:tc>
        <w:tc>
          <w:tcPr>
            <w:tcW w:w="82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51"/>
        </w:trPr>
        <w:tc>
          <w:tcPr>
            <w:tcW w:w="7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126,063</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17.16%</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114,603</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15.93%</w:t>
            </w:r>
          </w:p>
        </w:tc>
      </w:tr>
      <w:tr>
        <w:trPr>
          <w:trHeight w:val="235"/>
        </w:trPr>
        <w:tc>
          <w:tcPr>
            <w:tcW w:w="7260" w:type="dxa"/>
            <w:vAlign w:val="bottom"/>
          </w:tcPr>
          <w:p>
            <w:pPr>
              <w:spacing w:after="0"/>
              <w:rPr>
                <w:sz w:val="20"/>
                <w:szCs w:val="20"/>
                <w:color w:val="auto"/>
              </w:rPr>
            </w:pPr>
            <w:r>
              <w:rPr>
                <w:rFonts w:ascii="Arial" w:cs="Arial" w:eastAsia="Arial" w:hAnsi="Arial"/>
                <w:sz w:val="18"/>
                <w:szCs w:val="18"/>
                <w:color w:val="auto"/>
              </w:rPr>
              <w:t>Tier I capital (to average assets):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7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238,267</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14.55%</w:t>
            </w:r>
          </w:p>
        </w:tc>
        <w:tc>
          <w:tcPr>
            <w:tcW w:w="4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224,184</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13.87%</w:t>
            </w:r>
          </w:p>
        </w:tc>
      </w:tr>
      <w:tr>
        <w:trPr>
          <w:trHeight w:val="250"/>
        </w:trPr>
        <w:tc>
          <w:tcPr>
            <w:tcW w:w="7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126,063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114,603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FASB issued Accounting Standards Update (“ASU”) No. 2016-02 – </w:t>
      </w:r>
      <w:r>
        <w:rPr>
          <w:rFonts w:ascii="Arial" w:cs="Arial" w:eastAsia="Arial" w:hAnsi="Arial"/>
          <w:sz w:val="16"/>
          <w:szCs w:val="16"/>
          <w:i w:val="1"/>
          <w:iCs w:val="1"/>
          <w:color w:val="auto"/>
        </w:rPr>
        <w:t>Leases (ASC Topic 842)</w:t>
      </w:r>
      <w:r>
        <w:rPr>
          <w:rFonts w:ascii="Arial" w:cs="Arial" w:eastAsia="Arial" w:hAnsi="Arial"/>
          <w:sz w:val="16"/>
          <w:szCs w:val="16"/>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ASU on leases will take effect for public companies for fiscal years, and interim periods within those fiscal years, beginning after December 15, 2018. A third-party vendor solution has been selected to assist in the application of ASU 2016-02. The impact of the adoption of this ASU is currently being evaluated but is not expected to have a material impact on the Company’s consolidated financial statements or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 Financial Instruments – </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The ASU requires measurement and recognition of expected credit losses for financial assets held. Under this standard, the Company will be required to hold an allowance equal to the expected life-of-loan losses on the loan portfolio. The standard is effective for fiscal periods beginning after December 15, 2019. The impact of the adoption of this ASU is currently being evaluated.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described in the Company’s Annual Report on Form 10-K for the year ended December 31, 2017,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15.0% from an immediate and sustained parallel change in interest rates of 200 basis points. Based on the Company’s most recent evaluation, management does not believe the Company’s risk position at September 30, 2018 has changed materially from that at December 31, 2017.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were no changes in the Third Quarter of 2018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1" w:lineRule="exact"/>
        <w:rPr>
          <w:sz w:val="20"/>
          <w:szCs w:val="20"/>
          <w:color w:val="auto"/>
        </w:rPr>
      </w:pPr>
    </w:p>
    <w:p>
      <w:pPr>
        <w:jc w:val="both"/>
        <w:ind w:left="840"/>
        <w:spacing w:after="0" w:line="255"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 w:lineRule="exact"/>
        <w:rPr>
          <w:sz w:val="20"/>
          <w:szCs w:val="20"/>
          <w:color w:val="auto"/>
        </w:rPr>
      </w:pPr>
    </w:p>
    <w:p>
      <w:pPr>
        <w:jc w:val="both"/>
        <w:ind w:left="840"/>
        <w:spacing w:after="0" w:line="302" w:lineRule="auto"/>
        <w:rPr>
          <w:sz w:val="20"/>
          <w:szCs w:val="20"/>
          <w:color w:val="auto"/>
        </w:rPr>
      </w:pPr>
      <w:r>
        <w:rPr>
          <w:rFonts w:ascii="Arial" w:cs="Arial" w:eastAsia="Arial" w:hAnsi="Arial"/>
          <w:sz w:val="16"/>
          <w:szCs w:val="16"/>
          <w:color w:val="auto"/>
        </w:rPr>
        <w:t>The Company has included in Part I, Item 1A of its Annual Report on Form 10-K for the year ended December 31, 2017, a description of certain risks and uncertainties that could affect the Company’s business, future performance or financial condition (the “Risk Factors”). There are no material changes to the Risk Factors as disclosed in the Company’s 2017 Annual Report on Form 10-K.</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Not applicable.</w:t>
      </w:r>
    </w:p>
    <w:p>
      <w:pPr>
        <w:spacing w:after="0" w:line="2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1" w:lineRule="exact"/>
        <w:rPr>
          <w:sz w:val="20"/>
          <w:szCs w:val="20"/>
          <w:color w:val="auto"/>
        </w:rPr>
      </w:pPr>
    </w:p>
    <w:p>
      <w:pPr>
        <w:ind w:left="1260" w:hanging="428"/>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260" w:hanging="428"/>
        <w:spacing w:after="0" w:line="261"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Third Quarter of 2018.</w:t>
      </w: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58" w:lineRule="exact"/>
        <w:rPr>
          <w:sz w:val="20"/>
          <w:szCs w:val="20"/>
          <w:color w:val="auto"/>
        </w:rPr>
      </w:pPr>
    </w:p>
    <w:p>
      <w:pPr>
        <w:ind w:left="8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 31.1 Certification Pursuant to Section 302 of the Sarbanes-Oxley Act of 2002.</w:t>
        </w:r>
      </w:hyperlink>
    </w:p>
    <w:p>
      <w:pPr>
        <w:spacing w:after="0" w:line="252" w:lineRule="exact"/>
        <w:rPr>
          <w:sz w:val="20"/>
          <w:szCs w:val="20"/>
          <w:color w:val="auto"/>
        </w:rPr>
      </w:pPr>
    </w:p>
    <w:p>
      <w:pPr>
        <w:ind w:left="8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 31.2 Certification Pursuant to Section 302 of the Sarbanes-Oxley Act of 2002.</w:t>
        </w:r>
      </w:hyperlink>
    </w:p>
    <w:p>
      <w:pPr>
        <w:spacing w:after="0" w:line="252" w:lineRule="exact"/>
        <w:rPr>
          <w:sz w:val="20"/>
          <w:szCs w:val="20"/>
          <w:color w:val="auto"/>
        </w:rPr>
      </w:pPr>
    </w:p>
    <w:p>
      <w:pPr>
        <w:ind w:left="84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Exhibit 32.1 Certification Pursuant to 18 U.S.C. Section 1350, as Adopted Pursuant to Section 906 of the Sarbanes-Oxley Act of 2002.</w:t>
        </w:r>
      </w:hyperlink>
    </w:p>
    <w:p>
      <w:pPr>
        <w:spacing w:after="0" w:line="275" w:lineRule="exact"/>
        <w:rPr>
          <w:sz w:val="20"/>
          <w:szCs w:val="20"/>
          <w:color w:val="auto"/>
        </w:rPr>
      </w:pPr>
    </w:p>
    <w:p>
      <w:pPr>
        <w:ind w:left="84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Exhibit 32.2 Certification Pursuant to 18 U.S.C. Section 1350, as Adopted Pursuant to Section 906 of the Sarbanes-Oxley Act of 2002.</w:t>
        </w:r>
      </w:hyperlink>
    </w:p>
    <w:p>
      <w:pPr>
        <w:spacing w:after="0" w:line="2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Exhibit 101.INS XBRL Instance Document.</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Exhibit 101.SCH XBRL Taxonomy Extension Schema Document.</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Exhibit 101.CAL XBRL Taxonomy Extension Calculation Linkbase Document.</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Exhibit 101.LAB XBRL Taxonomy Extension Label Linkbase Document.</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Exhibit 101.PRE XBRL Taxonomy Extension Presentation Linkbase Document.</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Exhibit 101.DEF XBRL Taxonomy Extension Definition Linkbase Document.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7680" w:type="dxa"/>
            <w:vAlign w:val="bottom"/>
            <w:gridSpan w:val="2"/>
          </w:tcPr>
          <w:p>
            <w:pPr>
              <w:ind w:left="1860"/>
              <w:spacing w:after="0"/>
              <w:rPr>
                <w:sz w:val="20"/>
                <w:szCs w:val="20"/>
                <w:color w:val="auto"/>
              </w:rPr>
            </w:pPr>
            <w:r>
              <w:rPr>
                <w:rFonts w:ascii="Arial" w:cs="Arial" w:eastAsia="Arial" w:hAnsi="Arial"/>
                <w:sz w:val="18"/>
                <w:szCs w:val="18"/>
                <w:color w:val="auto"/>
              </w:rPr>
              <w:t>CASS INFORMATION SYSTEMS, INC.</w:t>
            </w:r>
          </w:p>
        </w:tc>
      </w:tr>
      <w:tr>
        <w:trPr>
          <w:trHeight w:val="495"/>
        </w:trPr>
        <w:tc>
          <w:tcPr>
            <w:tcW w:w="3740" w:type="dxa"/>
            <w:vAlign w:val="bottom"/>
          </w:tcPr>
          <w:p>
            <w:pPr>
              <w:spacing w:after="0"/>
              <w:rPr>
                <w:sz w:val="20"/>
                <w:szCs w:val="20"/>
                <w:color w:val="auto"/>
              </w:rPr>
            </w:pPr>
            <w:r>
              <w:rPr>
                <w:rFonts w:ascii="Arial" w:cs="Arial" w:eastAsia="Arial" w:hAnsi="Arial"/>
                <w:sz w:val="18"/>
                <w:szCs w:val="18"/>
                <w:color w:val="auto"/>
              </w:rPr>
              <w:t>DATE: November 7, 2018</w:t>
            </w:r>
          </w:p>
        </w:tc>
        <w:tc>
          <w:tcPr>
            <w:tcW w:w="2160" w:type="dxa"/>
            <w:vAlign w:val="bottom"/>
          </w:tcPr>
          <w:p>
            <w:pPr>
              <w:ind w:left="186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Eric H. Brunngraber</w:t>
            </w:r>
          </w:p>
        </w:tc>
      </w:tr>
      <w:tr>
        <w:trPr>
          <w:trHeight w:val="228"/>
        </w:trPr>
        <w:tc>
          <w:tcPr>
            <w:tcW w:w="37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0"/>
              </w:rPr>
              <w:t>Eric H. Brunngraber</w:t>
            </w:r>
          </w:p>
        </w:tc>
      </w:tr>
      <w:tr>
        <w:trPr>
          <w:trHeight w:val="243"/>
        </w:trPr>
        <w:tc>
          <w:tcPr>
            <w:tcW w:w="3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520" w:type="dxa"/>
            <w:vAlign w:val="bottom"/>
          </w:tcPr>
          <w:p>
            <w:pPr>
              <w:jc w:val="center"/>
              <w:ind w:right="212"/>
              <w:spacing w:after="0"/>
              <w:rPr>
                <w:sz w:val="20"/>
                <w:szCs w:val="20"/>
                <w:color w:val="auto"/>
              </w:rPr>
            </w:pPr>
            <w:r>
              <w:rPr>
                <w:rFonts w:ascii="Arial" w:cs="Arial" w:eastAsia="Arial" w:hAnsi="Arial"/>
                <w:sz w:val="18"/>
                <w:szCs w:val="18"/>
                <w:color w:val="auto"/>
                <w:w w:val="89"/>
              </w:rPr>
              <w:t>Chairman, President and Chief Executive Officer</w:t>
            </w:r>
          </w:p>
        </w:tc>
      </w:tr>
      <w:tr>
        <w:trPr>
          <w:trHeight w:val="243"/>
        </w:trPr>
        <w:tc>
          <w:tcPr>
            <w:tcW w:w="3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520" w:type="dxa"/>
            <w:vAlign w:val="bottom"/>
          </w:tcPr>
          <w:p>
            <w:pPr>
              <w:jc w:val="center"/>
              <w:ind w:right="212"/>
              <w:spacing w:after="0"/>
              <w:rPr>
                <w:sz w:val="20"/>
                <w:szCs w:val="20"/>
                <w:color w:val="auto"/>
              </w:rPr>
            </w:pPr>
            <w:r>
              <w:rPr>
                <w:rFonts w:ascii="Arial" w:cs="Arial" w:eastAsia="Arial" w:hAnsi="Arial"/>
                <w:sz w:val="18"/>
                <w:szCs w:val="18"/>
                <w:color w:val="auto"/>
                <w:w w:val="92"/>
              </w:rPr>
              <w:t>(Principal Executive Officer)</w:t>
            </w:r>
          </w:p>
        </w:tc>
      </w:tr>
      <w:tr>
        <w:trPr>
          <w:trHeight w:val="738"/>
        </w:trPr>
        <w:tc>
          <w:tcPr>
            <w:tcW w:w="3740" w:type="dxa"/>
            <w:vAlign w:val="bottom"/>
          </w:tcPr>
          <w:p>
            <w:pPr>
              <w:spacing w:after="0"/>
              <w:rPr>
                <w:sz w:val="20"/>
                <w:szCs w:val="20"/>
                <w:color w:val="auto"/>
              </w:rPr>
            </w:pPr>
            <w:r>
              <w:rPr>
                <w:rFonts w:ascii="Arial" w:cs="Arial" w:eastAsia="Arial" w:hAnsi="Arial"/>
                <w:sz w:val="18"/>
                <w:szCs w:val="18"/>
                <w:color w:val="auto"/>
              </w:rPr>
              <w:t>DATE: November 7, 2018</w:t>
            </w:r>
          </w:p>
        </w:tc>
        <w:tc>
          <w:tcPr>
            <w:tcW w:w="2160" w:type="dxa"/>
            <w:vAlign w:val="bottom"/>
          </w:tcPr>
          <w:p>
            <w:pPr>
              <w:ind w:left="186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Stephen Appelbaum</w:t>
            </w:r>
          </w:p>
        </w:tc>
      </w:tr>
      <w:tr>
        <w:trPr>
          <w:trHeight w:val="228"/>
        </w:trPr>
        <w:tc>
          <w:tcPr>
            <w:tcW w:w="37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86"/>
              </w:rPr>
              <w:t>P. Stephen Appelbaum</w:t>
            </w:r>
          </w:p>
        </w:tc>
      </w:tr>
    </w:tbl>
    <w:p>
      <w:pPr>
        <w:spacing w:after="0" w:line="21"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(Principal Financial and Accounting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280" w:hanging="272"/>
        <w:spacing w:after="0" w:line="332" w:lineRule="auto"/>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280" w:hanging="272"/>
        <w:spacing w:after="0" w:line="268"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280" w:hanging="272"/>
        <w:spacing w:after="0" w:line="259"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280" w:right="20" w:hanging="272"/>
        <w:spacing w:after="0" w:line="332" w:lineRule="auto"/>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540" w:hanging="262"/>
        <w:spacing w:after="0" w:line="268"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15"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6985</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8"/>
          <w:szCs w:val="18"/>
          <w:color w:val="auto"/>
        </w:rPr>
        <w:t>Eric H. Brunngraber</w:t>
      </w:r>
    </w:p>
    <w:p>
      <w:pPr>
        <w:spacing w:after="0" w:line="1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Chairman, President and Chief</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225"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280" w:hanging="272"/>
        <w:spacing w:after="0" w:line="332" w:lineRule="auto"/>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280" w:hanging="272"/>
        <w:spacing w:after="0" w:line="268"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280" w:hanging="272"/>
        <w:spacing w:after="0" w:line="259"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280" w:right="20" w:hanging="272"/>
        <w:spacing w:after="0" w:line="332" w:lineRule="auto"/>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540" w:hanging="262"/>
        <w:spacing w:after="0" w:line="268"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15"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6985</wp:posOffset>
            </wp:positionV>
            <wp:extent cx="20066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ind w:left="8260"/>
        <w:spacing w:after="0"/>
        <w:rPr>
          <w:sz w:val="20"/>
          <w:szCs w:val="20"/>
          <w:color w:val="auto"/>
        </w:rPr>
      </w:pPr>
      <w:r>
        <w:rPr>
          <w:rFonts w:ascii="Arial" w:cs="Arial" w:eastAsia="Arial" w:hAnsi="Arial"/>
          <w:sz w:val="18"/>
          <w:szCs w:val="18"/>
          <w:color w:val="auto"/>
        </w:rPr>
        <w:t>P. Stephen Appelbaum</w:t>
      </w:r>
    </w:p>
    <w:p>
      <w:pPr>
        <w:spacing w:after="0" w:line="1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Cass Information Systems, Inc. (“the Company”) on Form 10-Q for the period ended September 30, 2018 as filed with the Securities and Exchange Commission on the date hereof (the “Report”), I, Eric H. Brunngraber, President and Chief Executive Officer of the Company, certify, pursuant to 18 U.S.C. § 1350, as adopted pursuant to § 906 of the Sarbanes-Oxley Act of 2002, that:</w:t>
      </w:r>
    </w:p>
    <w:p>
      <w:pPr>
        <w:spacing w:after="0" w:line="194" w:lineRule="exact"/>
        <w:rPr>
          <w:sz w:val="20"/>
          <w:szCs w:val="20"/>
          <w:color w:val="auto"/>
        </w:rPr>
      </w:pPr>
    </w:p>
    <w:p>
      <w:pPr>
        <w:ind w:left="540" w:hanging="26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10795</wp:posOffset>
            </wp:positionV>
            <wp:extent cx="18522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Eric H. Brunngraber</w:t>
      </w:r>
    </w:p>
    <w:p>
      <w:pPr>
        <w:spacing w:after="0" w:line="15" w:lineRule="exact"/>
        <w:rPr>
          <w:sz w:val="20"/>
          <w:szCs w:val="20"/>
          <w:color w:val="auto"/>
        </w:rPr>
      </w:pPr>
    </w:p>
    <w:p>
      <w:pPr>
        <w:ind w:left="8500"/>
        <w:spacing w:after="0"/>
        <w:rPr>
          <w:sz w:val="20"/>
          <w:szCs w:val="20"/>
          <w:color w:val="auto"/>
        </w:rPr>
      </w:pPr>
      <w:r>
        <w:rPr>
          <w:rFonts w:ascii="Arial" w:cs="Arial" w:eastAsia="Arial" w:hAnsi="Arial"/>
          <w:sz w:val="15"/>
          <w:szCs w:val="15"/>
          <w:color w:val="auto"/>
        </w:rPr>
        <w:t>Chairman, President and Chief Executive</w:t>
      </w:r>
    </w:p>
    <w:p>
      <w:pPr>
        <w:spacing w:after="0" w:line="44"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November 7, 2018</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Quarterly Report of Cass Information Systems, Inc. (“the Company”) on Form 10-Q for the period ended September 30, 2018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61" w:lineRule="exact"/>
        <w:rPr>
          <w:sz w:val="20"/>
          <w:szCs w:val="20"/>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10795</wp:posOffset>
            </wp:positionV>
            <wp:extent cx="20066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 Stephen Appelbaum</w:t>
      </w:r>
    </w:p>
    <w:p>
      <w:pPr>
        <w:spacing w:after="0" w:line="1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(Principal Financial and Accounting Officer)</w:t>
      </w:r>
    </w:p>
    <w:p>
      <w:pPr>
        <w:spacing w:after="0" w:line="32"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November 7, 2018</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2019-12-28T18:20:07Z</dcterms:created>
  <dcterms:modified xsi:type="dcterms:W3CDTF">2019-12-28T18:20:07Z</dcterms:modified>
</cp:coreProperties>
</file>